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B27D6" w14:textId="2B6C56F4" w:rsidR="009D60CA" w:rsidRPr="009D60CA" w:rsidRDefault="009D60CA" w:rsidP="0058723A">
      <w:pPr>
        <w:pStyle w:val="Heading1"/>
        <w:rPr>
          <w:lang w:val="en-US"/>
        </w:rPr>
      </w:pPr>
      <w:r w:rsidRPr="009D60CA">
        <w:rPr>
          <w:lang w:val="en-US"/>
        </w:rPr>
        <w:t>Working as a verification service provider – expectations</w:t>
      </w:r>
    </w:p>
    <w:p w14:paraId="7FA4215E" w14:textId="77777777" w:rsidR="009D60CA" w:rsidRPr="009D60CA" w:rsidRDefault="009D60CA" w:rsidP="0058723A">
      <w:pPr>
        <w:pStyle w:val="Heading2"/>
        <w:rPr>
          <w:lang w:val="en-US"/>
        </w:rPr>
      </w:pPr>
      <w:r w:rsidRPr="009D60CA">
        <w:rPr>
          <w:lang w:val="en-US"/>
        </w:rPr>
        <w:t>Purpose</w:t>
      </w:r>
    </w:p>
    <w:p w14:paraId="56A1112D" w14:textId="50DB70D3" w:rsidR="009D60CA" w:rsidRPr="009D60CA" w:rsidRDefault="009D60CA" w:rsidP="009D60CA">
      <w:pPr>
        <w:spacing w:before="200"/>
      </w:pPr>
      <w:r w:rsidRPr="009D60CA">
        <w:t>The purpose of this document is to set out the expectations of you as a verification service provider selected by the Clean Energy Regulator (CER) under the Solar Panel Validation (SPV) Initiative. This document aligns with requirements under your Verification Service Provider Deed (Deed) with the CER</w:t>
      </w:r>
      <w:hyperlink w:anchor="_bookmark0" w:history="1">
        <w:r w:rsidRPr="009D60CA">
          <w:rPr>
            <w:vertAlign w:val="superscript"/>
          </w:rPr>
          <w:t>1</w:t>
        </w:r>
      </w:hyperlink>
      <w:r w:rsidR="00F54C33">
        <w:rPr>
          <w:rStyle w:val="FootnoteReference"/>
        </w:rPr>
        <w:footnoteReference w:id="2"/>
      </w:r>
      <w:r w:rsidR="00825CB9">
        <w:t xml:space="preserve">. </w:t>
      </w:r>
      <w:r w:rsidRPr="009D60CA">
        <w:t xml:space="preserve">Your verification service issues verification responses to apps operating in SPV to enable the creation and delivery of signed data packages for successfully verified solar panel serial numbers. These signed data packages are used by Registered Persons </w:t>
      </w:r>
      <w:r w:rsidR="000D62A9">
        <w:t xml:space="preserve">and Registered </w:t>
      </w:r>
      <w:r w:rsidRPr="009D60CA">
        <w:t xml:space="preserve">Agents when creating </w:t>
      </w:r>
      <w:r w:rsidR="00A541A1">
        <w:t>s</w:t>
      </w:r>
      <w:r w:rsidRPr="009D60CA">
        <w:t xml:space="preserve">mall-scale </w:t>
      </w:r>
      <w:r w:rsidR="00A541A1">
        <w:t>t</w:t>
      </w:r>
      <w:r w:rsidRPr="009D60CA">
        <w:t xml:space="preserve">echnology </w:t>
      </w:r>
      <w:r w:rsidR="00A541A1">
        <w:t>c</w:t>
      </w:r>
      <w:r w:rsidRPr="009D60CA">
        <w:t>ertificates (STCs) under the Small-scale Renewable Energy Scheme (SRES).</w:t>
      </w:r>
    </w:p>
    <w:p w14:paraId="7C1CD944" w14:textId="7B8F9651" w:rsidR="009D60CA" w:rsidRPr="009D60CA" w:rsidRDefault="009D60CA" w:rsidP="009D60CA">
      <w:pPr>
        <w:spacing w:before="200"/>
      </w:pPr>
      <w:r w:rsidRPr="009D60CA">
        <w:t>Your participation in SPV</w:t>
      </w:r>
      <w:r w:rsidR="00D927DF">
        <w:t>,</w:t>
      </w:r>
      <w:r w:rsidRPr="009D60CA">
        <w:t xml:space="preserve"> compliance with the Deed and these expectations is critical in helping to protect the integrity of the SRES and the Australian solar industry. In doing so, it provides industry and consumers with an easy way to check and confirm that solar panels are backed by manufacturer warranties, meet Australian standards for quality and performance, and are eligible for STCs.</w:t>
      </w:r>
    </w:p>
    <w:p w14:paraId="79C7F172" w14:textId="77777777" w:rsidR="009D60CA" w:rsidRPr="009D60CA" w:rsidRDefault="009D60CA" w:rsidP="0058723A">
      <w:pPr>
        <w:pStyle w:val="Heading2"/>
        <w:rPr>
          <w:lang w:val="en-US"/>
        </w:rPr>
      </w:pPr>
      <w:r w:rsidRPr="009D60CA">
        <w:rPr>
          <w:lang w:val="en-US"/>
        </w:rPr>
        <w:t>Make your verification service compliant and available</w:t>
      </w:r>
    </w:p>
    <w:p w14:paraId="0686AA6A" w14:textId="77777777" w:rsidR="009D60CA" w:rsidRPr="009D60CA" w:rsidRDefault="009D60CA" w:rsidP="009D60CA">
      <w:pPr>
        <w:spacing w:before="200"/>
      </w:pPr>
      <w:r w:rsidRPr="009D60CA">
        <w:t>All verification service providers issue a verification response to apps to enable the creation of signed data packages for use by installers and Agents during the creation of STCs. To achieve this, as a verification service provider you must:</w:t>
      </w:r>
    </w:p>
    <w:p w14:paraId="77444BB1" w14:textId="7B1CBB76" w:rsidR="009D60CA" w:rsidRPr="009D60CA" w:rsidRDefault="009D60CA" w:rsidP="0058723A">
      <w:pPr>
        <w:pStyle w:val="CERnumbering"/>
        <w:rPr>
          <w:lang w:val="en-US"/>
        </w:rPr>
      </w:pPr>
      <w:r w:rsidRPr="009D60CA">
        <w:rPr>
          <w:lang w:val="en-US"/>
        </w:rPr>
        <w:t>Ensure your verification service complies with the requirements and obligations of the Deed and the SPV Message Interface Standard (MIS), all relevant legislation including under the</w:t>
      </w:r>
      <w:r w:rsidR="00420EE5">
        <w:rPr>
          <w:lang w:val="en-US"/>
        </w:rPr>
        <w:t xml:space="preserve"> </w:t>
      </w:r>
      <w:hyperlink r:id="rId9" w:history="1">
        <w:r w:rsidR="00420EE5" w:rsidRPr="00305A2D">
          <w:rPr>
            <w:rStyle w:val="Hyperlink"/>
            <w:rFonts w:asciiTheme="minorHAnsi" w:hAnsiTheme="minorHAnsi"/>
            <w:i/>
            <w:iCs/>
          </w:rPr>
          <w:t>Renewable Energy (Electricity) Act 2000</w:t>
        </w:r>
      </w:hyperlink>
      <w:r w:rsidR="00420EE5" w:rsidRPr="00420EE5">
        <w:rPr>
          <w:i/>
          <w:iCs/>
          <w:lang w:val="en-US"/>
        </w:rPr>
        <w:t xml:space="preserve"> </w:t>
      </w:r>
      <w:r w:rsidRPr="009D60CA">
        <w:rPr>
          <w:lang w:val="en-US"/>
        </w:rPr>
        <w:t xml:space="preserve">(REE Act) and, relevant regulatory requirements, standards and guidelines. </w:t>
      </w:r>
      <w:proofErr w:type="gramStart"/>
      <w:r w:rsidRPr="009D60CA">
        <w:rPr>
          <w:lang w:val="en-US"/>
        </w:rPr>
        <w:t>In particular, your</w:t>
      </w:r>
      <w:proofErr w:type="gramEnd"/>
      <w:r w:rsidRPr="009D60CA">
        <w:rPr>
          <w:lang w:val="en-US"/>
        </w:rPr>
        <w:t xml:space="preserve"> verification service must:</w:t>
      </w:r>
    </w:p>
    <w:p w14:paraId="1218C56E" w14:textId="77777777" w:rsidR="009D60CA" w:rsidRPr="009D60CA" w:rsidRDefault="009D60CA" w:rsidP="0058723A">
      <w:pPr>
        <w:pStyle w:val="CERnumbering"/>
        <w:numPr>
          <w:ilvl w:val="1"/>
          <w:numId w:val="34"/>
        </w:numPr>
        <w:rPr>
          <w:lang w:val="en-US"/>
        </w:rPr>
      </w:pPr>
      <w:r w:rsidRPr="009D60CA">
        <w:rPr>
          <w:lang w:val="en-US"/>
        </w:rPr>
        <w:t>Offer all mandatory requirements and together with your database, ensure compliance through conducting regular conformance testing to confirm that its use does not compromise the integrity of the SPV.</w:t>
      </w:r>
    </w:p>
    <w:p w14:paraId="5B5AD7D0" w14:textId="77777777" w:rsidR="009D60CA" w:rsidRPr="009D60CA" w:rsidRDefault="009D60CA" w:rsidP="0058723A">
      <w:pPr>
        <w:pStyle w:val="CERnumbering"/>
        <w:numPr>
          <w:ilvl w:val="1"/>
          <w:numId w:val="34"/>
        </w:numPr>
        <w:rPr>
          <w:lang w:val="en-US"/>
        </w:rPr>
      </w:pPr>
      <w:r w:rsidRPr="009D60CA">
        <w:rPr>
          <w:lang w:val="en-US"/>
        </w:rPr>
        <w:t>Receive data packages from installer Apps and verify data against information in your database and produce a Written Statement as part of the Verification Response to Apps operating in SPV.</w:t>
      </w:r>
    </w:p>
    <w:p w14:paraId="47163202" w14:textId="699D5C95" w:rsidR="009D60CA" w:rsidRPr="009D60CA" w:rsidRDefault="009D60CA" w:rsidP="0058723A">
      <w:pPr>
        <w:pStyle w:val="CERnumbering"/>
        <w:numPr>
          <w:ilvl w:val="1"/>
          <w:numId w:val="34"/>
        </w:numPr>
        <w:rPr>
          <w:lang w:val="en-US"/>
        </w:rPr>
      </w:pPr>
      <w:r w:rsidRPr="009D60CA">
        <w:rPr>
          <w:lang w:val="en-US"/>
        </w:rPr>
        <w:t xml:space="preserve">Be supported by a database of information related to relevant solar panel serial numbers that correspond to the Clean Energy Council </w:t>
      </w:r>
      <w:r w:rsidR="003A35B4">
        <w:rPr>
          <w:lang w:val="en-US"/>
        </w:rPr>
        <w:t xml:space="preserve">(CEC) </w:t>
      </w:r>
      <w:r w:rsidRPr="009D60CA">
        <w:rPr>
          <w:lang w:val="en-US"/>
        </w:rPr>
        <w:t xml:space="preserve">Approved PV Modules list. This information must be sourced from Approved Entities as defined under the Deed and satisfy the relevant Deed </w:t>
      </w:r>
      <w:r w:rsidRPr="009D60CA">
        <w:rPr>
          <w:lang w:val="en-US"/>
        </w:rPr>
        <w:lastRenderedPageBreak/>
        <w:t>requirements. This information must not be duplicated in databases belonging to other verification service providers.</w:t>
      </w:r>
    </w:p>
    <w:p w14:paraId="12DEF544" w14:textId="77777777" w:rsidR="009D60CA" w:rsidRPr="009D60CA" w:rsidRDefault="009D60CA" w:rsidP="0058723A">
      <w:pPr>
        <w:pStyle w:val="CERnumbering"/>
        <w:rPr>
          <w:lang w:val="en-US"/>
        </w:rPr>
      </w:pPr>
      <w:bookmarkStart w:id="0" w:name="_bookmark0"/>
      <w:bookmarkEnd w:id="0"/>
      <w:r w:rsidRPr="009D60CA">
        <w:rPr>
          <w:lang w:val="en-US"/>
        </w:rPr>
        <w:t>Have a process or procedure in place to:</w:t>
      </w:r>
    </w:p>
    <w:p w14:paraId="0E73E781" w14:textId="77777777" w:rsidR="009D60CA" w:rsidRPr="009D60CA" w:rsidRDefault="009D60CA" w:rsidP="0058723A">
      <w:pPr>
        <w:pStyle w:val="CERnumbering"/>
        <w:numPr>
          <w:ilvl w:val="1"/>
          <w:numId w:val="34"/>
        </w:numPr>
        <w:rPr>
          <w:lang w:val="en-US"/>
        </w:rPr>
      </w:pPr>
      <w:r w:rsidRPr="009D60CA">
        <w:rPr>
          <w:lang w:val="en-US"/>
        </w:rPr>
        <w:t>Regularly check and monitor your Verification Service and information in your database to ensure compliance with the Deed and SPV MIS. Your database must contain accurate, complete and current information.</w:t>
      </w:r>
    </w:p>
    <w:p w14:paraId="0F850361" w14:textId="77777777" w:rsidR="009D60CA" w:rsidRPr="009D60CA" w:rsidRDefault="009D60CA" w:rsidP="0058723A">
      <w:pPr>
        <w:pStyle w:val="CERnumbering"/>
        <w:numPr>
          <w:ilvl w:val="1"/>
          <w:numId w:val="34"/>
        </w:numPr>
        <w:rPr>
          <w:lang w:val="en-US"/>
        </w:rPr>
      </w:pPr>
      <w:r w:rsidRPr="009D60CA">
        <w:rPr>
          <w:lang w:val="en-US"/>
        </w:rPr>
        <w:t>Prevent a successfully verified response where the solar panel serial number has already been successfully verified.</w:t>
      </w:r>
    </w:p>
    <w:p w14:paraId="7CDF4699" w14:textId="77777777" w:rsidR="009D60CA" w:rsidRPr="009D60CA" w:rsidRDefault="009D60CA" w:rsidP="0058723A">
      <w:pPr>
        <w:pStyle w:val="CERnumbering"/>
        <w:numPr>
          <w:ilvl w:val="1"/>
          <w:numId w:val="34"/>
        </w:numPr>
        <w:rPr>
          <w:lang w:val="en-US"/>
        </w:rPr>
      </w:pPr>
      <w:r w:rsidRPr="009D60CA">
        <w:rPr>
          <w:lang w:val="en-US"/>
        </w:rPr>
        <w:t>Monitor use of your verification service to identify and address improper use and/or non</w:t>
      </w:r>
      <w:proofErr w:type="gramStart"/>
      <w:r w:rsidRPr="009D60CA">
        <w:rPr>
          <w:lang w:val="en-US"/>
        </w:rPr>
        <w:t>- compliance</w:t>
      </w:r>
      <w:proofErr w:type="gramEnd"/>
      <w:r w:rsidRPr="009D60CA">
        <w:rPr>
          <w:lang w:val="en-US"/>
        </w:rPr>
        <w:t xml:space="preserve"> with the terms and conditions for the use of your verification service.</w:t>
      </w:r>
    </w:p>
    <w:p w14:paraId="1CA45BC9" w14:textId="77777777" w:rsidR="009D60CA" w:rsidRPr="009D60CA" w:rsidRDefault="009D60CA" w:rsidP="0058723A">
      <w:pPr>
        <w:pStyle w:val="CERnumbering"/>
        <w:rPr>
          <w:lang w:val="en-US"/>
        </w:rPr>
      </w:pPr>
      <w:r w:rsidRPr="009D60CA">
        <w:rPr>
          <w:lang w:val="en-US"/>
        </w:rPr>
        <w:t>Report any non-compliance to the CER.</w:t>
      </w:r>
    </w:p>
    <w:p w14:paraId="6861FFC4" w14:textId="77777777" w:rsidR="009D60CA" w:rsidRPr="009D60CA" w:rsidRDefault="009D60CA" w:rsidP="0058723A">
      <w:pPr>
        <w:pStyle w:val="CERnumbering"/>
        <w:rPr>
          <w:lang w:val="en-US"/>
        </w:rPr>
      </w:pPr>
      <w:r w:rsidRPr="009D60CA">
        <w:rPr>
          <w:lang w:val="en-US"/>
        </w:rPr>
        <w:t>Be fair and reasonable with access to your verification service and database by providing app users and app providers with free access and use of the mandatory functions of your verification service.</w:t>
      </w:r>
    </w:p>
    <w:p w14:paraId="129DE290" w14:textId="77777777" w:rsidR="009D60CA" w:rsidRPr="009D60CA" w:rsidRDefault="009D60CA" w:rsidP="0058723A">
      <w:pPr>
        <w:pStyle w:val="CERnumbering"/>
        <w:rPr>
          <w:lang w:val="en-US"/>
        </w:rPr>
      </w:pPr>
      <w:r w:rsidRPr="009D60CA">
        <w:rPr>
          <w:lang w:val="en-US"/>
        </w:rPr>
        <w:t>Cooperate with any CER requests to undertake audits of your verification service and your database to ensure compliance with the Deed and SPV MIS and ensure currency and integrity of the data stored.</w:t>
      </w:r>
    </w:p>
    <w:p w14:paraId="4E09786B" w14:textId="77777777" w:rsidR="009D60CA" w:rsidRPr="009D60CA" w:rsidRDefault="009D60CA" w:rsidP="0058723A">
      <w:pPr>
        <w:pStyle w:val="Heading2"/>
        <w:rPr>
          <w:lang w:val="en-US"/>
        </w:rPr>
      </w:pPr>
      <w:r w:rsidRPr="009D60CA">
        <w:rPr>
          <w:lang w:val="en-US"/>
        </w:rPr>
        <w:t>Best practice professional standards</w:t>
      </w:r>
    </w:p>
    <w:p w14:paraId="5C5D6CFF" w14:textId="77777777" w:rsidR="009D60CA" w:rsidRPr="009D60CA" w:rsidRDefault="009D60CA" w:rsidP="009D60CA">
      <w:pPr>
        <w:spacing w:before="200"/>
        <w:rPr>
          <w:lang w:val="en-US"/>
        </w:rPr>
      </w:pPr>
      <w:r w:rsidRPr="009D60CA">
        <w:rPr>
          <w:lang w:val="en-US"/>
        </w:rPr>
        <w:t xml:space="preserve">Verification service providers are expected to apply </w:t>
      </w:r>
      <w:proofErr w:type="gramStart"/>
      <w:r w:rsidRPr="009D60CA">
        <w:rPr>
          <w:lang w:val="en-US"/>
        </w:rPr>
        <w:t>best</w:t>
      </w:r>
      <w:proofErr w:type="gramEnd"/>
      <w:r w:rsidRPr="009D60CA">
        <w:rPr>
          <w:lang w:val="en-US"/>
        </w:rPr>
        <w:t xml:space="preserve"> practice standards to protect themselves and their customers including by:</w:t>
      </w:r>
    </w:p>
    <w:p w14:paraId="072B6176" w14:textId="77777777" w:rsidR="009D60CA" w:rsidRPr="00F54C33" w:rsidRDefault="009D60CA" w:rsidP="0058723A">
      <w:pPr>
        <w:pStyle w:val="CERnumbering"/>
        <w:numPr>
          <w:ilvl w:val="0"/>
          <w:numId w:val="42"/>
        </w:numPr>
        <w:rPr>
          <w:lang w:val="en-US"/>
        </w:rPr>
      </w:pPr>
      <w:r w:rsidRPr="00F54C33">
        <w:rPr>
          <w:lang w:val="en-US"/>
        </w:rPr>
        <w:t>Treating everyone with respect and courtesy, this includes verification service providers, app providers, installers/app users, customers, and the CER. This means:</w:t>
      </w:r>
    </w:p>
    <w:p w14:paraId="264691C8" w14:textId="77777777" w:rsidR="009D60CA" w:rsidRPr="009D60CA" w:rsidRDefault="009D60CA" w:rsidP="0058723A">
      <w:pPr>
        <w:pStyle w:val="CERnumbering"/>
        <w:numPr>
          <w:ilvl w:val="1"/>
          <w:numId w:val="34"/>
        </w:numPr>
        <w:rPr>
          <w:lang w:val="en-US"/>
        </w:rPr>
      </w:pPr>
      <w:r w:rsidRPr="009D60CA">
        <w:rPr>
          <w:lang w:val="en-US"/>
        </w:rPr>
        <w:t>Raising and seeking to resolve issues respectfully with the CER and others.</w:t>
      </w:r>
    </w:p>
    <w:p w14:paraId="7C537C0C" w14:textId="77777777" w:rsidR="009D60CA" w:rsidRPr="009D60CA" w:rsidRDefault="009D60CA" w:rsidP="0058723A">
      <w:pPr>
        <w:pStyle w:val="CERnumbering"/>
        <w:numPr>
          <w:ilvl w:val="1"/>
          <w:numId w:val="34"/>
        </w:numPr>
        <w:rPr>
          <w:lang w:val="en-US"/>
        </w:rPr>
      </w:pPr>
      <w:r w:rsidRPr="009D60CA">
        <w:rPr>
          <w:lang w:val="en-US"/>
        </w:rPr>
        <w:t>Ensuring your own obligations in the Deed underpin negotiations with others.</w:t>
      </w:r>
    </w:p>
    <w:p w14:paraId="29CAC2C2" w14:textId="77777777" w:rsidR="009D60CA" w:rsidRPr="009D60CA" w:rsidRDefault="009D60CA" w:rsidP="0058723A">
      <w:pPr>
        <w:pStyle w:val="CERnumbering"/>
        <w:rPr>
          <w:lang w:val="en-US"/>
        </w:rPr>
      </w:pPr>
      <w:r w:rsidRPr="009D60CA">
        <w:rPr>
          <w:lang w:val="en-US"/>
        </w:rPr>
        <w:t>Co-operating with the CER and others, complying with direction and making changes, reasonably requested by the CER, for the purposes of SPV.</w:t>
      </w:r>
    </w:p>
    <w:p w14:paraId="629E639E" w14:textId="77777777" w:rsidR="009D60CA" w:rsidRPr="009D60CA" w:rsidRDefault="009D60CA" w:rsidP="0058723A">
      <w:pPr>
        <w:pStyle w:val="CERnumbering"/>
        <w:rPr>
          <w:lang w:val="en-US"/>
        </w:rPr>
      </w:pPr>
      <w:r w:rsidRPr="009D60CA">
        <w:rPr>
          <w:lang w:val="en-US"/>
        </w:rPr>
        <w:t>Engaging with the CER about potential or confirmed changes to SPV that impact your verification service and database, including advising of any implications to your business or verification service.</w:t>
      </w:r>
    </w:p>
    <w:p w14:paraId="716087C0" w14:textId="77777777" w:rsidR="009D60CA" w:rsidRPr="009D60CA" w:rsidRDefault="009D60CA" w:rsidP="0058723A">
      <w:pPr>
        <w:pStyle w:val="CERnumbering"/>
        <w:rPr>
          <w:lang w:val="en-US"/>
        </w:rPr>
      </w:pPr>
      <w:r w:rsidRPr="009D60CA">
        <w:rPr>
          <w:lang w:val="en-US"/>
        </w:rPr>
        <w:t>Providing any documentation or information requested by the CER for:</w:t>
      </w:r>
    </w:p>
    <w:p w14:paraId="1F44CB69" w14:textId="77777777" w:rsidR="009D60CA" w:rsidRPr="009D60CA" w:rsidRDefault="009D60CA" w:rsidP="0058723A">
      <w:pPr>
        <w:pStyle w:val="CERnumbering"/>
        <w:numPr>
          <w:ilvl w:val="1"/>
          <w:numId w:val="34"/>
        </w:numPr>
        <w:rPr>
          <w:lang w:val="en-US"/>
        </w:rPr>
      </w:pPr>
      <w:r w:rsidRPr="009D60CA">
        <w:rPr>
          <w:lang w:val="en-US"/>
        </w:rPr>
        <w:t xml:space="preserve">Confirming </w:t>
      </w:r>
      <w:proofErr w:type="spellStart"/>
      <w:r w:rsidRPr="009D60CA">
        <w:rPr>
          <w:lang w:val="en-US"/>
        </w:rPr>
        <w:t>organisational</w:t>
      </w:r>
      <w:proofErr w:type="spellEnd"/>
      <w:r w:rsidRPr="009D60CA">
        <w:rPr>
          <w:lang w:val="en-US"/>
        </w:rPr>
        <w:t xml:space="preserve"> details such as directors and personnel.</w:t>
      </w:r>
    </w:p>
    <w:p w14:paraId="2D3C3BF5" w14:textId="77777777" w:rsidR="009D60CA" w:rsidRPr="009D60CA" w:rsidRDefault="009D60CA" w:rsidP="0058723A">
      <w:pPr>
        <w:pStyle w:val="CERnumbering"/>
        <w:numPr>
          <w:ilvl w:val="1"/>
          <w:numId w:val="34"/>
        </w:numPr>
        <w:rPr>
          <w:lang w:val="en-US"/>
        </w:rPr>
      </w:pPr>
      <w:r w:rsidRPr="009D60CA">
        <w:rPr>
          <w:lang w:val="en-US"/>
        </w:rPr>
        <w:t>Undertaking due diligence checks.</w:t>
      </w:r>
    </w:p>
    <w:p w14:paraId="7AD50469" w14:textId="77777777" w:rsidR="009D60CA" w:rsidRPr="009D60CA" w:rsidRDefault="009D60CA" w:rsidP="0058723A">
      <w:pPr>
        <w:pStyle w:val="CERnumbering"/>
        <w:numPr>
          <w:ilvl w:val="1"/>
          <w:numId w:val="34"/>
        </w:numPr>
        <w:rPr>
          <w:lang w:val="en-US"/>
        </w:rPr>
      </w:pPr>
      <w:r w:rsidRPr="009D60CA">
        <w:rPr>
          <w:lang w:val="en-US"/>
        </w:rPr>
        <w:t>Establishing your capacity to provide a verification service.</w:t>
      </w:r>
    </w:p>
    <w:p w14:paraId="59172B40" w14:textId="77777777" w:rsidR="009D60CA" w:rsidRPr="009D60CA" w:rsidRDefault="009D60CA" w:rsidP="0058723A">
      <w:pPr>
        <w:pStyle w:val="CERnumbering"/>
        <w:rPr>
          <w:lang w:val="en-US"/>
        </w:rPr>
      </w:pPr>
      <w:r w:rsidRPr="009D60CA">
        <w:rPr>
          <w:lang w:val="en-US"/>
        </w:rPr>
        <w:t xml:space="preserve">Having systems/processes in place to detect anomalies, manipulation, or erroneous data in your database. This includes the ability and </w:t>
      </w:r>
      <w:proofErr w:type="gramStart"/>
      <w:r w:rsidRPr="009D60CA">
        <w:rPr>
          <w:lang w:val="en-US"/>
        </w:rPr>
        <w:t>actioning</w:t>
      </w:r>
      <w:proofErr w:type="gramEnd"/>
      <w:r w:rsidRPr="009D60CA">
        <w:rPr>
          <w:lang w:val="en-US"/>
        </w:rPr>
        <w:t xml:space="preserve"> immediately, the removal and reporting to CER of any information from your database that does not comply with the requirements under the Deed or that would compromise the integrity of the data stored or the SPV.</w:t>
      </w:r>
    </w:p>
    <w:p w14:paraId="448EABCA" w14:textId="70F8153B" w:rsidR="009D60CA" w:rsidRPr="009D60CA" w:rsidRDefault="009D60CA" w:rsidP="0058723A">
      <w:pPr>
        <w:pStyle w:val="Heading2"/>
        <w:rPr>
          <w:lang w:val="en-US"/>
        </w:rPr>
      </w:pPr>
      <w:bookmarkStart w:id="1" w:name="_Hlk163633051"/>
      <w:r w:rsidRPr="009D60CA">
        <w:rPr>
          <w:lang w:val="en-US"/>
        </w:rPr>
        <w:t>Have good business practices</w:t>
      </w:r>
    </w:p>
    <w:p w14:paraId="17E195EB" w14:textId="77777777" w:rsidR="009D60CA" w:rsidRPr="009D60CA" w:rsidRDefault="009D60CA" w:rsidP="009D60CA">
      <w:pPr>
        <w:spacing w:before="200"/>
        <w:rPr>
          <w:lang w:val="en-US"/>
        </w:rPr>
      </w:pPr>
      <w:bookmarkStart w:id="2" w:name="_Hlk163633060"/>
      <w:bookmarkEnd w:id="1"/>
      <w:r w:rsidRPr="009D60CA">
        <w:rPr>
          <w:lang w:val="en-US"/>
        </w:rPr>
        <w:t>Verification service providers are expected to have good business practices to ensure success in delivering on obligations under the Deed by:</w:t>
      </w:r>
    </w:p>
    <w:bookmarkEnd w:id="2"/>
    <w:p w14:paraId="0037131B" w14:textId="6079ED58" w:rsidR="009D60CA" w:rsidRPr="00F54C33" w:rsidRDefault="009D60CA" w:rsidP="0058723A">
      <w:pPr>
        <w:pStyle w:val="CERnumbering"/>
        <w:numPr>
          <w:ilvl w:val="0"/>
          <w:numId w:val="43"/>
        </w:numPr>
        <w:rPr>
          <w:lang w:val="en-US"/>
        </w:rPr>
      </w:pPr>
      <w:r w:rsidRPr="00F54C33">
        <w:rPr>
          <w:lang w:val="en-US"/>
        </w:rPr>
        <w:lastRenderedPageBreak/>
        <w:t xml:space="preserve">Identifying businesses to engage with and reviewing their different strengths and weaknesses, </w:t>
      </w:r>
      <w:proofErr w:type="gramStart"/>
      <w:r w:rsidRPr="00F54C33">
        <w:rPr>
          <w:lang w:val="en-US"/>
        </w:rPr>
        <w:t>to determine</w:t>
      </w:r>
      <w:proofErr w:type="gramEnd"/>
      <w:r w:rsidRPr="00F54C33">
        <w:rPr>
          <w:lang w:val="en-US"/>
        </w:rPr>
        <w:t xml:space="preserve"> alignment with your </w:t>
      </w:r>
      <w:proofErr w:type="spellStart"/>
      <w:r w:rsidRPr="00F54C33">
        <w:rPr>
          <w:lang w:val="en-US"/>
        </w:rPr>
        <w:t>organisation’s</w:t>
      </w:r>
      <w:proofErr w:type="spellEnd"/>
      <w:r w:rsidRPr="00F54C33">
        <w:rPr>
          <w:lang w:val="en-US"/>
        </w:rPr>
        <w:t xml:space="preserve"> goals.</w:t>
      </w:r>
    </w:p>
    <w:p w14:paraId="349FEA8B" w14:textId="77777777" w:rsidR="009D60CA" w:rsidRPr="009D60CA" w:rsidRDefault="009D60CA" w:rsidP="0058723A">
      <w:pPr>
        <w:pStyle w:val="CERnumbering"/>
        <w:rPr>
          <w:lang w:val="en-US"/>
        </w:rPr>
      </w:pPr>
      <w:r w:rsidRPr="009D60CA">
        <w:rPr>
          <w:lang w:val="en-US"/>
        </w:rPr>
        <w:t>Engaging and negotiating with other businesses in good faith and discussing in more detail, any disagreement over matters, to better understand each other's point of view.</w:t>
      </w:r>
    </w:p>
    <w:p w14:paraId="75F59DAD" w14:textId="77777777" w:rsidR="009D60CA" w:rsidRPr="009D60CA" w:rsidRDefault="009D60CA" w:rsidP="0058723A">
      <w:pPr>
        <w:pStyle w:val="CERnumbering"/>
        <w:rPr>
          <w:lang w:val="en-US"/>
        </w:rPr>
      </w:pPr>
      <w:r w:rsidRPr="009D60CA">
        <w:rPr>
          <w:lang w:val="en-US"/>
        </w:rPr>
        <w:t>Having a legal agreement in place with the business that you engage with. This agreement should enable you to comply with your requirements under the Deed and contain clear and accurate details about what both parties have agreed and exactly what you expect from each other. These include:</w:t>
      </w:r>
    </w:p>
    <w:p w14:paraId="7E0B391F" w14:textId="2F0AFB26" w:rsidR="009D60CA" w:rsidRPr="009D60CA" w:rsidRDefault="009D60CA" w:rsidP="0058723A">
      <w:pPr>
        <w:pStyle w:val="CERnumbering"/>
        <w:numPr>
          <w:ilvl w:val="1"/>
          <w:numId w:val="34"/>
        </w:numPr>
        <w:rPr>
          <w:lang w:val="en-US"/>
        </w:rPr>
      </w:pPr>
      <w:r w:rsidRPr="009D60CA">
        <w:rPr>
          <w:lang w:val="en-US"/>
        </w:rPr>
        <w:t>Legal agreements with Approved Entities to source solar panel information for your database.</w:t>
      </w:r>
    </w:p>
    <w:p w14:paraId="0F9B657B" w14:textId="6C782524" w:rsidR="009D60CA" w:rsidRPr="009D60CA" w:rsidRDefault="009D60CA" w:rsidP="0058723A">
      <w:pPr>
        <w:pStyle w:val="CERnumbering"/>
        <w:numPr>
          <w:ilvl w:val="1"/>
          <w:numId w:val="34"/>
        </w:numPr>
        <w:rPr>
          <w:lang w:val="en-US"/>
        </w:rPr>
      </w:pPr>
      <w:r w:rsidRPr="009D60CA">
        <w:rPr>
          <w:lang w:val="en-US"/>
        </w:rPr>
        <w:t>Legal agreements with app providers that request access to your verification service.</w:t>
      </w:r>
    </w:p>
    <w:p w14:paraId="2FAB2D71" w14:textId="006EDF5A" w:rsidR="009D60CA" w:rsidRDefault="009D60CA" w:rsidP="0058723A">
      <w:pPr>
        <w:pStyle w:val="CERnumbering"/>
      </w:pPr>
      <w:r>
        <w:t>Having</w:t>
      </w:r>
      <w:r w:rsidRPr="009D60CA">
        <w:rPr>
          <w:spacing w:val="-6"/>
        </w:rPr>
        <w:t xml:space="preserve"> </w:t>
      </w:r>
      <w:r>
        <w:t>a</w:t>
      </w:r>
      <w:r w:rsidRPr="009D60CA">
        <w:rPr>
          <w:spacing w:val="-4"/>
        </w:rPr>
        <w:t xml:space="preserve"> </w:t>
      </w:r>
      <w:r>
        <w:t>compliance</w:t>
      </w:r>
      <w:r w:rsidRPr="009D60CA">
        <w:rPr>
          <w:spacing w:val="-2"/>
        </w:rPr>
        <w:t xml:space="preserve"> </w:t>
      </w:r>
      <w:r>
        <w:t>framework</w:t>
      </w:r>
      <w:r w:rsidRPr="009D60CA">
        <w:rPr>
          <w:spacing w:val="-6"/>
        </w:rPr>
        <w:t xml:space="preserve"> </w:t>
      </w:r>
      <w:r>
        <w:t>in</w:t>
      </w:r>
      <w:r w:rsidRPr="009D60CA">
        <w:rPr>
          <w:spacing w:val="-4"/>
        </w:rPr>
        <w:t xml:space="preserve"> </w:t>
      </w:r>
      <w:r>
        <w:t>place</w:t>
      </w:r>
      <w:r w:rsidRPr="009D60CA">
        <w:rPr>
          <w:spacing w:val="-6"/>
        </w:rPr>
        <w:t xml:space="preserve"> </w:t>
      </w:r>
      <w:r>
        <w:t>as</w:t>
      </w:r>
      <w:r w:rsidRPr="009D60CA">
        <w:rPr>
          <w:spacing w:val="-3"/>
        </w:rPr>
        <w:t xml:space="preserve"> </w:t>
      </w:r>
      <w:r>
        <w:t>required</w:t>
      </w:r>
      <w:r w:rsidRPr="009D60CA">
        <w:rPr>
          <w:spacing w:val="-5"/>
        </w:rPr>
        <w:t xml:space="preserve"> </w:t>
      </w:r>
      <w:r>
        <w:t>under</w:t>
      </w:r>
      <w:r w:rsidRPr="009D60CA">
        <w:rPr>
          <w:spacing w:val="-3"/>
        </w:rPr>
        <w:t xml:space="preserve"> </w:t>
      </w:r>
      <w:r>
        <w:t>the</w:t>
      </w:r>
      <w:r w:rsidRPr="009D60CA">
        <w:rPr>
          <w:spacing w:val="-6"/>
        </w:rPr>
        <w:t xml:space="preserve"> </w:t>
      </w:r>
      <w:r>
        <w:t>Deed</w:t>
      </w:r>
      <w:r w:rsidRPr="009D60CA">
        <w:rPr>
          <w:spacing w:val="-4"/>
        </w:rPr>
        <w:t xml:space="preserve"> </w:t>
      </w:r>
      <w:r>
        <w:t>which</w:t>
      </w:r>
      <w:r w:rsidRPr="009D60CA">
        <w:rPr>
          <w:spacing w:val="-4"/>
        </w:rPr>
        <w:t xml:space="preserve"> </w:t>
      </w:r>
      <w:r w:rsidRPr="009D60CA">
        <w:rPr>
          <w:spacing w:val="-2"/>
        </w:rPr>
        <w:t>includes:</w:t>
      </w:r>
    </w:p>
    <w:p w14:paraId="54FB1AB2" w14:textId="3132988D" w:rsidR="009D60CA" w:rsidRPr="009D60CA" w:rsidRDefault="009D60CA" w:rsidP="0058723A">
      <w:pPr>
        <w:pStyle w:val="CERnumbering"/>
        <w:numPr>
          <w:ilvl w:val="1"/>
          <w:numId w:val="34"/>
        </w:numPr>
        <w:rPr>
          <w:lang w:val="en-US"/>
        </w:rPr>
      </w:pPr>
      <w:r w:rsidRPr="009D60CA">
        <w:rPr>
          <w:lang w:val="en-US"/>
        </w:rPr>
        <w:t>Regular checks to ensure the integrity of your verification service, including your own regular conformance testing and reviews of your processes.</w:t>
      </w:r>
    </w:p>
    <w:p w14:paraId="403C05EA" w14:textId="64A63DF7" w:rsidR="009D60CA" w:rsidRPr="009D60CA" w:rsidRDefault="009D60CA" w:rsidP="0058723A">
      <w:pPr>
        <w:pStyle w:val="CERnumbering"/>
        <w:numPr>
          <w:ilvl w:val="1"/>
          <w:numId w:val="34"/>
        </w:numPr>
        <w:rPr>
          <w:lang w:val="en-US"/>
        </w:rPr>
      </w:pPr>
      <w:proofErr w:type="spellStart"/>
      <w:r w:rsidRPr="009D60CA">
        <w:rPr>
          <w:lang w:val="en-US"/>
        </w:rPr>
        <w:t>Organisational</w:t>
      </w:r>
      <w:proofErr w:type="spellEnd"/>
      <w:r w:rsidRPr="009D60CA">
        <w:rPr>
          <w:lang w:val="en-US"/>
        </w:rPr>
        <w:t xml:space="preserve"> due diligence as reflected in the Deed. If needed, the CER’s due diligence checklist can be referred to.</w:t>
      </w:r>
    </w:p>
    <w:p w14:paraId="59BBC762" w14:textId="2AD8BB77" w:rsidR="009D60CA" w:rsidRPr="009D60CA" w:rsidRDefault="009D60CA" w:rsidP="0058723A">
      <w:pPr>
        <w:pStyle w:val="CERnumbering"/>
        <w:numPr>
          <w:ilvl w:val="1"/>
          <w:numId w:val="34"/>
        </w:numPr>
        <w:rPr>
          <w:lang w:val="en-US"/>
        </w:rPr>
      </w:pPr>
      <w:r w:rsidRPr="009D60CA">
        <w:rPr>
          <w:lang w:val="en-US"/>
        </w:rPr>
        <w:t>Having policies and procedures to manage how information is collected, used and disclosed. This includes recording the written consent of the person or business that owns and/or is providing the information and for what purpose the information is to be collected, used and disclosed.</w:t>
      </w:r>
    </w:p>
    <w:p w14:paraId="13DCF197" w14:textId="70C859F8" w:rsidR="009D60CA" w:rsidRPr="009D60CA" w:rsidRDefault="009D60CA" w:rsidP="0058723A">
      <w:pPr>
        <w:pStyle w:val="CERnumbering"/>
        <w:numPr>
          <w:ilvl w:val="1"/>
          <w:numId w:val="34"/>
        </w:numPr>
        <w:rPr>
          <w:lang w:val="en-US"/>
        </w:rPr>
      </w:pPr>
      <w:r w:rsidRPr="009D60CA">
        <w:rPr>
          <w:lang w:val="en-US"/>
        </w:rPr>
        <w:t xml:space="preserve">The management and protection of intellectual property, privacy and confidential information, including monitoring arrangements to identify </w:t>
      </w:r>
      <w:proofErr w:type="spellStart"/>
      <w:r w:rsidRPr="009D60CA">
        <w:rPr>
          <w:lang w:val="en-US"/>
        </w:rPr>
        <w:t>unauthorised</w:t>
      </w:r>
      <w:proofErr w:type="spellEnd"/>
      <w:r w:rsidRPr="009D60CA">
        <w:rPr>
          <w:lang w:val="en-US"/>
        </w:rPr>
        <w:t xml:space="preserve"> access, use and disclosure.</w:t>
      </w:r>
    </w:p>
    <w:p w14:paraId="1E2CF26B" w14:textId="77777777" w:rsidR="009D60CA" w:rsidRDefault="009D60CA" w:rsidP="0058723A">
      <w:pPr>
        <w:pStyle w:val="CERnumbering"/>
      </w:pPr>
      <w:r>
        <w:t>Having systems in place to notify the CER if you suspect that an Approved Entity,</w:t>
      </w:r>
      <w:r>
        <w:rPr>
          <w:spacing w:val="-2"/>
        </w:rPr>
        <w:t xml:space="preserve"> </w:t>
      </w:r>
      <w:r>
        <w:t>app provider or user is in</w:t>
      </w:r>
      <w:r>
        <w:rPr>
          <w:spacing w:val="-2"/>
        </w:rPr>
        <w:t xml:space="preserve"> </w:t>
      </w:r>
      <w:r>
        <w:t>breach</w:t>
      </w:r>
      <w:r>
        <w:rPr>
          <w:spacing w:val="-2"/>
        </w:rPr>
        <w:t xml:space="preserve"> </w:t>
      </w:r>
      <w:r>
        <w:t>of</w:t>
      </w:r>
      <w:r>
        <w:rPr>
          <w:spacing w:val="-3"/>
        </w:rPr>
        <w:t xml:space="preserve"> </w:t>
      </w:r>
      <w:r>
        <w:t>the</w:t>
      </w:r>
      <w:r>
        <w:rPr>
          <w:spacing w:val="-3"/>
        </w:rPr>
        <w:t xml:space="preserve"> </w:t>
      </w:r>
      <w:r>
        <w:t>REE</w:t>
      </w:r>
      <w:r>
        <w:rPr>
          <w:spacing w:val="-1"/>
        </w:rPr>
        <w:t xml:space="preserve"> </w:t>
      </w:r>
      <w:r>
        <w:t>Act</w:t>
      </w:r>
      <w:r>
        <w:rPr>
          <w:spacing w:val="-3"/>
        </w:rPr>
        <w:t xml:space="preserve"> </w:t>
      </w:r>
      <w:r>
        <w:t>or</w:t>
      </w:r>
      <w:r>
        <w:rPr>
          <w:spacing w:val="-3"/>
        </w:rPr>
        <w:t xml:space="preserve"> </w:t>
      </w:r>
      <w:r>
        <w:t>other</w:t>
      </w:r>
      <w:r>
        <w:rPr>
          <w:spacing w:val="-1"/>
        </w:rPr>
        <w:t xml:space="preserve"> </w:t>
      </w:r>
      <w:r>
        <w:t>legislation,</w:t>
      </w:r>
      <w:r>
        <w:rPr>
          <w:spacing w:val="-1"/>
        </w:rPr>
        <w:t xml:space="preserve"> </w:t>
      </w:r>
      <w:r>
        <w:t>including</w:t>
      </w:r>
      <w:r>
        <w:rPr>
          <w:spacing w:val="-4"/>
        </w:rPr>
        <w:t xml:space="preserve"> </w:t>
      </w:r>
      <w:r>
        <w:t>if</w:t>
      </w:r>
      <w:r>
        <w:rPr>
          <w:spacing w:val="-1"/>
        </w:rPr>
        <w:t xml:space="preserve"> </w:t>
      </w:r>
      <w:r>
        <w:t>you</w:t>
      </w:r>
      <w:r>
        <w:rPr>
          <w:spacing w:val="-4"/>
        </w:rPr>
        <w:t xml:space="preserve"> </w:t>
      </w:r>
      <w:r>
        <w:t>suspect</w:t>
      </w:r>
      <w:r>
        <w:rPr>
          <w:spacing w:val="-3"/>
        </w:rPr>
        <w:t xml:space="preserve"> </w:t>
      </w:r>
      <w:r>
        <w:t>solar</w:t>
      </w:r>
      <w:r>
        <w:rPr>
          <w:spacing w:val="-1"/>
        </w:rPr>
        <w:t xml:space="preserve"> </w:t>
      </w:r>
      <w:r>
        <w:t>panels</w:t>
      </w:r>
      <w:r>
        <w:rPr>
          <w:spacing w:val="-3"/>
        </w:rPr>
        <w:t xml:space="preserve"> </w:t>
      </w:r>
      <w:r>
        <w:t>do not</w:t>
      </w:r>
      <w:r>
        <w:rPr>
          <w:spacing w:val="-3"/>
        </w:rPr>
        <w:t xml:space="preserve"> </w:t>
      </w:r>
      <w:r>
        <w:t>meet Australian Standards or other requirements for listing on the CEC Approved Modules list.</w:t>
      </w:r>
    </w:p>
    <w:p w14:paraId="462699EC" w14:textId="77777777" w:rsidR="009D60CA" w:rsidRPr="009D60CA" w:rsidRDefault="009D60CA" w:rsidP="0058723A">
      <w:pPr>
        <w:pStyle w:val="Heading2"/>
        <w:rPr>
          <w:lang w:val="en-US"/>
        </w:rPr>
      </w:pPr>
      <w:r w:rsidRPr="009D60CA">
        <w:rPr>
          <w:lang w:val="en-US"/>
        </w:rPr>
        <w:t>Expectations and Deed references</w:t>
      </w:r>
    </w:p>
    <w:tbl>
      <w:tblPr>
        <w:tblStyle w:val="CERTable"/>
        <w:tblW w:w="5000" w:type="pct"/>
        <w:tblLook w:val="0620" w:firstRow="1" w:lastRow="0" w:firstColumn="0" w:lastColumn="0" w:noHBand="1" w:noVBand="1"/>
      </w:tblPr>
      <w:tblGrid>
        <w:gridCol w:w="4870"/>
        <w:gridCol w:w="4870"/>
      </w:tblGrid>
      <w:tr w:rsidR="009D60CA" w:rsidRPr="009D60CA" w14:paraId="506199F6" w14:textId="77777777" w:rsidTr="0058723A">
        <w:trPr>
          <w:cnfStyle w:val="100000000000" w:firstRow="1" w:lastRow="0" w:firstColumn="0" w:lastColumn="0" w:oddVBand="0" w:evenVBand="0" w:oddHBand="0" w:evenHBand="0" w:firstRowFirstColumn="0" w:firstRowLastColumn="0" w:lastRowFirstColumn="0" w:lastRowLastColumn="0"/>
          <w:tblHeader/>
        </w:trPr>
        <w:tc>
          <w:tcPr>
            <w:tcW w:w="2500" w:type="pct"/>
          </w:tcPr>
          <w:p w14:paraId="3B057B3B" w14:textId="4B29F8ED" w:rsidR="009D60CA" w:rsidRPr="009D60CA" w:rsidRDefault="009D60CA" w:rsidP="009D60CA">
            <w:pPr>
              <w:spacing w:before="200"/>
              <w:rPr>
                <w:kern w:val="0"/>
              </w:rPr>
            </w:pPr>
            <w:r w:rsidRPr="009D60CA">
              <w:rPr>
                <w:kern w:val="0"/>
                <w:lang w:val="en-US"/>
              </w:rPr>
              <w:t>Expectations</w:t>
            </w:r>
          </w:p>
        </w:tc>
        <w:tc>
          <w:tcPr>
            <w:tcW w:w="2500" w:type="pct"/>
          </w:tcPr>
          <w:p w14:paraId="5C556AFC" w14:textId="67DF3873" w:rsidR="009D60CA" w:rsidRPr="00F54C33" w:rsidRDefault="009D60CA" w:rsidP="009D60CA">
            <w:pPr>
              <w:spacing w:before="200"/>
              <w:rPr>
                <w:szCs w:val="22"/>
              </w:rPr>
            </w:pPr>
            <w:r w:rsidRPr="0058723A">
              <w:rPr>
                <w:szCs w:val="22"/>
              </w:rPr>
              <w:t>Relevant</w:t>
            </w:r>
            <w:r w:rsidRPr="0058723A">
              <w:rPr>
                <w:spacing w:val="-2"/>
                <w:szCs w:val="22"/>
              </w:rPr>
              <w:t xml:space="preserve"> </w:t>
            </w:r>
            <w:r w:rsidRPr="0058723A">
              <w:rPr>
                <w:szCs w:val="22"/>
              </w:rPr>
              <w:t>clauses</w:t>
            </w:r>
            <w:r w:rsidRPr="0058723A">
              <w:rPr>
                <w:spacing w:val="-2"/>
                <w:szCs w:val="22"/>
              </w:rPr>
              <w:t xml:space="preserve"> </w:t>
            </w:r>
            <w:r w:rsidRPr="0058723A">
              <w:rPr>
                <w:szCs w:val="22"/>
              </w:rPr>
              <w:t>in</w:t>
            </w:r>
            <w:r w:rsidRPr="0058723A">
              <w:rPr>
                <w:spacing w:val="-2"/>
                <w:szCs w:val="22"/>
              </w:rPr>
              <w:t xml:space="preserve"> </w:t>
            </w:r>
            <w:r w:rsidRPr="0058723A">
              <w:rPr>
                <w:szCs w:val="22"/>
              </w:rPr>
              <w:t>the</w:t>
            </w:r>
            <w:r w:rsidRPr="0058723A">
              <w:rPr>
                <w:spacing w:val="-3"/>
                <w:szCs w:val="22"/>
              </w:rPr>
              <w:t xml:space="preserve"> </w:t>
            </w:r>
            <w:r w:rsidRPr="0058723A">
              <w:rPr>
                <w:spacing w:val="-4"/>
                <w:szCs w:val="22"/>
              </w:rPr>
              <w:t>Deed</w:t>
            </w:r>
          </w:p>
        </w:tc>
      </w:tr>
      <w:tr w:rsidR="009D60CA" w:rsidRPr="009D60CA" w14:paraId="1731BD8A" w14:textId="77777777" w:rsidTr="0058723A">
        <w:tc>
          <w:tcPr>
            <w:tcW w:w="2500" w:type="pct"/>
            <w:shd w:val="clear" w:color="auto" w:fill="F2F2F2" w:themeFill="background1" w:themeFillShade="F2"/>
          </w:tcPr>
          <w:p w14:paraId="2D8A3DED" w14:textId="77777777" w:rsidR="009D60CA" w:rsidRPr="009D60CA" w:rsidRDefault="009D60CA" w:rsidP="009D60CA">
            <w:pPr>
              <w:spacing w:after="0"/>
              <w:rPr>
                <w:b/>
                <w:bCs/>
                <w:color w:val="auto"/>
                <w:szCs w:val="22"/>
              </w:rPr>
            </w:pPr>
            <w:r w:rsidRPr="009D60CA">
              <w:rPr>
                <w:b/>
                <w:bCs/>
                <w:color w:val="auto"/>
                <w:szCs w:val="22"/>
              </w:rPr>
              <w:t>Make your Verification Service compliant and</w:t>
            </w:r>
          </w:p>
          <w:p w14:paraId="2B767C60" w14:textId="77777777" w:rsidR="009D60CA" w:rsidRPr="009D60CA" w:rsidRDefault="009D60CA" w:rsidP="009D60CA">
            <w:pPr>
              <w:spacing w:after="0"/>
              <w:rPr>
                <w:b/>
                <w:bCs/>
                <w:color w:val="auto"/>
                <w:szCs w:val="22"/>
              </w:rPr>
            </w:pPr>
            <w:r w:rsidRPr="009D60CA">
              <w:rPr>
                <w:b/>
                <w:bCs/>
                <w:color w:val="auto"/>
                <w:szCs w:val="22"/>
              </w:rPr>
              <w:t>available</w:t>
            </w:r>
          </w:p>
          <w:p w14:paraId="4B5C5F9D" w14:textId="21436E18" w:rsidR="009D60CA" w:rsidRPr="00F54C33" w:rsidRDefault="009D60CA" w:rsidP="0058723A">
            <w:pPr>
              <w:pStyle w:val="CERbullets"/>
              <w:rPr>
                <w:kern w:val="0"/>
              </w:rPr>
            </w:pPr>
            <w:r w:rsidRPr="00F54C33">
              <w:t>Expectations 1-5</w:t>
            </w:r>
          </w:p>
        </w:tc>
        <w:tc>
          <w:tcPr>
            <w:tcW w:w="2500" w:type="pct"/>
          </w:tcPr>
          <w:p w14:paraId="1DB800C4" w14:textId="77777777" w:rsidR="009D60CA" w:rsidRPr="009D60CA" w:rsidRDefault="009D60CA" w:rsidP="009D60CA">
            <w:pPr>
              <w:spacing w:after="0"/>
              <w:rPr>
                <w:color w:val="auto"/>
                <w:szCs w:val="22"/>
              </w:rPr>
            </w:pPr>
            <w:r w:rsidRPr="009D60CA">
              <w:rPr>
                <w:color w:val="auto"/>
                <w:szCs w:val="22"/>
              </w:rPr>
              <w:t>3.1.2(a), (e), (f), 3.3.1(a), (c) to (l),3.3.2, 3.3.7,</w:t>
            </w:r>
          </w:p>
          <w:p w14:paraId="37021FF1" w14:textId="6D47E74F" w:rsidR="009D60CA" w:rsidRPr="009D60CA" w:rsidRDefault="009D60CA" w:rsidP="009D60CA">
            <w:pPr>
              <w:spacing w:after="0"/>
              <w:rPr>
                <w:color w:val="auto"/>
              </w:rPr>
            </w:pPr>
            <w:r w:rsidRPr="7A9F1F7C">
              <w:rPr>
                <w:color w:val="auto"/>
              </w:rPr>
              <w:t>3.3.</w:t>
            </w:r>
            <w:r w:rsidR="1E567F6D" w:rsidRPr="7A9F1F7C">
              <w:rPr>
                <w:color w:val="auto"/>
              </w:rPr>
              <w:t>9</w:t>
            </w:r>
            <w:r w:rsidRPr="7A9F1F7C">
              <w:rPr>
                <w:color w:val="auto"/>
              </w:rPr>
              <w:t>, 3.4.1, 3.4.8, 3.5.1, 3.6.1 and 3.6.2,</w:t>
            </w:r>
          </w:p>
          <w:p w14:paraId="31CCDD6E" w14:textId="679037FD" w:rsidR="009D60CA" w:rsidRPr="009D60CA" w:rsidRDefault="009D60CA" w:rsidP="009D60CA">
            <w:pPr>
              <w:spacing w:after="0"/>
              <w:rPr>
                <w:color w:val="auto"/>
                <w:kern w:val="0"/>
                <w:szCs w:val="22"/>
              </w:rPr>
            </w:pPr>
            <w:r w:rsidRPr="009D60CA">
              <w:rPr>
                <w:color w:val="auto"/>
                <w:szCs w:val="22"/>
              </w:rPr>
              <w:t>3.7.1(b) and (c), 8.1.1(c)</w:t>
            </w:r>
          </w:p>
        </w:tc>
      </w:tr>
      <w:tr w:rsidR="009D60CA" w:rsidRPr="009D60CA" w14:paraId="4B57E399" w14:textId="77777777" w:rsidTr="0058723A">
        <w:tc>
          <w:tcPr>
            <w:tcW w:w="2500" w:type="pct"/>
            <w:shd w:val="clear" w:color="auto" w:fill="F2F2F2" w:themeFill="background1" w:themeFillShade="F2"/>
          </w:tcPr>
          <w:p w14:paraId="52C38B74" w14:textId="77777777" w:rsidR="009D60CA" w:rsidRPr="009D60CA" w:rsidRDefault="009D60CA" w:rsidP="009D60CA">
            <w:pPr>
              <w:pStyle w:val="TableParagraph"/>
              <w:spacing w:before="0"/>
              <w:ind w:left="0"/>
              <w:rPr>
                <w:b/>
                <w:bCs/>
              </w:rPr>
            </w:pPr>
            <w:r w:rsidRPr="009D60CA">
              <w:rPr>
                <w:b/>
                <w:bCs/>
              </w:rPr>
              <w:t>Best</w:t>
            </w:r>
            <w:r w:rsidRPr="009D60CA">
              <w:rPr>
                <w:b/>
                <w:bCs/>
                <w:spacing w:val="-4"/>
              </w:rPr>
              <w:t xml:space="preserve"> </w:t>
            </w:r>
            <w:r w:rsidRPr="009D60CA">
              <w:rPr>
                <w:b/>
                <w:bCs/>
              </w:rPr>
              <w:t>practice</w:t>
            </w:r>
            <w:r w:rsidRPr="009D60CA">
              <w:rPr>
                <w:b/>
                <w:bCs/>
                <w:spacing w:val="-4"/>
              </w:rPr>
              <w:t xml:space="preserve"> </w:t>
            </w:r>
            <w:r w:rsidRPr="009D60CA">
              <w:rPr>
                <w:b/>
                <w:bCs/>
              </w:rPr>
              <w:t>professional</w:t>
            </w:r>
            <w:r w:rsidRPr="009D60CA">
              <w:rPr>
                <w:b/>
                <w:bCs/>
                <w:spacing w:val="-2"/>
              </w:rPr>
              <w:t xml:space="preserve"> standards</w:t>
            </w:r>
          </w:p>
          <w:p w14:paraId="49976D9E" w14:textId="587CCFA3" w:rsidR="009D60CA" w:rsidRPr="00F54C33" w:rsidRDefault="009D60CA" w:rsidP="0058723A">
            <w:pPr>
              <w:pStyle w:val="CERbullets"/>
            </w:pPr>
            <w:r w:rsidRPr="00F54C33">
              <w:t>Expectations</w:t>
            </w:r>
            <w:r w:rsidRPr="00F54C33">
              <w:rPr>
                <w:spacing w:val="-10"/>
              </w:rPr>
              <w:t xml:space="preserve"> </w:t>
            </w:r>
            <w:r w:rsidRPr="00F54C33">
              <w:t>6-</w:t>
            </w:r>
            <w:r w:rsidRPr="00F54C33">
              <w:rPr>
                <w:spacing w:val="-5"/>
              </w:rPr>
              <w:t>10</w:t>
            </w:r>
          </w:p>
        </w:tc>
        <w:tc>
          <w:tcPr>
            <w:tcW w:w="2500" w:type="pct"/>
          </w:tcPr>
          <w:p w14:paraId="00871BD1" w14:textId="77777777" w:rsidR="009D60CA" w:rsidRPr="009D60CA" w:rsidRDefault="009D60CA" w:rsidP="009D60CA">
            <w:pPr>
              <w:pStyle w:val="TableParagraph"/>
              <w:spacing w:before="0"/>
              <w:ind w:left="0"/>
            </w:pPr>
            <w:r w:rsidRPr="009D60CA">
              <w:t>3.2.1,</w:t>
            </w:r>
            <w:r w:rsidRPr="009D60CA">
              <w:rPr>
                <w:spacing w:val="-4"/>
              </w:rPr>
              <w:t xml:space="preserve"> </w:t>
            </w:r>
            <w:r w:rsidRPr="009D60CA">
              <w:t>3.3,</w:t>
            </w:r>
            <w:r w:rsidRPr="009D60CA">
              <w:rPr>
                <w:spacing w:val="-4"/>
              </w:rPr>
              <w:t xml:space="preserve"> </w:t>
            </w:r>
            <w:r w:rsidRPr="009D60CA">
              <w:t>3.4,</w:t>
            </w:r>
            <w:r w:rsidRPr="009D60CA">
              <w:rPr>
                <w:spacing w:val="-4"/>
              </w:rPr>
              <w:t xml:space="preserve"> </w:t>
            </w:r>
            <w:r w:rsidRPr="009D60CA">
              <w:t>3.7,</w:t>
            </w:r>
            <w:r w:rsidRPr="009D60CA">
              <w:rPr>
                <w:spacing w:val="-4"/>
              </w:rPr>
              <w:t xml:space="preserve"> </w:t>
            </w:r>
            <w:r w:rsidRPr="009D60CA">
              <w:t>3.8,</w:t>
            </w:r>
            <w:r w:rsidRPr="009D60CA">
              <w:rPr>
                <w:spacing w:val="-4"/>
              </w:rPr>
              <w:t xml:space="preserve"> </w:t>
            </w:r>
            <w:r w:rsidRPr="009D60CA">
              <w:t>3.9,</w:t>
            </w:r>
            <w:r w:rsidRPr="009D60CA">
              <w:rPr>
                <w:spacing w:val="-2"/>
              </w:rPr>
              <w:t xml:space="preserve"> </w:t>
            </w:r>
            <w:r w:rsidRPr="009D60CA">
              <w:t>4.1,</w:t>
            </w:r>
            <w:r w:rsidRPr="009D60CA">
              <w:rPr>
                <w:spacing w:val="-2"/>
              </w:rPr>
              <w:t xml:space="preserve"> </w:t>
            </w:r>
            <w:r w:rsidRPr="009D60CA">
              <w:t>4.2,</w:t>
            </w:r>
            <w:r w:rsidRPr="009D60CA">
              <w:rPr>
                <w:spacing w:val="-2"/>
              </w:rPr>
              <w:t xml:space="preserve"> </w:t>
            </w:r>
            <w:r w:rsidRPr="009D60CA">
              <w:t>6.1</w:t>
            </w:r>
            <w:r w:rsidRPr="009D60CA">
              <w:rPr>
                <w:spacing w:val="-1"/>
              </w:rPr>
              <w:t xml:space="preserve"> </w:t>
            </w:r>
            <w:r w:rsidRPr="009D60CA">
              <w:t>to</w:t>
            </w:r>
            <w:r w:rsidRPr="009D60CA">
              <w:rPr>
                <w:spacing w:val="-2"/>
              </w:rPr>
              <w:t xml:space="preserve"> </w:t>
            </w:r>
            <w:r w:rsidRPr="009D60CA">
              <w:rPr>
                <w:spacing w:val="-4"/>
              </w:rPr>
              <w:t>6.4,</w:t>
            </w:r>
          </w:p>
          <w:p w14:paraId="51552ACD" w14:textId="5A42CCAF" w:rsidR="009D60CA" w:rsidRPr="009D60CA" w:rsidRDefault="009D60CA" w:rsidP="009D60CA">
            <w:pPr>
              <w:spacing w:after="0"/>
              <w:rPr>
                <w:color w:val="auto"/>
                <w:szCs w:val="22"/>
              </w:rPr>
            </w:pPr>
            <w:r w:rsidRPr="009D60CA">
              <w:rPr>
                <w:color w:val="auto"/>
                <w:szCs w:val="22"/>
              </w:rPr>
              <w:t>7.1.1</w:t>
            </w:r>
            <w:r w:rsidRPr="009D60CA">
              <w:rPr>
                <w:color w:val="auto"/>
                <w:spacing w:val="-2"/>
                <w:szCs w:val="22"/>
              </w:rPr>
              <w:t xml:space="preserve"> </w:t>
            </w:r>
            <w:r w:rsidRPr="009D60CA">
              <w:rPr>
                <w:color w:val="auto"/>
                <w:szCs w:val="22"/>
              </w:rPr>
              <w:t>to</w:t>
            </w:r>
            <w:r w:rsidRPr="009D60CA">
              <w:rPr>
                <w:color w:val="auto"/>
                <w:spacing w:val="-2"/>
                <w:szCs w:val="22"/>
              </w:rPr>
              <w:t xml:space="preserve"> </w:t>
            </w:r>
            <w:r w:rsidRPr="009D60CA">
              <w:rPr>
                <w:color w:val="auto"/>
                <w:szCs w:val="22"/>
              </w:rPr>
              <w:t>7.1.4,</w:t>
            </w:r>
            <w:r w:rsidRPr="009D60CA">
              <w:rPr>
                <w:color w:val="auto"/>
                <w:spacing w:val="-4"/>
                <w:szCs w:val="22"/>
              </w:rPr>
              <w:t xml:space="preserve"> </w:t>
            </w:r>
            <w:r w:rsidRPr="009D60CA">
              <w:rPr>
                <w:color w:val="auto"/>
                <w:szCs w:val="22"/>
              </w:rPr>
              <w:t>10.1</w:t>
            </w:r>
            <w:r w:rsidRPr="009D60CA">
              <w:rPr>
                <w:color w:val="auto"/>
                <w:spacing w:val="-3"/>
                <w:szCs w:val="22"/>
              </w:rPr>
              <w:t xml:space="preserve"> </w:t>
            </w:r>
            <w:r w:rsidRPr="009D60CA">
              <w:rPr>
                <w:color w:val="auto"/>
                <w:szCs w:val="22"/>
              </w:rPr>
              <w:t>and</w:t>
            </w:r>
            <w:r w:rsidRPr="009D60CA">
              <w:rPr>
                <w:color w:val="auto"/>
                <w:spacing w:val="-4"/>
                <w:szCs w:val="22"/>
              </w:rPr>
              <w:t xml:space="preserve"> </w:t>
            </w:r>
            <w:r w:rsidRPr="009D60CA">
              <w:rPr>
                <w:color w:val="auto"/>
                <w:szCs w:val="22"/>
              </w:rPr>
              <w:t>10.2,</w:t>
            </w:r>
            <w:r w:rsidRPr="009D60CA">
              <w:rPr>
                <w:color w:val="auto"/>
                <w:spacing w:val="-2"/>
                <w:szCs w:val="22"/>
              </w:rPr>
              <w:t xml:space="preserve"> </w:t>
            </w:r>
            <w:r w:rsidRPr="009D60CA">
              <w:rPr>
                <w:color w:val="auto"/>
                <w:szCs w:val="22"/>
              </w:rPr>
              <w:t>11.1</w:t>
            </w:r>
            <w:r w:rsidRPr="009D60CA">
              <w:rPr>
                <w:color w:val="auto"/>
                <w:spacing w:val="-2"/>
                <w:szCs w:val="22"/>
              </w:rPr>
              <w:t xml:space="preserve"> </w:t>
            </w:r>
            <w:r w:rsidRPr="009D60CA">
              <w:rPr>
                <w:color w:val="auto"/>
                <w:szCs w:val="22"/>
              </w:rPr>
              <w:t>and</w:t>
            </w:r>
            <w:r w:rsidRPr="009D60CA">
              <w:rPr>
                <w:color w:val="auto"/>
                <w:spacing w:val="-3"/>
                <w:szCs w:val="22"/>
              </w:rPr>
              <w:t xml:space="preserve"> </w:t>
            </w:r>
            <w:r w:rsidRPr="009D60CA">
              <w:rPr>
                <w:color w:val="auto"/>
                <w:spacing w:val="-4"/>
                <w:szCs w:val="22"/>
              </w:rPr>
              <w:t>11.2</w:t>
            </w:r>
          </w:p>
        </w:tc>
      </w:tr>
      <w:tr w:rsidR="009D60CA" w:rsidRPr="009D60CA" w14:paraId="42F114DB" w14:textId="77777777" w:rsidTr="0058723A">
        <w:tc>
          <w:tcPr>
            <w:tcW w:w="2500" w:type="pct"/>
            <w:shd w:val="clear" w:color="auto" w:fill="F2F2F2" w:themeFill="background1" w:themeFillShade="F2"/>
          </w:tcPr>
          <w:p w14:paraId="1EE30727" w14:textId="4C82E1F1" w:rsidR="009D60CA" w:rsidRPr="009D60CA" w:rsidRDefault="199185A8" w:rsidP="7A9F1F7C">
            <w:pPr>
              <w:spacing w:after="0"/>
              <w:rPr>
                <w:b/>
                <w:bCs/>
                <w:szCs w:val="22"/>
              </w:rPr>
            </w:pPr>
            <w:r w:rsidRPr="7A9F1F7C">
              <w:rPr>
                <w:b/>
                <w:bCs/>
                <w:color w:val="auto"/>
              </w:rPr>
              <w:t xml:space="preserve">Have good business practices </w:t>
            </w:r>
          </w:p>
          <w:p w14:paraId="119BF06C" w14:textId="78FAACF2" w:rsidR="009D60CA" w:rsidRPr="00F54C33" w:rsidRDefault="009D60CA" w:rsidP="0058723A">
            <w:pPr>
              <w:pStyle w:val="CERbullets"/>
            </w:pPr>
            <w:r w:rsidRPr="00F54C33">
              <w:t>Expectations</w:t>
            </w:r>
            <w:r w:rsidRPr="00F54C33">
              <w:rPr>
                <w:spacing w:val="-8"/>
              </w:rPr>
              <w:t xml:space="preserve"> </w:t>
            </w:r>
            <w:r w:rsidRPr="00F54C33">
              <w:t>11-12,</w:t>
            </w:r>
            <w:r w:rsidRPr="00F54C33">
              <w:rPr>
                <w:spacing w:val="-6"/>
              </w:rPr>
              <w:t xml:space="preserve"> </w:t>
            </w:r>
            <w:r w:rsidRPr="00F54C33">
              <w:rPr>
                <w:spacing w:val="-5"/>
              </w:rPr>
              <w:t>15</w:t>
            </w:r>
          </w:p>
        </w:tc>
        <w:tc>
          <w:tcPr>
            <w:tcW w:w="2500" w:type="pct"/>
          </w:tcPr>
          <w:p w14:paraId="05BC9B26" w14:textId="69FC90D1" w:rsidR="009D60CA" w:rsidRPr="009D60CA" w:rsidRDefault="143DE140" w:rsidP="7A9F1F7C">
            <w:pPr>
              <w:spacing w:after="0"/>
              <w:rPr>
                <w:color w:val="auto"/>
              </w:rPr>
            </w:pPr>
            <w:r w:rsidRPr="7A9F1F7C">
              <w:rPr>
                <w:color w:val="auto"/>
              </w:rPr>
              <w:t xml:space="preserve">3.1.2, 3.3.1, 3.3.9, 3.4.2 to 3.4.7, 3.7.1(a) and (d), </w:t>
            </w:r>
          </w:p>
          <w:p w14:paraId="26631A34" w14:textId="34F6C019" w:rsidR="009D60CA" w:rsidRPr="009D60CA" w:rsidRDefault="009D60CA" w:rsidP="009D60CA">
            <w:pPr>
              <w:spacing w:after="0"/>
              <w:rPr>
                <w:color w:val="auto"/>
              </w:rPr>
            </w:pPr>
            <w:r w:rsidRPr="7A9F1F7C">
              <w:rPr>
                <w:color w:val="auto"/>
                <w:spacing w:val="-2"/>
              </w:rPr>
              <w:t>8.1.1</w:t>
            </w:r>
          </w:p>
        </w:tc>
      </w:tr>
      <w:tr w:rsidR="009D60CA" w:rsidRPr="009D60CA" w14:paraId="3F5CCB77" w14:textId="77777777" w:rsidTr="0058723A">
        <w:tc>
          <w:tcPr>
            <w:tcW w:w="2500" w:type="pct"/>
            <w:shd w:val="clear" w:color="auto" w:fill="F2F2F2" w:themeFill="background1" w:themeFillShade="F2"/>
          </w:tcPr>
          <w:p w14:paraId="2AB38500" w14:textId="6483F5C1" w:rsidR="009D60CA" w:rsidRPr="009D60CA" w:rsidRDefault="009D60CA" w:rsidP="009D60CA">
            <w:pPr>
              <w:pStyle w:val="TableParagraph"/>
              <w:spacing w:before="0"/>
              <w:ind w:left="0"/>
              <w:rPr>
                <w:b/>
                <w:bCs/>
              </w:rPr>
            </w:pPr>
            <w:r w:rsidRPr="009D60CA">
              <w:rPr>
                <w:b/>
                <w:bCs/>
              </w:rPr>
              <w:t>Have</w:t>
            </w:r>
            <w:r w:rsidRPr="009D60CA">
              <w:rPr>
                <w:b/>
                <w:bCs/>
                <w:spacing w:val="-2"/>
              </w:rPr>
              <w:t xml:space="preserve"> </w:t>
            </w:r>
            <w:r w:rsidRPr="009D60CA">
              <w:rPr>
                <w:b/>
                <w:bCs/>
              </w:rPr>
              <w:t>good</w:t>
            </w:r>
            <w:r w:rsidRPr="009D60CA">
              <w:rPr>
                <w:b/>
                <w:bCs/>
                <w:spacing w:val="-2"/>
              </w:rPr>
              <w:t xml:space="preserve"> </w:t>
            </w:r>
            <w:r w:rsidRPr="009D60CA">
              <w:rPr>
                <w:b/>
                <w:bCs/>
              </w:rPr>
              <w:t>business</w:t>
            </w:r>
            <w:r w:rsidRPr="009D60CA">
              <w:rPr>
                <w:b/>
                <w:bCs/>
                <w:spacing w:val="-4"/>
              </w:rPr>
              <w:t xml:space="preserve"> </w:t>
            </w:r>
            <w:r w:rsidRPr="009D60CA">
              <w:rPr>
                <w:b/>
                <w:bCs/>
                <w:spacing w:val="-2"/>
              </w:rPr>
              <w:t>practices</w:t>
            </w:r>
          </w:p>
          <w:p w14:paraId="2C51F02F" w14:textId="5140377B" w:rsidR="009D60CA" w:rsidRPr="00F54C33" w:rsidRDefault="009D60CA" w:rsidP="0058723A">
            <w:pPr>
              <w:pStyle w:val="CERbullets"/>
            </w:pPr>
            <w:r w:rsidRPr="00F54C33">
              <w:t>Expectation</w:t>
            </w:r>
            <w:r w:rsidRPr="00F54C33">
              <w:rPr>
                <w:spacing w:val="-4"/>
              </w:rPr>
              <w:t xml:space="preserve"> </w:t>
            </w:r>
            <w:r w:rsidRPr="00F54C33">
              <w:t>13</w:t>
            </w:r>
            <w:r w:rsidRPr="00F54C33">
              <w:rPr>
                <w:spacing w:val="-4"/>
              </w:rPr>
              <w:t xml:space="preserve"> </w:t>
            </w:r>
            <w:r w:rsidRPr="00F54C33">
              <w:t>(legal</w:t>
            </w:r>
            <w:r w:rsidRPr="00F54C33">
              <w:rPr>
                <w:spacing w:val="-3"/>
              </w:rPr>
              <w:t xml:space="preserve"> </w:t>
            </w:r>
            <w:r w:rsidRPr="00F54C33">
              <w:rPr>
                <w:spacing w:val="-2"/>
              </w:rPr>
              <w:t>agreements)</w:t>
            </w:r>
          </w:p>
        </w:tc>
        <w:tc>
          <w:tcPr>
            <w:tcW w:w="2500" w:type="pct"/>
          </w:tcPr>
          <w:p w14:paraId="1F3B6DEC" w14:textId="77777777" w:rsidR="009D60CA" w:rsidRPr="009D60CA" w:rsidRDefault="009D60CA" w:rsidP="009D60CA">
            <w:pPr>
              <w:pStyle w:val="TableParagraph"/>
              <w:spacing w:before="0"/>
              <w:ind w:left="0"/>
            </w:pPr>
            <w:r w:rsidRPr="009D60CA">
              <w:t>3.1.2(c)</w:t>
            </w:r>
            <w:r w:rsidRPr="009D60CA">
              <w:rPr>
                <w:spacing w:val="-6"/>
              </w:rPr>
              <w:t xml:space="preserve"> </w:t>
            </w:r>
            <w:r w:rsidRPr="009D60CA">
              <w:t>and</w:t>
            </w:r>
            <w:r w:rsidRPr="009D60CA">
              <w:rPr>
                <w:spacing w:val="-4"/>
              </w:rPr>
              <w:t xml:space="preserve"> </w:t>
            </w:r>
            <w:r w:rsidRPr="009D60CA">
              <w:t>(d),</w:t>
            </w:r>
            <w:r w:rsidRPr="009D60CA">
              <w:rPr>
                <w:spacing w:val="-4"/>
              </w:rPr>
              <w:t xml:space="preserve"> </w:t>
            </w:r>
            <w:r w:rsidRPr="009D60CA">
              <w:t>3.3.1(b),</w:t>
            </w:r>
            <w:r w:rsidRPr="009D60CA">
              <w:rPr>
                <w:spacing w:val="-5"/>
              </w:rPr>
              <w:t xml:space="preserve"> </w:t>
            </w:r>
            <w:r w:rsidRPr="009D60CA">
              <w:t>3.3.9(a)</w:t>
            </w:r>
            <w:r w:rsidRPr="009D60CA">
              <w:rPr>
                <w:spacing w:val="-4"/>
              </w:rPr>
              <w:t xml:space="preserve"> </w:t>
            </w:r>
            <w:r w:rsidRPr="009D60CA">
              <w:t>to</w:t>
            </w:r>
            <w:r w:rsidRPr="009D60CA">
              <w:rPr>
                <w:spacing w:val="-2"/>
              </w:rPr>
              <w:t xml:space="preserve"> </w:t>
            </w:r>
            <w:r w:rsidRPr="009D60CA">
              <w:rPr>
                <w:spacing w:val="-4"/>
              </w:rPr>
              <w:t>(e),</w:t>
            </w:r>
          </w:p>
          <w:p w14:paraId="5E781224" w14:textId="6CA63A36" w:rsidR="009D60CA" w:rsidRPr="009D60CA" w:rsidRDefault="009D60CA" w:rsidP="009D60CA">
            <w:pPr>
              <w:spacing w:after="0"/>
              <w:rPr>
                <w:color w:val="auto"/>
              </w:rPr>
            </w:pPr>
            <w:r w:rsidRPr="7A9F1F7C">
              <w:rPr>
                <w:color w:val="auto"/>
              </w:rPr>
              <w:t>3.4.2</w:t>
            </w:r>
            <w:r w:rsidRPr="7A9F1F7C">
              <w:rPr>
                <w:color w:val="auto"/>
                <w:spacing w:val="-3"/>
              </w:rPr>
              <w:t xml:space="preserve"> </w:t>
            </w:r>
            <w:r w:rsidRPr="7A9F1F7C">
              <w:rPr>
                <w:color w:val="auto"/>
              </w:rPr>
              <w:t>to</w:t>
            </w:r>
            <w:r w:rsidRPr="7A9F1F7C">
              <w:rPr>
                <w:color w:val="auto"/>
                <w:spacing w:val="-2"/>
              </w:rPr>
              <w:t xml:space="preserve"> </w:t>
            </w:r>
            <w:r w:rsidRPr="7A9F1F7C">
              <w:rPr>
                <w:color w:val="auto"/>
              </w:rPr>
              <w:t>3.4.7,</w:t>
            </w:r>
            <w:r w:rsidRPr="7A9F1F7C">
              <w:rPr>
                <w:color w:val="auto"/>
                <w:spacing w:val="-5"/>
              </w:rPr>
              <w:t xml:space="preserve"> </w:t>
            </w:r>
            <w:r w:rsidR="40BFC130" w:rsidRPr="7A9F1F7C">
              <w:rPr>
                <w:color w:val="auto"/>
                <w:spacing w:val="-5"/>
              </w:rPr>
              <w:t xml:space="preserve">3.7.1, </w:t>
            </w:r>
            <w:r w:rsidRPr="7A9F1F7C">
              <w:rPr>
                <w:color w:val="auto"/>
              </w:rPr>
              <w:t>8.1.1(a)</w:t>
            </w:r>
            <w:r w:rsidRPr="7A9F1F7C">
              <w:rPr>
                <w:color w:val="auto"/>
                <w:spacing w:val="-3"/>
              </w:rPr>
              <w:t xml:space="preserve"> </w:t>
            </w:r>
            <w:r w:rsidRPr="7A9F1F7C">
              <w:rPr>
                <w:color w:val="auto"/>
              </w:rPr>
              <w:t>and</w:t>
            </w:r>
            <w:r w:rsidRPr="7A9F1F7C">
              <w:rPr>
                <w:color w:val="auto"/>
                <w:spacing w:val="-4"/>
              </w:rPr>
              <w:t xml:space="preserve"> </w:t>
            </w:r>
            <w:r w:rsidRPr="7A9F1F7C">
              <w:rPr>
                <w:color w:val="auto"/>
                <w:spacing w:val="-5"/>
              </w:rPr>
              <w:t>(b)</w:t>
            </w:r>
          </w:p>
        </w:tc>
      </w:tr>
      <w:tr w:rsidR="009D60CA" w:rsidRPr="009D60CA" w14:paraId="33D108CC" w14:textId="77777777" w:rsidTr="0058723A">
        <w:tc>
          <w:tcPr>
            <w:tcW w:w="2500" w:type="pct"/>
            <w:shd w:val="clear" w:color="auto" w:fill="F2F2F2" w:themeFill="background1" w:themeFillShade="F2"/>
          </w:tcPr>
          <w:p w14:paraId="4CF6E423" w14:textId="77777777" w:rsidR="009D60CA" w:rsidRPr="009D60CA" w:rsidRDefault="009D60CA" w:rsidP="009D60CA">
            <w:pPr>
              <w:pStyle w:val="TableParagraph"/>
              <w:spacing w:before="0"/>
              <w:ind w:left="0"/>
              <w:rPr>
                <w:b/>
                <w:bCs/>
              </w:rPr>
            </w:pPr>
            <w:r w:rsidRPr="009D60CA">
              <w:rPr>
                <w:b/>
                <w:bCs/>
              </w:rPr>
              <w:t>Have</w:t>
            </w:r>
            <w:r w:rsidRPr="009D60CA">
              <w:rPr>
                <w:b/>
                <w:bCs/>
                <w:spacing w:val="-2"/>
              </w:rPr>
              <w:t xml:space="preserve"> </w:t>
            </w:r>
            <w:r w:rsidRPr="009D60CA">
              <w:rPr>
                <w:b/>
                <w:bCs/>
              </w:rPr>
              <w:t>good</w:t>
            </w:r>
            <w:r w:rsidRPr="009D60CA">
              <w:rPr>
                <w:b/>
                <w:bCs/>
                <w:spacing w:val="-2"/>
              </w:rPr>
              <w:t xml:space="preserve"> </w:t>
            </w:r>
            <w:r w:rsidRPr="009D60CA">
              <w:rPr>
                <w:b/>
                <w:bCs/>
              </w:rPr>
              <w:t>business</w:t>
            </w:r>
            <w:r w:rsidRPr="009D60CA">
              <w:rPr>
                <w:b/>
                <w:bCs/>
                <w:spacing w:val="-4"/>
              </w:rPr>
              <w:t xml:space="preserve"> </w:t>
            </w:r>
            <w:r w:rsidRPr="009D60CA">
              <w:rPr>
                <w:b/>
                <w:bCs/>
                <w:spacing w:val="-2"/>
              </w:rPr>
              <w:t>practices</w:t>
            </w:r>
          </w:p>
          <w:p w14:paraId="03B60B53" w14:textId="2778844A" w:rsidR="009D60CA" w:rsidRPr="00F54C33" w:rsidRDefault="009D60CA" w:rsidP="0058723A">
            <w:pPr>
              <w:pStyle w:val="CERbullets"/>
            </w:pPr>
            <w:r w:rsidRPr="00F54C33">
              <w:t>Expectation</w:t>
            </w:r>
            <w:r w:rsidRPr="00F54C33">
              <w:rPr>
                <w:spacing w:val="-6"/>
              </w:rPr>
              <w:t xml:space="preserve"> </w:t>
            </w:r>
            <w:r w:rsidRPr="00F54C33">
              <w:t>14</w:t>
            </w:r>
            <w:r w:rsidRPr="00F54C33">
              <w:rPr>
                <w:spacing w:val="-7"/>
              </w:rPr>
              <w:t xml:space="preserve"> </w:t>
            </w:r>
            <w:r w:rsidRPr="00F54C33">
              <w:t>(compliance</w:t>
            </w:r>
            <w:r w:rsidRPr="00F54C33">
              <w:rPr>
                <w:spacing w:val="-4"/>
              </w:rPr>
              <w:t xml:space="preserve"> </w:t>
            </w:r>
            <w:r w:rsidRPr="00F54C33">
              <w:rPr>
                <w:spacing w:val="-2"/>
              </w:rPr>
              <w:t>framework)</w:t>
            </w:r>
          </w:p>
        </w:tc>
        <w:tc>
          <w:tcPr>
            <w:tcW w:w="2500" w:type="pct"/>
          </w:tcPr>
          <w:p w14:paraId="79DD2493" w14:textId="6EF66654" w:rsidR="009D60CA" w:rsidRPr="009D60CA" w:rsidRDefault="009D60CA" w:rsidP="009D60CA">
            <w:pPr>
              <w:spacing w:after="0"/>
              <w:rPr>
                <w:color w:val="auto"/>
                <w:szCs w:val="22"/>
              </w:rPr>
            </w:pPr>
            <w:r w:rsidRPr="009D60CA">
              <w:rPr>
                <w:color w:val="auto"/>
                <w:spacing w:val="-2"/>
                <w:szCs w:val="22"/>
              </w:rPr>
              <w:t>3.5.1(a)</w:t>
            </w:r>
          </w:p>
        </w:tc>
      </w:tr>
    </w:tbl>
    <w:p w14:paraId="42AADE95" w14:textId="422B3AD7" w:rsidR="00253FFC" w:rsidRPr="002F45E7" w:rsidRDefault="00253FFC" w:rsidP="002F45E7">
      <w:pPr>
        <w:pStyle w:val="BodyText"/>
      </w:pPr>
    </w:p>
    <w:sectPr w:rsidR="00253FFC" w:rsidRPr="002F45E7" w:rsidSect="00B047D2">
      <w:headerReference w:type="default" r:id="rId10"/>
      <w:footerReference w:type="even" r:id="rId11"/>
      <w:footerReference w:type="default" r:id="rId12"/>
      <w:headerReference w:type="first" r:id="rId13"/>
      <w:footerReference w:type="first" r:id="rId14"/>
      <w:pgSz w:w="11900" w:h="16840" w:code="9"/>
      <w:pgMar w:top="1447" w:right="1080" w:bottom="993" w:left="1080" w:header="227" w:footer="2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01037" w14:textId="77777777" w:rsidR="00CF6DFF" w:rsidRDefault="00CF6DFF" w:rsidP="00176C28">
      <w:r>
        <w:separator/>
      </w:r>
    </w:p>
    <w:p w14:paraId="617AD084" w14:textId="77777777" w:rsidR="00CF6DFF" w:rsidRDefault="00CF6DFF"/>
  </w:endnote>
  <w:endnote w:type="continuationSeparator" w:id="0">
    <w:p w14:paraId="349DF6C3" w14:textId="77777777" w:rsidR="00CF6DFF" w:rsidRDefault="00CF6DFF" w:rsidP="00176C28">
      <w:r>
        <w:continuationSeparator/>
      </w:r>
    </w:p>
    <w:p w14:paraId="2B1063A5" w14:textId="77777777" w:rsidR="00CF6DFF" w:rsidRDefault="00CF6DFF"/>
  </w:endnote>
  <w:endnote w:type="continuationNotice" w:id="1">
    <w:p w14:paraId="4CE38284" w14:textId="77777777" w:rsidR="00CF6DFF" w:rsidRDefault="00CF6DF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826918"/>
      <w:docPartObj>
        <w:docPartGallery w:val="Page Numbers (Bottom of Page)"/>
        <w:docPartUnique/>
      </w:docPartObj>
    </w:sdtPr>
    <w:sdtEndPr>
      <w:rPr>
        <w:rStyle w:val="PageNumber"/>
      </w:rPr>
    </w:sdtEndPr>
    <w:sdtContent>
      <w:p w14:paraId="1788D9E7" w14:textId="77777777" w:rsidR="009633DE" w:rsidRDefault="009633DE" w:rsidP="009E2E5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1C31EE" w14:textId="77777777" w:rsidR="00977234" w:rsidRDefault="00977234" w:rsidP="009633DE">
    <w:pPr>
      <w:pStyle w:val="Footer"/>
      <w:ind w:right="360"/>
      <w:rPr>
        <w:rStyle w:val="PageNumber"/>
      </w:rPr>
    </w:pPr>
  </w:p>
  <w:p w14:paraId="6CB46E72" w14:textId="77777777" w:rsidR="00977234" w:rsidRDefault="00977234" w:rsidP="009633DE">
    <w:pPr>
      <w:pStyle w:val="Footer"/>
    </w:pPr>
  </w:p>
  <w:p w14:paraId="60FDF656" w14:textId="77777777" w:rsidR="006C58B9" w:rsidRDefault="006C58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6B8D9" w14:textId="77777777" w:rsidR="00F76419" w:rsidRPr="00247EF5" w:rsidRDefault="002D18F3" w:rsidP="00247EF5">
    <w:pPr>
      <w:pStyle w:val="Footer"/>
      <w:tabs>
        <w:tab w:val="clear" w:pos="2694"/>
        <w:tab w:val="clear" w:pos="3969"/>
        <w:tab w:val="clear" w:pos="6946"/>
        <w:tab w:val="clear" w:pos="9498"/>
        <w:tab w:val="center" w:pos="9639"/>
      </w:tabs>
      <w:spacing w:before="360" w:after="0"/>
      <w:ind w:left="0"/>
      <w:rPr>
        <w:rStyle w:val="Protectivemarker"/>
        <w:b w:val="0"/>
        <w:color w:val="000000" w:themeColor="text1"/>
        <w:sz w:val="18"/>
        <w:szCs w:val="18"/>
      </w:rPr>
    </w:pPr>
    <w:r w:rsidRPr="002D18F3">
      <w:rPr>
        <w:b/>
        <w:bCs/>
      </w:rPr>
      <w:t>W:</w:t>
    </w:r>
    <w:r w:rsidRPr="002D18F3">
      <w:t xml:space="preserve"> </w:t>
    </w:r>
    <w:r w:rsidR="006E3CA9" w:rsidRPr="002D18F3">
      <w:t>www.cleanenergyregulator.gov.au</w:t>
    </w:r>
    <w:r w:rsidR="006E3CA9" w:rsidRPr="002D18F3">
      <w:rPr>
        <w:rStyle w:val="PageNumber"/>
      </w:rPr>
      <w:t xml:space="preserve"> </w:t>
    </w:r>
    <w:r w:rsidR="00223676" w:rsidRPr="002D18F3">
      <w:rPr>
        <w:rStyle w:val="PageNumber"/>
      </w:rPr>
      <w:t xml:space="preserve">| </w:t>
    </w:r>
    <w:r w:rsidR="00223676" w:rsidRPr="002D18F3">
      <w:rPr>
        <w:rStyle w:val="PageNumber"/>
        <w:b/>
        <w:bCs/>
      </w:rPr>
      <w:t>T:</w:t>
    </w:r>
    <w:r w:rsidR="00223676" w:rsidRPr="002D18F3">
      <w:rPr>
        <w:rStyle w:val="PageNumber"/>
      </w:rPr>
      <w:t xml:space="preserve"> 1300 553 542</w:t>
    </w:r>
    <w:r w:rsidRPr="002D18F3">
      <w:rPr>
        <w:rStyle w:val="PageNumber"/>
      </w:rPr>
      <w:t xml:space="preserve"> | </w:t>
    </w:r>
    <w:r w:rsidRPr="002D18F3">
      <w:rPr>
        <w:rStyle w:val="PageNumber"/>
        <w:b/>
        <w:bCs/>
      </w:rPr>
      <w:t>E:</w:t>
    </w:r>
    <w:r w:rsidRPr="002D18F3">
      <w:rPr>
        <w:rStyle w:val="PageNumber"/>
      </w:rPr>
      <w:t xml:space="preserve"> enquiries@cleanenergyregulator.gov.au</w:t>
    </w:r>
    <w:r w:rsidR="006E3CA9">
      <w:rPr>
        <w:rStyle w:val="PageNumber"/>
      </w:rPr>
      <w:tab/>
    </w:r>
    <w:sdt>
      <w:sdtPr>
        <w:rPr>
          <w:rStyle w:val="PageNumber"/>
        </w:rPr>
        <w:id w:val="1597057790"/>
        <w:docPartObj>
          <w:docPartGallery w:val="Page Numbers (Bottom of Page)"/>
          <w:docPartUnique/>
        </w:docPartObj>
      </w:sdtPr>
      <w:sdtEndPr>
        <w:rPr>
          <w:rStyle w:val="PageNumber"/>
          <w:sz w:val="20"/>
          <w:szCs w:val="20"/>
        </w:rPr>
      </w:sdtEndPr>
      <w:sdtContent>
        <w:r w:rsidR="006E3CA9" w:rsidRPr="00E349EF">
          <w:rPr>
            <w:rStyle w:val="PageNumber"/>
            <w:sz w:val="20"/>
            <w:szCs w:val="20"/>
          </w:rPr>
          <w:fldChar w:fldCharType="begin"/>
        </w:r>
        <w:r w:rsidR="006E3CA9" w:rsidRPr="00E349EF">
          <w:rPr>
            <w:rStyle w:val="PageNumber"/>
            <w:sz w:val="20"/>
            <w:szCs w:val="20"/>
          </w:rPr>
          <w:instrText xml:space="preserve"> PAGE </w:instrText>
        </w:r>
        <w:r w:rsidR="006E3CA9" w:rsidRPr="00E349EF">
          <w:rPr>
            <w:rStyle w:val="PageNumber"/>
            <w:sz w:val="20"/>
            <w:szCs w:val="20"/>
          </w:rPr>
          <w:fldChar w:fldCharType="separate"/>
        </w:r>
        <w:r w:rsidR="006E3CA9">
          <w:rPr>
            <w:rStyle w:val="PageNumber"/>
            <w:sz w:val="20"/>
            <w:szCs w:val="20"/>
          </w:rPr>
          <w:t>3</w:t>
        </w:r>
        <w:r w:rsidR="006E3CA9" w:rsidRPr="00E349EF">
          <w:rPr>
            <w:rStyle w:val="PageNumber"/>
            <w:sz w:val="20"/>
            <w:szCs w:val="20"/>
          </w:rPr>
          <w:fldChar w:fldCharType="end"/>
        </w:r>
      </w:sdtContent>
    </w:sdt>
  </w:p>
  <w:p w14:paraId="750E55FD" w14:textId="2F577585" w:rsidR="00F76419" w:rsidRPr="009633DE" w:rsidRDefault="000C5415" w:rsidP="00E349EF">
    <w:pPr>
      <w:pStyle w:val="Footer"/>
      <w:spacing w:before="60"/>
      <w:jc w:val="center"/>
      <w:rPr>
        <w:rStyle w:val="Protectivemarker"/>
      </w:rPr>
    </w:pPr>
    <w:r>
      <w:rPr>
        <w:rStyle w:val="Protectivemarker"/>
      </w:rPr>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6FA07" w14:textId="77777777" w:rsidR="007A32A0" w:rsidRPr="000C5415" w:rsidRDefault="007A32A0" w:rsidP="000C5415">
    <w:pPr>
      <w:tabs>
        <w:tab w:val="left" w:pos="2694"/>
        <w:tab w:val="left" w:pos="4269"/>
      </w:tabs>
      <w:spacing w:before="360" w:after="120"/>
      <w:ind w:right="101"/>
      <w:rPr>
        <w:rStyle w:val="Protectivemarker"/>
        <w:b w:val="0"/>
        <w:color w:val="005874"/>
        <w:sz w:val="16"/>
        <w:szCs w:val="16"/>
      </w:rPr>
    </w:pPr>
    <w:r>
      <w:rPr>
        <w:noProof/>
      </w:rPr>
      <w:drawing>
        <wp:inline distT="0" distB="0" distL="0" distR="0" wp14:anchorId="64ABC6F0" wp14:editId="2CFBBECE">
          <wp:extent cx="1918800" cy="644717"/>
          <wp:effectExtent l="0" t="0" r="0" b="0"/>
          <wp:docPr id="814385075" name="Picture 814385075" descr="CER Mon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ER Monogram"/>
                  <pic:cNvPicPr/>
                </pic:nvPicPr>
                <pic:blipFill>
                  <a:blip r:embed="rId1"/>
                  <a:stretch>
                    <a:fillRect/>
                  </a:stretch>
                </pic:blipFill>
                <pic:spPr>
                  <a:xfrm>
                    <a:off x="0" y="0"/>
                    <a:ext cx="1918800" cy="644717"/>
                  </a:xfrm>
                  <a:prstGeom prst="rect">
                    <a:avLst/>
                  </a:prstGeom>
                </pic:spPr>
              </pic:pic>
            </a:graphicData>
          </a:graphic>
        </wp:inline>
      </w:drawing>
    </w:r>
  </w:p>
  <w:p w14:paraId="0C12DA2E" w14:textId="1AD54EA3" w:rsidR="0065750A" w:rsidRPr="009C30B4" w:rsidRDefault="000C5415" w:rsidP="007A32A0">
    <w:pPr>
      <w:pStyle w:val="Footer"/>
      <w:tabs>
        <w:tab w:val="clear" w:pos="2694"/>
        <w:tab w:val="clear" w:pos="3969"/>
      </w:tabs>
      <w:ind w:left="0" w:right="101"/>
      <w:jc w:val="center"/>
      <w:rPr>
        <w:color w:val="005874"/>
        <w:sz w:val="16"/>
        <w:szCs w:val="16"/>
      </w:rPr>
    </w:pPr>
    <w:r>
      <w:rPr>
        <w:rStyle w:val="Protectivemarker"/>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08BBE" w14:textId="77777777" w:rsidR="00CF6DFF" w:rsidRDefault="00CF6DFF" w:rsidP="00176C28">
      <w:r>
        <w:separator/>
      </w:r>
    </w:p>
    <w:p w14:paraId="1B9DAE33" w14:textId="77777777" w:rsidR="00CF6DFF" w:rsidRDefault="00CF6DFF"/>
  </w:footnote>
  <w:footnote w:type="continuationSeparator" w:id="0">
    <w:p w14:paraId="62A49870" w14:textId="77777777" w:rsidR="00CF6DFF" w:rsidRDefault="00CF6DFF" w:rsidP="00176C28">
      <w:r>
        <w:continuationSeparator/>
      </w:r>
    </w:p>
    <w:p w14:paraId="5F78DC66" w14:textId="77777777" w:rsidR="00CF6DFF" w:rsidRDefault="00CF6DFF"/>
  </w:footnote>
  <w:footnote w:type="continuationNotice" w:id="1">
    <w:p w14:paraId="77A72322" w14:textId="77777777" w:rsidR="00CF6DFF" w:rsidRDefault="00CF6DFF">
      <w:pPr>
        <w:spacing w:after="0"/>
      </w:pPr>
    </w:p>
  </w:footnote>
  <w:footnote w:id="2">
    <w:p w14:paraId="0D843D8D" w14:textId="5E5D851D" w:rsidR="00F54C33" w:rsidRDefault="00F54C33">
      <w:pPr>
        <w:pStyle w:val="FootnoteText"/>
      </w:pPr>
      <w:r>
        <w:rPr>
          <w:rStyle w:val="FootnoteReference"/>
        </w:rPr>
        <w:footnoteRef/>
      </w:r>
      <w:r>
        <w:t xml:space="preserve"> </w:t>
      </w:r>
      <w:r w:rsidRPr="00F54C33">
        <w:t>In this document, capitalised words have the meanings given to those words in the Deed.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7FF72" w14:textId="759A7E29" w:rsidR="00D81782" w:rsidRDefault="000C5415" w:rsidP="00977234">
    <w:pPr>
      <w:pStyle w:val="Heading5"/>
      <w:tabs>
        <w:tab w:val="center" w:pos="4870"/>
        <w:tab w:val="left" w:pos="8745"/>
      </w:tabs>
      <w:spacing w:before="200" w:after="60"/>
      <w:jc w:val="center"/>
    </w:pPr>
    <w:r>
      <w:rPr>
        <w:rStyle w:val="Protectivemarker"/>
        <w:b/>
      </w:rPr>
      <w:t>OFFICIAL</w:t>
    </w:r>
  </w:p>
  <w:p w14:paraId="31FFAF8D" w14:textId="77777777" w:rsidR="00D81782" w:rsidRPr="00BE0DA3" w:rsidRDefault="00407A97" w:rsidP="00E349EF">
    <w:pPr>
      <w:pStyle w:val="LegislativesecrecyACT"/>
    </w:pPr>
    <w:r>
      <w:rPr>
        <w:noProof/>
      </w:rPr>
      <w:drawing>
        <wp:anchor distT="0" distB="0" distL="114300" distR="114300" simplePos="0" relativeHeight="251658240" behindDoc="0" locked="0" layoutInCell="1" allowOverlap="1" wp14:anchorId="12CEB0F7" wp14:editId="1E67B020">
          <wp:simplePos x="0" y="0"/>
          <wp:positionH relativeFrom="column">
            <wp:posOffset>4706474</wp:posOffset>
          </wp:positionH>
          <wp:positionV relativeFrom="paragraph">
            <wp:posOffset>-190500</wp:posOffset>
          </wp:positionV>
          <wp:extent cx="1424451" cy="469454"/>
          <wp:effectExtent l="0" t="0" r="0" b="635"/>
          <wp:wrapNone/>
          <wp:docPr id="1259876900" name="Picture 12598769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4451" cy="46945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A3C29" w14:textId="5B1EFC0E" w:rsidR="003D3FC1" w:rsidRDefault="003D3FC1" w:rsidP="003D3FC1">
    <w:pPr>
      <w:pStyle w:val="Heading5"/>
      <w:tabs>
        <w:tab w:val="center" w:pos="4870"/>
        <w:tab w:val="left" w:pos="8745"/>
      </w:tabs>
      <w:spacing w:before="200" w:after="60"/>
      <w:jc w:val="center"/>
    </w:pPr>
    <w:r>
      <w:rPr>
        <w:noProof/>
      </w:rPr>
      <w:drawing>
        <wp:anchor distT="0" distB="0" distL="114300" distR="114300" simplePos="0" relativeHeight="251658241" behindDoc="1" locked="0" layoutInCell="1" allowOverlap="1" wp14:anchorId="0ADC7E8A" wp14:editId="47EF2F7A">
          <wp:simplePos x="0" y="0"/>
          <wp:positionH relativeFrom="column">
            <wp:posOffset>3764366</wp:posOffset>
          </wp:positionH>
          <wp:positionV relativeFrom="paragraph">
            <wp:posOffset>430621</wp:posOffset>
          </wp:positionV>
          <wp:extent cx="2443363" cy="910681"/>
          <wp:effectExtent l="0" t="0" r="0" b="3810"/>
          <wp:wrapNone/>
          <wp:docPr id="295800720" name="Picture 2958007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stretch>
                    <a:fillRect/>
                  </a:stretch>
                </pic:blipFill>
                <pic:spPr>
                  <a:xfrm>
                    <a:off x="0" y="0"/>
                    <a:ext cx="2443363" cy="910681"/>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r w:rsidR="000C5415">
      <w:rPr>
        <w:rStyle w:val="Protectivemarker"/>
        <w:b/>
      </w:rPr>
      <w:t>OFFICIAL</w:t>
    </w:r>
  </w:p>
  <w:p w14:paraId="2AD2EB7B" w14:textId="77777777" w:rsidR="003D3FC1" w:rsidRPr="00BE0DA3" w:rsidRDefault="003D3FC1" w:rsidP="003D3FC1">
    <w:pPr>
      <w:pStyle w:val="LegislativesecrecyACT"/>
    </w:pPr>
  </w:p>
  <w:p w14:paraId="78A08773" w14:textId="77777777" w:rsidR="00CA2954" w:rsidRPr="003D3FC1" w:rsidRDefault="003D3FC1" w:rsidP="003D3FC1">
    <w:pPr>
      <w:pStyle w:val="Header"/>
      <w:spacing w:before="240"/>
    </w:pPr>
    <w:r>
      <w:rPr>
        <w:noProof/>
      </w:rPr>
      <w:drawing>
        <wp:inline distT="0" distB="0" distL="0" distR="0" wp14:anchorId="3DFD2FC4" wp14:editId="351E40E1">
          <wp:extent cx="2628000" cy="617737"/>
          <wp:effectExtent l="0" t="0" r="1270" b="5080"/>
          <wp:docPr id="131287158" name="Picture 131287158"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2"/>
                  <a:stretch>
                    <a:fillRect/>
                  </a:stretch>
                </pic:blipFill>
                <pic:spPr>
                  <a:xfrm>
                    <a:off x="0" y="0"/>
                    <a:ext cx="2628000" cy="61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83E6B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D8611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D3A06B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246B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3EB8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8698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4A28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CA63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E40B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66E0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11FF7"/>
    <w:multiLevelType w:val="multilevel"/>
    <w:tmpl w:val="1BAAA8A2"/>
    <w:lvl w:ilvl="0">
      <w:start w:val="1"/>
      <w:numFmt w:val="bullet"/>
      <w:lvlText w:val=""/>
      <w:lvlJc w:val="left"/>
      <w:pPr>
        <w:ind w:left="360" w:hanging="360"/>
      </w:pPr>
      <w:rPr>
        <w:rFonts w:ascii="Symbol" w:hAnsi="Symbol" w:hint="default"/>
        <w:color w:val="006EA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3297344"/>
    <w:multiLevelType w:val="hybridMultilevel"/>
    <w:tmpl w:val="7EF4B3D6"/>
    <w:lvl w:ilvl="0" w:tplc="3624884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5AA77D3"/>
    <w:multiLevelType w:val="hybridMultilevel"/>
    <w:tmpl w:val="440E48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7254ADB"/>
    <w:multiLevelType w:val="hybridMultilevel"/>
    <w:tmpl w:val="71EE4F1E"/>
    <w:lvl w:ilvl="0" w:tplc="BDF603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A452B8"/>
    <w:multiLevelType w:val="hybridMultilevel"/>
    <w:tmpl w:val="E988AB44"/>
    <w:lvl w:ilvl="0" w:tplc="6ABE5874">
      <w:start w:val="1"/>
      <w:numFmt w:val="bullet"/>
      <w:lvlText w:val=""/>
      <w:lvlJc w:val="left"/>
      <w:pPr>
        <w:ind w:left="360" w:hanging="360"/>
      </w:pPr>
      <w:rPr>
        <w:rFonts w:ascii="Symbol" w:hAnsi="Symbo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5" w15:restartNumberingAfterBreak="0">
    <w:nsid w:val="19FF740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3244624"/>
    <w:multiLevelType w:val="hybridMultilevel"/>
    <w:tmpl w:val="9252EA40"/>
    <w:lvl w:ilvl="0" w:tplc="10968BB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58066C7"/>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6B0558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773299E"/>
    <w:multiLevelType w:val="hybridMultilevel"/>
    <w:tmpl w:val="59604B94"/>
    <w:lvl w:ilvl="0" w:tplc="D4B6D3F6">
      <w:start w:val="1"/>
      <w:numFmt w:val="upperLetter"/>
      <w:lvlText w:val="Attachment %1 "/>
      <w:lvlJc w:val="left"/>
      <w:pPr>
        <w:ind w:left="360" w:hanging="360"/>
      </w:pPr>
      <w:rPr>
        <w:rFonts w:hint="default"/>
        <w:b/>
      </w:rPr>
    </w:lvl>
    <w:lvl w:ilvl="1" w:tplc="0C090019" w:tentative="1">
      <w:start w:val="1"/>
      <w:numFmt w:val="lowerLetter"/>
      <w:lvlText w:val="%2."/>
      <w:lvlJc w:val="left"/>
      <w:pPr>
        <w:ind w:left="-480" w:hanging="360"/>
      </w:pPr>
    </w:lvl>
    <w:lvl w:ilvl="2" w:tplc="0C09001B" w:tentative="1">
      <w:start w:val="1"/>
      <w:numFmt w:val="lowerRoman"/>
      <w:lvlText w:val="%3."/>
      <w:lvlJc w:val="right"/>
      <w:pPr>
        <w:ind w:left="240" w:hanging="180"/>
      </w:pPr>
    </w:lvl>
    <w:lvl w:ilvl="3" w:tplc="0C09000F" w:tentative="1">
      <w:start w:val="1"/>
      <w:numFmt w:val="decimal"/>
      <w:lvlText w:val="%4."/>
      <w:lvlJc w:val="left"/>
      <w:pPr>
        <w:ind w:left="960" w:hanging="360"/>
      </w:pPr>
    </w:lvl>
    <w:lvl w:ilvl="4" w:tplc="0C090019" w:tentative="1">
      <w:start w:val="1"/>
      <w:numFmt w:val="lowerLetter"/>
      <w:lvlText w:val="%5."/>
      <w:lvlJc w:val="left"/>
      <w:pPr>
        <w:ind w:left="1680" w:hanging="360"/>
      </w:pPr>
    </w:lvl>
    <w:lvl w:ilvl="5" w:tplc="0C09001B" w:tentative="1">
      <w:start w:val="1"/>
      <w:numFmt w:val="lowerRoman"/>
      <w:lvlText w:val="%6."/>
      <w:lvlJc w:val="right"/>
      <w:pPr>
        <w:ind w:left="2400" w:hanging="180"/>
      </w:pPr>
    </w:lvl>
    <w:lvl w:ilvl="6" w:tplc="0C09000F" w:tentative="1">
      <w:start w:val="1"/>
      <w:numFmt w:val="decimal"/>
      <w:lvlText w:val="%7."/>
      <w:lvlJc w:val="left"/>
      <w:pPr>
        <w:ind w:left="3120" w:hanging="360"/>
      </w:pPr>
    </w:lvl>
    <w:lvl w:ilvl="7" w:tplc="0C090019" w:tentative="1">
      <w:start w:val="1"/>
      <w:numFmt w:val="lowerLetter"/>
      <w:lvlText w:val="%8."/>
      <w:lvlJc w:val="left"/>
      <w:pPr>
        <w:ind w:left="3840" w:hanging="360"/>
      </w:pPr>
    </w:lvl>
    <w:lvl w:ilvl="8" w:tplc="0C09001B" w:tentative="1">
      <w:start w:val="1"/>
      <w:numFmt w:val="lowerRoman"/>
      <w:lvlText w:val="%9."/>
      <w:lvlJc w:val="right"/>
      <w:pPr>
        <w:ind w:left="4560" w:hanging="180"/>
      </w:pPr>
    </w:lvl>
  </w:abstractNum>
  <w:abstractNum w:abstractNumId="20"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8876334"/>
    <w:multiLevelType w:val="hybridMultilevel"/>
    <w:tmpl w:val="33163958"/>
    <w:lvl w:ilvl="0" w:tplc="62E0CAFE">
      <w:start w:val="1"/>
      <w:numFmt w:val="decimal"/>
      <w:lvlText w:val="%1."/>
      <w:lvlJc w:val="left"/>
      <w:pPr>
        <w:ind w:left="1400" w:hanging="361"/>
      </w:pPr>
      <w:rPr>
        <w:rFonts w:ascii="Calibri" w:eastAsia="Calibri" w:hAnsi="Calibri" w:cs="Calibri" w:hint="default"/>
        <w:b w:val="0"/>
        <w:bCs w:val="0"/>
        <w:i w:val="0"/>
        <w:iCs w:val="0"/>
        <w:color w:val="005774"/>
        <w:spacing w:val="0"/>
        <w:w w:val="100"/>
        <w:sz w:val="22"/>
        <w:szCs w:val="22"/>
        <w:lang w:val="en-US" w:eastAsia="en-US" w:bidi="ar-SA"/>
      </w:rPr>
    </w:lvl>
    <w:lvl w:ilvl="1" w:tplc="EAD232D4">
      <w:numFmt w:val="bullet"/>
      <w:lvlText w:val="•"/>
      <w:lvlJc w:val="left"/>
      <w:pPr>
        <w:ind w:left="2433" w:hanging="361"/>
      </w:pPr>
      <w:rPr>
        <w:rFonts w:hint="default"/>
        <w:lang w:val="en-US" w:eastAsia="en-US" w:bidi="ar-SA"/>
      </w:rPr>
    </w:lvl>
    <w:lvl w:ilvl="2" w:tplc="789C8668">
      <w:numFmt w:val="bullet"/>
      <w:lvlText w:val="•"/>
      <w:lvlJc w:val="left"/>
      <w:pPr>
        <w:ind w:left="3467" w:hanging="361"/>
      </w:pPr>
      <w:rPr>
        <w:rFonts w:hint="default"/>
        <w:lang w:val="en-US" w:eastAsia="en-US" w:bidi="ar-SA"/>
      </w:rPr>
    </w:lvl>
    <w:lvl w:ilvl="3" w:tplc="E78A57E8">
      <w:numFmt w:val="bullet"/>
      <w:lvlText w:val="•"/>
      <w:lvlJc w:val="left"/>
      <w:pPr>
        <w:ind w:left="4501" w:hanging="361"/>
      </w:pPr>
      <w:rPr>
        <w:rFonts w:hint="default"/>
        <w:lang w:val="en-US" w:eastAsia="en-US" w:bidi="ar-SA"/>
      </w:rPr>
    </w:lvl>
    <w:lvl w:ilvl="4" w:tplc="CC76825C">
      <w:numFmt w:val="bullet"/>
      <w:lvlText w:val="•"/>
      <w:lvlJc w:val="left"/>
      <w:pPr>
        <w:ind w:left="5535" w:hanging="361"/>
      </w:pPr>
      <w:rPr>
        <w:rFonts w:hint="default"/>
        <w:lang w:val="en-US" w:eastAsia="en-US" w:bidi="ar-SA"/>
      </w:rPr>
    </w:lvl>
    <w:lvl w:ilvl="5" w:tplc="A79ECDEC">
      <w:numFmt w:val="bullet"/>
      <w:lvlText w:val="•"/>
      <w:lvlJc w:val="left"/>
      <w:pPr>
        <w:ind w:left="6569" w:hanging="361"/>
      </w:pPr>
      <w:rPr>
        <w:rFonts w:hint="default"/>
        <w:lang w:val="en-US" w:eastAsia="en-US" w:bidi="ar-SA"/>
      </w:rPr>
    </w:lvl>
    <w:lvl w:ilvl="6" w:tplc="69AA3642">
      <w:numFmt w:val="bullet"/>
      <w:lvlText w:val="•"/>
      <w:lvlJc w:val="left"/>
      <w:pPr>
        <w:ind w:left="7603" w:hanging="361"/>
      </w:pPr>
      <w:rPr>
        <w:rFonts w:hint="default"/>
        <w:lang w:val="en-US" w:eastAsia="en-US" w:bidi="ar-SA"/>
      </w:rPr>
    </w:lvl>
    <w:lvl w:ilvl="7" w:tplc="E996D370">
      <w:numFmt w:val="bullet"/>
      <w:lvlText w:val="•"/>
      <w:lvlJc w:val="left"/>
      <w:pPr>
        <w:ind w:left="8637" w:hanging="361"/>
      </w:pPr>
      <w:rPr>
        <w:rFonts w:hint="default"/>
        <w:lang w:val="en-US" w:eastAsia="en-US" w:bidi="ar-SA"/>
      </w:rPr>
    </w:lvl>
    <w:lvl w:ilvl="8" w:tplc="11289A66">
      <w:numFmt w:val="bullet"/>
      <w:lvlText w:val="•"/>
      <w:lvlJc w:val="left"/>
      <w:pPr>
        <w:ind w:left="9671" w:hanging="361"/>
      </w:pPr>
      <w:rPr>
        <w:rFonts w:hint="default"/>
        <w:lang w:val="en-US" w:eastAsia="en-US" w:bidi="ar-SA"/>
      </w:rPr>
    </w:lvl>
  </w:abstractNum>
  <w:abstractNum w:abstractNumId="22" w15:restartNumberingAfterBreak="0">
    <w:nsid w:val="38A675ED"/>
    <w:multiLevelType w:val="hybridMultilevel"/>
    <w:tmpl w:val="DD582AC6"/>
    <w:lvl w:ilvl="0" w:tplc="504A93CE">
      <w:start w:val="1"/>
      <w:numFmt w:val="bullet"/>
      <w:lvlText w:val="»"/>
      <w:lvlJc w:val="left"/>
      <w:pPr>
        <w:ind w:left="558"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3" w15:restartNumberingAfterBreak="0">
    <w:nsid w:val="3EA87233"/>
    <w:multiLevelType w:val="hybridMultilevel"/>
    <w:tmpl w:val="BD92FCD6"/>
    <w:lvl w:ilvl="0" w:tplc="0C09000B">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DE34D8E"/>
    <w:multiLevelType w:val="multilevel"/>
    <w:tmpl w:val="EBE0AFD0"/>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1394C88"/>
    <w:multiLevelType w:val="hybridMultilevel"/>
    <w:tmpl w:val="C4B4D93C"/>
    <w:lvl w:ilvl="0" w:tplc="56E85F52">
      <w:start w:val="1"/>
      <w:numFmt w:val="decimal"/>
      <w:pStyle w:val="CERnumbering"/>
      <w:lvlText w:val="%1."/>
      <w:lvlJc w:val="left"/>
      <w:pPr>
        <w:ind w:left="360" w:hanging="360"/>
      </w:pPr>
      <w:rPr>
        <w:color w:val="006C93" w:themeColor="accent3"/>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6FF48AB"/>
    <w:multiLevelType w:val="hybridMultilevel"/>
    <w:tmpl w:val="3544B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AFF30DD"/>
    <w:multiLevelType w:val="hybridMultilevel"/>
    <w:tmpl w:val="F3C0C4A8"/>
    <w:lvl w:ilvl="0" w:tplc="7242BB74">
      <w:start w:val="1"/>
      <w:numFmt w:val="bullet"/>
      <w:lvlText w:val="›"/>
      <w:lvlJc w:val="left"/>
      <w:pPr>
        <w:ind w:left="757"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0" w15:restartNumberingAfterBreak="0">
    <w:nsid w:val="5CFD18CA"/>
    <w:multiLevelType w:val="multilevel"/>
    <w:tmpl w:val="D5A239B8"/>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D3B6431"/>
    <w:multiLevelType w:val="hybridMultilevel"/>
    <w:tmpl w:val="10167BD6"/>
    <w:lvl w:ilvl="0" w:tplc="454E1C40">
      <w:start w:val="1"/>
      <w:numFmt w:val="decimal"/>
      <w:lvlText w:val="%1."/>
      <w:lvlJc w:val="left"/>
      <w:pPr>
        <w:ind w:left="360" w:hanging="360"/>
      </w:pPr>
      <w:rPr>
        <w:rFonts w:hint="default"/>
        <w:color w:val="4FC2C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F150223"/>
    <w:multiLevelType w:val="hybridMultilevel"/>
    <w:tmpl w:val="72F49D28"/>
    <w:lvl w:ilvl="0" w:tplc="0254B05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F202055"/>
    <w:multiLevelType w:val="hybridMultilevel"/>
    <w:tmpl w:val="3BC679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50B16ED"/>
    <w:multiLevelType w:val="multilevel"/>
    <w:tmpl w:val="5A421D8A"/>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AB321E6"/>
    <w:multiLevelType w:val="hybridMultilevel"/>
    <w:tmpl w:val="1F520E5C"/>
    <w:lvl w:ilvl="0" w:tplc="4442E63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9DB23C0"/>
    <w:multiLevelType w:val="multilevel"/>
    <w:tmpl w:val="11A43BFC"/>
    <w:name w:val="CERBullets22"/>
    <w:lvl w:ilvl="0">
      <w:start w:val="1"/>
      <w:numFmt w:val="bullet"/>
      <w:pStyle w:val="CERbullets"/>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C1D43F4"/>
    <w:multiLevelType w:val="hybridMultilevel"/>
    <w:tmpl w:val="B8BC80A2"/>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D6E3F1C"/>
    <w:multiLevelType w:val="multilevel"/>
    <w:tmpl w:val="32AA175E"/>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F827FF9"/>
    <w:multiLevelType w:val="hybridMultilevel"/>
    <w:tmpl w:val="9FD4396A"/>
    <w:lvl w:ilvl="0" w:tplc="0C09000B">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128353749">
    <w:abstractNumId w:val="26"/>
  </w:num>
  <w:num w:numId="2" w16cid:durableId="1160386508">
    <w:abstractNumId w:val="17"/>
  </w:num>
  <w:num w:numId="3" w16cid:durableId="1498185206">
    <w:abstractNumId w:val="18"/>
  </w:num>
  <w:num w:numId="4" w16cid:durableId="483401557">
    <w:abstractNumId w:val="13"/>
  </w:num>
  <w:num w:numId="5" w16cid:durableId="1282683185">
    <w:abstractNumId w:val="14"/>
  </w:num>
  <w:num w:numId="6" w16cid:durableId="1274937952">
    <w:abstractNumId w:val="22"/>
  </w:num>
  <w:num w:numId="7" w16cid:durableId="2015835378">
    <w:abstractNumId w:val="29"/>
  </w:num>
  <w:num w:numId="8" w16cid:durableId="88358754">
    <w:abstractNumId w:val="14"/>
  </w:num>
  <w:num w:numId="9" w16cid:durableId="354965800">
    <w:abstractNumId w:val="9"/>
  </w:num>
  <w:num w:numId="10" w16cid:durableId="1535650169">
    <w:abstractNumId w:val="7"/>
  </w:num>
  <w:num w:numId="11" w16cid:durableId="401759395">
    <w:abstractNumId w:val="6"/>
  </w:num>
  <w:num w:numId="12" w16cid:durableId="1579632161">
    <w:abstractNumId w:val="5"/>
  </w:num>
  <w:num w:numId="13" w16cid:durableId="771164395">
    <w:abstractNumId w:val="4"/>
  </w:num>
  <w:num w:numId="14" w16cid:durableId="1970550294">
    <w:abstractNumId w:val="8"/>
  </w:num>
  <w:num w:numId="15" w16cid:durableId="399137660">
    <w:abstractNumId w:val="3"/>
  </w:num>
  <w:num w:numId="16" w16cid:durableId="433138381">
    <w:abstractNumId w:val="2"/>
  </w:num>
  <w:num w:numId="17" w16cid:durableId="1621063815">
    <w:abstractNumId w:val="1"/>
  </w:num>
  <w:num w:numId="18" w16cid:durableId="1118452816">
    <w:abstractNumId w:val="0"/>
  </w:num>
  <w:num w:numId="19" w16cid:durableId="2006783368">
    <w:abstractNumId w:val="12"/>
  </w:num>
  <w:num w:numId="20" w16cid:durableId="1469132099">
    <w:abstractNumId w:val="15"/>
  </w:num>
  <w:num w:numId="21" w16cid:durableId="1392849138">
    <w:abstractNumId w:val="36"/>
  </w:num>
  <w:num w:numId="22" w16cid:durableId="1290627429">
    <w:abstractNumId w:val="10"/>
  </w:num>
  <w:num w:numId="23" w16cid:durableId="2114474109">
    <w:abstractNumId w:val="38"/>
  </w:num>
  <w:num w:numId="24" w16cid:durableId="1782718969">
    <w:abstractNumId w:val="24"/>
  </w:num>
  <w:num w:numId="25" w16cid:durableId="1666087196">
    <w:abstractNumId w:val="20"/>
  </w:num>
  <w:num w:numId="26" w16cid:durableId="276646502">
    <w:abstractNumId w:val="16"/>
  </w:num>
  <w:num w:numId="27" w16cid:durableId="1062748491">
    <w:abstractNumId w:val="35"/>
  </w:num>
  <w:num w:numId="28" w16cid:durableId="919870433">
    <w:abstractNumId w:val="28"/>
  </w:num>
  <w:num w:numId="29" w16cid:durableId="1906524153">
    <w:abstractNumId w:val="25"/>
  </w:num>
  <w:num w:numId="30" w16cid:durableId="1096025419">
    <w:abstractNumId w:val="30"/>
  </w:num>
  <w:num w:numId="31" w16cid:durableId="1144857329">
    <w:abstractNumId w:val="34"/>
  </w:num>
  <w:num w:numId="32" w16cid:durableId="1754156212">
    <w:abstractNumId w:val="11"/>
  </w:num>
  <w:num w:numId="33" w16cid:durableId="1374504722">
    <w:abstractNumId w:val="31"/>
  </w:num>
  <w:num w:numId="34" w16cid:durableId="1164662540">
    <w:abstractNumId w:val="27"/>
  </w:num>
  <w:num w:numId="35" w16cid:durableId="1217429181">
    <w:abstractNumId w:val="19"/>
  </w:num>
  <w:num w:numId="36" w16cid:durableId="1136483553">
    <w:abstractNumId w:val="33"/>
  </w:num>
  <w:num w:numId="37" w16cid:durableId="1576478603">
    <w:abstractNumId w:val="23"/>
  </w:num>
  <w:num w:numId="38" w16cid:durableId="1400978732">
    <w:abstractNumId w:val="32"/>
  </w:num>
  <w:num w:numId="39" w16cid:durableId="228228841">
    <w:abstractNumId w:val="39"/>
  </w:num>
  <w:num w:numId="40" w16cid:durableId="141309943">
    <w:abstractNumId w:val="21"/>
  </w:num>
  <w:num w:numId="41" w16cid:durableId="31732848">
    <w:abstractNumId w:val="37"/>
  </w:num>
  <w:num w:numId="42" w16cid:durableId="2055229674">
    <w:abstractNumId w:val="27"/>
    <w:lvlOverride w:ilvl="0">
      <w:startOverride w:val="1"/>
    </w:lvlOverride>
  </w:num>
  <w:num w:numId="43" w16cid:durableId="1720662806">
    <w:abstractNumId w:val="2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formatting="1"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0CA"/>
    <w:rsid w:val="00000630"/>
    <w:rsid w:val="00031090"/>
    <w:rsid w:val="00035321"/>
    <w:rsid w:val="0003582F"/>
    <w:rsid w:val="000378B6"/>
    <w:rsid w:val="000442F7"/>
    <w:rsid w:val="0004685C"/>
    <w:rsid w:val="00056FF0"/>
    <w:rsid w:val="000678AA"/>
    <w:rsid w:val="00083FFC"/>
    <w:rsid w:val="000873E6"/>
    <w:rsid w:val="000906DE"/>
    <w:rsid w:val="00096878"/>
    <w:rsid w:val="0009706F"/>
    <w:rsid w:val="000A0DD5"/>
    <w:rsid w:val="000B2225"/>
    <w:rsid w:val="000C5415"/>
    <w:rsid w:val="000D62A9"/>
    <w:rsid w:val="000E5A13"/>
    <w:rsid w:val="000F6B44"/>
    <w:rsid w:val="0010249F"/>
    <w:rsid w:val="00112E29"/>
    <w:rsid w:val="001276AA"/>
    <w:rsid w:val="001512C0"/>
    <w:rsid w:val="00157175"/>
    <w:rsid w:val="00163FC4"/>
    <w:rsid w:val="001651F7"/>
    <w:rsid w:val="00167D9D"/>
    <w:rsid w:val="00176871"/>
    <w:rsid w:val="00176C28"/>
    <w:rsid w:val="00193A6C"/>
    <w:rsid w:val="00197F43"/>
    <w:rsid w:val="001B66AA"/>
    <w:rsid w:val="001B7BAE"/>
    <w:rsid w:val="001C0887"/>
    <w:rsid w:val="001C191F"/>
    <w:rsid w:val="001D2DB3"/>
    <w:rsid w:val="001D5E01"/>
    <w:rsid w:val="002118E5"/>
    <w:rsid w:val="00216E5D"/>
    <w:rsid w:val="0021782A"/>
    <w:rsid w:val="00223676"/>
    <w:rsid w:val="00235B98"/>
    <w:rsid w:val="00247EF5"/>
    <w:rsid w:val="00252D41"/>
    <w:rsid w:val="002537CF"/>
    <w:rsid w:val="00253FFC"/>
    <w:rsid w:val="002622E9"/>
    <w:rsid w:val="00290E3D"/>
    <w:rsid w:val="0029262D"/>
    <w:rsid w:val="002A7EA6"/>
    <w:rsid w:val="002C427B"/>
    <w:rsid w:val="002C702A"/>
    <w:rsid w:val="002D18F3"/>
    <w:rsid w:val="002D30B2"/>
    <w:rsid w:val="002F1986"/>
    <w:rsid w:val="002F45E7"/>
    <w:rsid w:val="00305A2D"/>
    <w:rsid w:val="00337CCB"/>
    <w:rsid w:val="003456B2"/>
    <w:rsid w:val="0036450E"/>
    <w:rsid w:val="00365CD3"/>
    <w:rsid w:val="00370CE8"/>
    <w:rsid w:val="00371059"/>
    <w:rsid w:val="00384ABB"/>
    <w:rsid w:val="003A0D22"/>
    <w:rsid w:val="003A35B4"/>
    <w:rsid w:val="003A5739"/>
    <w:rsid w:val="003A760B"/>
    <w:rsid w:val="003D3FC1"/>
    <w:rsid w:val="003D5A62"/>
    <w:rsid w:val="003D728A"/>
    <w:rsid w:val="00400BA0"/>
    <w:rsid w:val="00400D4D"/>
    <w:rsid w:val="00407A97"/>
    <w:rsid w:val="00420BF6"/>
    <w:rsid w:val="00420EE5"/>
    <w:rsid w:val="00422BC9"/>
    <w:rsid w:val="00424CC6"/>
    <w:rsid w:val="00426275"/>
    <w:rsid w:val="00427881"/>
    <w:rsid w:val="004458B4"/>
    <w:rsid w:val="0045201E"/>
    <w:rsid w:val="00455455"/>
    <w:rsid w:val="004559EF"/>
    <w:rsid w:val="00465287"/>
    <w:rsid w:val="00471682"/>
    <w:rsid w:val="00480154"/>
    <w:rsid w:val="00494F07"/>
    <w:rsid w:val="00496402"/>
    <w:rsid w:val="004A581F"/>
    <w:rsid w:val="004A5F95"/>
    <w:rsid w:val="004B5459"/>
    <w:rsid w:val="004B6AF5"/>
    <w:rsid w:val="004C4BC6"/>
    <w:rsid w:val="004C6DF4"/>
    <w:rsid w:val="004D0162"/>
    <w:rsid w:val="004D3F8B"/>
    <w:rsid w:val="004D70CF"/>
    <w:rsid w:val="00505BB4"/>
    <w:rsid w:val="005122C6"/>
    <w:rsid w:val="00516089"/>
    <w:rsid w:val="00521016"/>
    <w:rsid w:val="005230BD"/>
    <w:rsid w:val="0052457E"/>
    <w:rsid w:val="00531F3B"/>
    <w:rsid w:val="0054032E"/>
    <w:rsid w:val="0054199F"/>
    <w:rsid w:val="005430A4"/>
    <w:rsid w:val="005437EA"/>
    <w:rsid w:val="00585D42"/>
    <w:rsid w:val="0058723A"/>
    <w:rsid w:val="005A266D"/>
    <w:rsid w:val="005C0A94"/>
    <w:rsid w:val="005D4D95"/>
    <w:rsid w:val="005F4BE4"/>
    <w:rsid w:val="00602E93"/>
    <w:rsid w:val="006044C8"/>
    <w:rsid w:val="0061010A"/>
    <w:rsid w:val="0062080A"/>
    <w:rsid w:val="00622DA5"/>
    <w:rsid w:val="00632E89"/>
    <w:rsid w:val="006423DF"/>
    <w:rsid w:val="006530B0"/>
    <w:rsid w:val="0065750A"/>
    <w:rsid w:val="00661619"/>
    <w:rsid w:val="00662ED8"/>
    <w:rsid w:val="00674932"/>
    <w:rsid w:val="00680B5A"/>
    <w:rsid w:val="0069753C"/>
    <w:rsid w:val="006A1906"/>
    <w:rsid w:val="006A37D7"/>
    <w:rsid w:val="006A7A4E"/>
    <w:rsid w:val="006B1C9B"/>
    <w:rsid w:val="006C121A"/>
    <w:rsid w:val="006C58B9"/>
    <w:rsid w:val="006E1BAE"/>
    <w:rsid w:val="006E20EA"/>
    <w:rsid w:val="006E3CA9"/>
    <w:rsid w:val="006F1101"/>
    <w:rsid w:val="00724B10"/>
    <w:rsid w:val="007270A5"/>
    <w:rsid w:val="00733C45"/>
    <w:rsid w:val="0076397A"/>
    <w:rsid w:val="00767FAB"/>
    <w:rsid w:val="007773D1"/>
    <w:rsid w:val="007813EC"/>
    <w:rsid w:val="00790E79"/>
    <w:rsid w:val="007A32A0"/>
    <w:rsid w:val="007A5CF8"/>
    <w:rsid w:val="007B2652"/>
    <w:rsid w:val="007B31E7"/>
    <w:rsid w:val="007B6EED"/>
    <w:rsid w:val="007C310C"/>
    <w:rsid w:val="007C7046"/>
    <w:rsid w:val="007D40F4"/>
    <w:rsid w:val="007F3928"/>
    <w:rsid w:val="00801EDE"/>
    <w:rsid w:val="00805956"/>
    <w:rsid w:val="00816D8B"/>
    <w:rsid w:val="00817934"/>
    <w:rsid w:val="00825CB9"/>
    <w:rsid w:val="00826A84"/>
    <w:rsid w:val="008352D1"/>
    <w:rsid w:val="00836854"/>
    <w:rsid w:val="008444A8"/>
    <w:rsid w:val="00875F68"/>
    <w:rsid w:val="00885AB6"/>
    <w:rsid w:val="00890472"/>
    <w:rsid w:val="008A4F2A"/>
    <w:rsid w:val="008B0D79"/>
    <w:rsid w:val="008B434A"/>
    <w:rsid w:val="008C63A1"/>
    <w:rsid w:val="008E15DF"/>
    <w:rsid w:val="008E6CE0"/>
    <w:rsid w:val="008F2565"/>
    <w:rsid w:val="008F548E"/>
    <w:rsid w:val="008F6BA7"/>
    <w:rsid w:val="00900F32"/>
    <w:rsid w:val="00906DED"/>
    <w:rsid w:val="0092568B"/>
    <w:rsid w:val="00930D2E"/>
    <w:rsid w:val="0093226C"/>
    <w:rsid w:val="009633DE"/>
    <w:rsid w:val="00965D11"/>
    <w:rsid w:val="009757EB"/>
    <w:rsid w:val="00977234"/>
    <w:rsid w:val="009801E4"/>
    <w:rsid w:val="00990C52"/>
    <w:rsid w:val="009A2199"/>
    <w:rsid w:val="009A2E7F"/>
    <w:rsid w:val="009B1DE4"/>
    <w:rsid w:val="009C094A"/>
    <w:rsid w:val="009C30B4"/>
    <w:rsid w:val="009D01EB"/>
    <w:rsid w:val="009D4D75"/>
    <w:rsid w:val="009D60CA"/>
    <w:rsid w:val="009F4AB1"/>
    <w:rsid w:val="00A114F2"/>
    <w:rsid w:val="00A23C1D"/>
    <w:rsid w:val="00A41A11"/>
    <w:rsid w:val="00A44C0C"/>
    <w:rsid w:val="00A50A9D"/>
    <w:rsid w:val="00A541A1"/>
    <w:rsid w:val="00AA2792"/>
    <w:rsid w:val="00AA574B"/>
    <w:rsid w:val="00AA705A"/>
    <w:rsid w:val="00AB04A4"/>
    <w:rsid w:val="00AB1D66"/>
    <w:rsid w:val="00AC5E26"/>
    <w:rsid w:val="00AD1541"/>
    <w:rsid w:val="00AD3999"/>
    <w:rsid w:val="00AD649E"/>
    <w:rsid w:val="00AF5F77"/>
    <w:rsid w:val="00B047D2"/>
    <w:rsid w:val="00B05282"/>
    <w:rsid w:val="00B355CA"/>
    <w:rsid w:val="00B42777"/>
    <w:rsid w:val="00B44479"/>
    <w:rsid w:val="00B531D4"/>
    <w:rsid w:val="00B832A4"/>
    <w:rsid w:val="00BA3D6B"/>
    <w:rsid w:val="00BD5ED5"/>
    <w:rsid w:val="00BF3A15"/>
    <w:rsid w:val="00C033D8"/>
    <w:rsid w:val="00C067A3"/>
    <w:rsid w:val="00C06FDE"/>
    <w:rsid w:val="00C13A44"/>
    <w:rsid w:val="00C27341"/>
    <w:rsid w:val="00C3122E"/>
    <w:rsid w:val="00C33420"/>
    <w:rsid w:val="00C371E3"/>
    <w:rsid w:val="00C40CF0"/>
    <w:rsid w:val="00C47609"/>
    <w:rsid w:val="00C73199"/>
    <w:rsid w:val="00C86B48"/>
    <w:rsid w:val="00C86C02"/>
    <w:rsid w:val="00CA2954"/>
    <w:rsid w:val="00CA3DBC"/>
    <w:rsid w:val="00CA410D"/>
    <w:rsid w:val="00CA63D2"/>
    <w:rsid w:val="00CB5025"/>
    <w:rsid w:val="00CB69DA"/>
    <w:rsid w:val="00CB7ED6"/>
    <w:rsid w:val="00CE3E30"/>
    <w:rsid w:val="00CF18F4"/>
    <w:rsid w:val="00CF6DFF"/>
    <w:rsid w:val="00D07937"/>
    <w:rsid w:val="00D102D0"/>
    <w:rsid w:val="00D40585"/>
    <w:rsid w:val="00D435BB"/>
    <w:rsid w:val="00D5130D"/>
    <w:rsid w:val="00D81782"/>
    <w:rsid w:val="00D927DF"/>
    <w:rsid w:val="00DB16FB"/>
    <w:rsid w:val="00DC3A30"/>
    <w:rsid w:val="00DD61F7"/>
    <w:rsid w:val="00DF0F4C"/>
    <w:rsid w:val="00DF4814"/>
    <w:rsid w:val="00E12286"/>
    <w:rsid w:val="00E17A35"/>
    <w:rsid w:val="00E349EF"/>
    <w:rsid w:val="00E71BAE"/>
    <w:rsid w:val="00E756BA"/>
    <w:rsid w:val="00E770EC"/>
    <w:rsid w:val="00E85BF6"/>
    <w:rsid w:val="00E94FFF"/>
    <w:rsid w:val="00E956A9"/>
    <w:rsid w:val="00EA215D"/>
    <w:rsid w:val="00EA7A28"/>
    <w:rsid w:val="00EB7F5F"/>
    <w:rsid w:val="00EC0480"/>
    <w:rsid w:val="00ED427D"/>
    <w:rsid w:val="00F1084B"/>
    <w:rsid w:val="00F25BC6"/>
    <w:rsid w:val="00F2767A"/>
    <w:rsid w:val="00F32404"/>
    <w:rsid w:val="00F3522B"/>
    <w:rsid w:val="00F54C33"/>
    <w:rsid w:val="00F67F4E"/>
    <w:rsid w:val="00F70B17"/>
    <w:rsid w:val="00F71D97"/>
    <w:rsid w:val="00F75349"/>
    <w:rsid w:val="00F76419"/>
    <w:rsid w:val="00F8070C"/>
    <w:rsid w:val="00F831A1"/>
    <w:rsid w:val="00F94571"/>
    <w:rsid w:val="00FA7635"/>
    <w:rsid w:val="00FB26CE"/>
    <w:rsid w:val="00FB443E"/>
    <w:rsid w:val="00FB69D4"/>
    <w:rsid w:val="00FC0CE2"/>
    <w:rsid w:val="00FC20CB"/>
    <w:rsid w:val="00FC3CD6"/>
    <w:rsid w:val="00FC5CAA"/>
    <w:rsid w:val="00FD2635"/>
    <w:rsid w:val="00FE07BB"/>
    <w:rsid w:val="00FE08CE"/>
    <w:rsid w:val="00FE2F68"/>
    <w:rsid w:val="143DE140"/>
    <w:rsid w:val="199185A8"/>
    <w:rsid w:val="1E567F6D"/>
    <w:rsid w:val="2B67BA13"/>
    <w:rsid w:val="2D038A74"/>
    <w:rsid w:val="32875B32"/>
    <w:rsid w:val="40BFC130"/>
    <w:rsid w:val="45A430C5"/>
    <w:rsid w:val="603BD16B"/>
    <w:rsid w:val="7A9F1F7C"/>
  </w:rsids>
  <m:mathPr>
    <m:mathFont m:val="Cambria Math"/>
    <m:brkBin m:val="before"/>
    <m:brkBinSub m:val="--"/>
    <m:smallFrac m:val="0"/>
    <m:dispDef m:val="0"/>
    <m:lMargin m:val="0"/>
    <m:rMargin m:val="0"/>
    <m:defJc m:val="centerGroup"/>
    <m:wrapRight/>
    <m:intLim m:val="subSup"/>
    <m:naryLim m:val="subSup"/>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EB7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0C5415"/>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2"/>
    <w:qFormat/>
    <w:rsid w:val="002D18F3"/>
    <w:pPr>
      <w:spacing w:before="360" w:after="0"/>
      <w:outlineLvl w:val="0"/>
    </w:pPr>
    <w:rPr>
      <w:b/>
      <w:bCs/>
    </w:rPr>
  </w:style>
  <w:style w:type="paragraph" w:styleId="Heading2">
    <w:name w:val="heading 2"/>
    <w:aliases w:val="CER Heading 2"/>
    <w:basedOn w:val="Normal"/>
    <w:next w:val="Normal"/>
    <w:link w:val="Heading2Char"/>
    <w:uiPriority w:val="3"/>
    <w:qFormat/>
    <w:rsid w:val="002D18F3"/>
    <w:pPr>
      <w:keepNext/>
      <w:keepLines/>
      <w:spacing w:before="280" w:after="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5C0A94"/>
    <w:pPr>
      <w:keepNext/>
      <w:spacing w:before="240" w:after="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after="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
    <w:name w:val="CER bullets"/>
    <w:basedOn w:val="Normal"/>
    <w:link w:val="CERbulletsChar"/>
    <w:uiPriority w:val="7"/>
    <w:qFormat/>
    <w:rsid w:val="004458B4"/>
    <w:pPr>
      <w:numPr>
        <w:numId w:val="21"/>
      </w:numPr>
      <w:spacing w:before="120" w:after="120"/>
      <w:ind w:left="357" w:hanging="357"/>
    </w:pPr>
    <w:rPr>
      <w:color w:val="auto"/>
    </w:rPr>
  </w:style>
  <w:style w:type="character" w:customStyle="1" w:styleId="CERbulletsChar">
    <w:name w:val="CER bullets Char"/>
    <w:basedOn w:val="DefaultParagraphFont"/>
    <w:link w:val="CERbullets"/>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C13A44"/>
    <w:pPr>
      <w:spacing w:before="100" w:beforeAutospacing="1" w:after="240"/>
      <w:ind w:left="284" w:right="284"/>
    </w:pPr>
    <w:rPr>
      <w:rFonts w:asciiTheme="minorHAnsi"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covertitle">
    <w:name w:val="CER cover title"/>
    <w:basedOn w:val="Title"/>
    <w:link w:val="CERcovertitleChar"/>
    <w:uiPriority w:val="8"/>
    <w:rsid w:val="00521016"/>
    <w:pPr>
      <w:spacing w:before="2760"/>
      <w:ind w:right="5204"/>
    </w:pPr>
    <w:rPr>
      <w:rFonts w:cs="Times New Roman (Headings CS)"/>
      <w:b/>
      <w:noProof/>
      <w:spacing w:val="0"/>
      <w:lang w:eastAsia="en-AU"/>
    </w:rPr>
  </w:style>
  <w:style w:type="paragraph" w:customStyle="1" w:styleId="CERcoversubtitle">
    <w:name w:val="CER cover subtitle"/>
    <w:basedOn w:val="Subtitle"/>
    <w:link w:val="CERcoversubtitleChar"/>
    <w:uiPriority w:val="8"/>
    <w:rsid w:val="00253FFC"/>
    <w:pPr>
      <w:spacing w:before="120" w:after="120"/>
      <w:ind w:right="5062"/>
    </w:pPr>
    <w:rPr>
      <w:rFonts w:ascii="Calibri Light" w:eastAsia="Times New Roman" w:hAnsi="Calibri Light" w:cs="Calibri Light"/>
      <w:color w:val="000000" w:themeColor="text1"/>
      <w:spacing w:val="0"/>
      <w:sz w:val="40"/>
      <w:szCs w:val="40"/>
    </w:rPr>
  </w:style>
  <w:style w:type="character" w:customStyle="1" w:styleId="CERcovertitleChar">
    <w:name w:val="CER cover title Char"/>
    <w:basedOn w:val="DefaultParagraphFont"/>
    <w:link w:val="CERcovertitle"/>
    <w:uiPriority w:val="8"/>
    <w:rsid w:val="00521016"/>
    <w:rPr>
      <w:rFonts w:asciiTheme="majorHAnsi" w:eastAsiaTheme="majorEastAsia" w:hAnsiTheme="majorHAnsi" w:cs="Times New Roman (Headings CS)"/>
      <w:b/>
      <w:noProof/>
      <w:kern w:val="28"/>
      <w:sz w:val="56"/>
      <w:szCs w:val="56"/>
    </w:rPr>
  </w:style>
  <w:style w:type="paragraph" w:customStyle="1" w:styleId="CERnumbering">
    <w:name w:val="CER numbering"/>
    <w:basedOn w:val="BodyText1"/>
    <w:link w:val="CERnumberingChar"/>
    <w:uiPriority w:val="8"/>
    <w:qFormat/>
    <w:rsid w:val="00D40585"/>
    <w:pPr>
      <w:numPr>
        <w:numId w:val="34"/>
      </w:numPr>
      <w:spacing w:before="120" w:after="120"/>
    </w:pPr>
  </w:style>
  <w:style w:type="character" w:customStyle="1" w:styleId="CERcoversubtitleChar">
    <w:name w:val="CER cover subtitle Char"/>
    <w:basedOn w:val="Heading2Char"/>
    <w:link w:val="CERcoversubtitle"/>
    <w:uiPriority w:val="8"/>
    <w:rsid w:val="00253FFC"/>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D40585"/>
    <w:rPr>
      <w:rFonts w:asciiTheme="minorHAnsi" w:hAnsiTheme="minorHAnsi" w:cstheme="minorHAnsi"/>
      <w:color w:val="000000" w:themeColor="text1"/>
      <w:sz w:val="22"/>
      <w:szCs w:val="24"/>
      <w:lang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0C5415"/>
    <w:rPr>
      <w:rFonts w:asciiTheme="minorHAnsi" w:hAnsiTheme="minorHAnsi"/>
      <w:b/>
      <w:color w:val="FF0000"/>
      <w:sz w:val="28"/>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056FF0"/>
    <w:pPr>
      <w:spacing w:after="100"/>
      <w:ind w:left="220"/>
    </w:pPr>
  </w:style>
  <w:style w:type="paragraph" w:styleId="TOC1">
    <w:name w:val="toc 1"/>
    <w:basedOn w:val="Normal"/>
    <w:next w:val="Normal"/>
    <w:autoRedefine/>
    <w:uiPriority w:val="39"/>
    <w:unhideWhenUsed/>
    <w:rsid w:val="007270A5"/>
    <w:pPr>
      <w:tabs>
        <w:tab w:val="right" w:leader="dot" w:pos="9730"/>
      </w:tabs>
      <w:spacing w:after="100"/>
    </w:pPr>
    <w:rPr>
      <w:b/>
    </w:rPr>
  </w:style>
  <w:style w:type="paragraph" w:styleId="TOC3">
    <w:name w:val="toc 3"/>
    <w:basedOn w:val="Normal"/>
    <w:next w:val="Normal"/>
    <w:autoRedefine/>
    <w:uiPriority w:val="39"/>
    <w:unhideWhenUsed/>
    <w:rsid w:val="007270A5"/>
    <w:pPr>
      <w:tabs>
        <w:tab w:val="right" w:leader="dot" w:pos="9730"/>
      </w:tabs>
      <w:spacing w:after="100"/>
      <w:ind w:left="440"/>
    </w:pPr>
  </w:style>
  <w:style w:type="paragraph" w:styleId="TOC4">
    <w:name w:val="toc 4"/>
    <w:basedOn w:val="Normal"/>
    <w:next w:val="Normal"/>
    <w:autoRedefine/>
    <w:uiPriority w:val="99"/>
    <w:semiHidden/>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semiHidden/>
    <w:unhideWhenUsed/>
    <w:rsid w:val="00E12286"/>
    <w:rPr>
      <w:rFonts w:cs="Times New Roman"/>
      <w:sz w:val="24"/>
    </w:rPr>
  </w:style>
  <w:style w:type="character" w:styleId="UnresolvedMention">
    <w:name w:val="Unresolved Mention"/>
    <w:basedOn w:val="DefaultParagraphFont"/>
    <w:uiPriority w:val="99"/>
    <w:semiHidden/>
    <w:unhideWhenUsed/>
    <w:rsid w:val="00167D9D"/>
    <w:rPr>
      <w:color w:val="605E5C"/>
      <w:shd w:val="clear" w:color="auto" w:fill="E1DFDD"/>
    </w:rPr>
  </w:style>
  <w:style w:type="paragraph" w:styleId="ListParagraph">
    <w:name w:val="List Paragraph"/>
    <w:basedOn w:val="Normal"/>
    <w:uiPriority w:val="1"/>
    <w:qFormat/>
    <w:rsid w:val="009D60CA"/>
    <w:pPr>
      <w:ind w:left="720"/>
      <w:contextualSpacing/>
    </w:pPr>
  </w:style>
  <w:style w:type="paragraph" w:styleId="BodyText">
    <w:name w:val="Body Text"/>
    <w:basedOn w:val="Normal"/>
    <w:link w:val="BodyTextChar"/>
    <w:uiPriority w:val="1"/>
    <w:qFormat/>
    <w:rsid w:val="009D60CA"/>
    <w:pPr>
      <w:widowControl w:val="0"/>
      <w:autoSpaceDE w:val="0"/>
      <w:autoSpaceDN w:val="0"/>
      <w:spacing w:before="60" w:after="0"/>
      <w:ind w:left="1399"/>
    </w:pPr>
    <w:rPr>
      <w:rFonts w:ascii="Calibri" w:eastAsia="Calibri" w:hAnsi="Calibri" w:cs="Calibri"/>
      <w:color w:val="auto"/>
      <w:szCs w:val="22"/>
      <w:lang w:val="en-US"/>
    </w:rPr>
  </w:style>
  <w:style w:type="character" w:customStyle="1" w:styleId="BodyTextChar">
    <w:name w:val="Body Text Char"/>
    <w:basedOn w:val="DefaultParagraphFont"/>
    <w:link w:val="BodyText"/>
    <w:uiPriority w:val="1"/>
    <w:rsid w:val="009D60CA"/>
    <w:rPr>
      <w:rFonts w:ascii="Calibri" w:eastAsia="Calibri" w:hAnsi="Calibri" w:cs="Calibri"/>
      <w:sz w:val="22"/>
      <w:szCs w:val="22"/>
      <w:lang w:val="en-US" w:eastAsia="en-US"/>
    </w:rPr>
  </w:style>
  <w:style w:type="paragraph" w:customStyle="1" w:styleId="TableParagraph">
    <w:name w:val="Table Paragraph"/>
    <w:basedOn w:val="Normal"/>
    <w:uiPriority w:val="1"/>
    <w:qFormat/>
    <w:rsid w:val="009D60CA"/>
    <w:pPr>
      <w:widowControl w:val="0"/>
      <w:autoSpaceDE w:val="0"/>
      <w:autoSpaceDN w:val="0"/>
      <w:spacing w:before="39" w:after="0"/>
      <w:ind w:left="107"/>
    </w:pPr>
    <w:rPr>
      <w:rFonts w:ascii="Calibri" w:eastAsia="Calibri" w:hAnsi="Calibri" w:cs="Calibri"/>
      <w:color w:val="auto"/>
      <w:szCs w:val="22"/>
      <w:lang w:val="en-US"/>
    </w:rPr>
  </w:style>
  <w:style w:type="character" w:styleId="CommentReference">
    <w:name w:val="annotation reference"/>
    <w:basedOn w:val="DefaultParagraphFont"/>
    <w:uiPriority w:val="99"/>
    <w:semiHidden/>
    <w:unhideWhenUsed/>
    <w:rsid w:val="00305A2D"/>
    <w:rPr>
      <w:sz w:val="16"/>
      <w:szCs w:val="16"/>
    </w:rPr>
  </w:style>
  <w:style w:type="paragraph" w:styleId="CommentText">
    <w:name w:val="annotation text"/>
    <w:basedOn w:val="Normal"/>
    <w:link w:val="CommentTextChar"/>
    <w:uiPriority w:val="99"/>
    <w:unhideWhenUsed/>
    <w:rsid w:val="00305A2D"/>
    <w:rPr>
      <w:sz w:val="20"/>
      <w:szCs w:val="20"/>
    </w:rPr>
  </w:style>
  <w:style w:type="character" w:customStyle="1" w:styleId="CommentTextChar">
    <w:name w:val="Comment Text Char"/>
    <w:basedOn w:val="DefaultParagraphFont"/>
    <w:link w:val="CommentText"/>
    <w:uiPriority w:val="99"/>
    <w:rsid w:val="00305A2D"/>
    <w:rPr>
      <w:rFonts w:asciiTheme="minorHAnsi" w:hAnsiTheme="minorHAnsi" w:cstheme="minorHAnsi"/>
      <w:color w:val="000000" w:themeColor="text1"/>
      <w:lang w:eastAsia="en-US"/>
    </w:rPr>
  </w:style>
  <w:style w:type="paragraph" w:styleId="CommentSubject">
    <w:name w:val="annotation subject"/>
    <w:basedOn w:val="CommentText"/>
    <w:next w:val="CommentText"/>
    <w:link w:val="CommentSubjectChar"/>
    <w:uiPriority w:val="99"/>
    <w:semiHidden/>
    <w:unhideWhenUsed/>
    <w:rsid w:val="00305A2D"/>
    <w:rPr>
      <w:b/>
      <w:bCs/>
    </w:rPr>
  </w:style>
  <w:style w:type="character" w:customStyle="1" w:styleId="CommentSubjectChar">
    <w:name w:val="Comment Subject Char"/>
    <w:basedOn w:val="CommentTextChar"/>
    <w:link w:val="CommentSubject"/>
    <w:uiPriority w:val="99"/>
    <w:semiHidden/>
    <w:rsid w:val="00305A2D"/>
    <w:rPr>
      <w:rFonts w:asciiTheme="minorHAnsi" w:hAnsiTheme="minorHAnsi" w:cstheme="minorHAnsi"/>
      <w:b/>
      <w:bCs/>
      <w:color w:val="000000" w:themeColor="text1"/>
      <w:lang w:eastAsia="en-US"/>
    </w:rPr>
  </w:style>
  <w:style w:type="paragraph" w:styleId="Revision">
    <w:name w:val="Revision"/>
    <w:hidden/>
    <w:semiHidden/>
    <w:rsid w:val="003A35B4"/>
    <w:rPr>
      <w:rFonts w:asciiTheme="minorHAnsi" w:hAnsiTheme="minorHAnsi" w:cstheme="minorHAnsi"/>
      <w:color w:val="000000" w:themeColor="text1"/>
      <w:sz w:val="22"/>
      <w:szCs w:val="24"/>
      <w:lang w:eastAsia="en-US"/>
    </w:rPr>
  </w:style>
  <w:style w:type="paragraph" w:styleId="FootnoteText">
    <w:name w:val="footnote text"/>
    <w:basedOn w:val="Normal"/>
    <w:link w:val="FootnoteTextChar"/>
    <w:uiPriority w:val="99"/>
    <w:semiHidden/>
    <w:unhideWhenUsed/>
    <w:rsid w:val="00F54C33"/>
    <w:pPr>
      <w:spacing w:after="0"/>
    </w:pPr>
    <w:rPr>
      <w:sz w:val="20"/>
      <w:szCs w:val="20"/>
    </w:rPr>
  </w:style>
  <w:style w:type="character" w:customStyle="1" w:styleId="FootnoteTextChar">
    <w:name w:val="Footnote Text Char"/>
    <w:basedOn w:val="DefaultParagraphFont"/>
    <w:link w:val="FootnoteText"/>
    <w:uiPriority w:val="99"/>
    <w:semiHidden/>
    <w:rsid w:val="00F54C33"/>
    <w:rPr>
      <w:rFonts w:asciiTheme="minorHAnsi" w:hAnsiTheme="minorHAnsi" w:cstheme="minorHAnsi"/>
      <w:color w:val="000000" w:themeColor="text1"/>
      <w:lang w:eastAsia="en-US"/>
    </w:rPr>
  </w:style>
  <w:style w:type="character" w:styleId="FootnoteReference">
    <w:name w:val="footnote reference"/>
    <w:basedOn w:val="DefaultParagraphFont"/>
    <w:uiPriority w:val="99"/>
    <w:semiHidden/>
    <w:unhideWhenUsed/>
    <w:rsid w:val="00F54C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legislation.gov.au/C2004A00767/latest/text" TargetMode="Externa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CER - 2022 theme">
  <a:themeElements>
    <a:clrScheme name="CER 2022">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969696"/>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C3CFFE6-F49F-42DD-AE04-C3FA8E49E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1193</Words>
  <Characters>6721</Characters>
  <Application>Microsoft Office Word</Application>
  <DocSecurity>0</DocSecurity>
  <Lines>56</Lines>
  <Paragraphs>15</Paragraphs>
  <ScaleCrop>false</ScaleCrop>
  <Company/>
  <LinksUpToDate>false</LinksUpToDate>
  <CharactersWithSpaces>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2025-05-20T02:40:00Z</dcterms:created>
  <dcterms:modified xsi:type="dcterms:W3CDTF">2025-05-20T02:40:00Z</dcterms:modified>
</cp:coreProperties>
</file>