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25988" w14:textId="58CEBCAA" w:rsidR="00AA44D9" w:rsidRPr="00B14606" w:rsidRDefault="002F10FF" w:rsidP="00AA44D9">
      <w:r>
        <w:rPr>
          <w:noProof/>
        </w:rPr>
        <mc:AlternateContent>
          <mc:Choice Requires="wps">
            <w:drawing>
              <wp:anchor distT="45720" distB="45720" distL="114300" distR="114300" simplePos="0" relativeHeight="251660288" behindDoc="0" locked="0" layoutInCell="1" allowOverlap="1" wp14:anchorId="570CFFD8" wp14:editId="17F83EEE">
                <wp:simplePos x="0" y="0"/>
                <wp:positionH relativeFrom="margin">
                  <wp:align>right</wp:align>
                </wp:positionH>
                <wp:positionV relativeFrom="paragraph">
                  <wp:posOffset>877570</wp:posOffset>
                </wp:positionV>
                <wp:extent cx="2752725" cy="27908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790825"/>
                        </a:xfrm>
                        <a:prstGeom prst="rect">
                          <a:avLst/>
                        </a:prstGeom>
                        <a:solidFill>
                          <a:srgbClr val="FFFFFF"/>
                        </a:solidFill>
                        <a:ln w="9525">
                          <a:noFill/>
                          <a:miter lim="800000"/>
                          <a:headEnd/>
                          <a:tailEnd/>
                        </a:ln>
                      </wps:spPr>
                      <wps:txbx>
                        <w:txbxContent>
                          <w:p w14:paraId="1D661827" w14:textId="4DE3AD12" w:rsidR="002F10FF" w:rsidRDefault="002F10FF" w:rsidP="002F10FF">
                            <w:pPr>
                              <w:pStyle w:val="BodyText1"/>
                              <w:rPr>
                                <w:rFonts w:eastAsia="Times New Roman" w:cstheme="minorHAnsi"/>
                                <w:b/>
                                <w:bCs/>
                                <w:sz w:val="48"/>
                                <w:szCs w:val="48"/>
                              </w:rPr>
                            </w:pPr>
                            <w:r w:rsidRPr="00F14699">
                              <w:rPr>
                                <w:rFonts w:eastAsia="Times New Roman" w:cstheme="minorHAnsi"/>
                                <w:b/>
                                <w:bCs/>
                                <w:sz w:val="48"/>
                                <w:szCs w:val="48"/>
                              </w:rPr>
                              <w:t>Transfer of</w:t>
                            </w:r>
                            <w:r w:rsidR="00673116">
                              <w:rPr>
                                <w:rFonts w:eastAsia="Times New Roman" w:cstheme="minorHAnsi"/>
                                <w:b/>
                                <w:bCs/>
                                <w:sz w:val="48"/>
                                <w:szCs w:val="48"/>
                              </w:rPr>
                              <w:t xml:space="preserve"> </w:t>
                            </w:r>
                            <w:r w:rsidRPr="00F14699">
                              <w:rPr>
                                <w:rFonts w:eastAsia="Times New Roman" w:cstheme="minorHAnsi"/>
                                <w:b/>
                                <w:bCs/>
                                <w:sz w:val="48"/>
                                <w:szCs w:val="48"/>
                              </w:rPr>
                              <w:t>reporting obligations</w:t>
                            </w:r>
                            <w:r w:rsidR="00CB39C4" w:rsidRPr="00F14699">
                              <w:rPr>
                                <w:rFonts w:eastAsia="Times New Roman" w:cstheme="minorHAnsi"/>
                                <w:b/>
                                <w:bCs/>
                                <w:sz w:val="48"/>
                                <w:szCs w:val="48"/>
                              </w:rPr>
                              <w:t xml:space="preserve"> </w:t>
                            </w:r>
                            <w:r w:rsidRPr="00F14699">
                              <w:rPr>
                                <w:rFonts w:eastAsia="Times New Roman" w:cstheme="minorHAnsi"/>
                                <w:b/>
                                <w:bCs/>
                                <w:sz w:val="48"/>
                                <w:szCs w:val="48"/>
                              </w:rPr>
                              <w:t xml:space="preserve">under section 22X of the NGER Act </w:t>
                            </w:r>
                          </w:p>
                          <w:p w14:paraId="6EAA48E3" w14:textId="05E28510" w:rsidR="00673116" w:rsidRPr="00673116" w:rsidRDefault="00A36F3A" w:rsidP="002F10FF">
                            <w:pPr>
                              <w:pStyle w:val="BodyText1"/>
                              <w:rPr>
                                <w:rFonts w:eastAsia="Times New Roman" w:cstheme="minorHAnsi"/>
                                <w:sz w:val="22"/>
                                <w:szCs w:val="22"/>
                              </w:rPr>
                            </w:pPr>
                            <w:r>
                              <w:rPr>
                                <w:rFonts w:eastAsia="Times New Roman" w:cstheme="minorHAnsi"/>
                                <w:sz w:val="22"/>
                                <w:szCs w:val="22"/>
                              </w:rPr>
                              <w:t xml:space="preserve">Version 1.0 – 27 </w:t>
                            </w:r>
                            <w:r w:rsidR="00673116" w:rsidRPr="00673116">
                              <w:rPr>
                                <w:rFonts w:eastAsia="Times New Roman" w:cstheme="minorHAnsi"/>
                                <w:sz w:val="22"/>
                                <w:szCs w:val="22"/>
                              </w:rPr>
                              <w:t>November 2024</w:t>
                            </w:r>
                          </w:p>
                          <w:p w14:paraId="246EE87B" w14:textId="6DA3924E" w:rsidR="002F10FF" w:rsidRDefault="002F10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CFFD8" id="_x0000_t202" coordsize="21600,21600" o:spt="202" path="m,l,21600r21600,l21600,xe">
                <v:stroke joinstyle="miter"/>
                <v:path gradientshapeok="t" o:connecttype="rect"/>
              </v:shapetype>
              <v:shape id="Text Box 2" o:spid="_x0000_s1026" type="#_x0000_t202" style="position:absolute;margin-left:165.55pt;margin-top:69.1pt;width:216.75pt;height:219.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" stroked="f">
                <v:textbox>
                  <w:txbxContent>
                    <w:p w14:paraId="1D661827" w14:textId="4DE3AD12" w:rsidR="002F10FF" w:rsidRDefault="002F10FF" w:rsidP="002F10FF">
                      <w:pPr>
                        <w:pStyle w:val="BodyText1"/>
                        <w:rPr>
                          <w:rFonts w:eastAsia="Times New Roman" w:cstheme="minorHAnsi"/>
                          <w:b/>
                          <w:bCs/>
                          <w:sz w:val="48"/>
                          <w:szCs w:val="48"/>
                        </w:rPr>
                      </w:pPr>
                      <w:r w:rsidRPr="00F14699">
                        <w:rPr>
                          <w:rFonts w:eastAsia="Times New Roman" w:cstheme="minorHAnsi"/>
                          <w:b/>
                          <w:bCs/>
                          <w:sz w:val="48"/>
                          <w:szCs w:val="48"/>
                        </w:rPr>
                        <w:t>Transfer of</w:t>
                      </w:r>
                      <w:r w:rsidR="00673116">
                        <w:rPr>
                          <w:rFonts w:eastAsia="Times New Roman" w:cstheme="minorHAnsi"/>
                          <w:b/>
                          <w:bCs/>
                          <w:sz w:val="48"/>
                          <w:szCs w:val="48"/>
                        </w:rPr>
                        <w:t xml:space="preserve"> </w:t>
                      </w:r>
                      <w:r w:rsidRPr="00F14699">
                        <w:rPr>
                          <w:rFonts w:eastAsia="Times New Roman" w:cstheme="minorHAnsi"/>
                          <w:b/>
                          <w:bCs/>
                          <w:sz w:val="48"/>
                          <w:szCs w:val="48"/>
                        </w:rPr>
                        <w:t>reporting obligations</w:t>
                      </w:r>
                      <w:r w:rsidR="00CB39C4" w:rsidRPr="00F14699">
                        <w:rPr>
                          <w:rFonts w:eastAsia="Times New Roman" w:cstheme="minorHAnsi"/>
                          <w:b/>
                          <w:bCs/>
                          <w:sz w:val="48"/>
                          <w:szCs w:val="48"/>
                        </w:rPr>
                        <w:t xml:space="preserve"> </w:t>
                      </w:r>
                      <w:r w:rsidRPr="00F14699">
                        <w:rPr>
                          <w:rFonts w:eastAsia="Times New Roman" w:cstheme="minorHAnsi"/>
                          <w:b/>
                          <w:bCs/>
                          <w:sz w:val="48"/>
                          <w:szCs w:val="48"/>
                        </w:rPr>
                        <w:t xml:space="preserve">under section 22X of the NGER Act </w:t>
                      </w:r>
                    </w:p>
                    <w:p w14:paraId="6EAA48E3" w14:textId="05E28510" w:rsidR="00673116" w:rsidRPr="00673116" w:rsidRDefault="00A36F3A" w:rsidP="002F10FF">
                      <w:pPr>
                        <w:pStyle w:val="BodyText1"/>
                        <w:rPr>
                          <w:rFonts w:eastAsia="Times New Roman" w:cstheme="minorHAnsi"/>
                          <w:sz w:val="22"/>
                          <w:szCs w:val="22"/>
                        </w:rPr>
                      </w:pPr>
                      <w:r>
                        <w:rPr>
                          <w:rFonts w:eastAsia="Times New Roman" w:cstheme="minorHAnsi"/>
                          <w:sz w:val="22"/>
                          <w:szCs w:val="22"/>
                        </w:rPr>
                        <w:t xml:space="preserve">Version 1.0 – 27 </w:t>
                      </w:r>
                      <w:r w:rsidR="00673116" w:rsidRPr="00673116">
                        <w:rPr>
                          <w:rFonts w:eastAsia="Times New Roman" w:cstheme="minorHAnsi"/>
                          <w:sz w:val="22"/>
                          <w:szCs w:val="22"/>
                        </w:rPr>
                        <w:t>November 2024</w:t>
                      </w:r>
                    </w:p>
                    <w:p w14:paraId="246EE87B" w14:textId="6DA3924E" w:rsidR="002F10FF" w:rsidRDefault="002F10FF"/>
                  </w:txbxContent>
                </v:textbox>
                <w10:wrap type="square" anchorx="margin"/>
              </v:shape>
            </w:pict>
          </mc:Fallback>
        </mc:AlternateContent>
      </w:r>
      <w:r w:rsidR="00F0346E" w:rsidRPr="00F0346E">
        <w:rPr>
          <w:noProof/>
        </w:rPr>
        <w:drawing>
          <wp:anchor distT="0" distB="0" distL="114300" distR="114300" simplePos="0" relativeHeight="251658240" behindDoc="0" locked="0" layoutInCell="1" allowOverlap="1" wp14:anchorId="04782734" wp14:editId="7B23919E">
            <wp:simplePos x="0" y="0"/>
            <wp:positionH relativeFrom="page">
              <wp:align>center</wp:align>
            </wp:positionH>
            <wp:positionV relativeFrom="paragraph">
              <wp:posOffset>826135</wp:posOffset>
            </wp:positionV>
            <wp:extent cx="7191375" cy="6203315"/>
            <wp:effectExtent l="0" t="0" r="0" b="0"/>
            <wp:wrapSquare wrapText="bothSides"/>
            <wp:docPr id="1658779682"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1375" cy="6203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D9">
        <w:rPr>
          <w:lang w:eastAsia="en-US"/>
        </w:rPr>
        <w:br w:type="page"/>
      </w:r>
    </w:p>
    <w:p w14:paraId="32B81E8A" w14:textId="596D1116" w:rsidR="00F26E9E" w:rsidRPr="00D8732E" w:rsidRDefault="00F26E9E" w:rsidP="00D8732E">
      <w:pPr>
        <w:pStyle w:val="Heading1"/>
        <w:keepNext w:val="0"/>
        <w:keepLines w:val="0"/>
        <w:spacing w:after="0"/>
        <w:rPr>
          <w:rFonts w:ascii="Calibri" w:eastAsia="Times New Roman" w:hAnsi="Calibri" w:cs="Calibri"/>
          <w:b/>
          <w:color w:val="000000" w:themeColor="text1"/>
          <w:kern w:val="32"/>
          <w:szCs w:val="24"/>
          <w:lang w:eastAsia="en-US"/>
        </w:rPr>
      </w:pPr>
      <w:bookmarkStart w:id="0" w:name="_Toc183616683"/>
      <w:r w:rsidRPr="00D8732E">
        <w:rPr>
          <w:rFonts w:ascii="Calibri" w:eastAsia="Times New Roman" w:hAnsi="Calibri" w:cs="Calibri"/>
          <w:b/>
          <w:color w:val="000000" w:themeColor="text1"/>
          <w:kern w:val="32"/>
          <w:szCs w:val="24"/>
          <w:lang w:eastAsia="en-US"/>
        </w:rPr>
        <w:t>Disclaimer</w:t>
      </w:r>
      <w:bookmarkEnd w:id="0"/>
    </w:p>
    <w:p w14:paraId="5C7871CB" w14:textId="516710F1" w:rsidR="00F26E9E" w:rsidRPr="00EB4841" w:rsidRDefault="00F26E9E" w:rsidP="00EB4841">
      <w:pPr>
        <w:spacing w:before="240"/>
        <w:rPr>
          <w:sz w:val="22"/>
          <w:szCs w:val="22"/>
        </w:rPr>
      </w:pPr>
      <w:r w:rsidRPr="00EB4841">
        <w:rPr>
          <w:sz w:val="22"/>
          <w:szCs w:val="22"/>
        </w:rPr>
        <w:t>This</w:t>
      </w:r>
      <w:r w:rsidRPr="00EB4841">
        <w:rPr>
          <w:i/>
          <w:sz w:val="22"/>
          <w:szCs w:val="22"/>
        </w:rPr>
        <w:t xml:space="preserve"> </w:t>
      </w:r>
      <w:r w:rsidRPr="00EB4841">
        <w:rPr>
          <w:sz w:val="22"/>
          <w:szCs w:val="22"/>
        </w:rPr>
        <w:t>guideline has been developed by the Clean Energy Regulator (</w:t>
      </w:r>
      <w:r w:rsidR="00CE2459" w:rsidRPr="00EB4841">
        <w:rPr>
          <w:sz w:val="22"/>
          <w:szCs w:val="22"/>
        </w:rPr>
        <w:t>CER</w:t>
      </w:r>
      <w:r w:rsidRPr="00EB4841">
        <w:rPr>
          <w:sz w:val="22"/>
          <w:szCs w:val="22"/>
        </w:rPr>
        <w:t xml:space="preserve">) to assist entities to comply with their reporting obligations under the </w:t>
      </w:r>
      <w:hyperlink r:id="rId10" w:history="1">
        <w:r w:rsidRPr="00EB4841">
          <w:rPr>
            <w:rStyle w:val="Hyperlink"/>
            <w:i/>
            <w:szCs w:val="22"/>
          </w:rPr>
          <w:t>National Greenhouse and Energy Reporting Act 2007</w:t>
        </w:r>
      </w:hyperlink>
      <w:bookmarkStart w:id="1" w:name="_Ref105748531"/>
      <w:r w:rsidRPr="00EB4841">
        <w:rPr>
          <w:rStyle w:val="FootnoteReference"/>
          <w:color w:val="000000"/>
          <w:sz w:val="22"/>
          <w:szCs w:val="22"/>
        </w:rPr>
        <w:footnoteReference w:id="2"/>
      </w:r>
      <w:bookmarkEnd w:id="1"/>
      <w:r w:rsidRPr="00EB4841">
        <w:rPr>
          <w:i/>
          <w:sz w:val="22"/>
          <w:szCs w:val="22"/>
        </w:rPr>
        <w:t xml:space="preserve"> </w:t>
      </w:r>
      <w:r w:rsidRPr="00EB4841">
        <w:rPr>
          <w:sz w:val="22"/>
          <w:szCs w:val="22"/>
        </w:rPr>
        <w:t>(NGER Act)</w:t>
      </w:r>
      <w:r w:rsidRPr="00EB4841">
        <w:rPr>
          <w:i/>
          <w:sz w:val="22"/>
          <w:szCs w:val="22"/>
        </w:rPr>
        <w:t xml:space="preserve"> </w:t>
      </w:r>
      <w:r w:rsidRPr="00EB4841">
        <w:rPr>
          <w:sz w:val="22"/>
          <w:szCs w:val="22"/>
        </w:rPr>
        <w:t>and associated legislation.</w:t>
      </w:r>
    </w:p>
    <w:p w14:paraId="13B25489" w14:textId="17EA9ED6" w:rsidR="00F26E9E" w:rsidRPr="00EB4841" w:rsidRDefault="00F26E9E" w:rsidP="00EB4841">
      <w:pPr>
        <w:rPr>
          <w:sz w:val="22"/>
          <w:szCs w:val="22"/>
        </w:rPr>
      </w:pPr>
      <w:r w:rsidRPr="00EB4841">
        <w:rPr>
          <w:sz w:val="22"/>
          <w:szCs w:val="22"/>
        </w:rPr>
        <w:t xml:space="preserve">This guideline should be read in conjunction with the NGER Act, </w:t>
      </w:r>
      <w:hyperlink r:id="rId11" w:history="1">
        <w:r w:rsidRPr="00EB4841">
          <w:rPr>
            <w:rStyle w:val="Hyperlink"/>
            <w:szCs w:val="22"/>
          </w:rPr>
          <w:t>National Greenhouse and Energy Regulations 2008</w:t>
        </w:r>
      </w:hyperlink>
      <w:r w:rsidRPr="00EB4841">
        <w:rPr>
          <w:rStyle w:val="FootnoteReference"/>
          <w:color w:val="000000"/>
          <w:sz w:val="22"/>
          <w:szCs w:val="22"/>
        </w:rPr>
        <w:footnoteReference w:id="3"/>
      </w:r>
      <w:r w:rsidRPr="00EB4841">
        <w:rPr>
          <w:color w:val="000000"/>
          <w:sz w:val="22"/>
          <w:szCs w:val="22"/>
        </w:rPr>
        <w:t xml:space="preserve"> (</w:t>
      </w:r>
      <w:r w:rsidRPr="00EB4841">
        <w:rPr>
          <w:sz w:val="22"/>
          <w:szCs w:val="22"/>
        </w:rPr>
        <w:t xml:space="preserve">NGER Regulations), and </w:t>
      </w:r>
      <w:hyperlink r:id="rId12" w:history="1">
        <w:r w:rsidRPr="00EB4841">
          <w:rPr>
            <w:rStyle w:val="Hyperlink"/>
            <w:szCs w:val="22"/>
          </w:rPr>
          <w:t>National Greenhouse and Energy Reporting (Measurement) Determination 2008</w:t>
        </w:r>
      </w:hyperlink>
      <w:r w:rsidRPr="00EB4841">
        <w:rPr>
          <w:rStyle w:val="FootnoteReference"/>
          <w:color w:val="000000"/>
          <w:sz w:val="22"/>
          <w:szCs w:val="22"/>
        </w:rPr>
        <w:footnoteReference w:id="4"/>
      </w:r>
      <w:r w:rsidRPr="00EB4841">
        <w:rPr>
          <w:sz w:val="22"/>
          <w:szCs w:val="22"/>
        </w:rPr>
        <w:t xml:space="preserve"> (NGER Measurement Determination), </w:t>
      </w:r>
      <w:r w:rsidRPr="0020128E">
        <w:rPr>
          <w:sz w:val="22"/>
          <w:szCs w:val="22"/>
        </w:rPr>
        <w:t>as in force for this reporting period.</w:t>
      </w:r>
      <w:r w:rsidRPr="008A49C8">
        <w:rPr>
          <w:sz w:val="22"/>
          <w:szCs w:val="22"/>
        </w:rPr>
        <w:t xml:space="preserve"> These</w:t>
      </w:r>
      <w:r w:rsidRPr="00EB4841">
        <w:rPr>
          <w:sz w:val="22"/>
          <w:szCs w:val="22"/>
        </w:rPr>
        <w:t xml:space="preserve"> laws and their interpretation are subject to change, which may affect the accuracy of the information contained in the guideline.</w:t>
      </w:r>
    </w:p>
    <w:p w14:paraId="3B61D2CD" w14:textId="67239705" w:rsidR="00F26E9E" w:rsidRPr="00EB4841" w:rsidRDefault="00F26E9E" w:rsidP="00EB4841">
      <w:pPr>
        <w:rPr>
          <w:sz w:val="22"/>
          <w:szCs w:val="22"/>
        </w:rPr>
      </w:pPr>
      <w:r w:rsidRPr="00EB4841">
        <w:rPr>
          <w:sz w:val="22"/>
          <w:szCs w:val="22"/>
        </w:rPr>
        <w:t xml:space="preserve">The guidance provided in this document is not exhaustive, nor does it consider all circumstances applicable to all entities. This guidance is not intended to comprehensively deal with its subject area, and it is not a substitute for independent legal advice. Although entities are not bound to follow the guidance provided in this document, they must ensure they meet their obligations under the </w:t>
      </w:r>
      <w:hyperlink r:id="rId13" w:history="1">
        <w:r w:rsidRPr="00EB4841">
          <w:rPr>
            <w:rStyle w:val="Hyperlink"/>
            <w:szCs w:val="22"/>
          </w:rPr>
          <w:t xml:space="preserve">National Greenhouse and Energy Reporting (NGER) </w:t>
        </w:r>
        <w:r w:rsidR="001E3C22">
          <w:rPr>
            <w:rStyle w:val="Hyperlink"/>
            <w:szCs w:val="22"/>
          </w:rPr>
          <w:t>S</w:t>
        </w:r>
        <w:r w:rsidRPr="00EB4841">
          <w:rPr>
            <w:rStyle w:val="Hyperlink"/>
            <w:szCs w:val="22"/>
          </w:rPr>
          <w:t>cheme</w:t>
        </w:r>
      </w:hyperlink>
      <w:r w:rsidRPr="00EB4841">
        <w:rPr>
          <w:rStyle w:val="FootnoteReference"/>
          <w:sz w:val="22"/>
          <w:szCs w:val="22"/>
        </w:rPr>
        <w:footnoteReference w:id="5"/>
      </w:r>
      <w:r w:rsidRPr="00EB4841">
        <w:rPr>
          <w:sz w:val="22"/>
          <w:szCs w:val="22"/>
        </w:rPr>
        <w:t xml:space="preserve"> at all times. The </w:t>
      </w:r>
      <w:r w:rsidR="00D81136" w:rsidRPr="00EB4841">
        <w:rPr>
          <w:sz w:val="22"/>
          <w:szCs w:val="22"/>
        </w:rPr>
        <w:t xml:space="preserve">CER </w:t>
      </w:r>
      <w:r w:rsidRPr="00EB4841">
        <w:rPr>
          <w:sz w:val="22"/>
          <w:szCs w:val="22"/>
        </w:rPr>
        <w:t xml:space="preserve">encourages all users of this guidance to seek independent legal advice before taking any action or decision </w:t>
      </w:r>
      <w:proofErr w:type="gramStart"/>
      <w:r w:rsidRPr="00EB4841">
        <w:rPr>
          <w:sz w:val="22"/>
          <w:szCs w:val="22"/>
        </w:rPr>
        <w:t>on the basis of</w:t>
      </w:r>
      <w:proofErr w:type="gramEnd"/>
      <w:r w:rsidRPr="00EB4841">
        <w:rPr>
          <w:sz w:val="22"/>
          <w:szCs w:val="22"/>
        </w:rPr>
        <w:t xml:space="preserve"> this guidance.</w:t>
      </w:r>
    </w:p>
    <w:p w14:paraId="32E0E3CE" w14:textId="10A560F7" w:rsidR="00F26E9E" w:rsidRPr="00EB4841" w:rsidRDefault="00F26E9E" w:rsidP="00EB4841">
      <w:pPr>
        <w:rPr>
          <w:sz w:val="22"/>
          <w:szCs w:val="22"/>
        </w:rPr>
      </w:pPr>
      <w:r w:rsidRPr="00EB4841">
        <w:rPr>
          <w:sz w:val="22"/>
          <w:szCs w:val="22"/>
        </w:rPr>
        <w:t xml:space="preserve">The </w:t>
      </w:r>
      <w:r w:rsidR="00D81136" w:rsidRPr="00EB4841">
        <w:rPr>
          <w:sz w:val="22"/>
          <w:szCs w:val="22"/>
        </w:rPr>
        <w:t xml:space="preserve">CER </w:t>
      </w:r>
      <w:r w:rsidRPr="00EB4841">
        <w:rPr>
          <w:sz w:val="22"/>
          <w:szCs w:val="22"/>
        </w:rPr>
        <w:t>and the Australian Government will not be liable for any loss or damage from any cause (including negligence) whether arising directly, incidentally or as consequential loss, out of or in connection with, any use of this guideline or reliance on it, for any purpose.</w:t>
      </w:r>
    </w:p>
    <w:p w14:paraId="78902DCC" w14:textId="338597E2" w:rsidR="00F26E9E" w:rsidRPr="00EB4841" w:rsidRDefault="00F26E9E" w:rsidP="00F26E9E">
      <w:pPr>
        <w:rPr>
          <w:sz w:val="22"/>
          <w:szCs w:val="22"/>
        </w:rPr>
      </w:pPr>
      <w:r w:rsidRPr="00EB4841">
        <w:rPr>
          <w:sz w:val="22"/>
          <w:szCs w:val="22"/>
        </w:rPr>
        <w:t xml:space="preserve">If an entity chooses to meet their obligations under the NGER scheme in a manner that is inconsistent with the guidance provided in this document, the </w:t>
      </w:r>
      <w:r w:rsidR="00D81136" w:rsidRPr="00EB4841">
        <w:rPr>
          <w:sz w:val="22"/>
          <w:szCs w:val="22"/>
        </w:rPr>
        <w:t>CER</w:t>
      </w:r>
      <w:r w:rsidRPr="00EB4841">
        <w:rPr>
          <w:sz w:val="22"/>
          <w:szCs w:val="22"/>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4338667F" w14:textId="17874157" w:rsidR="00F26E9E" w:rsidRDefault="00F26E9E">
      <w:pPr>
        <w:spacing w:after="0"/>
        <w:rPr>
          <w:rFonts w:eastAsia="Times New Roman"/>
          <w:b/>
          <w:bCs/>
          <w:color w:val="005874"/>
          <w:kern w:val="32"/>
          <w:sz w:val="40"/>
        </w:rPr>
      </w:pPr>
      <w:r>
        <w:br w:type="page"/>
      </w:r>
    </w:p>
    <w:p w14:paraId="4C618EE5" w14:textId="61382D8D" w:rsidR="00AA44D9" w:rsidRPr="005B4578" w:rsidRDefault="00AA44D9" w:rsidP="005B4578">
      <w:pPr>
        <w:pStyle w:val="Heading1"/>
        <w:keepNext w:val="0"/>
        <w:keepLines w:val="0"/>
        <w:spacing w:after="0"/>
        <w:rPr>
          <w:rFonts w:ascii="Calibri" w:eastAsia="Times New Roman" w:hAnsi="Calibri" w:cs="Calibri"/>
          <w:b/>
          <w:color w:val="000000" w:themeColor="text1"/>
          <w:kern w:val="32"/>
          <w:szCs w:val="24"/>
          <w:lang w:eastAsia="en-US"/>
        </w:rPr>
      </w:pPr>
      <w:bookmarkStart w:id="2" w:name="_Toc183616684"/>
      <w:r w:rsidRPr="005B4578">
        <w:rPr>
          <w:rFonts w:ascii="Calibri" w:eastAsia="Times New Roman" w:hAnsi="Calibri" w:cs="Calibri"/>
          <w:b/>
          <w:color w:val="000000" w:themeColor="text1"/>
          <w:kern w:val="32"/>
          <w:szCs w:val="24"/>
          <w:lang w:eastAsia="en-US"/>
        </w:rPr>
        <w:t>Introduction</w:t>
      </w:r>
      <w:bookmarkEnd w:id="2"/>
    </w:p>
    <w:p w14:paraId="5E32E6B1" w14:textId="7F0842AF" w:rsidR="004E5DAF" w:rsidRDefault="00E312C6" w:rsidP="005B4578">
      <w:pPr>
        <w:spacing w:before="240"/>
        <w:rPr>
          <w:sz w:val="22"/>
          <w:szCs w:val="22"/>
        </w:rPr>
      </w:pPr>
      <w:r w:rsidRPr="005B4578">
        <w:rPr>
          <w:sz w:val="22"/>
          <w:szCs w:val="22"/>
        </w:rPr>
        <w:t xml:space="preserve">A controlling corporation registered under the </w:t>
      </w:r>
      <w:r w:rsidR="003939A0" w:rsidRPr="005B4578">
        <w:rPr>
          <w:i/>
          <w:sz w:val="22"/>
          <w:szCs w:val="22"/>
        </w:rPr>
        <w:t>National Greenhouse and Energy Reporting Act 2007</w:t>
      </w:r>
      <w:r w:rsidR="003939A0" w:rsidRPr="005B4578">
        <w:rPr>
          <w:sz w:val="22"/>
          <w:szCs w:val="22"/>
        </w:rPr>
        <w:t xml:space="preserve"> (NGER Act) </w:t>
      </w:r>
      <w:r w:rsidRPr="005B4578">
        <w:rPr>
          <w:sz w:val="22"/>
          <w:szCs w:val="22"/>
        </w:rPr>
        <w:t>is required to submit a section 19 report</w:t>
      </w:r>
      <w:r w:rsidR="00324814" w:rsidRPr="005B4578">
        <w:rPr>
          <w:sz w:val="22"/>
          <w:szCs w:val="22"/>
        </w:rPr>
        <w:t xml:space="preserve"> </w:t>
      </w:r>
      <w:r w:rsidR="00E42CEE">
        <w:rPr>
          <w:sz w:val="22"/>
          <w:szCs w:val="22"/>
        </w:rPr>
        <w:t>each</w:t>
      </w:r>
      <w:r w:rsidRPr="005B4578">
        <w:rPr>
          <w:sz w:val="22"/>
          <w:szCs w:val="22"/>
        </w:rPr>
        <w:t xml:space="preserve"> year it is registered. </w:t>
      </w:r>
      <w:r w:rsidR="009C6773" w:rsidRPr="005B4578">
        <w:rPr>
          <w:sz w:val="22"/>
          <w:szCs w:val="22"/>
        </w:rPr>
        <w:t>This</w:t>
      </w:r>
      <w:r w:rsidRPr="005B4578">
        <w:rPr>
          <w:sz w:val="22"/>
          <w:szCs w:val="22"/>
        </w:rPr>
        <w:t xml:space="preserve"> report relates to the greenhouse gas emissions, energy production and energy consumption from facilities</w:t>
      </w:r>
      <w:r w:rsidR="00137B79">
        <w:rPr>
          <w:sz w:val="22"/>
          <w:szCs w:val="22"/>
        </w:rPr>
        <w:t xml:space="preserve"> </w:t>
      </w:r>
      <w:r w:rsidR="00137B79" w:rsidRPr="00B33525">
        <w:rPr>
          <w:sz w:val="22"/>
          <w:szCs w:val="22"/>
        </w:rPr>
        <w:t xml:space="preserve">under </w:t>
      </w:r>
      <w:r w:rsidR="00137B79">
        <w:rPr>
          <w:sz w:val="22"/>
          <w:szCs w:val="22"/>
        </w:rPr>
        <w:t xml:space="preserve">either </w:t>
      </w:r>
      <w:r w:rsidR="00137B79" w:rsidRPr="00B33525">
        <w:rPr>
          <w:sz w:val="22"/>
          <w:szCs w:val="22"/>
        </w:rPr>
        <w:t>the operational control</w:t>
      </w:r>
      <w:r w:rsidR="00A65E5B">
        <w:rPr>
          <w:sz w:val="22"/>
          <w:szCs w:val="22"/>
        </w:rPr>
        <w:t xml:space="preserve"> of</w:t>
      </w:r>
      <w:r w:rsidR="004E5DAF">
        <w:rPr>
          <w:sz w:val="22"/>
          <w:szCs w:val="22"/>
        </w:rPr>
        <w:t>:</w:t>
      </w:r>
    </w:p>
    <w:p w14:paraId="50EA3C8B" w14:textId="45D1120E" w:rsidR="004E5DAF" w:rsidRPr="003B0E61" w:rsidRDefault="00E312C6" w:rsidP="003B0E61">
      <w:pPr>
        <w:pStyle w:val="CERbullets"/>
        <w:rPr>
          <w:sz w:val="22"/>
          <w:szCs w:val="22"/>
        </w:rPr>
      </w:pPr>
      <w:r w:rsidRPr="003B0E61">
        <w:rPr>
          <w:sz w:val="22"/>
          <w:szCs w:val="22"/>
        </w:rPr>
        <w:t xml:space="preserve"> a controlling corporation</w:t>
      </w:r>
    </w:p>
    <w:p w14:paraId="2917CEF4" w14:textId="40C1E45B" w:rsidR="00E312C6" w:rsidRPr="003B0E61" w:rsidRDefault="00E312C6" w:rsidP="003B0E61">
      <w:pPr>
        <w:pStyle w:val="CERbullets"/>
        <w:rPr>
          <w:sz w:val="22"/>
          <w:szCs w:val="22"/>
        </w:rPr>
      </w:pPr>
      <w:r w:rsidRPr="003B0E61">
        <w:rPr>
          <w:sz w:val="22"/>
          <w:szCs w:val="22"/>
        </w:rPr>
        <w:t xml:space="preserve"> members of its corporate group. </w:t>
      </w:r>
    </w:p>
    <w:p w14:paraId="3AF0222C" w14:textId="4F4536BF" w:rsidR="00F14174" w:rsidRPr="005B4578" w:rsidRDefault="00AA44D9" w:rsidP="005B4578">
      <w:pPr>
        <w:spacing w:before="240"/>
        <w:rPr>
          <w:sz w:val="22"/>
          <w:szCs w:val="22"/>
        </w:rPr>
      </w:pPr>
      <w:r w:rsidRPr="005B4578">
        <w:rPr>
          <w:sz w:val="22"/>
          <w:szCs w:val="22"/>
        </w:rPr>
        <w:t>This document explains how reporting obligations for facilit</w:t>
      </w:r>
      <w:r w:rsidR="00C4334A" w:rsidRPr="005B4578">
        <w:rPr>
          <w:sz w:val="22"/>
          <w:szCs w:val="22"/>
        </w:rPr>
        <w:t>ies</w:t>
      </w:r>
      <w:r w:rsidRPr="005B4578">
        <w:rPr>
          <w:sz w:val="22"/>
          <w:szCs w:val="22"/>
        </w:rPr>
        <w:t xml:space="preserve"> can be transferred </w:t>
      </w:r>
      <w:r w:rsidR="005156FB" w:rsidRPr="005B4578">
        <w:rPr>
          <w:sz w:val="22"/>
          <w:szCs w:val="22"/>
        </w:rPr>
        <w:t xml:space="preserve">from </w:t>
      </w:r>
      <w:r w:rsidR="00085970" w:rsidRPr="005B4578">
        <w:rPr>
          <w:sz w:val="22"/>
          <w:szCs w:val="22"/>
        </w:rPr>
        <w:t>a controlling corpo</w:t>
      </w:r>
      <w:r w:rsidR="00D308DC" w:rsidRPr="005B4578">
        <w:rPr>
          <w:sz w:val="22"/>
          <w:szCs w:val="22"/>
        </w:rPr>
        <w:t>r</w:t>
      </w:r>
      <w:r w:rsidR="00515A5D" w:rsidRPr="005B4578">
        <w:rPr>
          <w:sz w:val="22"/>
          <w:szCs w:val="22"/>
        </w:rPr>
        <w:t>ation</w:t>
      </w:r>
      <w:r w:rsidR="0001512D" w:rsidRPr="005B4578">
        <w:rPr>
          <w:sz w:val="22"/>
          <w:szCs w:val="22"/>
        </w:rPr>
        <w:t xml:space="preserve"> to the group member</w:t>
      </w:r>
      <w:r w:rsidR="00C8243D" w:rsidRPr="005B4578">
        <w:rPr>
          <w:sz w:val="22"/>
          <w:szCs w:val="22"/>
        </w:rPr>
        <w:t xml:space="preserve"> with operational control over th</w:t>
      </w:r>
      <w:r w:rsidR="00C4334A" w:rsidRPr="005B4578">
        <w:rPr>
          <w:sz w:val="22"/>
          <w:szCs w:val="22"/>
        </w:rPr>
        <w:t>ose</w:t>
      </w:r>
      <w:r w:rsidR="00C8243D" w:rsidRPr="005B4578">
        <w:rPr>
          <w:sz w:val="22"/>
          <w:szCs w:val="22"/>
        </w:rPr>
        <w:t xml:space="preserve"> facilit</w:t>
      </w:r>
      <w:r w:rsidR="00C4334A" w:rsidRPr="005B4578">
        <w:rPr>
          <w:sz w:val="22"/>
          <w:szCs w:val="22"/>
        </w:rPr>
        <w:t>ies</w:t>
      </w:r>
      <w:r w:rsidR="00C8243D" w:rsidRPr="005B4578">
        <w:rPr>
          <w:sz w:val="22"/>
          <w:szCs w:val="22"/>
        </w:rPr>
        <w:t xml:space="preserve">.  </w:t>
      </w:r>
    </w:p>
    <w:p w14:paraId="2955A12F" w14:textId="245F1F81" w:rsidR="00AA44D9" w:rsidRPr="008E0AB5" w:rsidRDefault="00AA44D9" w:rsidP="005B4578">
      <w:pPr>
        <w:pStyle w:val="Heading1"/>
        <w:keepNext w:val="0"/>
        <w:keepLines w:val="0"/>
        <w:spacing w:after="0"/>
      </w:pPr>
      <w:bookmarkStart w:id="3" w:name="_Toc183616685"/>
      <w:r w:rsidRPr="005B4578">
        <w:rPr>
          <w:rFonts w:ascii="Calibri" w:eastAsia="Times New Roman" w:hAnsi="Calibri" w:cs="Calibri"/>
          <w:b/>
          <w:color w:val="000000" w:themeColor="text1"/>
          <w:kern w:val="32"/>
          <w:szCs w:val="24"/>
          <w:lang w:eastAsia="en-US"/>
        </w:rPr>
        <w:t>22X agreement</w:t>
      </w:r>
      <w:r w:rsidR="000A0DE1" w:rsidRPr="005B4578">
        <w:rPr>
          <w:rFonts w:ascii="Calibri" w:eastAsia="Times New Roman" w:hAnsi="Calibri" w:cs="Calibri"/>
          <w:b/>
          <w:color w:val="000000" w:themeColor="text1"/>
          <w:kern w:val="32"/>
          <w:szCs w:val="24"/>
          <w:lang w:eastAsia="en-US"/>
        </w:rPr>
        <w:t>s</w:t>
      </w:r>
      <w:bookmarkEnd w:id="3"/>
    </w:p>
    <w:p w14:paraId="6BE6496E" w14:textId="2005229C" w:rsidR="00615EA8" w:rsidRDefault="00F96A5D" w:rsidP="005B4578">
      <w:pPr>
        <w:pStyle w:val="CommentText"/>
        <w:spacing w:before="240"/>
        <w:rPr>
          <w:sz w:val="22"/>
          <w:szCs w:val="22"/>
        </w:rPr>
      </w:pPr>
      <w:r>
        <w:rPr>
          <w:sz w:val="22"/>
          <w:szCs w:val="22"/>
        </w:rPr>
        <w:t>A</w:t>
      </w:r>
      <w:r w:rsidR="00AA44D9" w:rsidRPr="4020E074">
        <w:rPr>
          <w:sz w:val="22"/>
          <w:szCs w:val="22"/>
        </w:rPr>
        <w:t xml:space="preserve"> controlling corporation </w:t>
      </w:r>
      <w:r w:rsidR="00E8022D">
        <w:rPr>
          <w:sz w:val="22"/>
          <w:szCs w:val="22"/>
        </w:rPr>
        <w:t>may</w:t>
      </w:r>
      <w:r w:rsidR="00FC7393">
        <w:rPr>
          <w:sz w:val="22"/>
          <w:szCs w:val="22"/>
        </w:rPr>
        <w:t xml:space="preserve"> cho</w:t>
      </w:r>
      <w:r w:rsidR="00B203E0">
        <w:rPr>
          <w:sz w:val="22"/>
          <w:szCs w:val="22"/>
        </w:rPr>
        <w:t>o</w:t>
      </w:r>
      <w:r w:rsidR="00FC7393">
        <w:rPr>
          <w:sz w:val="22"/>
          <w:szCs w:val="22"/>
        </w:rPr>
        <w:t>se to</w:t>
      </w:r>
      <w:r w:rsidR="00AA44D9" w:rsidRPr="4020E074">
        <w:rPr>
          <w:sz w:val="22"/>
          <w:szCs w:val="22"/>
        </w:rPr>
        <w:t xml:space="preserve"> transfer its section 19 reporting obligations</w:t>
      </w:r>
      <w:r w:rsidR="00F9506F">
        <w:rPr>
          <w:sz w:val="22"/>
          <w:szCs w:val="22"/>
        </w:rPr>
        <w:t xml:space="preserve"> </w:t>
      </w:r>
      <w:r w:rsidR="00AA44D9" w:rsidRPr="4020E074">
        <w:rPr>
          <w:sz w:val="22"/>
          <w:szCs w:val="22"/>
        </w:rPr>
        <w:t xml:space="preserve">to </w:t>
      </w:r>
      <w:r w:rsidR="00846331">
        <w:rPr>
          <w:sz w:val="22"/>
          <w:szCs w:val="22"/>
        </w:rPr>
        <w:t xml:space="preserve">group </w:t>
      </w:r>
      <w:r w:rsidR="00AA44D9" w:rsidRPr="4020E074">
        <w:rPr>
          <w:sz w:val="22"/>
          <w:szCs w:val="22"/>
        </w:rPr>
        <w:t>members within its corporate group</w:t>
      </w:r>
      <w:r w:rsidR="00C91135">
        <w:rPr>
          <w:rStyle w:val="FootnoteReference"/>
          <w:sz w:val="22"/>
          <w:szCs w:val="22"/>
        </w:rPr>
        <w:footnoteReference w:id="6"/>
      </w:r>
      <w:r w:rsidR="00AA44D9" w:rsidRPr="4020E074">
        <w:rPr>
          <w:sz w:val="22"/>
          <w:szCs w:val="22"/>
        </w:rPr>
        <w:t xml:space="preserve">. </w:t>
      </w:r>
      <w:r w:rsidR="00A44851">
        <w:rPr>
          <w:sz w:val="22"/>
          <w:szCs w:val="22"/>
        </w:rPr>
        <w:t xml:space="preserve">If you are considering a 22X agreement, you must be aware </w:t>
      </w:r>
      <w:r w:rsidR="00A84B5F">
        <w:rPr>
          <w:sz w:val="22"/>
          <w:szCs w:val="22"/>
        </w:rPr>
        <w:t>of the following</w:t>
      </w:r>
      <w:r w:rsidR="00A44851">
        <w:rPr>
          <w:sz w:val="22"/>
          <w:szCs w:val="22"/>
        </w:rPr>
        <w:t>:</w:t>
      </w:r>
    </w:p>
    <w:p w14:paraId="733CE911" w14:textId="62558A85" w:rsidR="00A16FCA" w:rsidRPr="003B0E61" w:rsidRDefault="00AA44D9" w:rsidP="003B0E61">
      <w:pPr>
        <w:pStyle w:val="CERbullets"/>
        <w:rPr>
          <w:sz w:val="22"/>
          <w:szCs w:val="22"/>
        </w:rPr>
      </w:pPr>
      <w:r w:rsidRPr="003B0E61">
        <w:rPr>
          <w:sz w:val="22"/>
          <w:szCs w:val="22"/>
        </w:rPr>
        <w:t xml:space="preserve">The group member taking on reporting obligations must have </w:t>
      </w:r>
      <w:hyperlink r:id="rId14" w:history="1">
        <w:r w:rsidRPr="003B0E61">
          <w:rPr>
            <w:sz w:val="22"/>
            <w:szCs w:val="22"/>
          </w:rPr>
          <w:t>operational contro</w:t>
        </w:r>
        <w:r w:rsidR="2066EFCD" w:rsidRPr="003B0E61">
          <w:rPr>
            <w:sz w:val="22"/>
            <w:szCs w:val="22"/>
          </w:rPr>
          <w:t>l</w:t>
        </w:r>
      </w:hyperlink>
      <w:r w:rsidR="00D9390D" w:rsidRPr="003B0E61">
        <w:rPr>
          <w:rStyle w:val="FootnoteReference"/>
          <w:sz w:val="22"/>
          <w:szCs w:val="22"/>
        </w:rPr>
        <w:footnoteReference w:id="7"/>
      </w:r>
      <w:r w:rsidR="00352694" w:rsidRPr="0036776D">
        <w:rPr>
          <w:rStyle w:val="Hyperlink"/>
          <w:color w:val="auto"/>
          <w:szCs w:val="22"/>
          <w:u w:val="none"/>
        </w:rPr>
        <w:t xml:space="preserve"> </w:t>
      </w:r>
      <w:r w:rsidR="00E52368" w:rsidRPr="0036776D">
        <w:rPr>
          <w:rStyle w:val="Hyperlink"/>
          <w:color w:val="auto"/>
          <w:szCs w:val="22"/>
          <w:u w:val="none"/>
        </w:rPr>
        <w:t>of the facilit</w:t>
      </w:r>
      <w:r w:rsidRPr="0036776D">
        <w:rPr>
          <w:sz w:val="22"/>
          <w:szCs w:val="22"/>
        </w:rPr>
        <w:t xml:space="preserve">ies </w:t>
      </w:r>
      <w:r w:rsidRPr="003B0E61">
        <w:rPr>
          <w:sz w:val="22"/>
          <w:szCs w:val="22"/>
        </w:rPr>
        <w:t>that are the subject of the agreement.</w:t>
      </w:r>
      <w:r w:rsidR="00601A37" w:rsidRPr="003B0E61">
        <w:rPr>
          <w:sz w:val="22"/>
          <w:szCs w:val="22"/>
        </w:rPr>
        <w:t xml:space="preserve"> </w:t>
      </w:r>
    </w:p>
    <w:p w14:paraId="4272360D" w14:textId="372A6857" w:rsidR="005B2704" w:rsidRPr="003B0E61" w:rsidRDefault="005B2704" w:rsidP="003B0E61">
      <w:pPr>
        <w:pStyle w:val="CERbullets"/>
        <w:rPr>
          <w:sz w:val="22"/>
          <w:szCs w:val="22"/>
        </w:rPr>
      </w:pPr>
      <w:r w:rsidRPr="003B0E61">
        <w:rPr>
          <w:sz w:val="22"/>
          <w:szCs w:val="22"/>
        </w:rPr>
        <w:t xml:space="preserve">The group member taking on the 22X reporting requirements does not need to register under the NGER Act. However, the executive officer and NGER contact person </w:t>
      </w:r>
      <w:r w:rsidR="00D76202" w:rsidRPr="003B0E61">
        <w:rPr>
          <w:sz w:val="22"/>
          <w:szCs w:val="22"/>
        </w:rPr>
        <w:t xml:space="preserve">need </w:t>
      </w:r>
      <w:hyperlink r:id="rId15" w:anchor="emissions-and-energy-reporting-system" w:history="1">
        <w:r w:rsidRPr="003B0E61">
          <w:rPr>
            <w:rStyle w:val="Hyperlink"/>
            <w:rFonts w:asciiTheme="minorHAnsi" w:hAnsiTheme="minorHAnsi"/>
            <w:szCs w:val="22"/>
          </w:rPr>
          <w:t>Client Portal</w:t>
        </w:r>
      </w:hyperlink>
      <w:r w:rsidR="00D22BFB">
        <w:rPr>
          <w:rStyle w:val="FootnoteReference"/>
          <w:color w:val="005874"/>
          <w:sz w:val="22"/>
          <w:szCs w:val="22"/>
          <w:u w:val="single"/>
        </w:rPr>
        <w:footnoteReference w:id="8"/>
      </w:r>
      <w:r w:rsidRPr="003B0E61">
        <w:rPr>
          <w:sz w:val="22"/>
          <w:szCs w:val="22"/>
        </w:rPr>
        <w:t xml:space="preserve"> accounts to </w:t>
      </w:r>
      <w:r w:rsidR="00B456A1" w:rsidRPr="003B0E61">
        <w:rPr>
          <w:sz w:val="22"/>
          <w:szCs w:val="22"/>
        </w:rPr>
        <w:t xml:space="preserve">submit a section 22X report in </w:t>
      </w:r>
      <w:r w:rsidRPr="003B0E61">
        <w:rPr>
          <w:sz w:val="22"/>
          <w:szCs w:val="22"/>
        </w:rPr>
        <w:t>the Emissions and Energy Reporting System (EERS).</w:t>
      </w:r>
    </w:p>
    <w:p w14:paraId="67F07805" w14:textId="13958976" w:rsidR="005B2704" w:rsidRPr="003B0E61" w:rsidRDefault="005B2704" w:rsidP="003B0E61">
      <w:pPr>
        <w:pStyle w:val="CERbullets"/>
        <w:rPr>
          <w:sz w:val="22"/>
          <w:szCs w:val="22"/>
        </w:rPr>
      </w:pPr>
      <w:r w:rsidRPr="003B0E61">
        <w:rPr>
          <w:sz w:val="22"/>
          <w:szCs w:val="22"/>
        </w:rPr>
        <w:t xml:space="preserve">When an agreement has been received by the </w:t>
      </w:r>
      <w:r w:rsidR="00A45A62" w:rsidRPr="003B0E61">
        <w:rPr>
          <w:sz w:val="22"/>
          <w:szCs w:val="22"/>
        </w:rPr>
        <w:t>CER</w:t>
      </w:r>
      <w:r w:rsidRPr="003B0E61">
        <w:rPr>
          <w:sz w:val="22"/>
          <w:szCs w:val="22"/>
        </w:rPr>
        <w:t>, a separate workspace in EERS will be created for the group member to enter data and submit an annual section 22X report.</w:t>
      </w:r>
    </w:p>
    <w:p w14:paraId="6419631B" w14:textId="0584DD7C" w:rsidR="008D2652" w:rsidRPr="003B0E61" w:rsidRDefault="008D2652" w:rsidP="003B0E61">
      <w:pPr>
        <w:pStyle w:val="CERbullets"/>
        <w:rPr>
          <w:rFonts w:ascii="Calibri" w:eastAsia="Calibri" w:hAnsi="Calibri" w:cs="Calibri"/>
          <w:color w:val="000000" w:themeColor="text1"/>
          <w:sz w:val="22"/>
          <w:szCs w:val="22"/>
        </w:rPr>
      </w:pPr>
      <w:r w:rsidRPr="003B0E61">
        <w:rPr>
          <w:sz w:val="22"/>
          <w:szCs w:val="22"/>
        </w:rPr>
        <w:t>Facilities subject to a 22X agreement will still count towards a controlling corporation’s corporate totals and threshold assessment under section 13 of the NGER Act.</w:t>
      </w:r>
      <w:r w:rsidR="7A583901" w:rsidRPr="003B0E61">
        <w:rPr>
          <w:sz w:val="22"/>
          <w:szCs w:val="22"/>
        </w:rPr>
        <w:t xml:space="preserve"> The CER</w:t>
      </w:r>
      <w:r w:rsidR="7A583901" w:rsidRPr="003B0E61">
        <w:rPr>
          <w:rFonts w:ascii="Calibri" w:eastAsia="Calibri" w:hAnsi="Calibri" w:cs="Calibri"/>
          <w:color w:val="000000" w:themeColor="text1"/>
          <w:sz w:val="22"/>
          <w:szCs w:val="22"/>
        </w:rPr>
        <w:t xml:space="preserve"> will connect the facilities reported under a section 22X agreement to the controlling corporation total once all</w:t>
      </w:r>
      <w:r w:rsidR="58B111D9" w:rsidRPr="003B0E61">
        <w:rPr>
          <w:rFonts w:ascii="Calibri" w:eastAsia="Calibri" w:hAnsi="Calibri" w:cs="Calibri"/>
          <w:color w:val="000000" w:themeColor="text1"/>
          <w:sz w:val="22"/>
          <w:szCs w:val="22"/>
        </w:rPr>
        <w:t xml:space="preserve"> reports have been submitted.</w:t>
      </w:r>
    </w:p>
    <w:p w14:paraId="13AA6B9F" w14:textId="158A09B9" w:rsidR="00D136B2" w:rsidRPr="003B0E61" w:rsidRDefault="00D136B2" w:rsidP="003B0E61">
      <w:pPr>
        <w:pStyle w:val="CERbullets"/>
        <w:rPr>
          <w:sz w:val="22"/>
          <w:szCs w:val="22"/>
        </w:rPr>
      </w:pPr>
      <w:r w:rsidRPr="003B0E61">
        <w:rPr>
          <w:sz w:val="22"/>
          <w:szCs w:val="22"/>
        </w:rPr>
        <w:t xml:space="preserve">The parties entering the agreement must notify </w:t>
      </w:r>
      <w:r w:rsidR="0012283F" w:rsidRPr="003B0E61">
        <w:rPr>
          <w:sz w:val="22"/>
          <w:szCs w:val="22"/>
        </w:rPr>
        <w:t>us</w:t>
      </w:r>
      <w:r w:rsidRPr="003B0E61">
        <w:rPr>
          <w:sz w:val="22"/>
          <w:szCs w:val="22"/>
        </w:rPr>
        <w:t xml:space="preserve"> in writing, </w:t>
      </w:r>
      <w:r w:rsidRPr="003B0E61">
        <w:rPr>
          <w:b/>
          <w:bCs/>
          <w:sz w:val="22"/>
          <w:szCs w:val="22"/>
        </w:rPr>
        <w:t>by 30 June</w:t>
      </w:r>
      <w:r w:rsidRPr="003B0E61">
        <w:rPr>
          <w:sz w:val="22"/>
          <w:szCs w:val="22"/>
        </w:rPr>
        <w:t xml:space="preserve"> of the financial year to which the agreement relates. </w:t>
      </w:r>
    </w:p>
    <w:p w14:paraId="357F3714" w14:textId="2AB36ADA" w:rsidR="0012283F" w:rsidRPr="003B0E61" w:rsidRDefault="005B2704" w:rsidP="003B0E61">
      <w:pPr>
        <w:pStyle w:val="CERbullets"/>
        <w:rPr>
          <w:sz w:val="22"/>
          <w:szCs w:val="22"/>
        </w:rPr>
      </w:pPr>
      <w:r w:rsidRPr="003B0E61">
        <w:rPr>
          <w:sz w:val="22"/>
          <w:szCs w:val="22"/>
        </w:rPr>
        <w:t xml:space="preserve">There is no application form for this process, instead a signed copy of the agreement should be sent to </w:t>
      </w:r>
      <w:hyperlink r:id="rId16" w:history="1">
        <w:r w:rsidR="0036776D">
          <w:rPr>
            <w:rStyle w:val="Hyperlink"/>
            <w:rFonts w:asciiTheme="minorHAnsi" w:hAnsiTheme="minorHAnsi"/>
            <w:szCs w:val="22"/>
          </w:rPr>
          <w:t>reporting@cer.gov.au</w:t>
        </w:r>
      </w:hyperlink>
      <w:r w:rsidR="00CA5EB1" w:rsidRPr="003B0E61">
        <w:rPr>
          <w:sz w:val="22"/>
          <w:szCs w:val="22"/>
        </w:rPr>
        <w:t>.</w:t>
      </w:r>
    </w:p>
    <w:p w14:paraId="54E8DAE9" w14:textId="74E86BC8" w:rsidR="00A10D5F" w:rsidRPr="003B0E61" w:rsidRDefault="003234AD" w:rsidP="003B0E61">
      <w:pPr>
        <w:pStyle w:val="CERbullets"/>
        <w:rPr>
          <w:rStyle w:val="Hyperlink"/>
          <w:rFonts w:asciiTheme="minorHAnsi" w:hAnsiTheme="minorHAnsi"/>
          <w:color w:val="000000" w:themeColor="text1"/>
          <w:szCs w:val="22"/>
          <w:u w:val="none"/>
        </w:rPr>
      </w:pPr>
      <w:r w:rsidRPr="003B0E61">
        <w:rPr>
          <w:sz w:val="22"/>
          <w:szCs w:val="22"/>
        </w:rPr>
        <w:t xml:space="preserve">Refer to </w:t>
      </w:r>
      <w:hyperlink w:anchor="_What_information_is" w:history="1">
        <w:r w:rsidR="003943F2">
          <w:rPr>
            <w:rStyle w:val="Hyperlink"/>
            <w:rFonts w:asciiTheme="minorHAnsi" w:hAnsiTheme="minorHAnsi"/>
            <w:szCs w:val="22"/>
          </w:rPr>
          <w:t>what information is required in a 22X agreement</w:t>
        </w:r>
      </w:hyperlink>
      <w:r w:rsidRPr="003B0E61">
        <w:rPr>
          <w:sz w:val="22"/>
          <w:szCs w:val="22"/>
        </w:rPr>
        <w:t xml:space="preserve"> for</w:t>
      </w:r>
      <w:r w:rsidR="003D6F1E" w:rsidRPr="003B0E61">
        <w:rPr>
          <w:sz w:val="22"/>
          <w:szCs w:val="22"/>
        </w:rPr>
        <w:t xml:space="preserve"> a checklist of</w:t>
      </w:r>
      <w:r w:rsidRPr="003B0E61">
        <w:rPr>
          <w:sz w:val="22"/>
          <w:szCs w:val="22"/>
        </w:rPr>
        <w:t xml:space="preserve"> information that should be included in a notification. </w:t>
      </w:r>
    </w:p>
    <w:p w14:paraId="66BC2A6C" w14:textId="41C08542" w:rsidR="00AA44D9" w:rsidRPr="00E10444" w:rsidRDefault="00102BDC" w:rsidP="00E10444">
      <w:pPr>
        <w:pStyle w:val="Heading2"/>
        <w:spacing w:before="280"/>
        <w:rPr>
          <w:rFonts w:asciiTheme="minorHAnsi" w:eastAsia="Times New Roman" w:hAnsiTheme="minorHAnsi" w:cstheme="minorHAnsi"/>
          <w:b/>
          <w:color w:val="000000" w:themeColor="text1"/>
          <w:sz w:val="32"/>
          <w:szCs w:val="32"/>
          <w:lang w:eastAsia="en-US"/>
        </w:rPr>
      </w:pPr>
      <w:bookmarkStart w:id="4" w:name="_Toc183616686"/>
      <w:r w:rsidRPr="00E10444">
        <w:rPr>
          <w:rFonts w:asciiTheme="minorHAnsi" w:eastAsia="Times New Roman" w:hAnsiTheme="minorHAnsi" w:cstheme="minorHAnsi"/>
          <w:b/>
          <w:color w:val="000000" w:themeColor="text1"/>
          <w:sz w:val="32"/>
          <w:szCs w:val="32"/>
          <w:lang w:eastAsia="en-US"/>
        </w:rPr>
        <w:t>Ongoing</w:t>
      </w:r>
      <w:r w:rsidR="00AD635A" w:rsidRPr="00E10444">
        <w:rPr>
          <w:rFonts w:asciiTheme="minorHAnsi" w:eastAsia="Times New Roman" w:hAnsiTheme="minorHAnsi" w:cstheme="minorHAnsi"/>
          <w:b/>
          <w:color w:val="000000" w:themeColor="text1"/>
          <w:sz w:val="32"/>
          <w:szCs w:val="32"/>
          <w:lang w:eastAsia="en-US"/>
        </w:rPr>
        <w:t xml:space="preserve"> requirements</w:t>
      </w:r>
      <w:r w:rsidR="003D00DF" w:rsidRPr="00E10444">
        <w:rPr>
          <w:rFonts w:asciiTheme="minorHAnsi" w:eastAsia="Times New Roman" w:hAnsiTheme="minorHAnsi" w:cstheme="minorHAnsi"/>
          <w:b/>
          <w:color w:val="000000" w:themeColor="text1"/>
          <w:sz w:val="32"/>
          <w:szCs w:val="32"/>
          <w:lang w:eastAsia="en-US"/>
        </w:rPr>
        <w:t xml:space="preserve"> </w:t>
      </w:r>
      <w:r w:rsidR="00AD635A" w:rsidRPr="00E10444">
        <w:rPr>
          <w:rFonts w:asciiTheme="minorHAnsi" w:eastAsia="Times New Roman" w:hAnsiTheme="minorHAnsi" w:cstheme="minorHAnsi"/>
          <w:b/>
          <w:color w:val="000000" w:themeColor="text1"/>
          <w:sz w:val="32"/>
          <w:szCs w:val="32"/>
          <w:lang w:eastAsia="en-US"/>
        </w:rPr>
        <w:t>for c</w:t>
      </w:r>
      <w:r w:rsidR="003D00DF" w:rsidRPr="00E10444">
        <w:rPr>
          <w:rFonts w:asciiTheme="minorHAnsi" w:eastAsia="Times New Roman" w:hAnsiTheme="minorHAnsi" w:cstheme="minorHAnsi"/>
          <w:b/>
          <w:color w:val="000000" w:themeColor="text1"/>
          <w:sz w:val="32"/>
          <w:szCs w:val="32"/>
          <w:lang w:eastAsia="en-US"/>
        </w:rPr>
        <w:t>ontrolling corporation</w:t>
      </w:r>
      <w:r w:rsidR="00B504CE" w:rsidRPr="00E10444">
        <w:rPr>
          <w:rFonts w:asciiTheme="minorHAnsi" w:eastAsia="Times New Roman" w:hAnsiTheme="minorHAnsi" w:cstheme="minorHAnsi"/>
          <w:b/>
          <w:color w:val="000000" w:themeColor="text1"/>
          <w:sz w:val="32"/>
          <w:szCs w:val="32"/>
          <w:lang w:eastAsia="en-US"/>
        </w:rPr>
        <w:t>s</w:t>
      </w:r>
      <w:bookmarkEnd w:id="4"/>
    </w:p>
    <w:p w14:paraId="73CAE83C" w14:textId="086153A2" w:rsidR="005222BE" w:rsidRPr="00E71290" w:rsidRDefault="005222BE" w:rsidP="00E71290">
      <w:pPr>
        <w:pStyle w:val="Heading3"/>
        <w:spacing w:before="240"/>
        <w:rPr>
          <w:rFonts w:asciiTheme="minorHAnsi" w:eastAsia="Times New Roman" w:hAnsiTheme="minorHAnsi" w:cstheme="minorHAnsi"/>
          <w:b/>
          <w:color w:val="000000" w:themeColor="text1"/>
          <w:sz w:val="27"/>
          <w:szCs w:val="27"/>
          <w:lang w:eastAsia="en-US"/>
        </w:rPr>
      </w:pPr>
      <w:bookmarkStart w:id="5" w:name="_Toc183616687"/>
      <w:r w:rsidRPr="00E71290">
        <w:rPr>
          <w:rFonts w:asciiTheme="minorHAnsi" w:eastAsia="Times New Roman" w:hAnsiTheme="minorHAnsi" w:cstheme="minorHAnsi"/>
          <w:b/>
          <w:color w:val="000000" w:themeColor="text1"/>
          <w:sz w:val="27"/>
          <w:szCs w:val="27"/>
          <w:lang w:eastAsia="en-US"/>
        </w:rPr>
        <w:t>Controllin</w:t>
      </w:r>
      <w:r w:rsidR="00866A28" w:rsidRPr="00E71290">
        <w:rPr>
          <w:rFonts w:asciiTheme="minorHAnsi" w:eastAsia="Times New Roman" w:hAnsiTheme="minorHAnsi" w:cstheme="minorHAnsi"/>
          <w:b/>
          <w:color w:val="000000" w:themeColor="text1"/>
          <w:sz w:val="27"/>
          <w:szCs w:val="27"/>
          <w:lang w:eastAsia="en-US"/>
        </w:rPr>
        <w:t>g</w:t>
      </w:r>
      <w:r w:rsidRPr="00E71290">
        <w:rPr>
          <w:rFonts w:asciiTheme="minorHAnsi" w:eastAsia="Times New Roman" w:hAnsiTheme="minorHAnsi" w:cstheme="minorHAnsi"/>
          <w:b/>
          <w:color w:val="000000" w:themeColor="text1"/>
          <w:sz w:val="27"/>
          <w:szCs w:val="27"/>
          <w:lang w:eastAsia="en-US"/>
        </w:rPr>
        <w:t xml:space="preserve"> corporation has not </w:t>
      </w:r>
      <w:r w:rsidR="00974098" w:rsidRPr="00E71290">
        <w:rPr>
          <w:rFonts w:asciiTheme="minorHAnsi" w:eastAsia="Times New Roman" w:hAnsiTheme="minorHAnsi" w:cstheme="minorHAnsi"/>
          <w:b/>
          <w:color w:val="000000" w:themeColor="text1"/>
          <w:sz w:val="27"/>
          <w:szCs w:val="27"/>
          <w:lang w:eastAsia="en-US"/>
        </w:rPr>
        <w:t xml:space="preserve">transferred </w:t>
      </w:r>
      <w:r w:rsidR="00866A28" w:rsidRPr="00E71290">
        <w:rPr>
          <w:rFonts w:asciiTheme="minorHAnsi" w:eastAsia="Times New Roman" w:hAnsiTheme="minorHAnsi" w:cstheme="minorHAnsi"/>
          <w:b/>
          <w:color w:val="000000" w:themeColor="text1"/>
          <w:sz w:val="27"/>
          <w:szCs w:val="27"/>
          <w:lang w:eastAsia="en-US"/>
        </w:rPr>
        <w:t>reporting for all its facilities</w:t>
      </w:r>
      <w:bookmarkEnd w:id="5"/>
    </w:p>
    <w:p w14:paraId="326B327C" w14:textId="2FAE1BF7" w:rsidR="00382E9A" w:rsidRPr="00E71290" w:rsidRDefault="00B92C4D" w:rsidP="00E71290">
      <w:pPr>
        <w:spacing w:before="240"/>
        <w:rPr>
          <w:sz w:val="22"/>
          <w:szCs w:val="22"/>
        </w:rPr>
      </w:pPr>
      <w:r w:rsidRPr="00E71290">
        <w:rPr>
          <w:sz w:val="22"/>
          <w:szCs w:val="22"/>
        </w:rPr>
        <w:t xml:space="preserve">Where a </w:t>
      </w:r>
      <w:r w:rsidR="001A22CF" w:rsidRPr="00E71290">
        <w:rPr>
          <w:sz w:val="22"/>
          <w:szCs w:val="22"/>
        </w:rPr>
        <w:t xml:space="preserve">controlling corporation </w:t>
      </w:r>
      <w:r w:rsidRPr="00E71290">
        <w:rPr>
          <w:sz w:val="22"/>
          <w:szCs w:val="22"/>
        </w:rPr>
        <w:t>has not transferred its reporting obligations for all its group members</w:t>
      </w:r>
      <w:r w:rsidR="00982169">
        <w:rPr>
          <w:sz w:val="22"/>
          <w:szCs w:val="22"/>
        </w:rPr>
        <w:t xml:space="preserve"> or </w:t>
      </w:r>
      <w:r w:rsidR="00E41785" w:rsidRPr="00E71290">
        <w:rPr>
          <w:sz w:val="22"/>
          <w:szCs w:val="22"/>
        </w:rPr>
        <w:t>facilities</w:t>
      </w:r>
      <w:r w:rsidR="00FC1051">
        <w:rPr>
          <w:sz w:val="22"/>
          <w:szCs w:val="22"/>
        </w:rPr>
        <w:t>,</w:t>
      </w:r>
      <w:r w:rsidR="00E41785" w:rsidRPr="00E71290">
        <w:rPr>
          <w:sz w:val="22"/>
          <w:szCs w:val="22"/>
        </w:rPr>
        <w:t xml:space="preserve"> </w:t>
      </w:r>
      <w:r w:rsidR="00E41785" w:rsidRPr="00E71290">
        <w:rPr>
          <w:b/>
          <w:sz w:val="22"/>
          <w:szCs w:val="22"/>
        </w:rPr>
        <w:t>it</w:t>
      </w:r>
      <w:r w:rsidR="005D3F01" w:rsidRPr="00E71290">
        <w:rPr>
          <w:b/>
          <w:sz w:val="22"/>
          <w:szCs w:val="22"/>
        </w:rPr>
        <w:t xml:space="preserve"> </w:t>
      </w:r>
      <w:r w:rsidR="00952245" w:rsidRPr="00E71290">
        <w:rPr>
          <w:b/>
          <w:sz w:val="22"/>
          <w:szCs w:val="22"/>
        </w:rPr>
        <w:t xml:space="preserve">is still required to </w:t>
      </w:r>
      <w:r w:rsidR="001A22CF" w:rsidRPr="00E71290">
        <w:rPr>
          <w:b/>
          <w:sz w:val="22"/>
          <w:szCs w:val="22"/>
        </w:rPr>
        <w:t>submit a report</w:t>
      </w:r>
      <w:r w:rsidR="001A22CF" w:rsidRPr="00E71290">
        <w:rPr>
          <w:sz w:val="22"/>
          <w:szCs w:val="22"/>
        </w:rPr>
        <w:t xml:space="preserve"> (section 19 report) to the </w:t>
      </w:r>
      <w:r w:rsidR="00A45A62" w:rsidRPr="00E71290">
        <w:rPr>
          <w:sz w:val="22"/>
          <w:szCs w:val="22"/>
        </w:rPr>
        <w:t xml:space="preserve">CER </w:t>
      </w:r>
      <w:r w:rsidR="001A22CF" w:rsidRPr="00E71290">
        <w:rPr>
          <w:sz w:val="22"/>
          <w:szCs w:val="22"/>
        </w:rPr>
        <w:t xml:space="preserve">by 31 October each year. </w:t>
      </w:r>
    </w:p>
    <w:p w14:paraId="190140F6" w14:textId="0B49F2F5" w:rsidR="00342C18" w:rsidRPr="00E71290" w:rsidRDefault="00342C18" w:rsidP="00E71290">
      <w:pPr>
        <w:spacing w:before="240"/>
        <w:rPr>
          <w:sz w:val="22"/>
          <w:szCs w:val="22"/>
        </w:rPr>
      </w:pPr>
      <w:r w:rsidRPr="00E71290">
        <w:rPr>
          <w:sz w:val="22"/>
          <w:szCs w:val="22"/>
        </w:rPr>
        <w:t xml:space="preserve">Any facilities that </w:t>
      </w:r>
      <w:r w:rsidR="000D3F1F" w:rsidRPr="00E71290">
        <w:rPr>
          <w:sz w:val="22"/>
          <w:szCs w:val="22"/>
        </w:rPr>
        <w:t>are not subject to a</w:t>
      </w:r>
      <w:r w:rsidR="009D5B66" w:rsidRPr="00E71290">
        <w:rPr>
          <w:sz w:val="22"/>
          <w:szCs w:val="22"/>
        </w:rPr>
        <w:t xml:space="preserve"> </w:t>
      </w:r>
      <w:r w:rsidRPr="00E71290">
        <w:rPr>
          <w:sz w:val="22"/>
          <w:szCs w:val="22"/>
        </w:rPr>
        <w:t>22X agreement</w:t>
      </w:r>
      <w:r w:rsidR="009D5B66" w:rsidRPr="00E71290">
        <w:rPr>
          <w:sz w:val="22"/>
          <w:szCs w:val="22"/>
        </w:rPr>
        <w:t xml:space="preserve"> </w:t>
      </w:r>
      <w:r w:rsidRPr="00E71290">
        <w:rPr>
          <w:sz w:val="22"/>
          <w:szCs w:val="22"/>
        </w:rPr>
        <w:t>are required to be reported in the controlling corporation’s section 19 report. This includes facilities acquired part</w:t>
      </w:r>
      <w:r w:rsidR="0010283E">
        <w:rPr>
          <w:sz w:val="22"/>
          <w:szCs w:val="22"/>
        </w:rPr>
        <w:t>-</w:t>
      </w:r>
      <w:r w:rsidRPr="00E71290">
        <w:rPr>
          <w:sz w:val="22"/>
          <w:szCs w:val="22"/>
        </w:rPr>
        <w:t>way through the reporting year</w:t>
      </w:r>
      <w:r w:rsidR="006A5C14" w:rsidRPr="00E71290">
        <w:rPr>
          <w:sz w:val="22"/>
          <w:szCs w:val="22"/>
        </w:rPr>
        <w:t xml:space="preserve"> as well as facilities that are under the operational control of the controlling corporation</w:t>
      </w:r>
      <w:r w:rsidRPr="00E71290">
        <w:rPr>
          <w:sz w:val="22"/>
          <w:szCs w:val="22"/>
        </w:rPr>
        <w:t xml:space="preserve">. </w:t>
      </w:r>
    </w:p>
    <w:p w14:paraId="77882D2C" w14:textId="4573A886" w:rsidR="00FC2386" w:rsidRPr="00E71290" w:rsidRDefault="00FC2386" w:rsidP="00E71290">
      <w:pPr>
        <w:spacing w:before="240"/>
        <w:rPr>
          <w:sz w:val="22"/>
          <w:szCs w:val="22"/>
        </w:rPr>
      </w:pPr>
      <w:r w:rsidRPr="00E71290">
        <w:rPr>
          <w:sz w:val="22"/>
          <w:szCs w:val="22"/>
        </w:rPr>
        <w:t xml:space="preserve">While the controlling corporation no longer has section 19 reporting requirements in relation to the facilities subject to the section 22X agreement, its section 19 report needs to include a list of all its group members and the facilities, including those that are subject to section 22X agreements. </w:t>
      </w:r>
    </w:p>
    <w:p w14:paraId="03E621F2" w14:textId="01150133" w:rsidR="004C6211" w:rsidRPr="00E71290" w:rsidRDefault="004C6211" w:rsidP="00E71290">
      <w:pPr>
        <w:pStyle w:val="Heading3"/>
        <w:spacing w:before="240"/>
        <w:rPr>
          <w:rFonts w:asciiTheme="minorHAnsi" w:eastAsia="Times New Roman" w:hAnsiTheme="minorHAnsi" w:cstheme="minorHAnsi"/>
          <w:b/>
          <w:color w:val="000000" w:themeColor="text1"/>
          <w:sz w:val="27"/>
          <w:szCs w:val="27"/>
          <w:lang w:eastAsia="en-US"/>
        </w:rPr>
      </w:pPr>
      <w:bookmarkStart w:id="6" w:name="_Toc183616688"/>
      <w:r w:rsidRPr="00E71290">
        <w:rPr>
          <w:rFonts w:asciiTheme="minorHAnsi" w:eastAsia="Times New Roman" w:hAnsiTheme="minorHAnsi" w:cstheme="minorHAnsi"/>
          <w:b/>
          <w:color w:val="000000" w:themeColor="text1"/>
          <w:sz w:val="27"/>
          <w:szCs w:val="27"/>
          <w:lang w:eastAsia="en-US"/>
        </w:rPr>
        <w:t xml:space="preserve">Controlling corporation has transferred reporting obligations for all </w:t>
      </w:r>
      <w:r w:rsidR="000B5C00" w:rsidRPr="00E71290">
        <w:rPr>
          <w:rFonts w:asciiTheme="minorHAnsi" w:eastAsia="Times New Roman" w:hAnsiTheme="minorHAnsi" w:cstheme="minorHAnsi"/>
          <w:b/>
          <w:color w:val="000000" w:themeColor="text1"/>
          <w:sz w:val="27"/>
          <w:szCs w:val="27"/>
          <w:lang w:eastAsia="en-US"/>
        </w:rPr>
        <w:t>its facilities</w:t>
      </w:r>
      <w:bookmarkEnd w:id="6"/>
    </w:p>
    <w:p w14:paraId="4099B93B" w14:textId="5F8B73CB" w:rsidR="000743FD" w:rsidRPr="00E71290" w:rsidRDefault="00125B3C" w:rsidP="00E71290">
      <w:pPr>
        <w:spacing w:before="240"/>
        <w:rPr>
          <w:rStyle w:val="CommentReference"/>
          <w:rFonts w:eastAsiaTheme="minorHAnsi"/>
          <w:sz w:val="22"/>
          <w:szCs w:val="22"/>
        </w:rPr>
      </w:pPr>
      <w:r w:rsidRPr="00E71290">
        <w:rPr>
          <w:sz w:val="22"/>
          <w:szCs w:val="22"/>
        </w:rPr>
        <w:t>I</w:t>
      </w:r>
      <w:r w:rsidR="002368E9" w:rsidRPr="00E71290">
        <w:rPr>
          <w:sz w:val="22"/>
          <w:szCs w:val="22"/>
        </w:rPr>
        <w:t xml:space="preserve">f a controlling corporation </w:t>
      </w:r>
      <w:r w:rsidR="005275D4" w:rsidRPr="00E71290">
        <w:rPr>
          <w:sz w:val="22"/>
          <w:szCs w:val="22"/>
        </w:rPr>
        <w:t xml:space="preserve">has transferred </w:t>
      </w:r>
      <w:r w:rsidR="005275D4" w:rsidRPr="0020128E">
        <w:rPr>
          <w:b/>
          <w:bCs/>
          <w:sz w:val="22"/>
          <w:szCs w:val="22"/>
        </w:rPr>
        <w:t>all</w:t>
      </w:r>
      <w:r w:rsidR="005275D4" w:rsidRPr="00E71290">
        <w:rPr>
          <w:sz w:val="22"/>
          <w:szCs w:val="22"/>
        </w:rPr>
        <w:t xml:space="preserve"> its reporting obligations under section 22X</w:t>
      </w:r>
      <w:r w:rsidR="00CB6B2A" w:rsidRPr="00E71290">
        <w:rPr>
          <w:sz w:val="22"/>
          <w:szCs w:val="22"/>
        </w:rPr>
        <w:t xml:space="preserve">, </w:t>
      </w:r>
      <w:r w:rsidR="00CB6B2A" w:rsidRPr="00E71290">
        <w:rPr>
          <w:b/>
          <w:sz w:val="22"/>
          <w:szCs w:val="22"/>
        </w:rPr>
        <w:t>it is not required</w:t>
      </w:r>
      <w:r w:rsidR="00CB6B2A" w:rsidRPr="00E71290">
        <w:rPr>
          <w:sz w:val="22"/>
          <w:szCs w:val="22"/>
        </w:rPr>
        <w:t xml:space="preserve"> </w:t>
      </w:r>
      <w:r w:rsidR="00CB6B2A" w:rsidRPr="00E71290">
        <w:rPr>
          <w:b/>
          <w:sz w:val="22"/>
          <w:szCs w:val="22"/>
        </w:rPr>
        <w:t>to submit a section 19 report</w:t>
      </w:r>
      <w:r w:rsidR="00CB6B2A" w:rsidRPr="00E71290">
        <w:rPr>
          <w:sz w:val="22"/>
          <w:szCs w:val="22"/>
        </w:rPr>
        <w:t xml:space="preserve"> while the 22X agreements are in place.</w:t>
      </w:r>
      <w:r w:rsidR="003F5EF1" w:rsidRPr="00E71290">
        <w:rPr>
          <w:sz w:val="22"/>
          <w:szCs w:val="22"/>
        </w:rPr>
        <w:t xml:space="preserve"> This can only be done if the controlling corporation does not have operational control </w:t>
      </w:r>
      <w:r w:rsidR="00C2333C" w:rsidRPr="00E71290">
        <w:rPr>
          <w:sz w:val="22"/>
          <w:szCs w:val="22"/>
        </w:rPr>
        <w:t xml:space="preserve">of </w:t>
      </w:r>
      <w:r w:rsidR="00C2333C" w:rsidRPr="0020128E">
        <w:rPr>
          <w:sz w:val="22"/>
          <w:szCs w:val="22"/>
        </w:rPr>
        <w:t>any</w:t>
      </w:r>
      <w:r w:rsidR="00C2333C" w:rsidRPr="00E71290">
        <w:rPr>
          <w:sz w:val="22"/>
          <w:szCs w:val="22"/>
        </w:rPr>
        <w:t xml:space="preserve"> facilities.</w:t>
      </w:r>
    </w:p>
    <w:p w14:paraId="375E0A2E" w14:textId="5248C418" w:rsidR="00AA44D9" w:rsidRPr="00E71290" w:rsidRDefault="00AA44D9" w:rsidP="00E71290">
      <w:pPr>
        <w:spacing w:before="240"/>
        <w:rPr>
          <w:sz w:val="22"/>
          <w:szCs w:val="22"/>
        </w:rPr>
      </w:pPr>
      <w:r w:rsidRPr="00E71290">
        <w:rPr>
          <w:sz w:val="22"/>
          <w:szCs w:val="22"/>
        </w:rPr>
        <w:t xml:space="preserve">Controlling corporations </w:t>
      </w:r>
      <w:r w:rsidR="00C64E60" w:rsidRPr="00E71290">
        <w:rPr>
          <w:sz w:val="22"/>
          <w:szCs w:val="22"/>
        </w:rPr>
        <w:t>must</w:t>
      </w:r>
      <w:r w:rsidRPr="00E71290">
        <w:rPr>
          <w:sz w:val="22"/>
          <w:szCs w:val="22"/>
        </w:rPr>
        <w:t xml:space="preserve"> review their corporate structure </w:t>
      </w:r>
      <w:r w:rsidR="00E00910" w:rsidRPr="00E71290">
        <w:rPr>
          <w:sz w:val="22"/>
          <w:szCs w:val="22"/>
        </w:rPr>
        <w:t xml:space="preserve">(including </w:t>
      </w:r>
      <w:r w:rsidRPr="00E71290">
        <w:rPr>
          <w:sz w:val="22"/>
          <w:szCs w:val="22"/>
        </w:rPr>
        <w:t>facilities</w:t>
      </w:r>
      <w:r w:rsidR="00E00910" w:rsidRPr="00E71290">
        <w:rPr>
          <w:sz w:val="22"/>
          <w:szCs w:val="22"/>
        </w:rPr>
        <w:t>)</w:t>
      </w:r>
      <w:r w:rsidRPr="00E71290">
        <w:rPr>
          <w:sz w:val="22"/>
          <w:szCs w:val="22"/>
        </w:rPr>
        <w:t xml:space="preserve"> every year</w:t>
      </w:r>
      <w:r w:rsidR="00951FB3" w:rsidRPr="00E71290">
        <w:rPr>
          <w:sz w:val="22"/>
          <w:szCs w:val="22"/>
        </w:rPr>
        <w:t xml:space="preserve"> to ensure</w:t>
      </w:r>
      <w:r w:rsidRPr="00E71290">
        <w:rPr>
          <w:sz w:val="22"/>
          <w:szCs w:val="22"/>
        </w:rPr>
        <w:t xml:space="preserve"> any existing 22X agreements align with their corporate structure. Where an agreement no longer reflects the corporate structure, a new 22X agreement </w:t>
      </w:r>
      <w:r w:rsidR="4A4AFB64" w:rsidRPr="00E71290">
        <w:rPr>
          <w:sz w:val="22"/>
          <w:szCs w:val="22"/>
        </w:rPr>
        <w:t>must</w:t>
      </w:r>
      <w:r w:rsidR="7BB1BDA4" w:rsidRPr="00E71290">
        <w:rPr>
          <w:sz w:val="22"/>
          <w:szCs w:val="22"/>
        </w:rPr>
        <w:t xml:space="preserve"> </w:t>
      </w:r>
      <w:r w:rsidR="25DE1935" w:rsidRPr="00E71290">
        <w:rPr>
          <w:sz w:val="22"/>
          <w:szCs w:val="22"/>
        </w:rPr>
        <w:t>be</w:t>
      </w:r>
      <w:r w:rsidR="6AB84870" w:rsidRPr="00E71290">
        <w:rPr>
          <w:sz w:val="22"/>
          <w:szCs w:val="22"/>
        </w:rPr>
        <w:t xml:space="preserve"> </w:t>
      </w:r>
      <w:r w:rsidRPr="00E71290">
        <w:rPr>
          <w:sz w:val="22"/>
          <w:szCs w:val="22"/>
        </w:rPr>
        <w:t>supplied</w:t>
      </w:r>
      <w:r w:rsidR="3912DC77" w:rsidRPr="00E71290">
        <w:rPr>
          <w:sz w:val="22"/>
          <w:szCs w:val="22"/>
        </w:rPr>
        <w:t xml:space="preserve"> </w:t>
      </w:r>
      <w:r w:rsidR="3912DC77" w:rsidRPr="00E71290">
        <w:rPr>
          <w:b/>
          <w:sz w:val="22"/>
          <w:szCs w:val="22"/>
        </w:rPr>
        <w:t>by 30 June</w:t>
      </w:r>
      <w:r w:rsidR="000C3F57">
        <w:rPr>
          <w:sz w:val="22"/>
          <w:szCs w:val="22"/>
        </w:rPr>
        <w:t>.</w:t>
      </w:r>
      <w:r w:rsidRPr="00E71290">
        <w:rPr>
          <w:sz w:val="22"/>
          <w:szCs w:val="22"/>
        </w:rPr>
        <w:t xml:space="preserve"> </w:t>
      </w:r>
      <w:r w:rsidR="000C3F57">
        <w:rPr>
          <w:sz w:val="22"/>
          <w:szCs w:val="22"/>
        </w:rPr>
        <w:t>A</w:t>
      </w:r>
      <w:r w:rsidRPr="00E71290">
        <w:rPr>
          <w:sz w:val="22"/>
          <w:szCs w:val="22"/>
        </w:rPr>
        <w:t xml:space="preserve">ny outdated agreements should be revoked. </w:t>
      </w:r>
      <w:r w:rsidR="1B49CCF0" w:rsidRPr="00E71290">
        <w:rPr>
          <w:sz w:val="22"/>
          <w:szCs w:val="22"/>
        </w:rPr>
        <w:t>If a facility needs to be added or removed from an existing 22X agreement, an u</w:t>
      </w:r>
      <w:r w:rsidR="378BCD5A" w:rsidRPr="00E71290">
        <w:rPr>
          <w:sz w:val="22"/>
          <w:szCs w:val="22"/>
        </w:rPr>
        <w:t>pdated agreement</w:t>
      </w:r>
      <w:r w:rsidR="4EFD8975" w:rsidRPr="00E71290">
        <w:rPr>
          <w:sz w:val="22"/>
          <w:szCs w:val="22"/>
        </w:rPr>
        <w:t xml:space="preserve"> must be supplied to the </w:t>
      </w:r>
      <w:r w:rsidR="00EE5836" w:rsidRPr="00E71290">
        <w:rPr>
          <w:sz w:val="22"/>
          <w:szCs w:val="22"/>
        </w:rPr>
        <w:t xml:space="preserve">CER </w:t>
      </w:r>
      <w:r w:rsidR="4EFD8975" w:rsidRPr="00E71290">
        <w:rPr>
          <w:sz w:val="22"/>
          <w:szCs w:val="22"/>
        </w:rPr>
        <w:t>as soon as possible.</w:t>
      </w:r>
    </w:p>
    <w:p w14:paraId="6845E79B" w14:textId="528D56A0" w:rsidR="00484C8B" w:rsidRPr="00E71290" w:rsidRDefault="00484C8B" w:rsidP="00E71290">
      <w:pPr>
        <w:pStyle w:val="Heading3"/>
        <w:spacing w:before="240"/>
        <w:rPr>
          <w:rFonts w:asciiTheme="minorHAnsi" w:eastAsia="Times New Roman" w:hAnsiTheme="minorHAnsi" w:cstheme="minorHAnsi"/>
          <w:b/>
          <w:color w:val="000000" w:themeColor="text1"/>
          <w:sz w:val="27"/>
          <w:szCs w:val="27"/>
          <w:lang w:eastAsia="en-US"/>
        </w:rPr>
      </w:pPr>
      <w:bookmarkStart w:id="7" w:name="_Toc183616689"/>
      <w:r w:rsidRPr="00E71290">
        <w:rPr>
          <w:rFonts w:asciiTheme="minorHAnsi" w:eastAsia="Times New Roman" w:hAnsiTheme="minorHAnsi" w:cstheme="minorHAnsi"/>
          <w:b/>
          <w:color w:val="000000" w:themeColor="text1"/>
          <w:sz w:val="27"/>
          <w:szCs w:val="27"/>
          <w:lang w:eastAsia="en-US"/>
        </w:rPr>
        <w:t xml:space="preserve">Ongoing requirements for </w:t>
      </w:r>
      <w:r w:rsidR="000A42BB" w:rsidRPr="00E71290">
        <w:rPr>
          <w:rFonts w:asciiTheme="minorHAnsi" w:eastAsia="Times New Roman" w:hAnsiTheme="minorHAnsi" w:cstheme="minorHAnsi"/>
          <w:b/>
          <w:color w:val="000000" w:themeColor="text1"/>
          <w:sz w:val="27"/>
          <w:szCs w:val="27"/>
          <w:lang w:eastAsia="en-US"/>
        </w:rPr>
        <w:t>group members</w:t>
      </w:r>
      <w:bookmarkEnd w:id="7"/>
    </w:p>
    <w:p w14:paraId="46302C9C" w14:textId="570FB797" w:rsidR="00AA44D9" w:rsidRPr="00E71290" w:rsidRDefault="00152224" w:rsidP="00E71290">
      <w:pPr>
        <w:spacing w:before="240"/>
        <w:rPr>
          <w:sz w:val="22"/>
          <w:szCs w:val="22"/>
        </w:rPr>
      </w:pPr>
      <w:r w:rsidRPr="00E71290">
        <w:rPr>
          <w:sz w:val="22"/>
          <w:szCs w:val="22"/>
        </w:rPr>
        <w:t>A</w:t>
      </w:r>
      <w:r w:rsidR="00AA44D9" w:rsidRPr="00E71290">
        <w:rPr>
          <w:sz w:val="22"/>
          <w:szCs w:val="22"/>
        </w:rPr>
        <w:t xml:space="preserve"> group member </w:t>
      </w:r>
      <w:r w:rsidR="00E03BC0" w:rsidRPr="00E71290">
        <w:rPr>
          <w:sz w:val="22"/>
          <w:szCs w:val="22"/>
        </w:rPr>
        <w:t>with</w:t>
      </w:r>
      <w:r w:rsidR="00AA44D9" w:rsidRPr="00E71290">
        <w:rPr>
          <w:sz w:val="22"/>
          <w:szCs w:val="22"/>
        </w:rPr>
        <w:t xml:space="preserve"> a 22X agreement in place must submit a section 22X report to the </w:t>
      </w:r>
      <w:r w:rsidR="00075C05" w:rsidRPr="00E71290">
        <w:rPr>
          <w:sz w:val="22"/>
          <w:szCs w:val="22"/>
        </w:rPr>
        <w:t xml:space="preserve">CER </w:t>
      </w:r>
      <w:r w:rsidR="00AA44D9" w:rsidRPr="00E71290">
        <w:rPr>
          <w:sz w:val="22"/>
          <w:szCs w:val="22"/>
        </w:rPr>
        <w:t xml:space="preserve">by 31 October </w:t>
      </w:r>
      <w:r w:rsidR="00207ACE" w:rsidRPr="00E71290">
        <w:rPr>
          <w:sz w:val="22"/>
          <w:szCs w:val="22"/>
        </w:rPr>
        <w:t>in relation to</w:t>
      </w:r>
      <w:r w:rsidR="00D85001" w:rsidRPr="00E71290">
        <w:rPr>
          <w:sz w:val="22"/>
          <w:szCs w:val="22"/>
        </w:rPr>
        <w:t xml:space="preserve"> </w:t>
      </w:r>
      <w:r w:rsidR="002F087C" w:rsidRPr="00E71290">
        <w:rPr>
          <w:sz w:val="22"/>
          <w:szCs w:val="22"/>
        </w:rPr>
        <w:t>each year t</w:t>
      </w:r>
      <w:r w:rsidR="00AA44D9" w:rsidRPr="00E71290">
        <w:rPr>
          <w:sz w:val="22"/>
          <w:szCs w:val="22"/>
        </w:rPr>
        <w:t xml:space="preserve">he agreement </w:t>
      </w:r>
      <w:r w:rsidR="002F087C" w:rsidRPr="00E71290">
        <w:rPr>
          <w:sz w:val="22"/>
          <w:szCs w:val="22"/>
        </w:rPr>
        <w:t>is in place</w:t>
      </w:r>
      <w:r w:rsidR="00AA44D9" w:rsidRPr="00E71290">
        <w:rPr>
          <w:sz w:val="22"/>
          <w:szCs w:val="22"/>
        </w:rPr>
        <w:t xml:space="preserve">. </w:t>
      </w:r>
      <w:r w:rsidR="000E73D8" w:rsidRPr="00E71290">
        <w:rPr>
          <w:sz w:val="22"/>
          <w:szCs w:val="22"/>
        </w:rPr>
        <w:t>Like a section 19 report, t</w:t>
      </w:r>
      <w:r w:rsidR="00AA44D9" w:rsidRPr="00E71290">
        <w:rPr>
          <w:sz w:val="22"/>
          <w:szCs w:val="22"/>
        </w:rPr>
        <w:t>he section 22X report contains information relating to the greenhouse gas emissions, energy production and energy consumption from the facility during the financial year.</w:t>
      </w:r>
    </w:p>
    <w:p w14:paraId="412C3217" w14:textId="0CAB81FD" w:rsidR="00AA44D9" w:rsidRPr="00E71290" w:rsidRDefault="00AA44D9" w:rsidP="00E71290">
      <w:pPr>
        <w:spacing w:before="240"/>
        <w:rPr>
          <w:sz w:val="22"/>
          <w:szCs w:val="22"/>
        </w:rPr>
      </w:pPr>
      <w:r w:rsidRPr="00E71290">
        <w:rPr>
          <w:sz w:val="22"/>
          <w:szCs w:val="22"/>
        </w:rPr>
        <w:t xml:space="preserve">The </w:t>
      </w:r>
      <w:r w:rsidR="002F087C" w:rsidRPr="00E71290">
        <w:rPr>
          <w:sz w:val="22"/>
          <w:szCs w:val="22"/>
        </w:rPr>
        <w:t>group</w:t>
      </w:r>
      <w:r w:rsidRPr="00E71290">
        <w:rPr>
          <w:sz w:val="22"/>
          <w:szCs w:val="22"/>
        </w:rPr>
        <w:t xml:space="preserve"> member must provide a report for every facility specified in the agreement, includ</w:t>
      </w:r>
      <w:r w:rsidR="00691172" w:rsidRPr="00E71290">
        <w:rPr>
          <w:sz w:val="22"/>
          <w:szCs w:val="22"/>
        </w:rPr>
        <w:t>ing</w:t>
      </w:r>
      <w:r w:rsidRPr="00E71290">
        <w:rPr>
          <w:sz w:val="22"/>
          <w:szCs w:val="22"/>
        </w:rPr>
        <w:t xml:space="preserve"> facilities that do not meet a threshold under section 13 of the NGER Act. </w:t>
      </w:r>
    </w:p>
    <w:p w14:paraId="764CA92D" w14:textId="3B3C2C74" w:rsidR="00AA44D9" w:rsidRPr="00E71290" w:rsidRDefault="00AA44D9" w:rsidP="00E71290">
      <w:pPr>
        <w:spacing w:before="240"/>
        <w:rPr>
          <w:sz w:val="22"/>
          <w:szCs w:val="22"/>
        </w:rPr>
      </w:pPr>
      <w:r w:rsidRPr="00E71290">
        <w:rPr>
          <w:sz w:val="22"/>
          <w:szCs w:val="22"/>
        </w:rPr>
        <w:t xml:space="preserve">Reporting obligations under section 22X remain in place unless the </w:t>
      </w:r>
      <w:r w:rsidR="00075C05" w:rsidRPr="00E71290">
        <w:rPr>
          <w:sz w:val="22"/>
          <w:szCs w:val="22"/>
        </w:rPr>
        <w:t xml:space="preserve">CER </w:t>
      </w:r>
      <w:r w:rsidRPr="00E71290">
        <w:rPr>
          <w:sz w:val="22"/>
          <w:szCs w:val="22"/>
        </w:rPr>
        <w:t>is notified that the transfer of reporting obligations under 22X have ceased, and the controlling corporation resum</w:t>
      </w:r>
      <w:r w:rsidR="002F087C" w:rsidRPr="00E71290">
        <w:rPr>
          <w:sz w:val="22"/>
          <w:szCs w:val="22"/>
        </w:rPr>
        <w:t>es</w:t>
      </w:r>
      <w:r w:rsidRPr="00E71290">
        <w:rPr>
          <w:sz w:val="22"/>
          <w:szCs w:val="22"/>
        </w:rPr>
        <w:t xml:space="preserve"> section 19 reporting obligations. </w:t>
      </w:r>
      <w:r w:rsidR="00C51DEF" w:rsidRPr="00E71290">
        <w:rPr>
          <w:sz w:val="22"/>
          <w:szCs w:val="22"/>
        </w:rPr>
        <w:t xml:space="preserve">The </w:t>
      </w:r>
      <w:r w:rsidRPr="00E71290">
        <w:rPr>
          <w:sz w:val="22"/>
          <w:szCs w:val="22"/>
        </w:rPr>
        <w:t>notification</w:t>
      </w:r>
      <w:r w:rsidR="002F087C" w:rsidRPr="00E71290">
        <w:rPr>
          <w:sz w:val="22"/>
          <w:szCs w:val="22"/>
        </w:rPr>
        <w:t xml:space="preserve"> </w:t>
      </w:r>
      <w:r w:rsidRPr="00E71290">
        <w:rPr>
          <w:sz w:val="22"/>
          <w:szCs w:val="22"/>
        </w:rPr>
        <w:t xml:space="preserve">can be done in writing at any time prior to </w:t>
      </w:r>
      <w:r w:rsidR="00691172" w:rsidRPr="00E71290">
        <w:rPr>
          <w:sz w:val="22"/>
          <w:szCs w:val="22"/>
        </w:rPr>
        <w:t xml:space="preserve">the </w:t>
      </w:r>
      <w:r w:rsidRPr="00E71290">
        <w:rPr>
          <w:sz w:val="22"/>
          <w:szCs w:val="22"/>
        </w:rPr>
        <w:t>reporting</w:t>
      </w:r>
      <w:r w:rsidR="00691172" w:rsidRPr="00E71290">
        <w:rPr>
          <w:sz w:val="22"/>
          <w:szCs w:val="22"/>
        </w:rPr>
        <w:t xml:space="preserve"> deadline </w:t>
      </w:r>
      <w:r w:rsidR="004265D5">
        <w:rPr>
          <w:sz w:val="22"/>
          <w:szCs w:val="22"/>
        </w:rPr>
        <w:t xml:space="preserve">of </w:t>
      </w:r>
      <w:r w:rsidR="00691172" w:rsidRPr="00E71290">
        <w:rPr>
          <w:sz w:val="22"/>
          <w:szCs w:val="22"/>
        </w:rPr>
        <w:t xml:space="preserve">31 October </w:t>
      </w:r>
      <w:r w:rsidR="000905F1" w:rsidRPr="00E71290">
        <w:rPr>
          <w:sz w:val="22"/>
          <w:szCs w:val="22"/>
        </w:rPr>
        <w:t xml:space="preserve">following </w:t>
      </w:r>
      <w:r w:rsidR="00691172" w:rsidRPr="00E71290">
        <w:rPr>
          <w:sz w:val="22"/>
          <w:szCs w:val="22"/>
        </w:rPr>
        <w:t>the relevant financial year</w:t>
      </w:r>
      <w:r w:rsidRPr="00E71290">
        <w:rPr>
          <w:sz w:val="22"/>
          <w:szCs w:val="22"/>
        </w:rPr>
        <w:t>.</w:t>
      </w:r>
    </w:p>
    <w:p w14:paraId="3BFECBC3" w14:textId="2B4AB18D" w:rsidR="00AA44D9" w:rsidRPr="00E71290" w:rsidRDefault="008B05A6" w:rsidP="00E71290">
      <w:pPr>
        <w:pStyle w:val="Heading2"/>
        <w:spacing w:before="280"/>
        <w:rPr>
          <w:rFonts w:asciiTheme="minorHAnsi" w:eastAsia="Times New Roman" w:hAnsiTheme="minorHAnsi" w:cstheme="minorHAnsi"/>
          <w:b/>
          <w:color w:val="000000" w:themeColor="text1"/>
          <w:sz w:val="32"/>
          <w:szCs w:val="32"/>
          <w:lang w:eastAsia="en-US"/>
        </w:rPr>
      </w:pPr>
      <w:bookmarkStart w:id="8" w:name="_What_information_is"/>
      <w:bookmarkStart w:id="9" w:name="_Toc183616690"/>
      <w:bookmarkEnd w:id="8"/>
      <w:r w:rsidRPr="00E71290">
        <w:rPr>
          <w:rFonts w:asciiTheme="minorHAnsi" w:eastAsia="Times New Roman" w:hAnsiTheme="minorHAnsi" w:cstheme="minorHAnsi"/>
          <w:b/>
          <w:color w:val="000000" w:themeColor="text1"/>
          <w:sz w:val="32"/>
          <w:szCs w:val="32"/>
          <w:lang w:eastAsia="en-US"/>
        </w:rPr>
        <w:t>What information is</w:t>
      </w:r>
      <w:r w:rsidR="00375B4B" w:rsidRPr="00E71290">
        <w:rPr>
          <w:rFonts w:asciiTheme="minorHAnsi" w:eastAsia="Times New Roman" w:hAnsiTheme="minorHAnsi" w:cstheme="minorHAnsi"/>
          <w:b/>
          <w:color w:val="000000" w:themeColor="text1"/>
          <w:sz w:val="32"/>
          <w:szCs w:val="32"/>
          <w:lang w:eastAsia="en-US"/>
        </w:rPr>
        <w:t xml:space="preserve"> required</w:t>
      </w:r>
      <w:r w:rsidRPr="00E71290">
        <w:rPr>
          <w:rFonts w:asciiTheme="minorHAnsi" w:eastAsia="Times New Roman" w:hAnsiTheme="minorHAnsi" w:cstheme="minorHAnsi"/>
          <w:b/>
          <w:color w:val="000000" w:themeColor="text1"/>
          <w:sz w:val="32"/>
          <w:szCs w:val="32"/>
          <w:lang w:eastAsia="en-US"/>
        </w:rPr>
        <w:t xml:space="preserve"> in</w:t>
      </w:r>
      <w:r w:rsidR="00AA44D9" w:rsidRPr="00E71290">
        <w:rPr>
          <w:rFonts w:asciiTheme="minorHAnsi" w:eastAsia="Times New Roman" w:hAnsiTheme="minorHAnsi" w:cstheme="minorHAnsi"/>
          <w:b/>
          <w:color w:val="000000" w:themeColor="text1"/>
          <w:sz w:val="32"/>
          <w:szCs w:val="32"/>
          <w:lang w:eastAsia="en-US"/>
        </w:rPr>
        <w:t xml:space="preserve"> </w:t>
      </w:r>
      <w:r w:rsidR="00D64676" w:rsidRPr="00E71290">
        <w:rPr>
          <w:rFonts w:asciiTheme="minorHAnsi" w:eastAsia="Times New Roman" w:hAnsiTheme="minorHAnsi" w:cstheme="minorHAnsi"/>
          <w:b/>
          <w:color w:val="000000" w:themeColor="text1"/>
          <w:sz w:val="32"/>
          <w:szCs w:val="32"/>
          <w:lang w:eastAsia="en-US"/>
        </w:rPr>
        <w:t xml:space="preserve">a </w:t>
      </w:r>
      <w:r w:rsidR="00AA44D9" w:rsidRPr="00E71290">
        <w:rPr>
          <w:rFonts w:asciiTheme="minorHAnsi" w:eastAsia="Times New Roman" w:hAnsiTheme="minorHAnsi" w:cstheme="minorHAnsi"/>
          <w:b/>
          <w:color w:val="000000" w:themeColor="text1"/>
          <w:sz w:val="32"/>
          <w:szCs w:val="32"/>
          <w:lang w:eastAsia="en-US"/>
        </w:rPr>
        <w:t>22X agreement</w:t>
      </w:r>
      <w:r w:rsidR="00FF185C" w:rsidRPr="00E71290">
        <w:rPr>
          <w:rFonts w:asciiTheme="minorHAnsi" w:eastAsia="Times New Roman" w:hAnsiTheme="minorHAnsi" w:cstheme="minorHAnsi"/>
          <w:b/>
          <w:color w:val="000000" w:themeColor="text1"/>
          <w:sz w:val="32"/>
          <w:szCs w:val="32"/>
          <w:lang w:eastAsia="en-US"/>
        </w:rPr>
        <w:t>?</w:t>
      </w:r>
      <w:bookmarkEnd w:id="9"/>
    </w:p>
    <w:p w14:paraId="2B1BA43F" w14:textId="18FBF767" w:rsidR="00AA44D9" w:rsidRDefault="002324A5" w:rsidP="00E71290">
      <w:pPr>
        <w:spacing w:before="240"/>
        <w:rPr>
          <w:sz w:val="22"/>
          <w:szCs w:val="22"/>
        </w:rPr>
      </w:pPr>
      <w:r w:rsidRPr="00E71290">
        <w:rPr>
          <w:sz w:val="22"/>
          <w:szCs w:val="22"/>
        </w:rPr>
        <w:t xml:space="preserve">See table </w:t>
      </w:r>
      <w:r w:rsidR="00AC2B05" w:rsidRPr="00E71290">
        <w:rPr>
          <w:sz w:val="22"/>
          <w:szCs w:val="22"/>
        </w:rPr>
        <w:t>1</w:t>
      </w:r>
      <w:r w:rsidRPr="00E71290">
        <w:rPr>
          <w:sz w:val="22"/>
          <w:szCs w:val="22"/>
        </w:rPr>
        <w:t xml:space="preserve"> for an example of how</w:t>
      </w:r>
      <w:r w:rsidR="001631CD" w:rsidRPr="00E71290">
        <w:rPr>
          <w:sz w:val="22"/>
          <w:szCs w:val="22"/>
        </w:rPr>
        <w:t xml:space="preserve"> to present information</w:t>
      </w:r>
      <w:r w:rsidR="00692194">
        <w:rPr>
          <w:sz w:val="22"/>
          <w:szCs w:val="22"/>
        </w:rPr>
        <w:t xml:space="preserve"> for the persons affected by the 22X agreement</w:t>
      </w:r>
      <w:r w:rsidR="001631CD" w:rsidRPr="00E71290">
        <w:rPr>
          <w:sz w:val="22"/>
          <w:szCs w:val="22"/>
        </w:rPr>
        <w:t xml:space="preserve">. </w:t>
      </w:r>
      <w:r w:rsidR="00AA44D9" w:rsidRPr="00E71290">
        <w:rPr>
          <w:sz w:val="22"/>
          <w:szCs w:val="22"/>
        </w:rPr>
        <w:t>A separate table should be used for each controlling corporation that is transferring reporting obligations under the agreement.</w:t>
      </w:r>
    </w:p>
    <w:p w14:paraId="1E9964B0" w14:textId="5FBC0C93" w:rsidR="008D1F6A" w:rsidRPr="008131E5" w:rsidRDefault="008D1F6A" w:rsidP="000A4EBE">
      <w:pPr>
        <w:pStyle w:val="NGERbullets"/>
        <w:rPr>
          <w:rFonts w:asciiTheme="minorHAnsi" w:hAnsiTheme="minorHAnsi" w:cstheme="minorHAnsi"/>
          <w:sz w:val="22"/>
          <w:szCs w:val="22"/>
        </w:rPr>
      </w:pPr>
      <w:r w:rsidRPr="008131E5">
        <w:rPr>
          <w:rFonts w:asciiTheme="minorHAnsi" w:hAnsiTheme="minorHAnsi" w:cstheme="minorHAnsi"/>
          <w:sz w:val="22"/>
          <w:szCs w:val="22"/>
        </w:rPr>
        <w:t xml:space="preserve">Table 1: </w:t>
      </w:r>
      <w:r w:rsidR="000C38DC" w:rsidRPr="008131E5">
        <w:rPr>
          <w:rFonts w:asciiTheme="minorHAnsi" w:hAnsiTheme="minorHAnsi" w:cstheme="minorHAnsi"/>
          <w:sz w:val="22"/>
          <w:szCs w:val="22"/>
        </w:rPr>
        <w:t xml:space="preserve">sample </w:t>
      </w:r>
      <w:r w:rsidRPr="008131E5">
        <w:rPr>
          <w:rFonts w:asciiTheme="minorHAnsi" w:hAnsiTheme="minorHAnsi" w:cstheme="minorHAnsi"/>
          <w:sz w:val="22"/>
          <w:szCs w:val="22"/>
        </w:rPr>
        <w:t>22X agree</w:t>
      </w:r>
      <w:r w:rsidR="00FC01E2" w:rsidRPr="008131E5">
        <w:rPr>
          <w:rFonts w:asciiTheme="minorHAnsi" w:hAnsiTheme="minorHAnsi" w:cstheme="minorHAnsi"/>
          <w:sz w:val="22"/>
          <w:szCs w:val="22"/>
        </w:rPr>
        <w:t>ment</w:t>
      </w:r>
      <w:r w:rsidR="000C38DC" w:rsidRPr="008131E5">
        <w:rPr>
          <w:rFonts w:asciiTheme="minorHAnsi" w:hAnsiTheme="minorHAnsi" w:cstheme="minorHAnsi"/>
          <w:sz w:val="22"/>
          <w:szCs w:val="22"/>
        </w:rPr>
        <w:t xml:space="preserve"> identifying details table</w:t>
      </w:r>
    </w:p>
    <w:tbl>
      <w:tblPr>
        <w:tblStyle w:val="CERTable1"/>
        <w:tblW w:w="9796" w:type="dxa"/>
        <w:tblLook w:val="0620" w:firstRow="1" w:lastRow="0" w:firstColumn="0" w:lastColumn="0" w:noHBand="1" w:noVBand="1"/>
      </w:tblPr>
      <w:tblGrid>
        <w:gridCol w:w="2449"/>
        <w:gridCol w:w="2449"/>
        <w:gridCol w:w="2449"/>
        <w:gridCol w:w="2449"/>
      </w:tblGrid>
      <w:tr w:rsidR="000A4EBE" w:rsidRPr="002C14AC" w14:paraId="4881D495" w14:textId="77777777" w:rsidTr="00801EB3">
        <w:trPr>
          <w:cnfStyle w:val="100000000000" w:firstRow="1" w:lastRow="0" w:firstColumn="0" w:lastColumn="0" w:oddVBand="0" w:evenVBand="0" w:oddHBand="0" w:evenHBand="0" w:firstRowFirstColumn="0" w:firstRowLastColumn="0" w:lastRowFirstColumn="0" w:lastRowLastColumn="0"/>
          <w:trHeight w:val="572"/>
        </w:trPr>
        <w:tc>
          <w:tcPr>
            <w:tcW w:w="2449" w:type="dxa"/>
            <w:shd w:val="clear" w:color="auto" w:fill="D5D5D5" w:themeFill="accent6" w:themeFillTint="66"/>
          </w:tcPr>
          <w:p w14:paraId="29B84983" w14:textId="37C5B8C8" w:rsidR="000A4EBE" w:rsidRPr="002C14AC" w:rsidRDefault="000A4EBE" w:rsidP="002C14AC">
            <w:pPr>
              <w:spacing w:before="0" w:after="200"/>
              <w:rPr>
                <w:rFonts w:cs="Calibri"/>
                <w:bCs/>
                <w:color w:val="000000"/>
                <w:kern w:val="0"/>
                <w:sz w:val="22"/>
                <w:szCs w:val="24"/>
                <w:lang w:eastAsia="en-US"/>
              </w:rPr>
            </w:pPr>
            <w:r w:rsidRPr="0060043C">
              <w:rPr>
                <w:szCs w:val="22"/>
              </w:rPr>
              <w:t>Controlling corporation</w:t>
            </w:r>
          </w:p>
        </w:tc>
        <w:tc>
          <w:tcPr>
            <w:tcW w:w="2449" w:type="dxa"/>
            <w:shd w:val="clear" w:color="auto" w:fill="D5D5D5" w:themeFill="accent6" w:themeFillTint="66"/>
          </w:tcPr>
          <w:p w14:paraId="1DE8E1C9" w14:textId="5542639B" w:rsidR="000A4EBE" w:rsidRPr="002C14AC" w:rsidRDefault="000A4EBE" w:rsidP="002C14AC">
            <w:pPr>
              <w:spacing w:before="0" w:after="200"/>
              <w:rPr>
                <w:rFonts w:cs="Calibri"/>
                <w:bCs/>
                <w:color w:val="000000"/>
                <w:kern w:val="0"/>
                <w:sz w:val="22"/>
                <w:szCs w:val="24"/>
                <w:lang w:eastAsia="en-US"/>
              </w:rPr>
            </w:pPr>
            <w:r w:rsidRPr="0060043C">
              <w:rPr>
                <w:szCs w:val="22"/>
              </w:rPr>
              <w:t>Group member</w:t>
            </w:r>
          </w:p>
        </w:tc>
        <w:tc>
          <w:tcPr>
            <w:tcW w:w="2449" w:type="dxa"/>
            <w:shd w:val="clear" w:color="auto" w:fill="D5D5D5" w:themeFill="accent6" w:themeFillTint="66"/>
          </w:tcPr>
          <w:p w14:paraId="0A2AA288" w14:textId="12C6BB42" w:rsidR="000A4EBE" w:rsidRPr="002C14AC" w:rsidRDefault="000A4EBE" w:rsidP="002C14AC">
            <w:pPr>
              <w:spacing w:before="0" w:after="200"/>
              <w:rPr>
                <w:rFonts w:cs="Calibri"/>
                <w:bCs/>
                <w:color w:val="000000"/>
                <w:kern w:val="0"/>
                <w:sz w:val="22"/>
                <w:szCs w:val="24"/>
                <w:lang w:eastAsia="en-US"/>
              </w:rPr>
            </w:pPr>
            <w:r w:rsidRPr="0060043C">
              <w:rPr>
                <w:szCs w:val="22"/>
              </w:rPr>
              <w:t>Facility</w:t>
            </w:r>
          </w:p>
        </w:tc>
        <w:tc>
          <w:tcPr>
            <w:tcW w:w="2449" w:type="dxa"/>
            <w:shd w:val="clear" w:color="auto" w:fill="D5D5D5" w:themeFill="accent6" w:themeFillTint="66"/>
          </w:tcPr>
          <w:p w14:paraId="20A9EBF6" w14:textId="154EED2F" w:rsidR="000A4EBE" w:rsidRPr="002C14AC" w:rsidRDefault="000A4EBE" w:rsidP="002C14AC">
            <w:pPr>
              <w:spacing w:before="0" w:after="200"/>
              <w:rPr>
                <w:rFonts w:cs="Calibri"/>
                <w:bCs/>
                <w:color w:val="000000"/>
                <w:kern w:val="0"/>
                <w:sz w:val="22"/>
                <w:szCs w:val="24"/>
                <w:lang w:eastAsia="en-US"/>
              </w:rPr>
            </w:pPr>
            <w:r>
              <w:rPr>
                <w:szCs w:val="22"/>
              </w:rPr>
              <w:t xml:space="preserve">Relevant </w:t>
            </w:r>
            <w:r w:rsidR="002E7DDB">
              <w:rPr>
                <w:szCs w:val="22"/>
              </w:rPr>
              <w:t>f</w:t>
            </w:r>
            <w:r w:rsidRPr="0090633D">
              <w:rPr>
                <w:szCs w:val="22"/>
              </w:rPr>
              <w:t>inancial year(s)</w:t>
            </w:r>
          </w:p>
        </w:tc>
      </w:tr>
      <w:tr w:rsidR="000A4EBE" w:rsidRPr="002C14AC" w14:paraId="0EE3AE72" w14:textId="77777777" w:rsidTr="00801EB3">
        <w:trPr>
          <w:trHeight w:val="3333"/>
        </w:trPr>
        <w:tc>
          <w:tcPr>
            <w:tcW w:w="2449" w:type="dxa"/>
          </w:tcPr>
          <w:p w14:paraId="37C53E1B" w14:textId="0FEDD17C" w:rsidR="000A4EBE" w:rsidRPr="002C14AC" w:rsidRDefault="00A85C80" w:rsidP="000A4EBE">
            <w:pPr>
              <w:spacing w:before="0" w:after="200"/>
              <w:rPr>
                <w:rFonts w:cs="Calibri"/>
                <w:kern w:val="0"/>
                <w:lang w:eastAsia="en-US"/>
              </w:rPr>
            </w:pPr>
            <w:r>
              <w:rPr>
                <w:szCs w:val="22"/>
              </w:rPr>
              <w:t>N</w:t>
            </w:r>
            <w:r w:rsidR="000A4EBE" w:rsidRPr="0060043C">
              <w:rPr>
                <w:szCs w:val="22"/>
              </w:rPr>
              <w:t xml:space="preserve">ame </w:t>
            </w:r>
            <w:r w:rsidR="000A4EBE">
              <w:rPr>
                <w:szCs w:val="22"/>
              </w:rPr>
              <w:t>and ABN</w:t>
            </w:r>
            <w:r w:rsidR="000A4EBE" w:rsidRPr="0060043C">
              <w:rPr>
                <w:szCs w:val="22"/>
              </w:rPr>
              <w:t xml:space="preserve"> of the controlling corporation.</w:t>
            </w:r>
          </w:p>
        </w:tc>
        <w:tc>
          <w:tcPr>
            <w:tcW w:w="2449" w:type="dxa"/>
          </w:tcPr>
          <w:p w14:paraId="080C160A" w14:textId="318A385F" w:rsidR="000A4EBE" w:rsidRPr="0060043C" w:rsidRDefault="00A85C80" w:rsidP="000A4EBE">
            <w:pPr>
              <w:keepNext/>
              <w:spacing w:before="0"/>
              <w:rPr>
                <w:kern w:val="0"/>
                <w:szCs w:val="22"/>
              </w:rPr>
            </w:pPr>
            <w:r>
              <w:rPr>
                <w:szCs w:val="22"/>
              </w:rPr>
              <w:t>N</w:t>
            </w:r>
            <w:r w:rsidR="000A4EBE" w:rsidRPr="0060043C">
              <w:rPr>
                <w:szCs w:val="22"/>
              </w:rPr>
              <w:t>ame</w:t>
            </w:r>
            <w:r w:rsidR="000A4EBE">
              <w:rPr>
                <w:szCs w:val="22"/>
              </w:rPr>
              <w:t xml:space="preserve"> and ABN</w:t>
            </w:r>
            <w:r w:rsidR="000A4EBE" w:rsidRPr="0060043C">
              <w:rPr>
                <w:szCs w:val="22"/>
              </w:rPr>
              <w:t xml:space="preserve"> of the group member.</w:t>
            </w:r>
          </w:p>
          <w:p w14:paraId="24EC73D1" w14:textId="52B62E8F" w:rsidR="000A4EBE" w:rsidRPr="002C14AC" w:rsidRDefault="000A4EBE" w:rsidP="000A4EBE">
            <w:pPr>
              <w:spacing w:before="0" w:after="200"/>
              <w:rPr>
                <w:rFonts w:cs="Calibri"/>
                <w:kern w:val="0"/>
                <w:lang w:eastAsia="en-US"/>
              </w:rPr>
            </w:pPr>
            <w:r w:rsidRPr="0060043C">
              <w:rPr>
                <w:szCs w:val="22"/>
              </w:rPr>
              <w:t xml:space="preserve">Note: if there are </w:t>
            </w:r>
            <w:r>
              <w:rPr>
                <w:szCs w:val="22"/>
              </w:rPr>
              <w:t>multiple</w:t>
            </w:r>
            <w:r w:rsidRPr="0060043C">
              <w:rPr>
                <w:szCs w:val="22"/>
              </w:rPr>
              <w:t xml:space="preserve"> group members in the controlling corporation’s group, and parties wish to include multiple 22X agreements, add </w:t>
            </w:r>
            <w:r>
              <w:rPr>
                <w:szCs w:val="22"/>
              </w:rPr>
              <w:t>a new</w:t>
            </w:r>
            <w:r w:rsidRPr="0060043C">
              <w:rPr>
                <w:szCs w:val="22"/>
              </w:rPr>
              <w:t xml:space="preserve"> row </w:t>
            </w:r>
            <w:r>
              <w:rPr>
                <w:szCs w:val="22"/>
              </w:rPr>
              <w:t xml:space="preserve">for each </w:t>
            </w:r>
            <w:r w:rsidRPr="0060043C">
              <w:rPr>
                <w:szCs w:val="22"/>
              </w:rPr>
              <w:t>group member and the relevant facilities.</w:t>
            </w:r>
          </w:p>
        </w:tc>
        <w:tc>
          <w:tcPr>
            <w:tcW w:w="2449" w:type="dxa"/>
          </w:tcPr>
          <w:p w14:paraId="1E23E2E2" w14:textId="1EA16271" w:rsidR="000A4EBE" w:rsidRPr="002C14AC" w:rsidRDefault="00915421" w:rsidP="000A4EBE">
            <w:pPr>
              <w:spacing w:before="0" w:after="200"/>
              <w:rPr>
                <w:rFonts w:cs="Calibri"/>
                <w:kern w:val="0"/>
                <w:lang w:eastAsia="en-US"/>
              </w:rPr>
            </w:pPr>
            <w:r>
              <w:rPr>
                <w:szCs w:val="22"/>
              </w:rPr>
              <w:t>N</w:t>
            </w:r>
            <w:r w:rsidR="000A4EBE" w:rsidRPr="0060043C">
              <w:rPr>
                <w:szCs w:val="22"/>
              </w:rPr>
              <w:t>ame of the facility which the group member has operational control</w:t>
            </w:r>
            <w:r w:rsidR="000A4EBE">
              <w:rPr>
                <w:szCs w:val="22"/>
              </w:rPr>
              <w:t xml:space="preserve"> of</w:t>
            </w:r>
            <w:r w:rsidR="000A4EBE" w:rsidRPr="0060043C">
              <w:rPr>
                <w:szCs w:val="22"/>
              </w:rPr>
              <w:t>.</w:t>
            </w:r>
          </w:p>
        </w:tc>
        <w:tc>
          <w:tcPr>
            <w:tcW w:w="2449" w:type="dxa"/>
          </w:tcPr>
          <w:p w14:paraId="240B6A41" w14:textId="2981A834" w:rsidR="000A4EBE" w:rsidRPr="0090633D" w:rsidRDefault="002E7DDB" w:rsidP="000A4EBE">
            <w:pPr>
              <w:keepNext/>
              <w:rPr>
                <w:szCs w:val="22"/>
              </w:rPr>
            </w:pPr>
            <w:r>
              <w:rPr>
                <w:szCs w:val="22"/>
              </w:rPr>
              <w:t>T</w:t>
            </w:r>
            <w:r w:rsidR="000A4EBE" w:rsidRPr="0090633D">
              <w:rPr>
                <w:szCs w:val="22"/>
              </w:rPr>
              <w:t>he financial year</w:t>
            </w:r>
            <w:r w:rsidR="0052608F">
              <w:rPr>
                <w:szCs w:val="22"/>
              </w:rPr>
              <w:t xml:space="preserve"> or years </w:t>
            </w:r>
            <w:r w:rsidR="000A4EBE" w:rsidRPr="0090633D">
              <w:rPr>
                <w:szCs w:val="22"/>
              </w:rPr>
              <w:t>which the agreement relates, for example:</w:t>
            </w:r>
          </w:p>
          <w:p w14:paraId="64F81002" w14:textId="6E1E9679" w:rsidR="000A4EBE" w:rsidRPr="0090633D" w:rsidRDefault="000A4EBE" w:rsidP="000A4EBE">
            <w:pPr>
              <w:keepNext/>
              <w:rPr>
                <w:szCs w:val="22"/>
              </w:rPr>
            </w:pPr>
            <w:r w:rsidRPr="0090633D">
              <w:rPr>
                <w:szCs w:val="22"/>
              </w:rPr>
              <w:t>»</w:t>
            </w:r>
            <w:r>
              <w:rPr>
                <w:szCs w:val="22"/>
              </w:rPr>
              <w:t xml:space="preserve"> </w:t>
            </w:r>
            <w:r w:rsidRPr="0090633D">
              <w:rPr>
                <w:szCs w:val="22"/>
              </w:rPr>
              <w:t>Current reporting period only</w:t>
            </w:r>
          </w:p>
          <w:p w14:paraId="1B8B191C" w14:textId="267F9A04" w:rsidR="000A4EBE" w:rsidRDefault="000A4EBE" w:rsidP="000A4EBE">
            <w:pPr>
              <w:keepNext/>
              <w:rPr>
                <w:szCs w:val="22"/>
              </w:rPr>
            </w:pPr>
            <w:r w:rsidRPr="0090633D">
              <w:rPr>
                <w:szCs w:val="22"/>
              </w:rPr>
              <w:t>»</w:t>
            </w:r>
            <w:r>
              <w:rPr>
                <w:szCs w:val="22"/>
              </w:rPr>
              <w:t xml:space="preserve"> </w:t>
            </w:r>
            <w:r w:rsidRPr="0090633D">
              <w:rPr>
                <w:szCs w:val="22"/>
              </w:rPr>
              <w:t>Current reporting period and continuing indefinitely</w:t>
            </w:r>
          </w:p>
          <w:p w14:paraId="61C3B64A" w14:textId="424F0EBB" w:rsidR="000A4EBE" w:rsidRPr="002C14AC" w:rsidRDefault="000A4EBE" w:rsidP="000A4EBE">
            <w:pPr>
              <w:spacing w:before="0" w:after="200"/>
              <w:rPr>
                <w:rFonts w:cs="Calibri"/>
                <w:kern w:val="0"/>
                <w:lang w:eastAsia="en-US"/>
              </w:rPr>
            </w:pPr>
            <w:r w:rsidRPr="0090633D">
              <w:rPr>
                <w:szCs w:val="22"/>
              </w:rPr>
              <w:t>»</w:t>
            </w:r>
            <w:r>
              <w:rPr>
                <w:szCs w:val="22"/>
              </w:rPr>
              <w:t xml:space="preserve"> </w:t>
            </w:r>
            <w:r w:rsidRPr="0090633D">
              <w:rPr>
                <w:szCs w:val="22"/>
              </w:rPr>
              <w:t>Current reporting period to another specified reporting period.</w:t>
            </w:r>
          </w:p>
        </w:tc>
      </w:tr>
    </w:tbl>
    <w:p w14:paraId="495EA25D" w14:textId="081EBD34" w:rsidR="00FD6AEE" w:rsidRPr="000A4EBE" w:rsidRDefault="008B5D12" w:rsidP="00F262EF">
      <w:pPr>
        <w:pStyle w:val="BodyText1"/>
      </w:pPr>
      <w:r w:rsidRPr="000A4EBE">
        <w:t xml:space="preserve">We </w:t>
      </w:r>
      <w:r w:rsidR="00924EFA" w:rsidRPr="000A4EBE">
        <w:t>also need the following details</w:t>
      </w:r>
      <w:r w:rsidR="008D008F" w:rsidRPr="000A4EBE">
        <w:t>:</w:t>
      </w:r>
    </w:p>
    <w:p w14:paraId="6653CB69" w14:textId="060B9C6B" w:rsidR="004D1895" w:rsidRPr="000A4EBE" w:rsidRDefault="004D1895" w:rsidP="004D1895">
      <w:pPr>
        <w:pStyle w:val="NGERbullets"/>
        <w:numPr>
          <w:ilvl w:val="0"/>
          <w:numId w:val="21"/>
        </w:numPr>
        <w:rPr>
          <w:rFonts w:asciiTheme="minorHAnsi" w:hAnsiTheme="minorHAnsi" w:cstheme="minorHAnsi"/>
          <w:sz w:val="22"/>
          <w:szCs w:val="22"/>
        </w:rPr>
      </w:pPr>
      <w:r>
        <w:rPr>
          <w:rFonts w:asciiTheme="minorHAnsi" w:hAnsiTheme="minorHAnsi" w:cstheme="minorHAnsi"/>
          <w:sz w:val="22"/>
          <w:szCs w:val="22"/>
        </w:rPr>
        <w:t xml:space="preserve">The name </w:t>
      </w:r>
      <w:r w:rsidR="00D50D2E">
        <w:rPr>
          <w:rFonts w:asciiTheme="minorHAnsi" w:hAnsiTheme="minorHAnsi" w:cstheme="minorHAnsi"/>
          <w:sz w:val="22"/>
          <w:szCs w:val="22"/>
        </w:rPr>
        <w:t xml:space="preserve">and CER number </w:t>
      </w:r>
      <w:r>
        <w:rPr>
          <w:rFonts w:asciiTheme="minorHAnsi" w:hAnsiTheme="minorHAnsi" w:cstheme="minorHAnsi"/>
          <w:sz w:val="22"/>
          <w:szCs w:val="22"/>
        </w:rPr>
        <w:t xml:space="preserve">of the group member’s </w:t>
      </w:r>
      <w:r w:rsidR="00BF5A84">
        <w:rPr>
          <w:rFonts w:asciiTheme="minorHAnsi" w:hAnsiTheme="minorHAnsi" w:cstheme="minorHAnsi"/>
          <w:sz w:val="22"/>
          <w:szCs w:val="22"/>
        </w:rPr>
        <w:t xml:space="preserve">executive officer </w:t>
      </w:r>
      <w:r>
        <w:rPr>
          <w:rFonts w:asciiTheme="minorHAnsi" w:hAnsiTheme="minorHAnsi" w:cstheme="minorHAnsi"/>
          <w:sz w:val="22"/>
          <w:szCs w:val="22"/>
        </w:rPr>
        <w:t xml:space="preserve">and NGER </w:t>
      </w:r>
      <w:r w:rsidR="00BF5A84">
        <w:rPr>
          <w:rFonts w:asciiTheme="minorHAnsi" w:hAnsiTheme="minorHAnsi" w:cstheme="minorHAnsi"/>
          <w:sz w:val="22"/>
          <w:szCs w:val="22"/>
        </w:rPr>
        <w:t>contact person</w:t>
      </w:r>
      <w:r>
        <w:rPr>
          <w:rFonts w:asciiTheme="minorHAnsi" w:hAnsiTheme="minorHAnsi" w:cstheme="minorHAnsi"/>
          <w:sz w:val="22"/>
          <w:szCs w:val="22"/>
        </w:rPr>
        <w:t>.</w:t>
      </w:r>
    </w:p>
    <w:p w14:paraId="37AF79ED" w14:textId="7FFC494B" w:rsidR="004D1895" w:rsidRPr="000A4EBE" w:rsidRDefault="004D1895" w:rsidP="004D1895">
      <w:pPr>
        <w:pStyle w:val="NGERbullets"/>
        <w:numPr>
          <w:ilvl w:val="1"/>
          <w:numId w:val="21"/>
        </w:numPr>
        <w:rPr>
          <w:rFonts w:asciiTheme="minorHAnsi" w:hAnsiTheme="minorHAnsi" w:cstheme="minorHAnsi"/>
          <w:sz w:val="22"/>
          <w:szCs w:val="22"/>
        </w:rPr>
      </w:pPr>
      <w:r>
        <w:rPr>
          <w:rFonts w:asciiTheme="minorHAnsi" w:hAnsiTheme="minorHAnsi" w:cstheme="minorHAnsi"/>
          <w:sz w:val="22"/>
          <w:szCs w:val="22"/>
        </w:rPr>
        <w:t xml:space="preserve">The </w:t>
      </w:r>
      <w:r w:rsidR="00BF5A84">
        <w:rPr>
          <w:rFonts w:asciiTheme="minorHAnsi" w:hAnsiTheme="minorHAnsi" w:cstheme="minorHAnsi"/>
          <w:sz w:val="22"/>
          <w:szCs w:val="22"/>
        </w:rPr>
        <w:t xml:space="preserve">executive officer </w:t>
      </w:r>
      <w:r>
        <w:rPr>
          <w:rFonts w:asciiTheme="minorHAnsi" w:hAnsiTheme="minorHAnsi" w:cstheme="minorHAnsi"/>
          <w:sz w:val="22"/>
          <w:szCs w:val="22"/>
        </w:rPr>
        <w:t xml:space="preserve">and NGER </w:t>
      </w:r>
      <w:r w:rsidR="00BF5A84">
        <w:rPr>
          <w:rFonts w:asciiTheme="minorHAnsi" w:hAnsiTheme="minorHAnsi" w:cstheme="minorHAnsi"/>
          <w:sz w:val="22"/>
          <w:szCs w:val="22"/>
        </w:rPr>
        <w:t xml:space="preserve">contact person </w:t>
      </w:r>
      <w:r>
        <w:rPr>
          <w:rFonts w:asciiTheme="minorHAnsi" w:hAnsiTheme="minorHAnsi" w:cstheme="minorHAnsi"/>
          <w:sz w:val="22"/>
          <w:szCs w:val="22"/>
        </w:rPr>
        <w:t xml:space="preserve">will need to </w:t>
      </w:r>
      <w:r w:rsidR="00F366E4">
        <w:rPr>
          <w:rFonts w:asciiTheme="minorHAnsi" w:hAnsiTheme="minorHAnsi" w:cstheme="minorHAnsi"/>
          <w:sz w:val="22"/>
          <w:szCs w:val="22"/>
        </w:rPr>
        <w:t xml:space="preserve">create a </w:t>
      </w:r>
      <w:hyperlink r:id="rId17" w:history="1">
        <w:r w:rsidR="00F366E4">
          <w:rPr>
            <w:rStyle w:val="Hyperlink"/>
            <w:rFonts w:asciiTheme="minorHAnsi" w:hAnsiTheme="minorHAnsi" w:cstheme="minorHAnsi"/>
            <w:szCs w:val="22"/>
          </w:rPr>
          <w:t>Client Portal</w:t>
        </w:r>
      </w:hyperlink>
      <w:r w:rsidR="00AA78BA">
        <w:rPr>
          <w:rStyle w:val="FootnoteReference"/>
          <w:rFonts w:asciiTheme="minorHAnsi" w:hAnsiTheme="minorHAnsi" w:cstheme="minorHAnsi"/>
          <w:color w:val="005874"/>
          <w:sz w:val="22"/>
          <w:szCs w:val="22"/>
          <w:u w:val="single"/>
        </w:rPr>
        <w:footnoteReference w:id="9"/>
      </w:r>
      <w:r>
        <w:rPr>
          <w:rFonts w:asciiTheme="minorHAnsi" w:hAnsiTheme="minorHAnsi" w:cstheme="minorHAnsi"/>
          <w:sz w:val="22"/>
          <w:szCs w:val="22"/>
        </w:rPr>
        <w:t xml:space="preserve"> </w:t>
      </w:r>
      <w:r w:rsidR="00F366E4">
        <w:rPr>
          <w:rFonts w:asciiTheme="minorHAnsi" w:hAnsiTheme="minorHAnsi" w:cstheme="minorHAnsi"/>
          <w:sz w:val="22"/>
          <w:szCs w:val="22"/>
        </w:rPr>
        <w:t xml:space="preserve">account </w:t>
      </w:r>
      <w:r>
        <w:rPr>
          <w:rFonts w:asciiTheme="minorHAnsi" w:hAnsiTheme="minorHAnsi" w:cstheme="minorHAnsi"/>
          <w:sz w:val="22"/>
          <w:szCs w:val="22"/>
        </w:rPr>
        <w:t>if they do not already have their own.</w:t>
      </w:r>
      <w:r w:rsidR="00D50D2E">
        <w:rPr>
          <w:rFonts w:asciiTheme="minorHAnsi" w:hAnsiTheme="minorHAnsi" w:cstheme="minorHAnsi"/>
          <w:sz w:val="22"/>
          <w:szCs w:val="22"/>
        </w:rPr>
        <w:t xml:space="preserve"> </w:t>
      </w:r>
    </w:p>
    <w:p w14:paraId="78C8CDB6" w14:textId="55DEC000" w:rsidR="00AA44D9" w:rsidRPr="000A4EBE" w:rsidRDefault="00AA44D9" w:rsidP="00AA44D9">
      <w:pPr>
        <w:pStyle w:val="NGERbullets"/>
        <w:numPr>
          <w:ilvl w:val="0"/>
          <w:numId w:val="21"/>
        </w:numPr>
        <w:rPr>
          <w:rFonts w:asciiTheme="minorHAnsi" w:hAnsiTheme="minorHAnsi" w:cstheme="minorHAnsi"/>
          <w:sz w:val="22"/>
          <w:szCs w:val="22"/>
        </w:rPr>
      </w:pPr>
      <w:r w:rsidRPr="000A4EBE">
        <w:rPr>
          <w:rFonts w:asciiTheme="minorHAnsi" w:hAnsiTheme="minorHAnsi" w:cstheme="minorHAnsi"/>
          <w:sz w:val="22"/>
          <w:szCs w:val="22"/>
        </w:rPr>
        <w:t xml:space="preserve">Confirmation </w:t>
      </w:r>
      <w:r w:rsidR="009150F3" w:rsidRPr="000A4EBE">
        <w:rPr>
          <w:rFonts w:asciiTheme="minorHAnsi" w:hAnsiTheme="minorHAnsi" w:cstheme="minorHAnsi"/>
          <w:sz w:val="22"/>
          <w:szCs w:val="22"/>
        </w:rPr>
        <w:t xml:space="preserve">that </w:t>
      </w:r>
      <w:r w:rsidRPr="000A4EBE">
        <w:rPr>
          <w:rFonts w:asciiTheme="minorHAnsi" w:hAnsiTheme="minorHAnsi" w:cstheme="minorHAnsi"/>
          <w:sz w:val="22"/>
          <w:szCs w:val="22"/>
        </w:rPr>
        <w:t xml:space="preserve">the </w:t>
      </w:r>
      <w:r w:rsidR="009150F3" w:rsidRPr="000A4EBE">
        <w:rPr>
          <w:rFonts w:asciiTheme="minorHAnsi" w:hAnsiTheme="minorHAnsi" w:cstheme="minorHAnsi"/>
          <w:sz w:val="22"/>
          <w:szCs w:val="22"/>
        </w:rPr>
        <w:t>group</w:t>
      </w:r>
      <w:r w:rsidRPr="000A4EBE">
        <w:rPr>
          <w:rFonts w:asciiTheme="minorHAnsi" w:hAnsiTheme="minorHAnsi" w:cstheme="minorHAnsi"/>
          <w:sz w:val="22"/>
          <w:szCs w:val="22"/>
        </w:rPr>
        <w:t xml:space="preserve"> member </w:t>
      </w:r>
      <w:r w:rsidR="009150F3" w:rsidRPr="000A4EBE">
        <w:rPr>
          <w:rFonts w:asciiTheme="minorHAnsi" w:hAnsiTheme="minorHAnsi" w:cstheme="minorHAnsi"/>
          <w:sz w:val="22"/>
          <w:szCs w:val="22"/>
        </w:rPr>
        <w:t>has</w:t>
      </w:r>
      <w:r w:rsidRPr="000A4EBE">
        <w:rPr>
          <w:rFonts w:asciiTheme="minorHAnsi" w:hAnsiTheme="minorHAnsi" w:cstheme="minorHAnsi"/>
          <w:sz w:val="22"/>
          <w:szCs w:val="22"/>
        </w:rPr>
        <w:t xml:space="preserve"> operational control of the identified facility (</w:t>
      </w:r>
      <w:r w:rsidR="0021650A" w:rsidRPr="000A4EBE">
        <w:rPr>
          <w:rFonts w:asciiTheme="minorHAnsi" w:hAnsiTheme="minorHAnsi" w:cstheme="minorHAnsi"/>
          <w:sz w:val="22"/>
          <w:szCs w:val="22"/>
        </w:rPr>
        <w:t>for example,</w:t>
      </w:r>
      <w:r w:rsidRPr="000A4EBE">
        <w:rPr>
          <w:rFonts w:asciiTheme="minorHAnsi" w:hAnsiTheme="minorHAnsi" w:cstheme="minorHAnsi"/>
          <w:sz w:val="22"/>
          <w:szCs w:val="22"/>
        </w:rPr>
        <w:t xml:space="preserve"> refer to the most recent NGER report). </w:t>
      </w:r>
    </w:p>
    <w:p w14:paraId="4A88BCFF" w14:textId="09876C04" w:rsidR="00AA44D9" w:rsidRPr="000A4EBE" w:rsidRDefault="00AA44D9" w:rsidP="00AA44D9">
      <w:pPr>
        <w:pStyle w:val="NGERbullets"/>
        <w:numPr>
          <w:ilvl w:val="0"/>
          <w:numId w:val="21"/>
        </w:numPr>
        <w:rPr>
          <w:rFonts w:asciiTheme="minorHAnsi" w:hAnsiTheme="minorHAnsi" w:cstheme="minorHAnsi"/>
          <w:sz w:val="22"/>
          <w:szCs w:val="22"/>
        </w:rPr>
      </w:pPr>
      <w:r w:rsidRPr="000A4EBE">
        <w:rPr>
          <w:rFonts w:asciiTheme="minorHAnsi" w:hAnsiTheme="minorHAnsi" w:cstheme="minorHAnsi"/>
          <w:sz w:val="22"/>
          <w:szCs w:val="22"/>
        </w:rPr>
        <w:t xml:space="preserve">A statement </w:t>
      </w:r>
      <w:r w:rsidR="00071FC1" w:rsidRPr="000A4EBE">
        <w:rPr>
          <w:rFonts w:asciiTheme="minorHAnsi" w:hAnsiTheme="minorHAnsi" w:cstheme="minorHAnsi"/>
          <w:sz w:val="22"/>
          <w:szCs w:val="22"/>
        </w:rPr>
        <w:t xml:space="preserve">signed by the executive officer </w:t>
      </w:r>
      <w:r w:rsidRPr="000A4EBE">
        <w:rPr>
          <w:rFonts w:asciiTheme="minorHAnsi" w:hAnsiTheme="minorHAnsi" w:cstheme="minorHAnsi"/>
          <w:sz w:val="22"/>
          <w:szCs w:val="22"/>
        </w:rPr>
        <w:t xml:space="preserve">that the </w:t>
      </w:r>
      <w:r w:rsidR="009150F3" w:rsidRPr="000A4EBE">
        <w:rPr>
          <w:rFonts w:asciiTheme="minorHAnsi" w:hAnsiTheme="minorHAnsi" w:cstheme="minorHAnsi"/>
          <w:sz w:val="22"/>
          <w:szCs w:val="22"/>
        </w:rPr>
        <w:t>group</w:t>
      </w:r>
      <w:r w:rsidRPr="000A4EBE">
        <w:rPr>
          <w:rFonts w:asciiTheme="minorHAnsi" w:hAnsiTheme="minorHAnsi" w:cstheme="minorHAnsi"/>
          <w:sz w:val="22"/>
          <w:szCs w:val="22"/>
        </w:rPr>
        <w:t xml:space="preserve"> member agrees to the transfer of reporting requirements under section 22X</w:t>
      </w:r>
      <w:r w:rsidR="00400157" w:rsidRPr="000A4EBE">
        <w:rPr>
          <w:rFonts w:asciiTheme="minorHAnsi" w:hAnsiTheme="minorHAnsi" w:cstheme="minorHAnsi"/>
          <w:sz w:val="22"/>
          <w:szCs w:val="22"/>
        </w:rPr>
        <w:t>,</w:t>
      </w:r>
      <w:r w:rsidRPr="000A4EBE">
        <w:rPr>
          <w:rFonts w:asciiTheme="minorHAnsi" w:hAnsiTheme="minorHAnsi" w:cstheme="minorHAnsi"/>
          <w:sz w:val="22"/>
          <w:szCs w:val="22"/>
        </w:rPr>
        <w:t xml:space="preserve"> and that they</w:t>
      </w:r>
      <w:r w:rsidR="00400157" w:rsidRPr="000A4EBE">
        <w:rPr>
          <w:rFonts w:asciiTheme="minorHAnsi" w:hAnsiTheme="minorHAnsi" w:cstheme="minorHAnsi"/>
          <w:sz w:val="22"/>
          <w:szCs w:val="22"/>
        </w:rPr>
        <w:t xml:space="preserve"> understand they</w:t>
      </w:r>
      <w:r w:rsidRPr="000A4EBE">
        <w:rPr>
          <w:rFonts w:asciiTheme="minorHAnsi" w:hAnsiTheme="minorHAnsi" w:cstheme="minorHAnsi"/>
          <w:sz w:val="22"/>
          <w:szCs w:val="22"/>
        </w:rPr>
        <w:t xml:space="preserve"> </w:t>
      </w:r>
      <w:r w:rsidR="009150F3" w:rsidRPr="000A4EBE">
        <w:rPr>
          <w:rFonts w:asciiTheme="minorHAnsi" w:hAnsiTheme="minorHAnsi" w:cstheme="minorHAnsi"/>
          <w:sz w:val="22"/>
          <w:szCs w:val="22"/>
        </w:rPr>
        <w:t>are</w:t>
      </w:r>
      <w:r w:rsidRPr="000A4EBE">
        <w:rPr>
          <w:rFonts w:asciiTheme="minorHAnsi" w:hAnsiTheme="minorHAnsi" w:cstheme="minorHAnsi"/>
          <w:sz w:val="22"/>
          <w:szCs w:val="22"/>
        </w:rPr>
        <w:t xml:space="preserve"> required to provide a section 22X report for each financial year the 22X agreement </w:t>
      </w:r>
      <w:r w:rsidR="009150F3" w:rsidRPr="000A4EBE">
        <w:rPr>
          <w:rFonts w:asciiTheme="minorHAnsi" w:hAnsiTheme="minorHAnsi" w:cstheme="minorHAnsi"/>
          <w:sz w:val="22"/>
          <w:szCs w:val="22"/>
        </w:rPr>
        <w:t>i</w:t>
      </w:r>
      <w:r w:rsidRPr="000A4EBE">
        <w:rPr>
          <w:rFonts w:asciiTheme="minorHAnsi" w:hAnsiTheme="minorHAnsi" w:cstheme="minorHAnsi"/>
          <w:sz w:val="22"/>
          <w:szCs w:val="22"/>
        </w:rPr>
        <w:t>s in place.</w:t>
      </w:r>
    </w:p>
    <w:p w14:paraId="7AC76277" w14:textId="5D78B27D" w:rsidR="00AA44D9" w:rsidRPr="000A4EBE" w:rsidRDefault="00AA44D9" w:rsidP="00AA44D9">
      <w:pPr>
        <w:pStyle w:val="NGERbullets"/>
        <w:numPr>
          <w:ilvl w:val="0"/>
          <w:numId w:val="21"/>
        </w:numPr>
        <w:rPr>
          <w:rFonts w:asciiTheme="minorHAnsi" w:hAnsiTheme="minorHAnsi" w:cstheme="minorHAnsi"/>
          <w:sz w:val="22"/>
          <w:szCs w:val="22"/>
        </w:rPr>
      </w:pPr>
      <w:r w:rsidRPr="000A4EBE">
        <w:rPr>
          <w:rFonts w:asciiTheme="minorHAnsi" w:hAnsiTheme="minorHAnsi" w:cstheme="minorHAnsi"/>
          <w:sz w:val="22"/>
          <w:szCs w:val="22"/>
        </w:rPr>
        <w:t>A statement</w:t>
      </w:r>
      <w:r w:rsidR="00071FC1" w:rsidRPr="000A4EBE">
        <w:rPr>
          <w:rFonts w:asciiTheme="minorHAnsi" w:hAnsiTheme="minorHAnsi" w:cstheme="minorHAnsi"/>
          <w:sz w:val="22"/>
          <w:szCs w:val="22"/>
        </w:rPr>
        <w:t xml:space="preserve"> signed by the executive officer</w:t>
      </w:r>
      <w:r w:rsidRPr="000A4EBE">
        <w:rPr>
          <w:rFonts w:asciiTheme="minorHAnsi" w:hAnsiTheme="minorHAnsi" w:cstheme="minorHAnsi"/>
          <w:sz w:val="22"/>
          <w:szCs w:val="22"/>
        </w:rPr>
        <w:t xml:space="preserve"> that the controlling corporation and the </w:t>
      </w:r>
      <w:r w:rsidR="009150F3" w:rsidRPr="000A4EBE">
        <w:rPr>
          <w:rFonts w:asciiTheme="minorHAnsi" w:hAnsiTheme="minorHAnsi" w:cstheme="minorHAnsi"/>
          <w:sz w:val="22"/>
          <w:szCs w:val="22"/>
        </w:rPr>
        <w:t>group</w:t>
      </w:r>
      <w:r w:rsidRPr="000A4EBE">
        <w:rPr>
          <w:rFonts w:asciiTheme="minorHAnsi" w:hAnsiTheme="minorHAnsi" w:cstheme="minorHAnsi"/>
          <w:sz w:val="22"/>
          <w:szCs w:val="22"/>
        </w:rPr>
        <w:t xml:space="preserve"> member agree that the controlling corporation will cease</w:t>
      </w:r>
      <w:r w:rsidR="009150F3" w:rsidRPr="000A4EBE">
        <w:rPr>
          <w:rFonts w:asciiTheme="minorHAnsi" w:hAnsiTheme="minorHAnsi" w:cstheme="minorHAnsi"/>
          <w:sz w:val="22"/>
          <w:szCs w:val="22"/>
        </w:rPr>
        <w:t xml:space="preserve"> </w:t>
      </w:r>
      <w:r w:rsidR="001C10BC" w:rsidRPr="000A4EBE">
        <w:rPr>
          <w:rFonts w:asciiTheme="minorHAnsi" w:hAnsiTheme="minorHAnsi" w:cstheme="minorHAnsi"/>
          <w:sz w:val="22"/>
          <w:szCs w:val="22"/>
        </w:rPr>
        <w:t xml:space="preserve">to have </w:t>
      </w:r>
      <w:r w:rsidR="009150F3" w:rsidRPr="000A4EBE">
        <w:rPr>
          <w:rFonts w:asciiTheme="minorHAnsi" w:hAnsiTheme="minorHAnsi" w:cstheme="minorHAnsi"/>
          <w:sz w:val="22"/>
          <w:szCs w:val="22"/>
        </w:rPr>
        <w:t xml:space="preserve">section 19 reporting obligations </w:t>
      </w:r>
      <w:r w:rsidRPr="000A4EBE">
        <w:rPr>
          <w:rFonts w:asciiTheme="minorHAnsi" w:hAnsiTheme="minorHAnsi" w:cstheme="minorHAnsi"/>
          <w:sz w:val="22"/>
          <w:szCs w:val="22"/>
        </w:rPr>
        <w:t>in relation to the facilities that are subject to the section 22X agreement.</w:t>
      </w:r>
    </w:p>
    <w:p w14:paraId="6B4FB2F1" w14:textId="74D62AFA" w:rsidR="00AA44D9" w:rsidRPr="000A4EBE" w:rsidRDefault="009150F3" w:rsidP="00AA44D9">
      <w:pPr>
        <w:pStyle w:val="NGERbullets"/>
        <w:numPr>
          <w:ilvl w:val="0"/>
          <w:numId w:val="21"/>
        </w:numPr>
        <w:rPr>
          <w:rFonts w:asciiTheme="minorHAnsi" w:hAnsiTheme="minorHAnsi" w:cstheme="minorHAnsi"/>
          <w:sz w:val="22"/>
          <w:szCs w:val="22"/>
        </w:rPr>
      </w:pPr>
      <w:r w:rsidRPr="000A4EBE">
        <w:rPr>
          <w:rFonts w:asciiTheme="minorHAnsi" w:hAnsiTheme="minorHAnsi" w:cstheme="minorHAnsi"/>
          <w:sz w:val="22"/>
          <w:szCs w:val="22"/>
        </w:rPr>
        <w:t>Details</w:t>
      </w:r>
      <w:r w:rsidR="00AA44D9" w:rsidRPr="000A4EBE">
        <w:rPr>
          <w:rFonts w:asciiTheme="minorHAnsi" w:hAnsiTheme="minorHAnsi" w:cstheme="minorHAnsi"/>
          <w:sz w:val="22"/>
          <w:szCs w:val="22"/>
        </w:rPr>
        <w:t xml:space="preserve"> of any circumstances in which the parties agree that the section 22X agreement will be revoked, for example: </w:t>
      </w:r>
    </w:p>
    <w:p w14:paraId="6B90CB1F" w14:textId="7A64543A" w:rsidR="00AA44D9" w:rsidRPr="000A4EBE" w:rsidRDefault="00AA44D9" w:rsidP="00AA44D9">
      <w:pPr>
        <w:numPr>
          <w:ilvl w:val="1"/>
          <w:numId w:val="21"/>
        </w:numPr>
        <w:spacing w:before="60" w:after="120"/>
        <w:rPr>
          <w:rFonts w:cstheme="minorHAnsi"/>
          <w:sz w:val="22"/>
          <w:szCs w:val="22"/>
        </w:rPr>
      </w:pPr>
      <w:r w:rsidRPr="000A4EBE">
        <w:rPr>
          <w:rFonts w:cstheme="minorHAnsi"/>
          <w:sz w:val="22"/>
          <w:szCs w:val="22"/>
        </w:rPr>
        <w:t>where the controlling corporation’s group does not meet any of the thresholds specified in subsection 13(1) of the NGER Act</w:t>
      </w:r>
    </w:p>
    <w:p w14:paraId="2CCD62F8" w14:textId="5CA900DA" w:rsidR="00AA44D9" w:rsidRPr="000A4EBE" w:rsidRDefault="00AA44D9" w:rsidP="00AA44D9">
      <w:pPr>
        <w:numPr>
          <w:ilvl w:val="1"/>
          <w:numId w:val="21"/>
        </w:numPr>
        <w:spacing w:before="60" w:after="120"/>
        <w:rPr>
          <w:rFonts w:cstheme="minorHAnsi"/>
          <w:sz w:val="22"/>
          <w:szCs w:val="22"/>
        </w:rPr>
      </w:pPr>
      <w:r w:rsidRPr="000A4EBE">
        <w:rPr>
          <w:rFonts w:cstheme="minorHAnsi"/>
          <w:sz w:val="22"/>
          <w:szCs w:val="22"/>
        </w:rPr>
        <w:t xml:space="preserve">where the </w:t>
      </w:r>
      <w:r w:rsidR="009150F3" w:rsidRPr="000A4EBE">
        <w:rPr>
          <w:rFonts w:cstheme="minorHAnsi"/>
          <w:sz w:val="22"/>
          <w:szCs w:val="22"/>
        </w:rPr>
        <w:t>group</w:t>
      </w:r>
      <w:r w:rsidRPr="000A4EBE">
        <w:rPr>
          <w:rFonts w:cstheme="minorHAnsi"/>
          <w:sz w:val="22"/>
          <w:szCs w:val="22"/>
        </w:rPr>
        <w:t xml:space="preserve"> member is no longer part of the controlling corporation’s group</w:t>
      </w:r>
      <w:r w:rsidR="004D1895" w:rsidRPr="000A4EBE">
        <w:rPr>
          <w:rFonts w:cstheme="minorHAnsi"/>
          <w:sz w:val="22"/>
          <w:szCs w:val="22"/>
        </w:rPr>
        <w:t xml:space="preserve"> (taking effect from 1 July of the relevant year).</w:t>
      </w:r>
    </w:p>
    <w:p w14:paraId="63D7D360" w14:textId="77777777" w:rsidR="00E86031" w:rsidRPr="0020128E" w:rsidRDefault="00AA44D9" w:rsidP="00E86031">
      <w:pPr>
        <w:pStyle w:val="CERbullets"/>
        <w:rPr>
          <w:rFonts w:eastAsia="Times New Roman"/>
          <w:b/>
          <w:color w:val="005874"/>
        </w:rPr>
      </w:pPr>
      <w:r w:rsidRPr="0020128E">
        <w:t xml:space="preserve">Acknowledgement </w:t>
      </w:r>
      <w:r w:rsidR="00D938A4" w:rsidRPr="0020128E">
        <w:t xml:space="preserve">that the 22X transfer means the group member is now responsible for any </w:t>
      </w:r>
      <w:r w:rsidR="00EB35A7" w:rsidRPr="0020128E">
        <w:t xml:space="preserve">record keeping </w:t>
      </w:r>
      <w:r w:rsidR="005B02F8" w:rsidRPr="0020128E">
        <w:t xml:space="preserve">requirements and </w:t>
      </w:r>
      <w:r w:rsidR="00D938A4" w:rsidRPr="0020128E">
        <w:t>compliance related matters.</w:t>
      </w:r>
      <w:r w:rsidR="00D938A4" w:rsidRPr="00E86031">
        <w:t xml:space="preserve"> </w:t>
      </w:r>
    </w:p>
    <w:p w14:paraId="5B323CA3" w14:textId="092DF536" w:rsidR="004D1895" w:rsidRPr="000A4EBE" w:rsidRDefault="00D938A4" w:rsidP="0020128E">
      <w:pPr>
        <w:pStyle w:val="CERbullets"/>
        <w:numPr>
          <w:ilvl w:val="0"/>
          <w:numId w:val="0"/>
        </w:numPr>
        <w:rPr>
          <w:rFonts w:eastAsia="Times New Roman"/>
          <w:b/>
          <w:color w:val="005874"/>
        </w:rPr>
      </w:pPr>
      <w:r w:rsidRPr="000A4EBE">
        <w:t>See</w:t>
      </w:r>
      <w:r w:rsidR="007968D1" w:rsidRPr="000A4EBE">
        <w:t xml:space="preserve"> </w:t>
      </w:r>
      <w:hyperlink r:id="rId18" w:history="1">
        <w:r w:rsidR="00AA4986">
          <w:rPr>
            <w:rStyle w:val="Hyperlink"/>
            <w:rFonts w:asciiTheme="minorHAnsi" w:hAnsiTheme="minorHAnsi" w:cstheme="minorHAnsi"/>
            <w:szCs w:val="22"/>
          </w:rPr>
          <w:t>record keeping and compliance for greenhouse and energy reporting</w:t>
        </w:r>
      </w:hyperlink>
      <w:r w:rsidR="00E83179">
        <w:rPr>
          <w:rStyle w:val="FootnoteReference"/>
          <w:rFonts w:cstheme="minorHAnsi"/>
          <w:color w:val="005874"/>
          <w:sz w:val="22"/>
          <w:szCs w:val="22"/>
          <w:u w:val="single"/>
        </w:rPr>
        <w:footnoteReference w:id="10"/>
      </w:r>
      <w:r w:rsidR="004E1B39" w:rsidRPr="000A4EBE">
        <w:t xml:space="preserve"> </w:t>
      </w:r>
      <w:r w:rsidR="00FE3BAC" w:rsidRPr="000A4EBE">
        <w:t xml:space="preserve">for </w:t>
      </w:r>
      <w:r w:rsidR="000813B6" w:rsidRPr="000A4EBE">
        <w:t>further</w:t>
      </w:r>
      <w:r w:rsidR="00FE3BAC" w:rsidRPr="000A4EBE">
        <w:t xml:space="preserve"> information</w:t>
      </w:r>
      <w:r w:rsidR="00801EB3">
        <w:t>.</w:t>
      </w:r>
    </w:p>
    <w:p w14:paraId="299847BA" w14:textId="18CDD17E" w:rsidR="00800D98" w:rsidRPr="000A4EBE" w:rsidRDefault="00407039" w:rsidP="000A4EBE">
      <w:pPr>
        <w:pStyle w:val="Heading2"/>
        <w:spacing w:before="280"/>
        <w:rPr>
          <w:rFonts w:asciiTheme="minorHAnsi" w:eastAsia="Times New Roman" w:hAnsiTheme="minorHAnsi" w:cstheme="minorHAnsi"/>
          <w:b/>
          <w:color w:val="000000" w:themeColor="text1"/>
          <w:sz w:val="32"/>
          <w:szCs w:val="32"/>
          <w:lang w:eastAsia="en-US"/>
        </w:rPr>
      </w:pPr>
      <w:bookmarkStart w:id="10" w:name="_Toc183616691"/>
      <w:r w:rsidRPr="000A4EBE">
        <w:rPr>
          <w:rFonts w:asciiTheme="minorHAnsi" w:eastAsia="Times New Roman" w:hAnsiTheme="minorHAnsi" w:cstheme="minorHAnsi"/>
          <w:b/>
          <w:color w:val="000000" w:themeColor="text1"/>
          <w:sz w:val="32"/>
          <w:szCs w:val="32"/>
          <w:lang w:eastAsia="en-US"/>
        </w:rPr>
        <w:t>Notifying the Clean Energy Regulator o</w:t>
      </w:r>
      <w:r w:rsidR="00470A66" w:rsidRPr="000A4EBE">
        <w:rPr>
          <w:rFonts w:asciiTheme="minorHAnsi" w:eastAsia="Times New Roman" w:hAnsiTheme="minorHAnsi" w:cstheme="minorHAnsi"/>
          <w:b/>
          <w:color w:val="000000" w:themeColor="text1"/>
          <w:sz w:val="32"/>
          <w:szCs w:val="32"/>
          <w:lang w:eastAsia="en-US"/>
        </w:rPr>
        <w:t>f</w:t>
      </w:r>
      <w:r w:rsidRPr="000A4EBE">
        <w:rPr>
          <w:rFonts w:asciiTheme="minorHAnsi" w:eastAsia="Times New Roman" w:hAnsiTheme="minorHAnsi" w:cstheme="minorHAnsi"/>
          <w:b/>
          <w:color w:val="000000" w:themeColor="text1"/>
          <w:sz w:val="32"/>
          <w:szCs w:val="32"/>
          <w:lang w:eastAsia="en-US"/>
        </w:rPr>
        <w:t xml:space="preserve"> </w:t>
      </w:r>
      <w:r w:rsidR="00764A5A" w:rsidRPr="000A4EBE">
        <w:rPr>
          <w:rFonts w:asciiTheme="minorHAnsi" w:eastAsia="Times New Roman" w:hAnsiTheme="minorHAnsi" w:cstheme="minorHAnsi"/>
          <w:b/>
          <w:color w:val="000000" w:themeColor="text1"/>
          <w:sz w:val="32"/>
          <w:szCs w:val="32"/>
          <w:lang w:eastAsia="en-US"/>
        </w:rPr>
        <w:t>a</w:t>
      </w:r>
      <w:r w:rsidR="00AA44D9" w:rsidRPr="000A4EBE">
        <w:rPr>
          <w:rFonts w:asciiTheme="minorHAnsi" w:eastAsia="Times New Roman" w:hAnsiTheme="minorHAnsi" w:cstheme="minorHAnsi"/>
          <w:b/>
          <w:color w:val="000000" w:themeColor="text1"/>
          <w:sz w:val="32"/>
          <w:szCs w:val="32"/>
          <w:lang w:eastAsia="en-US"/>
        </w:rPr>
        <w:t xml:space="preserve"> revocation</w:t>
      </w:r>
      <w:bookmarkEnd w:id="10"/>
      <w:r w:rsidR="00AA44D9" w:rsidRPr="000A4EBE">
        <w:rPr>
          <w:rFonts w:asciiTheme="minorHAnsi" w:eastAsia="Times New Roman" w:hAnsiTheme="minorHAnsi" w:cstheme="minorHAnsi"/>
          <w:b/>
          <w:color w:val="000000" w:themeColor="text1"/>
          <w:sz w:val="32"/>
          <w:szCs w:val="32"/>
          <w:lang w:eastAsia="en-US"/>
        </w:rPr>
        <w:t xml:space="preserve"> </w:t>
      </w:r>
    </w:p>
    <w:p w14:paraId="1E38B64C" w14:textId="650D6B66" w:rsidR="00800D98" w:rsidRPr="000A4EBE" w:rsidRDefault="00702BCB" w:rsidP="000A4EBE">
      <w:pPr>
        <w:spacing w:before="240"/>
        <w:rPr>
          <w:sz w:val="22"/>
          <w:szCs w:val="22"/>
        </w:rPr>
      </w:pPr>
      <w:r w:rsidRPr="000A4EBE">
        <w:rPr>
          <w:sz w:val="22"/>
          <w:szCs w:val="22"/>
        </w:rPr>
        <w:t xml:space="preserve">Written notification </w:t>
      </w:r>
      <w:r w:rsidR="00800D98" w:rsidRPr="000A4EBE">
        <w:rPr>
          <w:sz w:val="22"/>
          <w:szCs w:val="22"/>
        </w:rPr>
        <w:t xml:space="preserve">that an agreement has ceased must be </w:t>
      </w:r>
      <w:r w:rsidR="007D196A" w:rsidRPr="000A4EBE">
        <w:rPr>
          <w:sz w:val="22"/>
          <w:szCs w:val="22"/>
        </w:rPr>
        <w:t>received by the</w:t>
      </w:r>
      <w:r w:rsidR="00136819" w:rsidRPr="000A4EBE">
        <w:rPr>
          <w:sz w:val="22"/>
          <w:szCs w:val="22"/>
        </w:rPr>
        <w:t xml:space="preserve"> </w:t>
      </w:r>
      <w:r w:rsidR="00471F90" w:rsidRPr="000A4EBE">
        <w:rPr>
          <w:sz w:val="22"/>
          <w:szCs w:val="22"/>
        </w:rPr>
        <w:t>CER</w:t>
      </w:r>
      <w:r w:rsidRPr="000A4EBE">
        <w:rPr>
          <w:sz w:val="22"/>
          <w:szCs w:val="22"/>
        </w:rPr>
        <w:t xml:space="preserve"> </w:t>
      </w:r>
      <w:r w:rsidR="00800D98" w:rsidRPr="000A4EBE">
        <w:rPr>
          <w:sz w:val="22"/>
          <w:szCs w:val="22"/>
        </w:rPr>
        <w:t xml:space="preserve">prior to the reporting deadline </w:t>
      </w:r>
      <w:r w:rsidR="00F8079C">
        <w:rPr>
          <w:sz w:val="22"/>
          <w:szCs w:val="22"/>
        </w:rPr>
        <w:t xml:space="preserve">of </w:t>
      </w:r>
      <w:r w:rsidR="00800D98" w:rsidRPr="000A4EBE">
        <w:rPr>
          <w:sz w:val="22"/>
          <w:szCs w:val="22"/>
        </w:rPr>
        <w:t>31 October following the relevant financial year.</w:t>
      </w:r>
    </w:p>
    <w:p w14:paraId="216B9FA5" w14:textId="6F72B28D" w:rsidR="0032029D" w:rsidRPr="000A4EBE" w:rsidRDefault="00B94842" w:rsidP="000A4EBE">
      <w:pPr>
        <w:spacing w:before="240"/>
        <w:rPr>
          <w:sz w:val="22"/>
          <w:szCs w:val="22"/>
        </w:rPr>
      </w:pPr>
      <w:r w:rsidRPr="000A4EBE">
        <w:rPr>
          <w:sz w:val="22"/>
          <w:szCs w:val="22"/>
        </w:rPr>
        <w:t xml:space="preserve">Unless the 22X agreement specifies the circumstances under which the agreement will no longer have effect, the agreement continues to be in place even when circumstances change. </w:t>
      </w:r>
      <w:r w:rsidR="00023102" w:rsidRPr="000A4EBE">
        <w:rPr>
          <w:sz w:val="22"/>
          <w:szCs w:val="22"/>
        </w:rPr>
        <w:t>F</w:t>
      </w:r>
      <w:r w:rsidR="0032029D" w:rsidRPr="000A4EBE">
        <w:rPr>
          <w:sz w:val="22"/>
          <w:szCs w:val="22"/>
        </w:rPr>
        <w:t xml:space="preserve">or example: </w:t>
      </w:r>
    </w:p>
    <w:p w14:paraId="38D84A7E" w14:textId="4EDE1FDD" w:rsidR="0032029D" w:rsidRPr="000A4EBE" w:rsidRDefault="0032029D" w:rsidP="000A4EBE">
      <w:pPr>
        <w:numPr>
          <w:ilvl w:val="1"/>
          <w:numId w:val="21"/>
        </w:numPr>
        <w:spacing w:before="240" w:after="120"/>
        <w:rPr>
          <w:sz w:val="22"/>
          <w:szCs w:val="22"/>
        </w:rPr>
      </w:pPr>
      <w:r w:rsidRPr="000A4EBE">
        <w:rPr>
          <w:sz w:val="22"/>
          <w:szCs w:val="22"/>
        </w:rPr>
        <w:t>where the controlling corporation’s group does not meet any of the thresholds specified in subsection 13(1) of the NGER Act</w:t>
      </w:r>
    </w:p>
    <w:p w14:paraId="5B15C44C" w14:textId="11297EA0" w:rsidR="00B94842" w:rsidRPr="000A4EBE" w:rsidRDefault="0032029D" w:rsidP="000A4EBE">
      <w:pPr>
        <w:numPr>
          <w:ilvl w:val="1"/>
          <w:numId w:val="21"/>
        </w:numPr>
        <w:spacing w:before="240" w:after="120"/>
        <w:rPr>
          <w:sz w:val="22"/>
          <w:szCs w:val="22"/>
        </w:rPr>
      </w:pPr>
      <w:r w:rsidRPr="000A4EBE">
        <w:rPr>
          <w:sz w:val="22"/>
          <w:szCs w:val="22"/>
        </w:rPr>
        <w:t>where the group member is no longer part of the controlling corporation’s group (taking effect from 1 July of the relevant year).</w:t>
      </w:r>
    </w:p>
    <w:p w14:paraId="5E495480" w14:textId="5DC95339" w:rsidR="00B94842" w:rsidRPr="000A4EBE" w:rsidRDefault="00B94842" w:rsidP="000A4EBE">
      <w:pPr>
        <w:spacing w:before="240"/>
        <w:rPr>
          <w:sz w:val="22"/>
          <w:szCs w:val="22"/>
        </w:rPr>
      </w:pPr>
      <w:r w:rsidRPr="000A4EBE">
        <w:rPr>
          <w:sz w:val="22"/>
          <w:szCs w:val="22"/>
        </w:rPr>
        <w:t xml:space="preserve">For further information regarding the revocation of a 22X agreement, </w:t>
      </w:r>
      <w:hyperlink r:id="rId19" w:history="1">
        <w:r w:rsidRPr="0020128E">
          <w:rPr>
            <w:rStyle w:val="Hyperlink"/>
          </w:rPr>
          <w:t xml:space="preserve">contact </w:t>
        </w:r>
        <w:r w:rsidR="6708F932" w:rsidRPr="000A4EBE">
          <w:rPr>
            <w:rStyle w:val="Hyperlink"/>
            <w:szCs w:val="22"/>
          </w:rPr>
          <w:t>us</w:t>
        </w:r>
      </w:hyperlink>
      <w:r w:rsidR="00E83179">
        <w:rPr>
          <w:rStyle w:val="FootnoteReference"/>
          <w:rFonts w:ascii="Calibri" w:hAnsi="Calibri"/>
          <w:color w:val="005874"/>
          <w:sz w:val="22"/>
          <w:szCs w:val="22"/>
          <w:u w:val="single"/>
        </w:rPr>
        <w:footnoteReference w:id="11"/>
      </w:r>
      <w:r w:rsidR="6708F932" w:rsidRPr="000A4EBE">
        <w:rPr>
          <w:sz w:val="22"/>
          <w:szCs w:val="22"/>
        </w:rPr>
        <w:t xml:space="preserve">. </w:t>
      </w:r>
      <w:r w:rsidRPr="000A4EBE">
        <w:rPr>
          <w:sz w:val="22"/>
          <w:szCs w:val="22"/>
        </w:rPr>
        <w:t xml:space="preserve"> </w:t>
      </w:r>
    </w:p>
    <w:p w14:paraId="185EEBB8" w14:textId="77777777" w:rsidR="001279D3" w:rsidRPr="000A4EBE" w:rsidRDefault="001279D3" w:rsidP="000A4EBE">
      <w:pPr>
        <w:pStyle w:val="Heading2"/>
        <w:spacing w:before="280"/>
        <w:rPr>
          <w:rFonts w:asciiTheme="minorHAnsi" w:eastAsia="Times New Roman" w:hAnsiTheme="minorHAnsi" w:cstheme="minorHAnsi"/>
          <w:b/>
          <w:color w:val="000000" w:themeColor="text1"/>
          <w:sz w:val="32"/>
          <w:szCs w:val="32"/>
          <w:lang w:eastAsia="en-US"/>
        </w:rPr>
      </w:pPr>
      <w:bookmarkStart w:id="11" w:name="_Toc183616692"/>
      <w:r w:rsidRPr="000A4EBE">
        <w:rPr>
          <w:rFonts w:asciiTheme="minorHAnsi" w:eastAsia="Times New Roman" w:hAnsiTheme="minorHAnsi" w:cstheme="minorHAnsi"/>
          <w:b/>
          <w:color w:val="000000" w:themeColor="text1"/>
          <w:sz w:val="32"/>
          <w:szCs w:val="32"/>
          <w:lang w:eastAsia="en-US"/>
        </w:rPr>
        <w:t>Non-compliance under the NGER Act</w:t>
      </w:r>
      <w:bookmarkEnd w:id="11"/>
    </w:p>
    <w:p w14:paraId="5395813D" w14:textId="44FA7E2E" w:rsidR="00AB53FA" w:rsidRPr="000A4EBE" w:rsidRDefault="00AB53FA" w:rsidP="00AB53FA">
      <w:pPr>
        <w:keepNext/>
        <w:keepLines/>
        <w:spacing w:before="120" w:after="120"/>
        <w:rPr>
          <w:sz w:val="22"/>
          <w:szCs w:val="22"/>
        </w:rPr>
      </w:pPr>
      <w:r w:rsidRPr="000A4EBE">
        <w:rPr>
          <w:sz w:val="22"/>
          <w:szCs w:val="22"/>
        </w:rPr>
        <w:t>Failure to submit a compliant section 22X report by the due date is a contravention of the NGER Act and may attract a civil penalt</w:t>
      </w:r>
      <w:r w:rsidR="0029398A">
        <w:rPr>
          <w:sz w:val="22"/>
          <w:szCs w:val="22"/>
        </w:rPr>
        <w:t>y.</w:t>
      </w:r>
      <w:r w:rsidR="009406CA" w:rsidRPr="000A4EBE">
        <w:rPr>
          <w:sz w:val="22"/>
          <w:szCs w:val="22"/>
        </w:rPr>
        <w:t xml:space="preserve"> T</w:t>
      </w:r>
      <w:r w:rsidRPr="000A4EBE">
        <w:rPr>
          <w:sz w:val="22"/>
          <w:szCs w:val="22"/>
        </w:rPr>
        <w:t xml:space="preserve">he same penalties may also apply to </w:t>
      </w:r>
      <w:r w:rsidR="0018490B" w:rsidRPr="000A4EBE">
        <w:rPr>
          <w:sz w:val="22"/>
          <w:szCs w:val="22"/>
        </w:rPr>
        <w:t xml:space="preserve">executive officers </w:t>
      </w:r>
      <w:r w:rsidRPr="000A4EBE">
        <w:rPr>
          <w:sz w:val="22"/>
          <w:szCs w:val="22"/>
        </w:rPr>
        <w:t>of the group member.</w:t>
      </w:r>
    </w:p>
    <w:p w14:paraId="7317214E" w14:textId="3B9800A3" w:rsidR="001279D3" w:rsidRPr="000A4EBE" w:rsidRDefault="001279D3" w:rsidP="001279D3">
      <w:pPr>
        <w:keepNext/>
        <w:keepLines/>
        <w:spacing w:before="120" w:after="120"/>
        <w:rPr>
          <w:sz w:val="22"/>
          <w:szCs w:val="22"/>
        </w:rPr>
      </w:pPr>
      <w:r w:rsidRPr="000A4EBE">
        <w:rPr>
          <w:sz w:val="22"/>
          <w:szCs w:val="22"/>
        </w:rPr>
        <w:t xml:space="preserve">The NGER Act contains a range of possible responses for non-compliance including use of enforceable undertakings, publication of non-compliance on the </w:t>
      </w:r>
      <w:r w:rsidR="000F2A35" w:rsidRPr="000A4EBE">
        <w:rPr>
          <w:sz w:val="22"/>
          <w:szCs w:val="22"/>
        </w:rPr>
        <w:t>CER</w:t>
      </w:r>
      <w:r w:rsidRPr="000A4EBE">
        <w:rPr>
          <w:sz w:val="22"/>
          <w:szCs w:val="22"/>
        </w:rPr>
        <w:t xml:space="preserve">’s website and infringement notices. </w:t>
      </w:r>
    </w:p>
    <w:p w14:paraId="22D67565" w14:textId="515D41CF" w:rsidR="00766BC6" w:rsidRPr="000A4EBE" w:rsidRDefault="001279D3" w:rsidP="001279D3">
      <w:pPr>
        <w:keepNext/>
        <w:keepLines/>
        <w:spacing w:before="120" w:after="120"/>
        <w:rPr>
          <w:sz w:val="22"/>
          <w:szCs w:val="22"/>
        </w:rPr>
      </w:pPr>
      <w:r w:rsidRPr="000A4EBE">
        <w:rPr>
          <w:sz w:val="22"/>
          <w:szCs w:val="22"/>
        </w:rPr>
        <w:t xml:space="preserve">Furthermore, section 19 of the Act outlines the offence for failing to provide a report to the </w:t>
      </w:r>
      <w:r w:rsidR="000F2A35" w:rsidRPr="000A4EBE">
        <w:rPr>
          <w:sz w:val="22"/>
          <w:szCs w:val="22"/>
        </w:rPr>
        <w:t>CER</w:t>
      </w:r>
      <w:r w:rsidRPr="000A4EBE">
        <w:rPr>
          <w:sz w:val="22"/>
          <w:szCs w:val="22"/>
        </w:rPr>
        <w:t xml:space="preserve">. Section 19 of the Act is a civil penalty provision, while the provision of false or misleading information may also constitute criminal offences under the </w:t>
      </w:r>
      <w:r w:rsidRPr="0020128E">
        <w:rPr>
          <w:i/>
          <w:iCs/>
          <w:sz w:val="22"/>
          <w:szCs w:val="22"/>
        </w:rPr>
        <w:t>Criminal Code Act 1995</w:t>
      </w:r>
      <w:r w:rsidRPr="000A4EBE">
        <w:rPr>
          <w:sz w:val="22"/>
          <w:szCs w:val="22"/>
        </w:rPr>
        <w:t>.</w:t>
      </w:r>
    </w:p>
    <w:p w14:paraId="2B8E7749" w14:textId="703C217F" w:rsidR="00766BC6" w:rsidRPr="000A4EBE" w:rsidRDefault="00B95E3E" w:rsidP="001279D3">
      <w:pPr>
        <w:keepNext/>
        <w:keepLines/>
        <w:spacing w:before="120" w:after="120"/>
        <w:rPr>
          <w:sz w:val="22"/>
          <w:szCs w:val="22"/>
        </w:rPr>
      </w:pPr>
      <w:r w:rsidRPr="000A4EBE">
        <w:rPr>
          <w:sz w:val="22"/>
          <w:szCs w:val="22"/>
        </w:rPr>
        <w:t xml:space="preserve">See </w:t>
      </w:r>
      <w:hyperlink r:id="rId20" w:history="1">
        <w:r w:rsidR="00E83179">
          <w:rPr>
            <w:rStyle w:val="Hyperlink"/>
            <w:rFonts w:asciiTheme="minorHAnsi" w:hAnsiTheme="minorHAnsi"/>
            <w:szCs w:val="22"/>
          </w:rPr>
          <w:t>record keeping and compliance for greenhouse and energy reporting</w:t>
        </w:r>
      </w:hyperlink>
      <w:r w:rsidR="009B28C3">
        <w:rPr>
          <w:rStyle w:val="FootnoteReference"/>
          <w:color w:val="005874"/>
          <w:sz w:val="22"/>
          <w:szCs w:val="22"/>
          <w:u w:val="single"/>
        </w:rPr>
        <w:footnoteReference w:id="12"/>
      </w:r>
      <w:r w:rsidRPr="000A4EBE">
        <w:rPr>
          <w:sz w:val="22"/>
          <w:szCs w:val="22"/>
        </w:rPr>
        <w:t xml:space="preserve"> for further information</w:t>
      </w:r>
      <w:r w:rsidR="00766BC6" w:rsidRPr="000A4EBE">
        <w:rPr>
          <w:sz w:val="22"/>
          <w:szCs w:val="22"/>
        </w:rPr>
        <w:t>.</w:t>
      </w:r>
    </w:p>
    <w:p w14:paraId="688182F8" w14:textId="77777777" w:rsidR="00271C70" w:rsidRDefault="00271C70">
      <w:pPr>
        <w:rPr>
          <w:rFonts w:ascii="Calibri" w:eastAsia="Times New Roman" w:hAnsi="Calibri" w:cs="Calibri"/>
          <w:b/>
          <w:color w:val="000000" w:themeColor="text1"/>
          <w:kern w:val="32"/>
          <w:sz w:val="40"/>
          <w:szCs w:val="24"/>
          <w:lang w:eastAsia="en-US"/>
        </w:rPr>
      </w:pPr>
      <w:bookmarkStart w:id="12" w:name="_Toc76039511"/>
      <w:bookmarkStart w:id="13" w:name="_Toc183616693"/>
      <w:r>
        <w:rPr>
          <w:rFonts w:ascii="Calibri" w:eastAsia="Times New Roman" w:hAnsi="Calibri" w:cs="Calibri"/>
          <w:b/>
          <w:color w:val="000000" w:themeColor="text1"/>
          <w:kern w:val="32"/>
          <w:szCs w:val="24"/>
          <w:lang w:eastAsia="en-US"/>
        </w:rPr>
        <w:br w:type="page"/>
      </w:r>
    </w:p>
    <w:p w14:paraId="7A942002" w14:textId="189A0A15" w:rsidR="003754CA" w:rsidRPr="00801EB3" w:rsidRDefault="003754CA" w:rsidP="00801EB3">
      <w:pPr>
        <w:pStyle w:val="Heading1"/>
        <w:keepNext w:val="0"/>
        <w:keepLines w:val="0"/>
        <w:spacing w:after="0"/>
        <w:rPr>
          <w:rFonts w:ascii="Calibri" w:eastAsia="Times New Roman" w:hAnsi="Calibri" w:cs="Calibri"/>
          <w:b/>
          <w:color w:val="000000" w:themeColor="text1"/>
          <w:kern w:val="32"/>
          <w:szCs w:val="24"/>
          <w:lang w:eastAsia="en-US"/>
        </w:rPr>
      </w:pPr>
      <w:r w:rsidRPr="00801EB3">
        <w:rPr>
          <w:rFonts w:ascii="Calibri" w:eastAsia="Times New Roman" w:hAnsi="Calibri" w:cs="Calibri"/>
          <w:b/>
          <w:color w:val="000000" w:themeColor="text1"/>
          <w:kern w:val="32"/>
          <w:szCs w:val="24"/>
          <w:lang w:eastAsia="en-US"/>
        </w:rPr>
        <w:t>More information</w:t>
      </w:r>
      <w:bookmarkEnd w:id="12"/>
      <w:bookmarkEnd w:id="13"/>
      <w:r w:rsidRPr="00801EB3">
        <w:rPr>
          <w:rFonts w:ascii="Calibri" w:eastAsia="Times New Roman" w:hAnsi="Calibri" w:cs="Calibri"/>
          <w:b/>
          <w:color w:val="000000" w:themeColor="text1"/>
          <w:kern w:val="32"/>
          <w:szCs w:val="24"/>
          <w:lang w:eastAsia="en-US"/>
        </w:rPr>
        <w:t xml:space="preserve"> </w:t>
      </w:r>
    </w:p>
    <w:p w14:paraId="1F9CEC42" w14:textId="544A13F4" w:rsidR="003754CA" w:rsidRPr="00801EB3" w:rsidRDefault="003754CA" w:rsidP="00801EB3">
      <w:pPr>
        <w:spacing w:before="240" w:after="120"/>
        <w:rPr>
          <w:sz w:val="22"/>
          <w:szCs w:val="22"/>
        </w:rPr>
      </w:pPr>
      <w:r w:rsidRPr="00801EB3">
        <w:rPr>
          <w:sz w:val="22"/>
          <w:szCs w:val="22"/>
        </w:rPr>
        <w:t xml:space="preserve">Email: </w:t>
      </w:r>
      <w:hyperlink r:id="rId21" w:history="1">
        <w:r w:rsidR="00475889">
          <w:rPr>
            <w:rStyle w:val="Hyperlink"/>
            <w:rFonts w:asciiTheme="minorHAnsi" w:hAnsiTheme="minorHAnsi"/>
            <w:szCs w:val="22"/>
          </w:rPr>
          <w:t>reporting@cer.gov.au</w:t>
        </w:r>
      </w:hyperlink>
    </w:p>
    <w:p w14:paraId="62205972" w14:textId="77777777" w:rsidR="003754CA" w:rsidRPr="00801EB3" w:rsidRDefault="003754CA" w:rsidP="00801EB3">
      <w:pPr>
        <w:spacing w:before="240" w:after="120"/>
        <w:rPr>
          <w:sz w:val="22"/>
          <w:szCs w:val="22"/>
        </w:rPr>
      </w:pPr>
      <w:r w:rsidRPr="00801EB3">
        <w:rPr>
          <w:sz w:val="22"/>
          <w:szCs w:val="22"/>
        </w:rPr>
        <w:t>Phone: 1300 553 542 within Australia</w:t>
      </w:r>
    </w:p>
    <w:p w14:paraId="4AB9D6E9" w14:textId="2FA4AEE0" w:rsidR="003A5739" w:rsidRPr="00EA709E" w:rsidRDefault="003754CA" w:rsidP="00EA709E">
      <w:pPr>
        <w:spacing w:before="240" w:after="120"/>
        <w:rPr>
          <w:sz w:val="22"/>
          <w:szCs w:val="22"/>
        </w:rPr>
      </w:pPr>
      <w:r w:rsidRPr="00801EB3">
        <w:rPr>
          <w:sz w:val="22"/>
          <w:szCs w:val="22"/>
        </w:rPr>
        <w:t xml:space="preserve">Web: </w:t>
      </w:r>
      <w:hyperlink r:id="rId22" w:history="1">
        <w:r w:rsidR="00C026A0" w:rsidRPr="00C026A0">
          <w:rPr>
            <w:rStyle w:val="Hyperlink"/>
            <w:rFonts w:asciiTheme="minorHAnsi" w:hAnsiTheme="minorHAnsi"/>
            <w:szCs w:val="22"/>
          </w:rPr>
          <w:t>www.cer.gov.au</w:t>
        </w:r>
      </w:hyperlink>
    </w:p>
    <w:sectPr w:rsidR="003A5739" w:rsidRPr="00EA709E" w:rsidSect="004111BB">
      <w:headerReference w:type="default" r:id="rId23"/>
      <w:footerReference w:type="default" r:id="rId24"/>
      <w:headerReference w:type="first" r:id="rId25"/>
      <w:footerReference w:type="first" r:id="rId26"/>
      <w:pgSz w:w="11900" w:h="16840" w:code="9"/>
      <w:pgMar w:top="568" w:right="1127" w:bottom="993" w:left="1080" w:header="227" w:footer="232"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D0E7D" w14:textId="77777777" w:rsidR="00C839BC" w:rsidRDefault="00C839BC" w:rsidP="00176C28">
      <w:r>
        <w:separator/>
      </w:r>
    </w:p>
  </w:endnote>
  <w:endnote w:type="continuationSeparator" w:id="0">
    <w:p w14:paraId="488CAE51" w14:textId="77777777" w:rsidR="00C839BC" w:rsidRDefault="00C839BC" w:rsidP="00176C28">
      <w:r>
        <w:continuationSeparator/>
      </w:r>
    </w:p>
  </w:endnote>
  <w:endnote w:type="continuationNotice" w:id="1">
    <w:p w14:paraId="4C059BFF" w14:textId="77777777" w:rsidR="00C839BC" w:rsidRDefault="00C839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133E9" w14:textId="54747CE7" w:rsidR="00FC4659" w:rsidRPr="002761BC" w:rsidRDefault="00FC4659" w:rsidP="00FC4659">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740C3C">
      <w:rPr>
        <w:rFonts w:eastAsia="Cambria" w:cs="Calibri (Body)"/>
        <w:b/>
        <w:bCs/>
        <w:color w:val="000000" w:themeColor="text1"/>
        <w:spacing w:val="2"/>
        <w:sz w:val="18"/>
        <w:szCs w:val="18"/>
        <w:lang w:eastAsia="en-US"/>
      </w:rPr>
      <w:t xml:space="preserve">W: </w:t>
    </w:r>
    <w:r w:rsidRPr="00910CA1">
      <w:rPr>
        <w:rFonts w:eastAsia="Cambria" w:cs="Calibri (Body)"/>
        <w:color w:val="000000" w:themeColor="text1"/>
        <w:spacing w:val="2"/>
        <w:sz w:val="18"/>
        <w:szCs w:val="18"/>
        <w:lang w:eastAsia="en-US"/>
      </w:rPr>
      <w:t>www.</w:t>
    </w:r>
    <w:r w:rsidR="00910CA1" w:rsidRPr="00910CA1">
      <w:rPr>
        <w:rFonts w:eastAsia="Cambria" w:cs="Calibri (Body)"/>
        <w:color w:val="000000" w:themeColor="text1"/>
        <w:spacing w:val="2"/>
        <w:sz w:val="18"/>
        <w:szCs w:val="18"/>
        <w:lang w:eastAsia="en-US"/>
      </w:rPr>
      <w:t>cer</w:t>
    </w:r>
    <w:r w:rsidRPr="00910CA1">
      <w:rPr>
        <w:rFonts w:eastAsia="Cambria" w:cs="Calibri (Body)"/>
        <w:color w:val="000000" w:themeColor="text1"/>
        <w:spacing w:val="2"/>
        <w:sz w:val="18"/>
        <w:szCs w:val="18"/>
        <w:lang w:eastAsia="en-US"/>
      </w:rPr>
      <w:t>.gov.au</w:t>
    </w:r>
    <w:r w:rsidRPr="00740C3C">
      <w:rPr>
        <w:rFonts w:eastAsia="Cambria" w:cs="Calibri (Body)"/>
        <w:b/>
        <w:bCs/>
        <w:color w:val="000000" w:themeColor="text1"/>
        <w:spacing w:val="2"/>
        <w:sz w:val="18"/>
        <w:szCs w:val="18"/>
        <w:lang w:eastAsia="en-US"/>
      </w:rPr>
      <w:t xml:space="preserve"> | </w:t>
    </w:r>
    <w:r w:rsidRPr="00910CA1">
      <w:rPr>
        <w:rFonts w:eastAsia="Cambria" w:cs="Calibri (Body)"/>
        <w:b/>
        <w:bCs/>
        <w:color w:val="000000" w:themeColor="text1"/>
        <w:spacing w:val="2"/>
        <w:sz w:val="18"/>
        <w:szCs w:val="18"/>
        <w:lang w:eastAsia="en-US"/>
      </w:rPr>
      <w:t>T:</w:t>
    </w:r>
    <w:r w:rsidRPr="00740C3C">
      <w:rPr>
        <w:rFonts w:eastAsia="Cambria" w:cs="Calibri (Body)"/>
        <w:b/>
        <w:bCs/>
        <w:color w:val="000000" w:themeColor="text1"/>
        <w:spacing w:val="2"/>
        <w:sz w:val="18"/>
        <w:szCs w:val="18"/>
        <w:lang w:eastAsia="en-US"/>
      </w:rPr>
      <w:t xml:space="preserve"> </w:t>
    </w:r>
    <w:r w:rsidRPr="00910CA1">
      <w:rPr>
        <w:rFonts w:eastAsia="Cambria" w:cs="Calibri (Body)"/>
        <w:color w:val="000000" w:themeColor="text1"/>
        <w:spacing w:val="2"/>
        <w:sz w:val="18"/>
        <w:szCs w:val="18"/>
        <w:lang w:eastAsia="en-US"/>
      </w:rPr>
      <w:t>1300 553 542</w:t>
    </w:r>
    <w:r w:rsidRPr="00740C3C">
      <w:rPr>
        <w:rFonts w:eastAsia="Cambria" w:cs="Calibri (Body)"/>
        <w:b/>
        <w:bCs/>
        <w:color w:val="000000" w:themeColor="text1"/>
        <w:spacing w:val="2"/>
        <w:sz w:val="18"/>
        <w:szCs w:val="18"/>
        <w:lang w:eastAsia="en-US"/>
      </w:rPr>
      <w:t xml:space="preserve"> | </w:t>
    </w:r>
    <w:r w:rsidRPr="00910CA1">
      <w:rPr>
        <w:rFonts w:eastAsia="Cambria" w:cs="Calibri (Body)"/>
        <w:b/>
        <w:bCs/>
        <w:color w:val="000000" w:themeColor="text1"/>
        <w:spacing w:val="2"/>
        <w:sz w:val="18"/>
        <w:szCs w:val="18"/>
        <w:lang w:eastAsia="en-US"/>
      </w:rPr>
      <w:t>E:</w:t>
    </w:r>
    <w:r w:rsidRPr="00740C3C">
      <w:rPr>
        <w:rFonts w:eastAsia="Cambria" w:cs="Calibri (Body)"/>
        <w:b/>
        <w:bCs/>
        <w:color w:val="000000" w:themeColor="text1"/>
        <w:spacing w:val="2"/>
        <w:sz w:val="18"/>
        <w:szCs w:val="18"/>
        <w:lang w:eastAsia="en-US"/>
      </w:rPr>
      <w:t xml:space="preserve"> </w:t>
    </w:r>
    <w:r w:rsidRPr="00910CA1">
      <w:rPr>
        <w:rFonts w:eastAsia="Cambria" w:cs="Calibri (Body)"/>
        <w:color w:val="000000" w:themeColor="text1"/>
        <w:spacing w:val="2"/>
        <w:sz w:val="18"/>
        <w:szCs w:val="18"/>
        <w:lang w:eastAsia="en-US"/>
      </w:rPr>
      <w:t>enquiries@c</w:t>
    </w:r>
    <w:r w:rsidR="00922E46">
      <w:rPr>
        <w:rFonts w:eastAsia="Cambria" w:cs="Calibri (Body)"/>
        <w:color w:val="000000" w:themeColor="text1"/>
        <w:spacing w:val="2"/>
        <w:sz w:val="18"/>
        <w:szCs w:val="18"/>
        <w:lang w:eastAsia="en-US"/>
      </w:rPr>
      <w:t>e</w:t>
    </w:r>
    <w:r w:rsidRPr="00910CA1">
      <w:rPr>
        <w:rFonts w:eastAsia="Cambria" w:cs="Calibri (Body)"/>
        <w:color w:val="000000" w:themeColor="text1"/>
        <w:spacing w:val="2"/>
        <w:sz w:val="18"/>
        <w:szCs w:val="18"/>
        <w:lang w:eastAsia="en-US"/>
      </w:rPr>
      <w:t>r.gov.au</w:t>
    </w:r>
    <w:r>
      <w:rPr>
        <w:rStyle w:val="PageNumber"/>
      </w:rPr>
      <w:tab/>
    </w:r>
    <w:sdt>
      <w:sdtPr>
        <w:rPr>
          <w:rStyle w:val="PageNumber"/>
          <w:rFonts w:eastAsia="Cambria" w:cs="Calibri (Body)"/>
          <w:color w:val="000000" w:themeColor="text1"/>
          <w:spacing w:val="2"/>
          <w:sz w:val="18"/>
          <w:szCs w:val="18"/>
          <w:lang w:eastAsia="en-US"/>
        </w:rPr>
        <w:id w:val="1597057790"/>
        <w:docPartObj>
          <w:docPartGallery w:val="Page Numbers (Bottom of Page)"/>
          <w:docPartUnique/>
        </w:docPartObj>
      </w:sdtPr>
      <w:sdtEndPr>
        <w:rPr>
          <w:rStyle w:val="PageNumber"/>
        </w:rPr>
      </w:sdtEndPr>
      <w:sdtContent>
        <w:r w:rsidRPr="00910CA1">
          <w:rPr>
            <w:rStyle w:val="PageNumber"/>
            <w:rFonts w:eastAsia="Cambria" w:cs="Calibri (Body)"/>
            <w:color w:val="000000" w:themeColor="text1"/>
            <w:spacing w:val="2"/>
            <w:sz w:val="18"/>
            <w:szCs w:val="18"/>
            <w:lang w:eastAsia="en-US"/>
          </w:rPr>
          <w:fldChar w:fldCharType="begin"/>
        </w:r>
        <w:r w:rsidRPr="00910CA1">
          <w:rPr>
            <w:rStyle w:val="PageNumber"/>
            <w:rFonts w:eastAsia="Cambria" w:cs="Calibri (Body)"/>
            <w:color w:val="000000" w:themeColor="text1"/>
            <w:spacing w:val="2"/>
            <w:sz w:val="18"/>
            <w:szCs w:val="18"/>
            <w:lang w:eastAsia="en-US"/>
          </w:rPr>
          <w:instrText xml:space="preserve"> PAGE </w:instrText>
        </w:r>
        <w:r w:rsidRPr="00910CA1">
          <w:rPr>
            <w:rStyle w:val="PageNumber"/>
            <w:rFonts w:eastAsia="Cambria" w:cs="Calibri (Body)"/>
            <w:color w:val="000000" w:themeColor="text1"/>
            <w:spacing w:val="2"/>
            <w:sz w:val="18"/>
            <w:szCs w:val="18"/>
            <w:lang w:eastAsia="en-US"/>
          </w:rPr>
          <w:fldChar w:fldCharType="separate"/>
        </w:r>
        <w:r w:rsidRPr="00910CA1">
          <w:rPr>
            <w:rStyle w:val="PageNumber"/>
            <w:rFonts w:eastAsia="Cambria" w:cs="Calibri (Body)"/>
            <w:color w:val="000000" w:themeColor="text1"/>
            <w:spacing w:val="2"/>
            <w:sz w:val="18"/>
            <w:szCs w:val="18"/>
            <w:lang w:eastAsia="en-US"/>
          </w:rPr>
          <w:t>2</w:t>
        </w:r>
        <w:r w:rsidRPr="00910CA1">
          <w:rPr>
            <w:rStyle w:val="PageNumber"/>
            <w:rFonts w:eastAsia="Cambria" w:cs="Calibri (Body)"/>
            <w:color w:val="000000" w:themeColor="text1"/>
            <w:spacing w:val="2"/>
            <w:sz w:val="18"/>
            <w:szCs w:val="18"/>
            <w:lang w:eastAsia="en-US"/>
          </w:rPr>
          <w:fldChar w:fldCharType="end"/>
        </w:r>
      </w:sdtContent>
    </w:sdt>
  </w:p>
  <w:p w14:paraId="05413C0D" w14:textId="220431FB" w:rsidR="00B54992" w:rsidRDefault="00B54992" w:rsidP="00FC4659">
    <w:pPr>
      <w:pStyle w:val="Footer"/>
      <w:spacing w:before="60"/>
      <w:jc w:val="center"/>
      <w:rPr>
        <w:rStyle w:val="Protectivemarker"/>
      </w:rPr>
    </w:pPr>
    <w:r>
      <w:rPr>
        <w:rStyle w:val="Protectivemarker"/>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511A9" w14:textId="5BDE0144" w:rsidR="0065750A" w:rsidRPr="009C30B4" w:rsidRDefault="00BD1DD1" w:rsidP="00BD1DD1">
    <w:pPr>
      <w:tabs>
        <w:tab w:val="left" w:pos="2694"/>
        <w:tab w:val="center" w:pos="4749"/>
      </w:tabs>
      <w:spacing w:after="720"/>
      <w:ind w:right="242"/>
      <w:rPr>
        <w:color w:val="005874"/>
        <w:sz w:val="16"/>
        <w:szCs w:val="16"/>
      </w:rPr>
    </w:pPr>
    <w:r>
      <w:rPr>
        <w:noProof/>
      </w:rPr>
      <w:drawing>
        <wp:inline distT="0" distB="0" distL="0" distR="0" wp14:anchorId="11624B25" wp14:editId="169CE9CC">
          <wp:extent cx="2131578" cy="648000"/>
          <wp:effectExtent l="0" t="0" r="2540" b="0"/>
          <wp:docPr id="1700653787" name="Picture 1700653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653787" name="Picture 1700653787"/>
                  <pic:cNvPicPr/>
                </pic:nvPicPr>
                <pic:blipFill>
                  <a:blip r:embed="rId1"/>
                  <a:stretch>
                    <a:fillRect/>
                  </a:stretch>
                </pic:blipFill>
                <pic:spPr>
                  <a:xfrm>
                    <a:off x="0" y="0"/>
                    <a:ext cx="2131578"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B3B92" w14:textId="77777777" w:rsidR="00C839BC" w:rsidRDefault="00C839BC" w:rsidP="00176C28">
      <w:r>
        <w:separator/>
      </w:r>
    </w:p>
  </w:footnote>
  <w:footnote w:type="continuationSeparator" w:id="0">
    <w:p w14:paraId="103B9AE7" w14:textId="77777777" w:rsidR="00C839BC" w:rsidRDefault="00C839BC" w:rsidP="00176C28">
      <w:r>
        <w:continuationSeparator/>
      </w:r>
    </w:p>
  </w:footnote>
  <w:footnote w:type="continuationNotice" w:id="1">
    <w:p w14:paraId="267A0F3F" w14:textId="77777777" w:rsidR="00C839BC" w:rsidRDefault="00C839BC">
      <w:pPr>
        <w:spacing w:after="0"/>
      </w:pPr>
    </w:p>
  </w:footnote>
  <w:footnote w:id="2">
    <w:p w14:paraId="0C6657A4" w14:textId="0508C54B" w:rsidR="00F26E9E" w:rsidRPr="00841F16" w:rsidRDefault="00F26E9E" w:rsidP="00F26E9E">
      <w:pPr>
        <w:pStyle w:val="FootnoteText"/>
        <w:rPr>
          <w:lang w:val="en-AU"/>
        </w:rPr>
      </w:pPr>
      <w:r>
        <w:rPr>
          <w:rStyle w:val="FootnoteReference"/>
        </w:rPr>
        <w:footnoteRef/>
      </w:r>
      <w:r>
        <w:t xml:space="preserve"> </w:t>
      </w:r>
      <w:r w:rsidR="00DD26ED" w:rsidRPr="00DD26ED">
        <w:t>https://www.legislation.gov.au/C2007A00175/latest/text</w:t>
      </w:r>
    </w:p>
  </w:footnote>
  <w:footnote w:id="3">
    <w:p w14:paraId="4D3CE08E" w14:textId="537587B4" w:rsidR="00F26E9E" w:rsidRPr="00841F16" w:rsidRDefault="00F26E9E" w:rsidP="00F26E9E">
      <w:pPr>
        <w:pStyle w:val="FootnoteText"/>
        <w:rPr>
          <w:lang w:val="en-AU"/>
        </w:rPr>
      </w:pPr>
      <w:r w:rsidRPr="00841F16">
        <w:rPr>
          <w:rStyle w:val="FootnoteReference"/>
        </w:rPr>
        <w:footnoteRef/>
      </w:r>
      <w:r w:rsidRPr="00841F16">
        <w:t xml:space="preserve"> </w:t>
      </w:r>
      <w:r w:rsidR="00DD26ED" w:rsidRPr="00DD26ED">
        <w:t>https://www.legislation.gov.au/F2008L02230/latest/text</w:t>
      </w:r>
    </w:p>
  </w:footnote>
  <w:footnote w:id="4">
    <w:p w14:paraId="337F8758" w14:textId="199F17FE" w:rsidR="00F26E9E" w:rsidRPr="00841F16" w:rsidRDefault="00F26E9E" w:rsidP="00F26E9E">
      <w:pPr>
        <w:pStyle w:val="FootnoteText"/>
        <w:rPr>
          <w:lang w:val="en-AU"/>
        </w:rPr>
      </w:pPr>
      <w:r w:rsidRPr="00841F16">
        <w:rPr>
          <w:rStyle w:val="FootnoteReference"/>
        </w:rPr>
        <w:footnoteRef/>
      </w:r>
      <w:r w:rsidRPr="00841F16">
        <w:t xml:space="preserve"> </w:t>
      </w:r>
      <w:r w:rsidR="001E3C22" w:rsidRPr="001E3C22">
        <w:t>https://www.legislation.gov.au/F2008L02309/latest/text</w:t>
      </w:r>
    </w:p>
  </w:footnote>
  <w:footnote w:id="5">
    <w:p w14:paraId="3E781A0E" w14:textId="0CD16C7B" w:rsidR="00F26E9E" w:rsidRPr="00740092" w:rsidRDefault="00F26E9E" w:rsidP="00F26E9E">
      <w:pPr>
        <w:pStyle w:val="FootnoteText"/>
        <w:rPr>
          <w:lang w:val="en-AU"/>
        </w:rPr>
      </w:pPr>
      <w:r w:rsidRPr="00841F16">
        <w:rPr>
          <w:rStyle w:val="FootnoteReference"/>
        </w:rPr>
        <w:footnoteRef/>
      </w:r>
      <w:r w:rsidRPr="00841F16">
        <w:t xml:space="preserve"> </w:t>
      </w:r>
      <w:r w:rsidR="001E3C22" w:rsidRPr="001E3C22">
        <w:t>https://cer.gov.au/schemes/national-greenhouse-and-energy-reporting-scheme</w:t>
      </w:r>
    </w:p>
  </w:footnote>
  <w:footnote w:id="6">
    <w:p w14:paraId="10CFB803" w14:textId="646BBC27" w:rsidR="00C91135" w:rsidRPr="00CB7838" w:rsidRDefault="00C91135">
      <w:pPr>
        <w:pStyle w:val="FootnoteText"/>
        <w:rPr>
          <w:lang w:val="en-AU"/>
        </w:rPr>
      </w:pPr>
      <w:r>
        <w:rPr>
          <w:rStyle w:val="FootnoteReference"/>
        </w:rPr>
        <w:footnoteRef/>
      </w:r>
      <w:r>
        <w:t xml:space="preserve"> </w:t>
      </w:r>
      <w:r w:rsidRPr="00C6027B">
        <w:rPr>
          <w:lang w:val="en-AU"/>
        </w:rPr>
        <w:t xml:space="preserve">See section 22X of the </w:t>
      </w:r>
      <w:r w:rsidRPr="00774E4D">
        <w:rPr>
          <w:i/>
          <w:iCs/>
          <w:lang w:val="en-AU"/>
        </w:rPr>
        <w:t xml:space="preserve">National Greenhouse and Energy Reporting Act 2007 </w:t>
      </w:r>
      <w:r w:rsidRPr="00C6027B">
        <w:rPr>
          <w:lang w:val="en-AU"/>
        </w:rPr>
        <w:t>(NGER Act)</w:t>
      </w:r>
    </w:p>
  </w:footnote>
  <w:footnote w:id="7">
    <w:p w14:paraId="3EA49312" w14:textId="6DF0F8A4" w:rsidR="00D9390D" w:rsidRPr="00CB7838" w:rsidRDefault="00D9390D">
      <w:pPr>
        <w:pStyle w:val="FootnoteText"/>
        <w:rPr>
          <w:lang w:val="en-AU"/>
        </w:rPr>
      </w:pPr>
      <w:r>
        <w:rPr>
          <w:rStyle w:val="FootnoteReference"/>
        </w:rPr>
        <w:footnoteRef/>
      </w:r>
      <w:r>
        <w:t xml:space="preserve"> </w:t>
      </w:r>
      <w:r>
        <w:rPr>
          <w:lang w:val="en-AU"/>
        </w:rPr>
        <w:t xml:space="preserve">See Operational control guidelines for more information. </w:t>
      </w:r>
    </w:p>
  </w:footnote>
  <w:footnote w:id="8">
    <w:p w14:paraId="70F1B422" w14:textId="00DD9424" w:rsidR="00D22BFB" w:rsidRPr="00D22BFB" w:rsidRDefault="00D22BFB">
      <w:pPr>
        <w:pStyle w:val="FootnoteText"/>
        <w:rPr>
          <w:lang w:val="en-AU"/>
        </w:rPr>
      </w:pPr>
      <w:r>
        <w:rPr>
          <w:rStyle w:val="FootnoteReference"/>
        </w:rPr>
        <w:footnoteRef/>
      </w:r>
      <w:r>
        <w:t xml:space="preserve"> </w:t>
      </w:r>
      <w:r w:rsidR="003943F2" w:rsidRPr="003943F2">
        <w:t>https://cer.gov.au/online-systems#emissions-and-energy-reporting-system</w:t>
      </w:r>
    </w:p>
  </w:footnote>
  <w:footnote w:id="9">
    <w:p w14:paraId="0C94C0CE" w14:textId="3E22B1D3" w:rsidR="00AA78BA" w:rsidRPr="00AA78BA" w:rsidRDefault="00AA78BA">
      <w:pPr>
        <w:pStyle w:val="FootnoteText"/>
        <w:rPr>
          <w:lang w:val="en-AU"/>
        </w:rPr>
      </w:pPr>
      <w:r>
        <w:rPr>
          <w:rStyle w:val="FootnoteReference"/>
        </w:rPr>
        <w:footnoteRef/>
      </w:r>
      <w:r>
        <w:t xml:space="preserve"> </w:t>
      </w:r>
      <w:r w:rsidRPr="00AA78BA">
        <w:t>https://portal.cleanenergyregulator.gov.au/signup</w:t>
      </w:r>
    </w:p>
  </w:footnote>
  <w:footnote w:id="10">
    <w:p w14:paraId="4324CE1E" w14:textId="663EEE62" w:rsidR="00E83179" w:rsidRPr="00E83179" w:rsidRDefault="00E83179">
      <w:pPr>
        <w:pStyle w:val="FootnoteText"/>
        <w:rPr>
          <w:lang w:val="en-AU"/>
        </w:rPr>
      </w:pPr>
      <w:r>
        <w:rPr>
          <w:rStyle w:val="FootnoteReference"/>
        </w:rPr>
        <w:footnoteRef/>
      </w:r>
      <w:r>
        <w:t xml:space="preserve"> </w:t>
      </w:r>
      <w:r w:rsidRPr="00E83179">
        <w:t>https://cer.gov.au/schemes/national-greenhouse-and-energy-reporting-scheme/record-keeping-and-compliance-greenhouse-and-energy-reporting</w:t>
      </w:r>
    </w:p>
  </w:footnote>
  <w:footnote w:id="11">
    <w:p w14:paraId="0F8AA699" w14:textId="0BBEF083" w:rsidR="00E83179" w:rsidRPr="00E83179" w:rsidRDefault="00E83179">
      <w:pPr>
        <w:pStyle w:val="FootnoteText"/>
        <w:rPr>
          <w:lang w:val="en-AU"/>
        </w:rPr>
      </w:pPr>
      <w:r>
        <w:rPr>
          <w:rStyle w:val="FootnoteReference"/>
        </w:rPr>
        <w:footnoteRef/>
      </w:r>
      <w:r>
        <w:t xml:space="preserve"> </w:t>
      </w:r>
      <w:r w:rsidRPr="00E83179">
        <w:t>https://cer.gov.au/about-us/contact-us</w:t>
      </w:r>
    </w:p>
  </w:footnote>
  <w:footnote w:id="12">
    <w:p w14:paraId="4DDE0749" w14:textId="2D608CF6" w:rsidR="009B28C3" w:rsidRPr="009B28C3" w:rsidRDefault="009B28C3">
      <w:pPr>
        <w:pStyle w:val="FootnoteText"/>
        <w:rPr>
          <w:lang w:val="en-AU"/>
        </w:rPr>
      </w:pPr>
      <w:r>
        <w:rPr>
          <w:rStyle w:val="FootnoteReference"/>
        </w:rPr>
        <w:footnoteRef/>
      </w:r>
      <w:r>
        <w:t xml:space="preserve"> </w:t>
      </w:r>
      <w:r w:rsidRPr="009B28C3">
        <w:t>https://cer.gov.au/schemes/national-greenhouse-and-energy-reporting-scheme/record-keeping-and-compliance-greenhouse-and-energy-reporting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246E1" w14:textId="1DCD6798" w:rsidR="007C0EAD" w:rsidRPr="007C0EAD" w:rsidRDefault="007C0EAD" w:rsidP="0015672C">
    <w:pPr>
      <w:pStyle w:val="Heading5"/>
      <w:tabs>
        <w:tab w:val="center" w:pos="4870"/>
        <w:tab w:val="left" w:pos="8745"/>
      </w:tabs>
      <w:spacing w:before="200" w:after="60"/>
      <w:jc w:val="center"/>
    </w:pPr>
    <w:r w:rsidRPr="00934761">
      <w:rPr>
        <w:rStyle w:val="Protectivemarker"/>
        <w:i w:val="0"/>
      </w:rPr>
      <w:t>OFFICIAL</w:t>
    </w:r>
  </w:p>
  <w:p w14:paraId="48B5E7FA" w14:textId="77777777" w:rsidR="0015672C" w:rsidRPr="00BE0DA3" w:rsidRDefault="0015672C" w:rsidP="0015672C">
    <w:pPr>
      <w:pStyle w:val="LegislativesecrecyACT"/>
    </w:pPr>
    <w:r>
      <w:rPr>
        <w:noProof/>
      </w:rPr>
      <w:drawing>
        <wp:anchor distT="0" distB="0" distL="114300" distR="114300" simplePos="0" relativeHeight="251658240" behindDoc="0" locked="0" layoutInCell="1" allowOverlap="1" wp14:anchorId="05912B2E" wp14:editId="2D323085">
          <wp:simplePos x="0" y="0"/>
          <wp:positionH relativeFrom="column">
            <wp:posOffset>4706474</wp:posOffset>
          </wp:positionH>
          <wp:positionV relativeFrom="paragraph">
            <wp:posOffset>-190500</wp:posOffset>
          </wp:positionV>
          <wp:extent cx="1424451" cy="469454"/>
          <wp:effectExtent l="0" t="0" r="0" b="635"/>
          <wp:wrapNone/>
          <wp:docPr id="908633589" name="Picture 9086335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p w14:paraId="2C8DE3C4" w14:textId="51DD1C44" w:rsidR="007C0EAD" w:rsidRPr="007C0EAD" w:rsidRDefault="007C0EAD" w:rsidP="00156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BCF5" w14:textId="3641D709" w:rsidR="00835D59" w:rsidRDefault="00140F38" w:rsidP="00140F38">
    <w:pPr>
      <w:pStyle w:val="Header"/>
      <w:spacing w:before="600"/>
    </w:pPr>
    <w:r>
      <w:rPr>
        <w:noProof/>
      </w:rPr>
      <w:t xml:space="preserve">  </w:t>
    </w:r>
    <w:r>
      <w:rPr>
        <w:noProof/>
      </w:rPr>
      <w:drawing>
        <wp:inline distT="0" distB="0" distL="0" distR="0" wp14:anchorId="14A69139" wp14:editId="551DFE4A">
          <wp:extent cx="2628000" cy="617737"/>
          <wp:effectExtent l="0" t="0" r="1270" b="5080"/>
          <wp:docPr id="1606944819" name="Picture 1606944819"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248D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C493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DCC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1C0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A29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AAA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2D5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3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05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6AD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0B3D4A21"/>
    <w:multiLevelType w:val="hybridMultilevel"/>
    <w:tmpl w:val="3A9E1EEC"/>
    <w:lvl w:ilvl="0" w:tplc="B694E45E">
      <w:numFmt w:val="bullet"/>
      <w:lvlText w:val=""/>
      <w:lvlJc w:val="left"/>
      <w:pPr>
        <w:ind w:left="720" w:hanging="360"/>
      </w:pPr>
      <w:rPr>
        <w:rFonts w:ascii="Symbol" w:eastAsiaTheme="minorHAnsi" w:hAnsi="Symbol" w:cstheme="minorBidi" w:hint="default"/>
      </w:rPr>
    </w:lvl>
    <w:lvl w:ilvl="1" w:tplc="8AC65AB0">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3AB1DE0"/>
    <w:multiLevelType w:val="hybridMultilevel"/>
    <w:tmpl w:val="8AD46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5CFD18CA"/>
    <w:multiLevelType w:val="multilevel"/>
    <w:tmpl w:val="E9982BDA"/>
    <w:lvl w:ilvl="0">
      <w:start w:val="1"/>
      <w:numFmt w:val="decimal"/>
      <w:pStyle w:val="CERnumbering"/>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488014A"/>
    <w:multiLevelType w:val="hybridMultilevel"/>
    <w:tmpl w:val="48FEC2C6"/>
    <w:lvl w:ilvl="0" w:tplc="0C090001">
      <w:start w:val="1"/>
      <w:numFmt w:val="bullet"/>
      <w:lvlText w:val=""/>
      <w:lvlJc w:val="left"/>
      <w:pPr>
        <w:ind w:left="720" w:hanging="360"/>
      </w:pPr>
      <w:rPr>
        <w:rFonts w:ascii="Symbol" w:hAnsi="Symbol" w:hint="default"/>
        <w:color w:val="006C93"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DB23C0"/>
    <w:multiLevelType w:val="multilevel"/>
    <w:tmpl w:val="CE947A96"/>
    <w:name w:val="CERBullets22"/>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9810872">
    <w:abstractNumId w:val="23"/>
  </w:num>
  <w:num w:numId="2" w16cid:durableId="1095591730">
    <w:abstractNumId w:val="17"/>
  </w:num>
  <w:num w:numId="3" w16cid:durableId="754858200">
    <w:abstractNumId w:val="18"/>
  </w:num>
  <w:num w:numId="4" w16cid:durableId="2033340648">
    <w:abstractNumId w:val="12"/>
  </w:num>
  <w:num w:numId="5" w16cid:durableId="558790218">
    <w:abstractNumId w:val="13"/>
  </w:num>
  <w:num w:numId="6" w16cid:durableId="1000624493">
    <w:abstractNumId w:val="20"/>
  </w:num>
  <w:num w:numId="7" w16cid:durableId="145169443">
    <w:abstractNumId w:val="26"/>
  </w:num>
  <w:num w:numId="8" w16cid:durableId="371350017">
    <w:abstractNumId w:val="13"/>
  </w:num>
  <w:num w:numId="9" w16cid:durableId="265576467">
    <w:abstractNumId w:val="9"/>
  </w:num>
  <w:num w:numId="10" w16cid:durableId="1899244493">
    <w:abstractNumId w:val="7"/>
  </w:num>
  <w:num w:numId="11" w16cid:durableId="531186794">
    <w:abstractNumId w:val="6"/>
  </w:num>
  <w:num w:numId="12" w16cid:durableId="1399982224">
    <w:abstractNumId w:val="5"/>
  </w:num>
  <w:num w:numId="13" w16cid:durableId="484976207">
    <w:abstractNumId w:val="4"/>
  </w:num>
  <w:num w:numId="14" w16cid:durableId="1527593707">
    <w:abstractNumId w:val="8"/>
  </w:num>
  <w:num w:numId="15" w16cid:durableId="2022849879">
    <w:abstractNumId w:val="3"/>
  </w:num>
  <w:num w:numId="16" w16cid:durableId="1993370771">
    <w:abstractNumId w:val="2"/>
  </w:num>
  <w:num w:numId="17" w16cid:durableId="588193675">
    <w:abstractNumId w:val="1"/>
  </w:num>
  <w:num w:numId="18" w16cid:durableId="1057582655">
    <w:abstractNumId w:val="0"/>
  </w:num>
  <w:num w:numId="19" w16cid:durableId="1126046145">
    <w:abstractNumId w:val="11"/>
  </w:num>
  <w:num w:numId="20" w16cid:durableId="919214093">
    <w:abstractNumId w:val="15"/>
  </w:num>
  <w:num w:numId="21" w16cid:durableId="1621836909">
    <w:abstractNumId w:val="30"/>
  </w:num>
  <w:num w:numId="22" w16cid:durableId="1035734279">
    <w:abstractNumId w:val="10"/>
  </w:num>
  <w:num w:numId="23" w16cid:durableId="1688484151">
    <w:abstractNumId w:val="31"/>
  </w:num>
  <w:num w:numId="24" w16cid:durableId="815072648">
    <w:abstractNumId w:val="21"/>
  </w:num>
  <w:num w:numId="25" w16cid:durableId="1353384123">
    <w:abstractNumId w:val="19"/>
  </w:num>
  <w:num w:numId="26" w16cid:durableId="1074662116">
    <w:abstractNumId w:val="16"/>
  </w:num>
  <w:num w:numId="27" w16cid:durableId="1837576571">
    <w:abstractNumId w:val="29"/>
  </w:num>
  <w:num w:numId="28" w16cid:durableId="1832720599">
    <w:abstractNumId w:val="25"/>
  </w:num>
  <w:num w:numId="29" w16cid:durableId="667292392">
    <w:abstractNumId w:val="22"/>
  </w:num>
  <w:num w:numId="30" w16cid:durableId="2082360183">
    <w:abstractNumId w:val="27"/>
  </w:num>
  <w:num w:numId="31" w16cid:durableId="1670671595">
    <w:abstractNumId w:val="14"/>
  </w:num>
  <w:num w:numId="32" w16cid:durableId="1180464178">
    <w:abstractNumId w:val="24"/>
  </w:num>
  <w:num w:numId="33" w16cid:durableId="7133074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006ea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D9"/>
    <w:rsid w:val="0000387F"/>
    <w:rsid w:val="000077A0"/>
    <w:rsid w:val="00011A1E"/>
    <w:rsid w:val="00012D2C"/>
    <w:rsid w:val="0001512D"/>
    <w:rsid w:val="00017AAF"/>
    <w:rsid w:val="00020AED"/>
    <w:rsid w:val="00021E6F"/>
    <w:rsid w:val="00022C4E"/>
    <w:rsid w:val="00023102"/>
    <w:rsid w:val="00031090"/>
    <w:rsid w:val="0003499B"/>
    <w:rsid w:val="0003582F"/>
    <w:rsid w:val="000378B6"/>
    <w:rsid w:val="00037C2F"/>
    <w:rsid w:val="00042B90"/>
    <w:rsid w:val="000434B5"/>
    <w:rsid w:val="00043DE2"/>
    <w:rsid w:val="00044A57"/>
    <w:rsid w:val="0004578D"/>
    <w:rsid w:val="00055145"/>
    <w:rsid w:val="000669AC"/>
    <w:rsid w:val="00067421"/>
    <w:rsid w:val="000678AA"/>
    <w:rsid w:val="00071FC1"/>
    <w:rsid w:val="000731F9"/>
    <w:rsid w:val="000743FD"/>
    <w:rsid w:val="00075B6F"/>
    <w:rsid w:val="00075C05"/>
    <w:rsid w:val="00077EF5"/>
    <w:rsid w:val="000813B6"/>
    <w:rsid w:val="0008218A"/>
    <w:rsid w:val="00084669"/>
    <w:rsid w:val="000848FF"/>
    <w:rsid w:val="00085970"/>
    <w:rsid w:val="000877D2"/>
    <w:rsid w:val="00087AE9"/>
    <w:rsid w:val="000905F1"/>
    <w:rsid w:val="000906DE"/>
    <w:rsid w:val="00093303"/>
    <w:rsid w:val="000A0DE1"/>
    <w:rsid w:val="000A0F8D"/>
    <w:rsid w:val="000A2288"/>
    <w:rsid w:val="000A42BB"/>
    <w:rsid w:val="000A4EBE"/>
    <w:rsid w:val="000A62D5"/>
    <w:rsid w:val="000A76B4"/>
    <w:rsid w:val="000B1BCC"/>
    <w:rsid w:val="000B2225"/>
    <w:rsid w:val="000B5C00"/>
    <w:rsid w:val="000B5DFA"/>
    <w:rsid w:val="000C38DC"/>
    <w:rsid w:val="000C3F57"/>
    <w:rsid w:val="000D3481"/>
    <w:rsid w:val="000D3F1F"/>
    <w:rsid w:val="000D4EE5"/>
    <w:rsid w:val="000D6A9E"/>
    <w:rsid w:val="000D8CCD"/>
    <w:rsid w:val="000E1BA2"/>
    <w:rsid w:val="000E5A13"/>
    <w:rsid w:val="000E5C2D"/>
    <w:rsid w:val="000E6C7C"/>
    <w:rsid w:val="000E73D8"/>
    <w:rsid w:val="000F2A35"/>
    <w:rsid w:val="000F6B44"/>
    <w:rsid w:val="00100347"/>
    <w:rsid w:val="0010055B"/>
    <w:rsid w:val="00101D5C"/>
    <w:rsid w:val="0010283E"/>
    <w:rsid w:val="00102BDC"/>
    <w:rsid w:val="0010364E"/>
    <w:rsid w:val="001047E8"/>
    <w:rsid w:val="00111DD1"/>
    <w:rsid w:val="00112E29"/>
    <w:rsid w:val="00114276"/>
    <w:rsid w:val="00114E0F"/>
    <w:rsid w:val="001217B1"/>
    <w:rsid w:val="0012283F"/>
    <w:rsid w:val="00125B3C"/>
    <w:rsid w:val="0012753A"/>
    <w:rsid w:val="001276AA"/>
    <w:rsid w:val="001279D3"/>
    <w:rsid w:val="00130055"/>
    <w:rsid w:val="00136819"/>
    <w:rsid w:val="00137B79"/>
    <w:rsid w:val="00140F38"/>
    <w:rsid w:val="00144621"/>
    <w:rsid w:val="00146AC0"/>
    <w:rsid w:val="0014785E"/>
    <w:rsid w:val="00152224"/>
    <w:rsid w:val="0015672C"/>
    <w:rsid w:val="001631CD"/>
    <w:rsid w:val="001632F6"/>
    <w:rsid w:val="00163FEA"/>
    <w:rsid w:val="001651F7"/>
    <w:rsid w:val="00176632"/>
    <w:rsid w:val="00176871"/>
    <w:rsid w:val="00176C28"/>
    <w:rsid w:val="0018490B"/>
    <w:rsid w:val="00187BC5"/>
    <w:rsid w:val="001907BA"/>
    <w:rsid w:val="001916A0"/>
    <w:rsid w:val="00197F43"/>
    <w:rsid w:val="001A22CF"/>
    <w:rsid w:val="001A3612"/>
    <w:rsid w:val="001A5463"/>
    <w:rsid w:val="001A799B"/>
    <w:rsid w:val="001B37A5"/>
    <w:rsid w:val="001B66AA"/>
    <w:rsid w:val="001B6B09"/>
    <w:rsid w:val="001B77DB"/>
    <w:rsid w:val="001C10BC"/>
    <w:rsid w:val="001C3FD1"/>
    <w:rsid w:val="001C486B"/>
    <w:rsid w:val="001D0140"/>
    <w:rsid w:val="001D13FD"/>
    <w:rsid w:val="001D55C5"/>
    <w:rsid w:val="001D5E01"/>
    <w:rsid w:val="001D7989"/>
    <w:rsid w:val="001E3C22"/>
    <w:rsid w:val="001E3C7D"/>
    <w:rsid w:val="001E4963"/>
    <w:rsid w:val="001E5C3A"/>
    <w:rsid w:val="001E6B26"/>
    <w:rsid w:val="001F6A2C"/>
    <w:rsid w:val="001F7327"/>
    <w:rsid w:val="001F73A9"/>
    <w:rsid w:val="0020128E"/>
    <w:rsid w:val="00202042"/>
    <w:rsid w:val="002070D7"/>
    <w:rsid w:val="00207163"/>
    <w:rsid w:val="00207ACE"/>
    <w:rsid w:val="002118E5"/>
    <w:rsid w:val="00212232"/>
    <w:rsid w:val="00213885"/>
    <w:rsid w:val="0021650A"/>
    <w:rsid w:val="00216E5D"/>
    <w:rsid w:val="00222D35"/>
    <w:rsid w:val="002324A5"/>
    <w:rsid w:val="00235B98"/>
    <w:rsid w:val="002368E9"/>
    <w:rsid w:val="00241532"/>
    <w:rsid w:val="00245125"/>
    <w:rsid w:val="002452CE"/>
    <w:rsid w:val="0024644E"/>
    <w:rsid w:val="00247F1E"/>
    <w:rsid w:val="002622E9"/>
    <w:rsid w:val="002625C8"/>
    <w:rsid w:val="0026443B"/>
    <w:rsid w:val="002650F5"/>
    <w:rsid w:val="00265AD4"/>
    <w:rsid w:val="00271C70"/>
    <w:rsid w:val="002737C0"/>
    <w:rsid w:val="002855DE"/>
    <w:rsid w:val="002865F4"/>
    <w:rsid w:val="00287662"/>
    <w:rsid w:val="00290E3D"/>
    <w:rsid w:val="0029262D"/>
    <w:rsid w:val="0029398A"/>
    <w:rsid w:val="002A0D3D"/>
    <w:rsid w:val="002A41E7"/>
    <w:rsid w:val="002A65C7"/>
    <w:rsid w:val="002A6AF2"/>
    <w:rsid w:val="002A7EA6"/>
    <w:rsid w:val="002B0C80"/>
    <w:rsid w:val="002B10E1"/>
    <w:rsid w:val="002B683A"/>
    <w:rsid w:val="002C14AC"/>
    <w:rsid w:val="002C427B"/>
    <w:rsid w:val="002D45B4"/>
    <w:rsid w:val="002D56A4"/>
    <w:rsid w:val="002E31DF"/>
    <w:rsid w:val="002E5A11"/>
    <w:rsid w:val="002E7DDB"/>
    <w:rsid w:val="002F087C"/>
    <w:rsid w:val="002F10FF"/>
    <w:rsid w:val="002F1986"/>
    <w:rsid w:val="002F2E1D"/>
    <w:rsid w:val="002F4241"/>
    <w:rsid w:val="00304FB6"/>
    <w:rsid w:val="00305AE0"/>
    <w:rsid w:val="00312EAC"/>
    <w:rsid w:val="00312F31"/>
    <w:rsid w:val="0031448B"/>
    <w:rsid w:val="003147D6"/>
    <w:rsid w:val="0032029D"/>
    <w:rsid w:val="003221A1"/>
    <w:rsid w:val="003234AD"/>
    <w:rsid w:val="00324814"/>
    <w:rsid w:val="00330139"/>
    <w:rsid w:val="0033281F"/>
    <w:rsid w:val="00332CAF"/>
    <w:rsid w:val="00333EF6"/>
    <w:rsid w:val="003341F4"/>
    <w:rsid w:val="00342C18"/>
    <w:rsid w:val="00352694"/>
    <w:rsid w:val="00356834"/>
    <w:rsid w:val="00357C02"/>
    <w:rsid w:val="00365CD3"/>
    <w:rsid w:val="0036653C"/>
    <w:rsid w:val="0036776D"/>
    <w:rsid w:val="0037006E"/>
    <w:rsid w:val="003700E1"/>
    <w:rsid w:val="00370CE8"/>
    <w:rsid w:val="00371059"/>
    <w:rsid w:val="003754CA"/>
    <w:rsid w:val="00375B4B"/>
    <w:rsid w:val="00382E9A"/>
    <w:rsid w:val="00386A17"/>
    <w:rsid w:val="00386F19"/>
    <w:rsid w:val="00393170"/>
    <w:rsid w:val="003939A0"/>
    <w:rsid w:val="003943F2"/>
    <w:rsid w:val="00394A2B"/>
    <w:rsid w:val="00396202"/>
    <w:rsid w:val="003A0D22"/>
    <w:rsid w:val="003A5726"/>
    <w:rsid w:val="003A5739"/>
    <w:rsid w:val="003A6B57"/>
    <w:rsid w:val="003B0E61"/>
    <w:rsid w:val="003B137D"/>
    <w:rsid w:val="003B1FDA"/>
    <w:rsid w:val="003B63C3"/>
    <w:rsid w:val="003B72AE"/>
    <w:rsid w:val="003B754B"/>
    <w:rsid w:val="003C01F3"/>
    <w:rsid w:val="003C0424"/>
    <w:rsid w:val="003C1567"/>
    <w:rsid w:val="003C2BD2"/>
    <w:rsid w:val="003C76D5"/>
    <w:rsid w:val="003D00DF"/>
    <w:rsid w:val="003D4290"/>
    <w:rsid w:val="003D47CC"/>
    <w:rsid w:val="003D6F1E"/>
    <w:rsid w:val="003E5975"/>
    <w:rsid w:val="003F5EF1"/>
    <w:rsid w:val="003F72E5"/>
    <w:rsid w:val="00400157"/>
    <w:rsid w:val="004067A3"/>
    <w:rsid w:val="00407039"/>
    <w:rsid w:val="0040751C"/>
    <w:rsid w:val="004100D3"/>
    <w:rsid w:val="004111BB"/>
    <w:rsid w:val="00420BF6"/>
    <w:rsid w:val="004236F2"/>
    <w:rsid w:val="00423C70"/>
    <w:rsid w:val="00424281"/>
    <w:rsid w:val="004260DC"/>
    <w:rsid w:val="00426275"/>
    <w:rsid w:val="004265D5"/>
    <w:rsid w:val="0043373B"/>
    <w:rsid w:val="00434026"/>
    <w:rsid w:val="00450BD9"/>
    <w:rsid w:val="00452C76"/>
    <w:rsid w:val="004542B9"/>
    <w:rsid w:val="00455983"/>
    <w:rsid w:val="004559EF"/>
    <w:rsid w:val="0045778C"/>
    <w:rsid w:val="004617FB"/>
    <w:rsid w:val="00461C4D"/>
    <w:rsid w:val="00461E14"/>
    <w:rsid w:val="00470A66"/>
    <w:rsid w:val="00471682"/>
    <w:rsid w:val="00471F90"/>
    <w:rsid w:val="0047563B"/>
    <w:rsid w:val="00475889"/>
    <w:rsid w:val="00480154"/>
    <w:rsid w:val="00480273"/>
    <w:rsid w:val="00483AF2"/>
    <w:rsid w:val="00484C8B"/>
    <w:rsid w:val="00486843"/>
    <w:rsid w:val="00487A48"/>
    <w:rsid w:val="004903AB"/>
    <w:rsid w:val="004921D2"/>
    <w:rsid w:val="00494F07"/>
    <w:rsid w:val="004A0001"/>
    <w:rsid w:val="004A220A"/>
    <w:rsid w:val="004A552C"/>
    <w:rsid w:val="004A581F"/>
    <w:rsid w:val="004A6D80"/>
    <w:rsid w:val="004A6E3D"/>
    <w:rsid w:val="004B5FB7"/>
    <w:rsid w:val="004B6AF5"/>
    <w:rsid w:val="004C0BFD"/>
    <w:rsid w:val="004C23AF"/>
    <w:rsid w:val="004C28F8"/>
    <w:rsid w:val="004C404C"/>
    <w:rsid w:val="004C6211"/>
    <w:rsid w:val="004C6DF4"/>
    <w:rsid w:val="004C7E28"/>
    <w:rsid w:val="004C7F21"/>
    <w:rsid w:val="004D1895"/>
    <w:rsid w:val="004D3F8B"/>
    <w:rsid w:val="004D410E"/>
    <w:rsid w:val="004D5F7A"/>
    <w:rsid w:val="004E119A"/>
    <w:rsid w:val="004E1B39"/>
    <w:rsid w:val="004E4043"/>
    <w:rsid w:val="004E5A0D"/>
    <w:rsid w:val="004E5DAF"/>
    <w:rsid w:val="004E632C"/>
    <w:rsid w:val="004F2C2A"/>
    <w:rsid w:val="004F5E80"/>
    <w:rsid w:val="004F7D02"/>
    <w:rsid w:val="00501339"/>
    <w:rsid w:val="005041A3"/>
    <w:rsid w:val="00506263"/>
    <w:rsid w:val="005076A1"/>
    <w:rsid w:val="00511381"/>
    <w:rsid w:val="005156FB"/>
    <w:rsid w:val="00515A5D"/>
    <w:rsid w:val="00516089"/>
    <w:rsid w:val="005222BE"/>
    <w:rsid w:val="0052457E"/>
    <w:rsid w:val="005254CF"/>
    <w:rsid w:val="0052608F"/>
    <w:rsid w:val="00526166"/>
    <w:rsid w:val="005275D4"/>
    <w:rsid w:val="00532AEC"/>
    <w:rsid w:val="005419BA"/>
    <w:rsid w:val="00542D35"/>
    <w:rsid w:val="005430A4"/>
    <w:rsid w:val="00543D36"/>
    <w:rsid w:val="005452D7"/>
    <w:rsid w:val="0054782F"/>
    <w:rsid w:val="00551819"/>
    <w:rsid w:val="00554C5E"/>
    <w:rsid w:val="0055501F"/>
    <w:rsid w:val="00557590"/>
    <w:rsid w:val="00557FB7"/>
    <w:rsid w:val="00560688"/>
    <w:rsid w:val="00562FAD"/>
    <w:rsid w:val="00564E97"/>
    <w:rsid w:val="005654B7"/>
    <w:rsid w:val="00575CC0"/>
    <w:rsid w:val="00580127"/>
    <w:rsid w:val="00585D42"/>
    <w:rsid w:val="00587242"/>
    <w:rsid w:val="005A266D"/>
    <w:rsid w:val="005A6470"/>
    <w:rsid w:val="005A70A0"/>
    <w:rsid w:val="005B02F8"/>
    <w:rsid w:val="005B2704"/>
    <w:rsid w:val="005B4578"/>
    <w:rsid w:val="005C65AB"/>
    <w:rsid w:val="005D03AA"/>
    <w:rsid w:val="005D1B07"/>
    <w:rsid w:val="005D3F01"/>
    <w:rsid w:val="005D4697"/>
    <w:rsid w:val="005D5AA3"/>
    <w:rsid w:val="005D69CB"/>
    <w:rsid w:val="005E166C"/>
    <w:rsid w:val="005E36A9"/>
    <w:rsid w:val="005E5358"/>
    <w:rsid w:val="005F5F86"/>
    <w:rsid w:val="00600006"/>
    <w:rsid w:val="00601A37"/>
    <w:rsid w:val="0060272D"/>
    <w:rsid w:val="00602E93"/>
    <w:rsid w:val="00604C90"/>
    <w:rsid w:val="00607E3F"/>
    <w:rsid w:val="0061010A"/>
    <w:rsid w:val="0061401D"/>
    <w:rsid w:val="00615D77"/>
    <w:rsid w:val="00615EA8"/>
    <w:rsid w:val="00616216"/>
    <w:rsid w:val="00621CA4"/>
    <w:rsid w:val="00622DA5"/>
    <w:rsid w:val="00623232"/>
    <w:rsid w:val="00623E88"/>
    <w:rsid w:val="006423CB"/>
    <w:rsid w:val="006423DF"/>
    <w:rsid w:val="00644444"/>
    <w:rsid w:val="00644C04"/>
    <w:rsid w:val="00652DAF"/>
    <w:rsid w:val="006530B0"/>
    <w:rsid w:val="006537C2"/>
    <w:rsid w:val="0065492E"/>
    <w:rsid w:val="00655562"/>
    <w:rsid w:val="0065750A"/>
    <w:rsid w:val="006606F7"/>
    <w:rsid w:val="006619D7"/>
    <w:rsid w:val="00662ED8"/>
    <w:rsid w:val="00665403"/>
    <w:rsid w:val="0067062E"/>
    <w:rsid w:val="00672664"/>
    <w:rsid w:val="00673116"/>
    <w:rsid w:val="00673F50"/>
    <w:rsid w:val="00674932"/>
    <w:rsid w:val="00675E7A"/>
    <w:rsid w:val="0067785F"/>
    <w:rsid w:val="0068022F"/>
    <w:rsid w:val="00680447"/>
    <w:rsid w:val="00680B5A"/>
    <w:rsid w:val="00681CC3"/>
    <w:rsid w:val="00685667"/>
    <w:rsid w:val="00691172"/>
    <w:rsid w:val="00692194"/>
    <w:rsid w:val="00694F93"/>
    <w:rsid w:val="0069769C"/>
    <w:rsid w:val="006A1906"/>
    <w:rsid w:val="006A37D7"/>
    <w:rsid w:val="006A5C14"/>
    <w:rsid w:val="006A7A4E"/>
    <w:rsid w:val="006B3D18"/>
    <w:rsid w:val="006B3F8A"/>
    <w:rsid w:val="006B4321"/>
    <w:rsid w:val="006B73A1"/>
    <w:rsid w:val="006D03F0"/>
    <w:rsid w:val="006D19F2"/>
    <w:rsid w:val="006F13F2"/>
    <w:rsid w:val="006F385C"/>
    <w:rsid w:val="006F4465"/>
    <w:rsid w:val="006F73B7"/>
    <w:rsid w:val="00700D0F"/>
    <w:rsid w:val="00702BCB"/>
    <w:rsid w:val="00704064"/>
    <w:rsid w:val="007078F1"/>
    <w:rsid w:val="00712F8C"/>
    <w:rsid w:val="007215D0"/>
    <w:rsid w:val="00721E6B"/>
    <w:rsid w:val="00722066"/>
    <w:rsid w:val="00724B10"/>
    <w:rsid w:val="00725548"/>
    <w:rsid w:val="00727724"/>
    <w:rsid w:val="007277DF"/>
    <w:rsid w:val="00727F5C"/>
    <w:rsid w:val="00734B5A"/>
    <w:rsid w:val="00735B8F"/>
    <w:rsid w:val="00737217"/>
    <w:rsid w:val="0073745D"/>
    <w:rsid w:val="00737E30"/>
    <w:rsid w:val="00740635"/>
    <w:rsid w:val="00740C3C"/>
    <w:rsid w:val="00740DB4"/>
    <w:rsid w:val="0074208D"/>
    <w:rsid w:val="00760113"/>
    <w:rsid w:val="0076397A"/>
    <w:rsid w:val="00764A5A"/>
    <w:rsid w:val="00765431"/>
    <w:rsid w:val="00766BC6"/>
    <w:rsid w:val="00767FAB"/>
    <w:rsid w:val="00771E9A"/>
    <w:rsid w:val="00774C17"/>
    <w:rsid w:val="00774E4D"/>
    <w:rsid w:val="007773D1"/>
    <w:rsid w:val="00780311"/>
    <w:rsid w:val="007813EC"/>
    <w:rsid w:val="00790E79"/>
    <w:rsid w:val="00794E30"/>
    <w:rsid w:val="00795280"/>
    <w:rsid w:val="007968D1"/>
    <w:rsid w:val="00796F6A"/>
    <w:rsid w:val="007970B6"/>
    <w:rsid w:val="0079786B"/>
    <w:rsid w:val="007A1822"/>
    <w:rsid w:val="007A5CF8"/>
    <w:rsid w:val="007A7D5E"/>
    <w:rsid w:val="007B0363"/>
    <w:rsid w:val="007B11C5"/>
    <w:rsid w:val="007B228E"/>
    <w:rsid w:val="007B31E7"/>
    <w:rsid w:val="007C0EAD"/>
    <w:rsid w:val="007C19DA"/>
    <w:rsid w:val="007C310C"/>
    <w:rsid w:val="007C7ED2"/>
    <w:rsid w:val="007D196A"/>
    <w:rsid w:val="007D2872"/>
    <w:rsid w:val="007D35CE"/>
    <w:rsid w:val="007D3C09"/>
    <w:rsid w:val="007D6497"/>
    <w:rsid w:val="007E0321"/>
    <w:rsid w:val="007E16B0"/>
    <w:rsid w:val="007E1A6C"/>
    <w:rsid w:val="007E39DD"/>
    <w:rsid w:val="007F3B08"/>
    <w:rsid w:val="00800D98"/>
    <w:rsid w:val="00801EB3"/>
    <w:rsid w:val="008028ED"/>
    <w:rsid w:val="00805956"/>
    <w:rsid w:val="00807868"/>
    <w:rsid w:val="00807EDC"/>
    <w:rsid w:val="008131E5"/>
    <w:rsid w:val="00816D8B"/>
    <w:rsid w:val="00820DA8"/>
    <w:rsid w:val="00823317"/>
    <w:rsid w:val="00826A84"/>
    <w:rsid w:val="008273E1"/>
    <w:rsid w:val="00831A38"/>
    <w:rsid w:val="00834454"/>
    <w:rsid w:val="008356FF"/>
    <w:rsid w:val="00835D59"/>
    <w:rsid w:val="0083626D"/>
    <w:rsid w:val="00845145"/>
    <w:rsid w:val="00845278"/>
    <w:rsid w:val="00846331"/>
    <w:rsid w:val="00852CC3"/>
    <w:rsid w:val="00861BB4"/>
    <w:rsid w:val="00862A3C"/>
    <w:rsid w:val="00862C47"/>
    <w:rsid w:val="008642CE"/>
    <w:rsid w:val="00866A28"/>
    <w:rsid w:val="00874321"/>
    <w:rsid w:val="008752A3"/>
    <w:rsid w:val="008769CC"/>
    <w:rsid w:val="00880708"/>
    <w:rsid w:val="00880C5C"/>
    <w:rsid w:val="00883850"/>
    <w:rsid w:val="00885AB6"/>
    <w:rsid w:val="00890472"/>
    <w:rsid w:val="008917A4"/>
    <w:rsid w:val="0089221E"/>
    <w:rsid w:val="00892578"/>
    <w:rsid w:val="008961C5"/>
    <w:rsid w:val="00897753"/>
    <w:rsid w:val="0089799D"/>
    <w:rsid w:val="008A1988"/>
    <w:rsid w:val="008A49C8"/>
    <w:rsid w:val="008A4F2A"/>
    <w:rsid w:val="008A682E"/>
    <w:rsid w:val="008B05A6"/>
    <w:rsid w:val="008B1C72"/>
    <w:rsid w:val="008B4D62"/>
    <w:rsid w:val="008B5D12"/>
    <w:rsid w:val="008B5EF0"/>
    <w:rsid w:val="008B658B"/>
    <w:rsid w:val="008B778F"/>
    <w:rsid w:val="008C1746"/>
    <w:rsid w:val="008C1F7A"/>
    <w:rsid w:val="008C30D2"/>
    <w:rsid w:val="008C63A1"/>
    <w:rsid w:val="008D008F"/>
    <w:rsid w:val="008D106E"/>
    <w:rsid w:val="008D188E"/>
    <w:rsid w:val="008D1F6A"/>
    <w:rsid w:val="008D2652"/>
    <w:rsid w:val="008D372D"/>
    <w:rsid w:val="008D51BC"/>
    <w:rsid w:val="008D7050"/>
    <w:rsid w:val="008D7EA6"/>
    <w:rsid w:val="008E06AF"/>
    <w:rsid w:val="008E1EC6"/>
    <w:rsid w:val="008E6168"/>
    <w:rsid w:val="008E6CE0"/>
    <w:rsid w:val="008F1898"/>
    <w:rsid w:val="008F548E"/>
    <w:rsid w:val="008F6B4D"/>
    <w:rsid w:val="008F6E1E"/>
    <w:rsid w:val="008F6FA6"/>
    <w:rsid w:val="008F7EA2"/>
    <w:rsid w:val="0090633D"/>
    <w:rsid w:val="00906DED"/>
    <w:rsid w:val="00910985"/>
    <w:rsid w:val="00910CA1"/>
    <w:rsid w:val="00911F9B"/>
    <w:rsid w:val="009144C4"/>
    <w:rsid w:val="009150F3"/>
    <w:rsid w:val="00915421"/>
    <w:rsid w:val="00920834"/>
    <w:rsid w:val="00922E46"/>
    <w:rsid w:val="0092341D"/>
    <w:rsid w:val="0092372B"/>
    <w:rsid w:val="00924EFA"/>
    <w:rsid w:val="009260CB"/>
    <w:rsid w:val="00926AFB"/>
    <w:rsid w:val="0093226C"/>
    <w:rsid w:val="00932A2B"/>
    <w:rsid w:val="00934761"/>
    <w:rsid w:val="00935968"/>
    <w:rsid w:val="009406CA"/>
    <w:rsid w:val="00943D7C"/>
    <w:rsid w:val="00946F3D"/>
    <w:rsid w:val="00951C2D"/>
    <w:rsid w:val="00951FB3"/>
    <w:rsid w:val="00952245"/>
    <w:rsid w:val="00953218"/>
    <w:rsid w:val="00960F93"/>
    <w:rsid w:val="0096170E"/>
    <w:rsid w:val="00961E09"/>
    <w:rsid w:val="00963197"/>
    <w:rsid w:val="00974098"/>
    <w:rsid w:val="009757EB"/>
    <w:rsid w:val="00975A1D"/>
    <w:rsid w:val="009801E4"/>
    <w:rsid w:val="00980C5D"/>
    <w:rsid w:val="00982169"/>
    <w:rsid w:val="00984283"/>
    <w:rsid w:val="009917C0"/>
    <w:rsid w:val="00991FA4"/>
    <w:rsid w:val="0099302C"/>
    <w:rsid w:val="00993163"/>
    <w:rsid w:val="009A2199"/>
    <w:rsid w:val="009A2E7F"/>
    <w:rsid w:val="009A654A"/>
    <w:rsid w:val="009B28C3"/>
    <w:rsid w:val="009B2A47"/>
    <w:rsid w:val="009B4436"/>
    <w:rsid w:val="009C30B4"/>
    <w:rsid w:val="009C525F"/>
    <w:rsid w:val="009C54A8"/>
    <w:rsid w:val="009C56B3"/>
    <w:rsid w:val="009C6773"/>
    <w:rsid w:val="009D01EB"/>
    <w:rsid w:val="009D2EC5"/>
    <w:rsid w:val="009D4D75"/>
    <w:rsid w:val="009D5B66"/>
    <w:rsid w:val="009D5DB4"/>
    <w:rsid w:val="009D61A4"/>
    <w:rsid w:val="009D639A"/>
    <w:rsid w:val="009E4EE8"/>
    <w:rsid w:val="009E6050"/>
    <w:rsid w:val="009E66B0"/>
    <w:rsid w:val="00A027E2"/>
    <w:rsid w:val="00A075FD"/>
    <w:rsid w:val="00A10D5F"/>
    <w:rsid w:val="00A114F2"/>
    <w:rsid w:val="00A11AF7"/>
    <w:rsid w:val="00A12BB8"/>
    <w:rsid w:val="00A13A6A"/>
    <w:rsid w:val="00A14398"/>
    <w:rsid w:val="00A16FCA"/>
    <w:rsid w:val="00A257D1"/>
    <w:rsid w:val="00A34868"/>
    <w:rsid w:val="00A36F3A"/>
    <w:rsid w:val="00A3765A"/>
    <w:rsid w:val="00A40187"/>
    <w:rsid w:val="00A41A11"/>
    <w:rsid w:val="00A43F2F"/>
    <w:rsid w:val="00A44851"/>
    <w:rsid w:val="00A44C0C"/>
    <w:rsid w:val="00A45A62"/>
    <w:rsid w:val="00A45E05"/>
    <w:rsid w:val="00A45F2C"/>
    <w:rsid w:val="00A47C89"/>
    <w:rsid w:val="00A50A9D"/>
    <w:rsid w:val="00A52DD3"/>
    <w:rsid w:val="00A65E5B"/>
    <w:rsid w:val="00A662CD"/>
    <w:rsid w:val="00A7022C"/>
    <w:rsid w:val="00A768E7"/>
    <w:rsid w:val="00A77426"/>
    <w:rsid w:val="00A82A83"/>
    <w:rsid w:val="00A83FE3"/>
    <w:rsid w:val="00A84B5F"/>
    <w:rsid w:val="00A85C80"/>
    <w:rsid w:val="00A87C9E"/>
    <w:rsid w:val="00A90C96"/>
    <w:rsid w:val="00A9353C"/>
    <w:rsid w:val="00A94B7A"/>
    <w:rsid w:val="00AA1EE9"/>
    <w:rsid w:val="00AA4160"/>
    <w:rsid w:val="00AA44D9"/>
    <w:rsid w:val="00AA4986"/>
    <w:rsid w:val="00AA78BA"/>
    <w:rsid w:val="00AB04A4"/>
    <w:rsid w:val="00AB1D66"/>
    <w:rsid w:val="00AB229B"/>
    <w:rsid w:val="00AB53FA"/>
    <w:rsid w:val="00AC083B"/>
    <w:rsid w:val="00AC11B4"/>
    <w:rsid w:val="00AC2B05"/>
    <w:rsid w:val="00AD2B19"/>
    <w:rsid w:val="00AD3999"/>
    <w:rsid w:val="00AD3EE2"/>
    <w:rsid w:val="00AD635A"/>
    <w:rsid w:val="00AD649E"/>
    <w:rsid w:val="00AD7814"/>
    <w:rsid w:val="00AE49E9"/>
    <w:rsid w:val="00AE7F69"/>
    <w:rsid w:val="00AF2A31"/>
    <w:rsid w:val="00AF4B7E"/>
    <w:rsid w:val="00AF5491"/>
    <w:rsid w:val="00AF5F77"/>
    <w:rsid w:val="00B00121"/>
    <w:rsid w:val="00B108E2"/>
    <w:rsid w:val="00B11EB9"/>
    <w:rsid w:val="00B14606"/>
    <w:rsid w:val="00B15B82"/>
    <w:rsid w:val="00B203E0"/>
    <w:rsid w:val="00B25203"/>
    <w:rsid w:val="00B3205D"/>
    <w:rsid w:val="00B32384"/>
    <w:rsid w:val="00B338B0"/>
    <w:rsid w:val="00B3473F"/>
    <w:rsid w:val="00B34A15"/>
    <w:rsid w:val="00B36225"/>
    <w:rsid w:val="00B436F3"/>
    <w:rsid w:val="00B44479"/>
    <w:rsid w:val="00B456A1"/>
    <w:rsid w:val="00B45CDD"/>
    <w:rsid w:val="00B47553"/>
    <w:rsid w:val="00B504CE"/>
    <w:rsid w:val="00B5470C"/>
    <w:rsid w:val="00B54992"/>
    <w:rsid w:val="00B56F51"/>
    <w:rsid w:val="00B600BA"/>
    <w:rsid w:val="00B63D52"/>
    <w:rsid w:val="00B64D64"/>
    <w:rsid w:val="00B65A98"/>
    <w:rsid w:val="00B73CD5"/>
    <w:rsid w:val="00B748AC"/>
    <w:rsid w:val="00B774B3"/>
    <w:rsid w:val="00B81032"/>
    <w:rsid w:val="00B832A4"/>
    <w:rsid w:val="00B83D8C"/>
    <w:rsid w:val="00B841E3"/>
    <w:rsid w:val="00B92C4D"/>
    <w:rsid w:val="00B93B1A"/>
    <w:rsid w:val="00B94842"/>
    <w:rsid w:val="00B95E2E"/>
    <w:rsid w:val="00B95E3E"/>
    <w:rsid w:val="00B9664C"/>
    <w:rsid w:val="00BA3D6B"/>
    <w:rsid w:val="00BA4F2E"/>
    <w:rsid w:val="00BB25E1"/>
    <w:rsid w:val="00BC0D10"/>
    <w:rsid w:val="00BC0FFB"/>
    <w:rsid w:val="00BC1B4E"/>
    <w:rsid w:val="00BC374B"/>
    <w:rsid w:val="00BC4266"/>
    <w:rsid w:val="00BC591E"/>
    <w:rsid w:val="00BD1DD1"/>
    <w:rsid w:val="00BD5ED5"/>
    <w:rsid w:val="00BE375B"/>
    <w:rsid w:val="00BF0332"/>
    <w:rsid w:val="00BF5A84"/>
    <w:rsid w:val="00BF6EA9"/>
    <w:rsid w:val="00C015F8"/>
    <w:rsid w:val="00C026A0"/>
    <w:rsid w:val="00C02D52"/>
    <w:rsid w:val="00C067A3"/>
    <w:rsid w:val="00C06FDE"/>
    <w:rsid w:val="00C14367"/>
    <w:rsid w:val="00C15510"/>
    <w:rsid w:val="00C21311"/>
    <w:rsid w:val="00C2220F"/>
    <w:rsid w:val="00C2333C"/>
    <w:rsid w:val="00C3032F"/>
    <w:rsid w:val="00C30B94"/>
    <w:rsid w:val="00C3122E"/>
    <w:rsid w:val="00C33420"/>
    <w:rsid w:val="00C3731D"/>
    <w:rsid w:val="00C40CF0"/>
    <w:rsid w:val="00C4334A"/>
    <w:rsid w:val="00C44533"/>
    <w:rsid w:val="00C455D0"/>
    <w:rsid w:val="00C51DEF"/>
    <w:rsid w:val="00C6027B"/>
    <w:rsid w:val="00C61974"/>
    <w:rsid w:val="00C61FC5"/>
    <w:rsid w:val="00C63D72"/>
    <w:rsid w:val="00C64E60"/>
    <w:rsid w:val="00C65263"/>
    <w:rsid w:val="00C671BB"/>
    <w:rsid w:val="00C67A8C"/>
    <w:rsid w:val="00C70091"/>
    <w:rsid w:val="00C7151B"/>
    <w:rsid w:val="00C76E11"/>
    <w:rsid w:val="00C80B1E"/>
    <w:rsid w:val="00C81876"/>
    <w:rsid w:val="00C8243D"/>
    <w:rsid w:val="00C829AD"/>
    <w:rsid w:val="00C8361A"/>
    <w:rsid w:val="00C839BC"/>
    <w:rsid w:val="00C86B48"/>
    <w:rsid w:val="00C90EBC"/>
    <w:rsid w:val="00C91135"/>
    <w:rsid w:val="00C914D9"/>
    <w:rsid w:val="00C958D2"/>
    <w:rsid w:val="00CA2297"/>
    <w:rsid w:val="00CA3DBC"/>
    <w:rsid w:val="00CA5EB1"/>
    <w:rsid w:val="00CA5EE4"/>
    <w:rsid w:val="00CA63D2"/>
    <w:rsid w:val="00CB33E4"/>
    <w:rsid w:val="00CB39C4"/>
    <w:rsid w:val="00CB6B2A"/>
    <w:rsid w:val="00CB7838"/>
    <w:rsid w:val="00CB7ED6"/>
    <w:rsid w:val="00CC132D"/>
    <w:rsid w:val="00CD0BCB"/>
    <w:rsid w:val="00CD3B46"/>
    <w:rsid w:val="00CD512A"/>
    <w:rsid w:val="00CD6620"/>
    <w:rsid w:val="00CE09C2"/>
    <w:rsid w:val="00CE2459"/>
    <w:rsid w:val="00CE532C"/>
    <w:rsid w:val="00CF65EA"/>
    <w:rsid w:val="00CF6D69"/>
    <w:rsid w:val="00D02A85"/>
    <w:rsid w:val="00D07144"/>
    <w:rsid w:val="00D0715D"/>
    <w:rsid w:val="00D07937"/>
    <w:rsid w:val="00D11DBF"/>
    <w:rsid w:val="00D136B2"/>
    <w:rsid w:val="00D1402E"/>
    <w:rsid w:val="00D16296"/>
    <w:rsid w:val="00D17079"/>
    <w:rsid w:val="00D21C46"/>
    <w:rsid w:val="00D22BFB"/>
    <w:rsid w:val="00D230E4"/>
    <w:rsid w:val="00D243B0"/>
    <w:rsid w:val="00D253F8"/>
    <w:rsid w:val="00D255CC"/>
    <w:rsid w:val="00D25913"/>
    <w:rsid w:val="00D308DC"/>
    <w:rsid w:val="00D324BE"/>
    <w:rsid w:val="00D34936"/>
    <w:rsid w:val="00D4252A"/>
    <w:rsid w:val="00D435BB"/>
    <w:rsid w:val="00D46AC6"/>
    <w:rsid w:val="00D50D2E"/>
    <w:rsid w:val="00D51127"/>
    <w:rsid w:val="00D52219"/>
    <w:rsid w:val="00D61684"/>
    <w:rsid w:val="00D63586"/>
    <w:rsid w:val="00D6439F"/>
    <w:rsid w:val="00D64676"/>
    <w:rsid w:val="00D70E09"/>
    <w:rsid w:val="00D73A57"/>
    <w:rsid w:val="00D74CAA"/>
    <w:rsid w:val="00D76202"/>
    <w:rsid w:val="00D81136"/>
    <w:rsid w:val="00D828DF"/>
    <w:rsid w:val="00D85001"/>
    <w:rsid w:val="00D85E49"/>
    <w:rsid w:val="00D8732E"/>
    <w:rsid w:val="00D87BFE"/>
    <w:rsid w:val="00D918DC"/>
    <w:rsid w:val="00D9210E"/>
    <w:rsid w:val="00D938A4"/>
    <w:rsid w:val="00D9390D"/>
    <w:rsid w:val="00D94F13"/>
    <w:rsid w:val="00DA11D1"/>
    <w:rsid w:val="00DA4EB9"/>
    <w:rsid w:val="00DB16FB"/>
    <w:rsid w:val="00DB2992"/>
    <w:rsid w:val="00DB29E2"/>
    <w:rsid w:val="00DB66BB"/>
    <w:rsid w:val="00DC2BB3"/>
    <w:rsid w:val="00DC3A30"/>
    <w:rsid w:val="00DC454C"/>
    <w:rsid w:val="00DC4D0C"/>
    <w:rsid w:val="00DC7F85"/>
    <w:rsid w:val="00DD26ED"/>
    <w:rsid w:val="00DD61F7"/>
    <w:rsid w:val="00DD6DFB"/>
    <w:rsid w:val="00DF0F4C"/>
    <w:rsid w:val="00DF1F4D"/>
    <w:rsid w:val="00DF709F"/>
    <w:rsid w:val="00DF7842"/>
    <w:rsid w:val="00E00910"/>
    <w:rsid w:val="00E03BC0"/>
    <w:rsid w:val="00E05B3A"/>
    <w:rsid w:val="00E05CD2"/>
    <w:rsid w:val="00E10444"/>
    <w:rsid w:val="00E1150C"/>
    <w:rsid w:val="00E14A8A"/>
    <w:rsid w:val="00E21508"/>
    <w:rsid w:val="00E22994"/>
    <w:rsid w:val="00E312C6"/>
    <w:rsid w:val="00E32709"/>
    <w:rsid w:val="00E33E61"/>
    <w:rsid w:val="00E36FD8"/>
    <w:rsid w:val="00E374A2"/>
    <w:rsid w:val="00E4134B"/>
    <w:rsid w:val="00E41785"/>
    <w:rsid w:val="00E4211C"/>
    <w:rsid w:val="00E42CEE"/>
    <w:rsid w:val="00E446B9"/>
    <w:rsid w:val="00E45656"/>
    <w:rsid w:val="00E468CB"/>
    <w:rsid w:val="00E52368"/>
    <w:rsid w:val="00E54C23"/>
    <w:rsid w:val="00E71290"/>
    <w:rsid w:val="00E7494A"/>
    <w:rsid w:val="00E770EC"/>
    <w:rsid w:val="00E8022D"/>
    <w:rsid w:val="00E83179"/>
    <w:rsid w:val="00E86031"/>
    <w:rsid w:val="00E8794A"/>
    <w:rsid w:val="00E905D2"/>
    <w:rsid w:val="00E9332D"/>
    <w:rsid w:val="00E94FFF"/>
    <w:rsid w:val="00E956A9"/>
    <w:rsid w:val="00EA2E69"/>
    <w:rsid w:val="00EA51D7"/>
    <w:rsid w:val="00EA57E3"/>
    <w:rsid w:val="00EA709E"/>
    <w:rsid w:val="00EA76F0"/>
    <w:rsid w:val="00EA7A28"/>
    <w:rsid w:val="00EB0FF8"/>
    <w:rsid w:val="00EB122C"/>
    <w:rsid w:val="00EB35A7"/>
    <w:rsid w:val="00EB4841"/>
    <w:rsid w:val="00EC5393"/>
    <w:rsid w:val="00ED0510"/>
    <w:rsid w:val="00EE2EBE"/>
    <w:rsid w:val="00EE5836"/>
    <w:rsid w:val="00EE6C99"/>
    <w:rsid w:val="00EF2C40"/>
    <w:rsid w:val="00EF4F5C"/>
    <w:rsid w:val="00EF7ACD"/>
    <w:rsid w:val="00F0346E"/>
    <w:rsid w:val="00F0590F"/>
    <w:rsid w:val="00F1084B"/>
    <w:rsid w:val="00F10B4F"/>
    <w:rsid w:val="00F10D1A"/>
    <w:rsid w:val="00F14174"/>
    <w:rsid w:val="00F14699"/>
    <w:rsid w:val="00F21527"/>
    <w:rsid w:val="00F24E2D"/>
    <w:rsid w:val="00F262EF"/>
    <w:rsid w:val="00F26E9E"/>
    <w:rsid w:val="00F2767A"/>
    <w:rsid w:val="00F30477"/>
    <w:rsid w:val="00F30844"/>
    <w:rsid w:val="00F32404"/>
    <w:rsid w:val="00F34C43"/>
    <w:rsid w:val="00F366E4"/>
    <w:rsid w:val="00F37AD7"/>
    <w:rsid w:val="00F42390"/>
    <w:rsid w:val="00F4305C"/>
    <w:rsid w:val="00F43539"/>
    <w:rsid w:val="00F5140E"/>
    <w:rsid w:val="00F52864"/>
    <w:rsid w:val="00F56302"/>
    <w:rsid w:val="00F6087D"/>
    <w:rsid w:val="00F6775B"/>
    <w:rsid w:val="00F67F4E"/>
    <w:rsid w:val="00F70B17"/>
    <w:rsid w:val="00F75183"/>
    <w:rsid w:val="00F7531C"/>
    <w:rsid w:val="00F75685"/>
    <w:rsid w:val="00F76070"/>
    <w:rsid w:val="00F77A3F"/>
    <w:rsid w:val="00F80181"/>
    <w:rsid w:val="00F80633"/>
    <w:rsid w:val="00F8070C"/>
    <w:rsid w:val="00F8079C"/>
    <w:rsid w:val="00F82DB6"/>
    <w:rsid w:val="00F84E68"/>
    <w:rsid w:val="00F878F6"/>
    <w:rsid w:val="00F91A41"/>
    <w:rsid w:val="00F91DFA"/>
    <w:rsid w:val="00F94571"/>
    <w:rsid w:val="00F9506F"/>
    <w:rsid w:val="00F96A5D"/>
    <w:rsid w:val="00FA0761"/>
    <w:rsid w:val="00FA1237"/>
    <w:rsid w:val="00FA49F6"/>
    <w:rsid w:val="00FA678F"/>
    <w:rsid w:val="00FA7635"/>
    <w:rsid w:val="00FB06EA"/>
    <w:rsid w:val="00FB26CE"/>
    <w:rsid w:val="00FB529D"/>
    <w:rsid w:val="00FB5762"/>
    <w:rsid w:val="00FB665F"/>
    <w:rsid w:val="00FC01E2"/>
    <w:rsid w:val="00FC0CE2"/>
    <w:rsid w:val="00FC1051"/>
    <w:rsid w:val="00FC20CB"/>
    <w:rsid w:val="00FC2386"/>
    <w:rsid w:val="00FC263B"/>
    <w:rsid w:val="00FC4659"/>
    <w:rsid w:val="00FC4757"/>
    <w:rsid w:val="00FC5CAA"/>
    <w:rsid w:val="00FC6197"/>
    <w:rsid w:val="00FC7393"/>
    <w:rsid w:val="00FD01AC"/>
    <w:rsid w:val="00FD0205"/>
    <w:rsid w:val="00FD2635"/>
    <w:rsid w:val="00FD321F"/>
    <w:rsid w:val="00FD3ACC"/>
    <w:rsid w:val="00FD4905"/>
    <w:rsid w:val="00FD6AEE"/>
    <w:rsid w:val="00FE0580"/>
    <w:rsid w:val="00FE300C"/>
    <w:rsid w:val="00FE3BAC"/>
    <w:rsid w:val="00FE537D"/>
    <w:rsid w:val="00FF185C"/>
    <w:rsid w:val="00FF23E2"/>
    <w:rsid w:val="05FDE617"/>
    <w:rsid w:val="0680E844"/>
    <w:rsid w:val="0D1CECE9"/>
    <w:rsid w:val="0E0D373F"/>
    <w:rsid w:val="0FB22BF3"/>
    <w:rsid w:val="13700BCF"/>
    <w:rsid w:val="165C76EB"/>
    <w:rsid w:val="17DE3172"/>
    <w:rsid w:val="181BAD4B"/>
    <w:rsid w:val="1AA0597E"/>
    <w:rsid w:val="1B49CCF0"/>
    <w:rsid w:val="1BB27E6B"/>
    <w:rsid w:val="1D784EEE"/>
    <w:rsid w:val="2066EFCD"/>
    <w:rsid w:val="21842467"/>
    <w:rsid w:val="24A282A5"/>
    <w:rsid w:val="25DE1935"/>
    <w:rsid w:val="28ECA0CA"/>
    <w:rsid w:val="2DAC01B3"/>
    <w:rsid w:val="31FF6445"/>
    <w:rsid w:val="323B3411"/>
    <w:rsid w:val="3258AA51"/>
    <w:rsid w:val="356D6BA3"/>
    <w:rsid w:val="378BCD5A"/>
    <w:rsid w:val="3912DC77"/>
    <w:rsid w:val="3C4A902C"/>
    <w:rsid w:val="3DA4F637"/>
    <w:rsid w:val="3F040FF7"/>
    <w:rsid w:val="3F224A15"/>
    <w:rsid w:val="3FDB70E0"/>
    <w:rsid w:val="415BB363"/>
    <w:rsid w:val="4227BD41"/>
    <w:rsid w:val="43063F7F"/>
    <w:rsid w:val="43919599"/>
    <w:rsid w:val="45C85006"/>
    <w:rsid w:val="47433871"/>
    <w:rsid w:val="47A18379"/>
    <w:rsid w:val="49DC0922"/>
    <w:rsid w:val="4A4AFB64"/>
    <w:rsid w:val="4EFD8975"/>
    <w:rsid w:val="4F63AC42"/>
    <w:rsid w:val="4FE4EFF3"/>
    <w:rsid w:val="51932A15"/>
    <w:rsid w:val="537C73E7"/>
    <w:rsid w:val="56F97E33"/>
    <w:rsid w:val="588C814D"/>
    <w:rsid w:val="58B111D9"/>
    <w:rsid w:val="592548DE"/>
    <w:rsid w:val="64DDE5B0"/>
    <w:rsid w:val="65BCAD0B"/>
    <w:rsid w:val="6708F932"/>
    <w:rsid w:val="67ACBC97"/>
    <w:rsid w:val="6A2DC31A"/>
    <w:rsid w:val="6AB84870"/>
    <w:rsid w:val="6B292226"/>
    <w:rsid w:val="6C65B16D"/>
    <w:rsid w:val="6FFA757C"/>
    <w:rsid w:val="72B491DC"/>
    <w:rsid w:val="76A8655A"/>
    <w:rsid w:val="794A68EF"/>
    <w:rsid w:val="7A583901"/>
    <w:rsid w:val="7BB1BDA4"/>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6ea6"/>
    </o:shapedefaults>
    <o:shapelayout v:ext="edit">
      <o:idmap v:ext="edit" data="2"/>
    </o:shapelayout>
  </w:shapeDefaults>
  <w:decimalSymbol w:val="."/>
  <w:listSeparator w:val=","/>
  <w14:docId w14:val="6832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AU" w:eastAsia="en-AU" w:bidi="ar-SA"/>
      </w:rPr>
    </w:rPrDefault>
    <w:pPrDefault>
      <w:pPr>
        <w:spacing w:after="160" w:line="278" w:lineRule="auto"/>
      </w:pPr>
    </w:pPrDefault>
  </w:docDefaults>
  <w:latentStyles w:defLockedState="0" w:defUIPriority="0" w:defSemiHidden="0" w:defUnhideWhenUsed="0" w:defQFormat="0" w:count="376">
    <w:lsdException w:name="Normal" w:uiPriority="8" w:qFormat="1"/>
    <w:lsdException w:name="heading 1" w:uiPriority="2" w:qFormat="1"/>
    <w:lsdException w:name="heading 2" w:uiPriority="3" w:qFormat="1"/>
    <w:lsdException w:name="heading 3" w:uiPriority="4"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4F7D02"/>
  </w:style>
  <w:style w:type="paragraph" w:styleId="Heading1">
    <w:name w:val="heading 1"/>
    <w:aliases w:val="CER Heading 1,H1"/>
    <w:basedOn w:val="Normal"/>
    <w:next w:val="Normal"/>
    <w:link w:val="Heading1Char"/>
    <w:uiPriority w:val="2"/>
    <w:qFormat/>
    <w:rsid w:val="00265AD4"/>
    <w:pPr>
      <w:keepNext/>
      <w:keepLines/>
      <w:spacing w:before="360" w:after="40" w:line="240" w:lineRule="auto"/>
      <w:outlineLvl w:val="0"/>
    </w:pPr>
    <w:rPr>
      <w:rFonts w:asciiTheme="majorHAnsi" w:eastAsiaTheme="majorEastAsia" w:hAnsiTheme="majorHAnsi" w:cstheme="majorBidi"/>
      <w:color w:val="707070" w:themeColor="accent6" w:themeShade="BF"/>
      <w:sz w:val="40"/>
      <w:szCs w:val="40"/>
    </w:rPr>
  </w:style>
  <w:style w:type="paragraph" w:styleId="Heading2">
    <w:name w:val="heading 2"/>
    <w:aliases w:val="CER Heading 2"/>
    <w:basedOn w:val="Normal"/>
    <w:next w:val="Normal"/>
    <w:link w:val="Heading2Char"/>
    <w:uiPriority w:val="3"/>
    <w:unhideWhenUsed/>
    <w:qFormat/>
    <w:rsid w:val="004F7D02"/>
    <w:pPr>
      <w:keepNext/>
      <w:keepLines/>
      <w:spacing w:before="80" w:after="0" w:line="240" w:lineRule="auto"/>
      <w:outlineLvl w:val="1"/>
    </w:pPr>
    <w:rPr>
      <w:rFonts w:asciiTheme="majorHAnsi" w:eastAsiaTheme="majorEastAsia" w:hAnsiTheme="majorHAnsi" w:cstheme="majorBidi"/>
      <w:color w:val="707070" w:themeColor="accent6" w:themeShade="BF"/>
      <w:sz w:val="28"/>
      <w:szCs w:val="28"/>
    </w:rPr>
  </w:style>
  <w:style w:type="paragraph" w:styleId="Heading3">
    <w:name w:val="heading 3"/>
    <w:aliases w:val="CER Heading 3"/>
    <w:basedOn w:val="Normal"/>
    <w:next w:val="Normal"/>
    <w:link w:val="Heading3Char"/>
    <w:uiPriority w:val="4"/>
    <w:unhideWhenUsed/>
    <w:qFormat/>
    <w:rsid w:val="004F7D02"/>
    <w:pPr>
      <w:keepNext/>
      <w:keepLines/>
      <w:spacing w:before="80" w:after="0" w:line="240" w:lineRule="auto"/>
      <w:outlineLvl w:val="2"/>
    </w:pPr>
    <w:rPr>
      <w:rFonts w:asciiTheme="majorHAnsi" w:eastAsiaTheme="majorEastAsia" w:hAnsiTheme="majorHAnsi" w:cstheme="majorBidi"/>
      <w:color w:val="707070" w:themeColor="accent6" w:themeShade="BF"/>
      <w:sz w:val="24"/>
      <w:szCs w:val="24"/>
    </w:rPr>
  </w:style>
  <w:style w:type="paragraph" w:styleId="Heading4">
    <w:name w:val="heading 4"/>
    <w:aliases w:val="CER Heading 4"/>
    <w:basedOn w:val="Normal"/>
    <w:next w:val="Normal"/>
    <w:link w:val="Heading4Char"/>
    <w:uiPriority w:val="5"/>
    <w:unhideWhenUsed/>
    <w:qFormat/>
    <w:rsid w:val="004F7D02"/>
    <w:pPr>
      <w:keepNext/>
      <w:keepLines/>
      <w:spacing w:before="80" w:after="0"/>
      <w:outlineLvl w:val="3"/>
    </w:pPr>
    <w:rPr>
      <w:rFonts w:asciiTheme="majorHAnsi" w:eastAsiaTheme="majorEastAsia" w:hAnsiTheme="majorHAnsi" w:cstheme="majorBidi"/>
      <w:color w:val="969696" w:themeColor="accent6"/>
      <w:sz w:val="22"/>
      <w:szCs w:val="22"/>
    </w:rPr>
  </w:style>
  <w:style w:type="paragraph" w:styleId="Heading5">
    <w:name w:val="heading 5"/>
    <w:aliases w:val="CER Heading 5"/>
    <w:basedOn w:val="Normal"/>
    <w:next w:val="Normal"/>
    <w:link w:val="Heading5Char"/>
    <w:uiPriority w:val="6"/>
    <w:unhideWhenUsed/>
    <w:qFormat/>
    <w:rsid w:val="004F7D02"/>
    <w:pPr>
      <w:keepNext/>
      <w:keepLines/>
      <w:spacing w:before="40" w:after="0"/>
      <w:outlineLvl w:val="4"/>
    </w:pPr>
    <w:rPr>
      <w:rFonts w:asciiTheme="majorHAnsi" w:eastAsiaTheme="majorEastAsia" w:hAnsiTheme="majorHAnsi" w:cstheme="majorBidi"/>
      <w:i/>
      <w:iCs/>
      <w:color w:val="969696" w:themeColor="accent6"/>
      <w:sz w:val="22"/>
      <w:szCs w:val="22"/>
    </w:rPr>
  </w:style>
  <w:style w:type="paragraph" w:styleId="Heading6">
    <w:name w:val="heading 6"/>
    <w:aliases w:val="CER Heading 6"/>
    <w:basedOn w:val="Normal"/>
    <w:next w:val="Normal"/>
    <w:link w:val="Heading6Char"/>
    <w:uiPriority w:val="99"/>
    <w:unhideWhenUsed/>
    <w:qFormat/>
    <w:rsid w:val="00674932"/>
    <w:pPr>
      <w:tabs>
        <w:tab w:val="left" w:pos="1633"/>
      </w:tabs>
      <w:spacing w:before="240"/>
      <w:outlineLvl w:val="5"/>
    </w:pPr>
    <w:rPr>
      <w:b/>
      <w:bCs/>
      <w:szCs w:val="22"/>
    </w:rPr>
  </w:style>
  <w:style w:type="paragraph" w:styleId="Heading7">
    <w:name w:val="heading 7"/>
    <w:basedOn w:val="Normal"/>
    <w:next w:val="Normal"/>
    <w:link w:val="Heading7Char"/>
    <w:uiPriority w:val="99"/>
    <w:unhideWhenUsed/>
    <w:qFormat/>
    <w:rsid w:val="009D4D75"/>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35D59"/>
    <w:pPr>
      <w:keepNext/>
      <w:keepLines/>
      <w:spacing w:before="40" w:after="0"/>
      <w:outlineLvl w:val="7"/>
    </w:pPr>
    <w:rPr>
      <w:rFonts w:asciiTheme="majorHAnsi" w:eastAsiaTheme="majorEastAsia" w:hAnsiTheme="majorHAnsi" w:cstheme="majorBidi"/>
      <w:b/>
      <w:bCs/>
      <w:i/>
      <w:iCs/>
      <w:color w:val="969696" w:themeColor="accent6"/>
      <w:sz w:val="20"/>
      <w:szCs w:val="20"/>
    </w:rPr>
  </w:style>
  <w:style w:type="paragraph" w:styleId="Heading9">
    <w:name w:val="heading 9"/>
    <w:basedOn w:val="Normal"/>
    <w:next w:val="Normal"/>
    <w:link w:val="Heading9Char"/>
    <w:uiPriority w:val="9"/>
    <w:semiHidden/>
    <w:unhideWhenUsed/>
    <w:qFormat/>
    <w:rsid w:val="00835D59"/>
    <w:pPr>
      <w:keepNext/>
      <w:keepLines/>
      <w:spacing w:before="40" w:after="0"/>
      <w:outlineLvl w:val="8"/>
    </w:pPr>
    <w:rPr>
      <w:rFonts w:asciiTheme="majorHAnsi" w:eastAsiaTheme="majorEastAsia" w:hAnsiTheme="majorHAnsi" w:cstheme="majorBidi"/>
      <w:i/>
      <w:iCs/>
      <w:color w:val="96969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FA7635"/>
    <w:rPr>
      <w:rFonts w:asciiTheme="majorHAnsi" w:eastAsiaTheme="majorEastAsia" w:hAnsiTheme="majorHAnsi" w:cstheme="majorBidi"/>
      <w:color w:val="707070" w:themeColor="accent6" w:themeShade="BF"/>
      <w:sz w:val="28"/>
      <w:szCs w:val="28"/>
    </w:rPr>
  </w:style>
  <w:style w:type="character" w:customStyle="1" w:styleId="Heading1Char">
    <w:name w:val="Heading 1 Char"/>
    <w:aliases w:val="CER Heading 1 Char,H1 Char"/>
    <w:basedOn w:val="DefaultParagraphFont"/>
    <w:link w:val="Heading1"/>
    <w:uiPriority w:val="2"/>
    <w:rsid w:val="00FA7635"/>
    <w:rPr>
      <w:rFonts w:asciiTheme="majorHAnsi" w:eastAsiaTheme="majorEastAsia" w:hAnsiTheme="majorHAnsi" w:cstheme="majorBidi"/>
      <w:color w:val="707070" w:themeColor="accent6" w:themeShade="BF"/>
      <w:sz w:val="40"/>
      <w:szCs w:val="40"/>
    </w:rPr>
  </w:style>
  <w:style w:type="character" w:customStyle="1" w:styleId="Heading3Char">
    <w:name w:val="Heading 3 Char"/>
    <w:aliases w:val="CER Heading 3 Char"/>
    <w:basedOn w:val="DefaultParagraphFont"/>
    <w:link w:val="Heading3"/>
    <w:uiPriority w:val="4"/>
    <w:rsid w:val="00FA7635"/>
    <w:rPr>
      <w:rFonts w:asciiTheme="majorHAnsi" w:eastAsiaTheme="majorEastAsia" w:hAnsiTheme="majorHAnsi" w:cstheme="majorBidi"/>
      <w:color w:val="707070" w:themeColor="accent6" w:themeShade="BF"/>
      <w:sz w:val="24"/>
      <w:szCs w:val="24"/>
    </w:rPr>
  </w:style>
  <w:style w:type="character" w:customStyle="1" w:styleId="Heading4Char">
    <w:name w:val="Heading 4 Char"/>
    <w:aliases w:val="CER Heading 4 Char"/>
    <w:basedOn w:val="DefaultParagraphFont"/>
    <w:link w:val="Heading4"/>
    <w:uiPriority w:val="5"/>
    <w:rsid w:val="00FA7635"/>
    <w:rPr>
      <w:rFonts w:asciiTheme="majorHAnsi" w:eastAsiaTheme="majorEastAsia" w:hAnsiTheme="majorHAnsi" w:cstheme="majorBidi"/>
      <w:color w:val="969696" w:themeColor="accent6"/>
      <w:sz w:val="22"/>
      <w:szCs w:val="22"/>
    </w:rPr>
  </w:style>
  <w:style w:type="character" w:customStyle="1" w:styleId="Heading6Char">
    <w:name w:val="Heading 6 Char"/>
    <w:aliases w:val="CER Heading 6 Char"/>
    <w:basedOn w:val="DefaultParagraphFont"/>
    <w:link w:val="Heading6"/>
    <w:uiPriority w:val="99"/>
    <w:rsid w:val="00674932"/>
    <w:rPr>
      <w:b/>
      <w:bCs/>
      <w:szCs w:val="22"/>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C829AD"/>
    <w:pPr>
      <w:tabs>
        <w:tab w:val="left" w:pos="2694"/>
        <w:tab w:val="left" w:pos="3969"/>
        <w:tab w:val="left" w:pos="6946"/>
        <w:tab w:val="right" w:pos="9498"/>
      </w:tabs>
      <w:ind w:left="284" w:right="242"/>
    </w:pPr>
    <w:rPr>
      <w:color w:val="005874"/>
      <w:sz w:val="16"/>
      <w:szCs w:val="16"/>
    </w:rPr>
  </w:style>
  <w:style w:type="character" w:customStyle="1" w:styleId="FooterChar">
    <w:name w:val="Footer Char"/>
    <w:basedOn w:val="DefaultParagraphFont"/>
    <w:link w:val="Footer"/>
    <w:uiPriority w:val="99"/>
    <w:rsid w:val="00C829AD"/>
    <w:rPr>
      <w:rFonts w:asciiTheme="minorHAnsi" w:hAnsiTheme="minorHAnsi" w:cstheme="minorHAnsi"/>
      <w:color w:val="005874"/>
      <w:sz w:val="16"/>
      <w:szCs w:val="16"/>
      <w:lang w:eastAsia="en-US"/>
    </w:rPr>
  </w:style>
  <w:style w:type="character" w:styleId="Hyperlink">
    <w:name w:val="Hyperlink"/>
    <w:basedOn w:val="DefaultParagraphFont"/>
    <w:uiPriority w:val="99"/>
    <w:unhideWhenUsed/>
    <w:rsid w:val="00BD5ED5"/>
    <w:rPr>
      <w:rFonts w:ascii="Calibri" w:hAnsi="Calibri"/>
      <w:color w:val="005874"/>
      <w:sz w:val="22"/>
      <w:u w:val="single"/>
    </w:rPr>
  </w:style>
  <w:style w:type="paragraph" w:customStyle="1" w:styleId="CERbullets">
    <w:name w:val="CER bullets"/>
    <w:basedOn w:val="Normal"/>
    <w:link w:val="CERbulletsChar"/>
    <w:uiPriority w:val="7"/>
    <w:qFormat/>
    <w:rsid w:val="00FA7635"/>
    <w:pPr>
      <w:numPr>
        <w:numId w:val="21"/>
      </w:numPr>
      <w:spacing w:before="120" w:after="120"/>
      <w:ind w:left="357" w:hanging="357"/>
    </w:pPr>
  </w:style>
  <w:style w:type="character" w:customStyle="1" w:styleId="CERbulletsChar">
    <w:name w:val="CER bullets Char"/>
    <w:basedOn w:val="DefaultParagraphFont"/>
    <w:link w:val="CERbullets"/>
    <w:uiPriority w:val="7"/>
    <w:rsid w:val="00FA7635"/>
  </w:style>
  <w:style w:type="table" w:customStyle="1" w:styleId="CERTable">
    <w:name w:val="CER Table"/>
    <w:basedOn w:val="TableNormal"/>
    <w:uiPriority w:val="99"/>
    <w:rsid w:val="006423DF"/>
    <w:pPr>
      <w:spacing w:before="120"/>
    </w:pPr>
    <w:rPr>
      <w:rFonts w:ascii="Arial" w:hAnsi="Arial"/>
      <w:color w:val="000000" w:themeColor="text1"/>
      <w:kern w:val="2"/>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Yu Gothic UI Semilight" w:hAnsi="@Yu Gothic UI Semilight"/>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Yu Gothic UI Semilight" w:hAnsi="@Yu Gothic UI Semilight"/>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Heading5Char">
    <w:name w:val="Heading 5 Char"/>
    <w:aliases w:val="CER Heading 5 Char"/>
    <w:basedOn w:val="DefaultParagraphFont"/>
    <w:link w:val="Heading5"/>
    <w:uiPriority w:val="6"/>
    <w:rsid w:val="00FA7635"/>
    <w:rPr>
      <w:rFonts w:asciiTheme="majorHAnsi" w:eastAsiaTheme="majorEastAsia" w:hAnsiTheme="majorHAnsi" w:cstheme="majorBidi"/>
      <w:i/>
      <w:iCs/>
      <w:color w:val="969696" w:themeColor="accent6"/>
      <w:sz w:val="22"/>
      <w:szCs w:val="22"/>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Heading7Char">
    <w:name w:val="Heading 7 Char"/>
    <w:basedOn w:val="DefaultParagraphFont"/>
    <w:link w:val="Heading7"/>
    <w:uiPriority w:val="99"/>
    <w:rsid w:val="009D4D75"/>
    <w:rPr>
      <w:rFonts w:asciiTheme="minorHAnsi" w:eastAsiaTheme="majorEastAsia" w:hAnsiTheme="minorHAnsi" w:cstheme="majorBidi"/>
      <w:i/>
      <w:iCs/>
      <w:color w:val="404040" w:themeColor="text1" w:themeTint="BF"/>
      <w:sz w:val="22"/>
      <w:szCs w:val="24"/>
      <w:lang w:eastAsia="en-US"/>
    </w:rPr>
  </w:style>
  <w:style w:type="character" w:styleId="FollowedHyperlink">
    <w:name w:val="FollowedHyperlink"/>
    <w:basedOn w:val="DefaultParagraphFont"/>
    <w:uiPriority w:val="99"/>
    <w:rsid w:val="00BD5ED5"/>
    <w:rPr>
      <w:rFonts w:asciiTheme="minorHAnsi" w:hAnsiTheme="minorHAnsi"/>
      <w:color w:val="00A7D3"/>
      <w:sz w:val="22"/>
      <w:u w:val="single"/>
    </w:rPr>
  </w:style>
  <w:style w:type="paragraph" w:customStyle="1" w:styleId="CERnumbering">
    <w:name w:val="CER numbering"/>
    <w:basedOn w:val="Normal"/>
    <w:link w:val="CERnumberingChar"/>
    <w:uiPriority w:val="8"/>
    <w:qFormat/>
    <w:rsid w:val="00C829AD"/>
    <w:pPr>
      <w:numPr>
        <w:numId w:val="30"/>
      </w:numPr>
      <w:spacing w:before="120" w:after="120"/>
    </w:pPr>
  </w:style>
  <w:style w:type="character" w:customStyle="1" w:styleId="CERnumberingChar">
    <w:name w:val="CER numbering Char"/>
    <w:basedOn w:val="DefaultParagraphFont"/>
    <w:link w:val="CERnumbering"/>
    <w:uiPriority w:val="8"/>
    <w:rsid w:val="00C829AD"/>
  </w:style>
  <w:style w:type="character" w:styleId="PlaceholderText">
    <w:name w:val="Placeholder Text"/>
    <w:basedOn w:val="DefaultParagraphFont"/>
    <w:uiPriority w:val="99"/>
    <w:rsid w:val="00501339"/>
    <w:rPr>
      <w:color w:val="808080"/>
    </w:rPr>
  </w:style>
  <w:style w:type="character" w:customStyle="1" w:styleId="Protectivemarker">
    <w:name w:val="Protective marker"/>
    <w:basedOn w:val="DefaultParagraphFont"/>
    <w:uiPriority w:val="1"/>
    <w:rsid w:val="00B54992"/>
    <w:rPr>
      <w:rFonts w:asciiTheme="minorHAnsi" w:hAnsiTheme="minorHAnsi"/>
      <w:b/>
      <w:color w:val="FF0000"/>
      <w:sz w:val="28"/>
    </w:rPr>
  </w:style>
  <w:style w:type="paragraph" w:customStyle="1" w:styleId="LegislativesecrecyACT">
    <w:name w:val="Legislative secrecy ACT"/>
    <w:basedOn w:val="Heading5"/>
    <w:uiPriority w:val="8"/>
    <w:qFormat/>
    <w:rsid w:val="00B54992"/>
    <w:pPr>
      <w:tabs>
        <w:tab w:val="center" w:pos="4870"/>
        <w:tab w:val="left" w:pos="8745"/>
      </w:tabs>
      <w:spacing w:before="0" w:after="120"/>
      <w:jc w:val="center"/>
    </w:pPr>
    <w:rPr>
      <w:color w:val="auto"/>
      <w:sz w:val="24"/>
    </w:rPr>
  </w:style>
  <w:style w:type="paragraph" w:customStyle="1" w:styleId="NGERbullets">
    <w:name w:val="NGER bullets"/>
    <w:basedOn w:val="Normal"/>
    <w:link w:val="NGERbulletsChar"/>
    <w:uiPriority w:val="7"/>
    <w:qFormat/>
    <w:rsid w:val="00AA44D9"/>
    <w:pPr>
      <w:spacing w:before="60" w:after="120"/>
      <w:ind w:left="360" w:hanging="360"/>
    </w:pPr>
    <w:rPr>
      <w:rFonts w:ascii="Arial" w:hAnsi="Arial" w:cs="Times New Roman"/>
      <w:sz w:val="24"/>
      <w:lang w:val="en-US"/>
    </w:rPr>
  </w:style>
  <w:style w:type="character" w:customStyle="1" w:styleId="NGERbulletsChar">
    <w:name w:val="NGER bullets Char"/>
    <w:basedOn w:val="DefaultParagraphFont"/>
    <w:link w:val="NGERbullets"/>
    <w:uiPriority w:val="7"/>
    <w:rsid w:val="00AA44D9"/>
    <w:rPr>
      <w:rFonts w:ascii="Arial" w:hAnsi="Arial"/>
      <w:color w:val="000000" w:themeColor="text1"/>
      <w:sz w:val="24"/>
      <w:szCs w:val="24"/>
      <w:lang w:val="en-US" w:eastAsia="en-US"/>
    </w:rPr>
  </w:style>
  <w:style w:type="paragraph" w:styleId="TOC1">
    <w:name w:val="toc 1"/>
    <w:basedOn w:val="Normal"/>
    <w:next w:val="Normal"/>
    <w:autoRedefine/>
    <w:uiPriority w:val="39"/>
    <w:rsid w:val="00794E30"/>
    <w:pPr>
      <w:tabs>
        <w:tab w:val="right" w:leader="dot" w:pos="9730"/>
      </w:tabs>
      <w:spacing w:after="100"/>
    </w:pPr>
    <w:rPr>
      <w:rFonts w:ascii="Arial" w:hAnsi="Arial" w:cs="Times New Roman"/>
      <w:b/>
      <w:noProof/>
      <w:sz w:val="24"/>
      <w:lang w:val="en-US"/>
    </w:rPr>
  </w:style>
  <w:style w:type="paragraph" w:styleId="TOC2">
    <w:name w:val="toc 2"/>
    <w:basedOn w:val="Normal"/>
    <w:next w:val="Normal"/>
    <w:autoRedefine/>
    <w:uiPriority w:val="39"/>
    <w:rsid w:val="00AA44D9"/>
    <w:pPr>
      <w:spacing w:after="100"/>
      <w:ind w:left="240"/>
    </w:pPr>
    <w:rPr>
      <w:rFonts w:ascii="Arial" w:hAnsi="Arial" w:cs="Times New Roman"/>
      <w:sz w:val="24"/>
      <w:lang w:val="en-US"/>
    </w:rPr>
  </w:style>
  <w:style w:type="character" w:styleId="CommentReference">
    <w:name w:val="annotation reference"/>
    <w:basedOn w:val="DefaultParagraphFont"/>
    <w:uiPriority w:val="99"/>
    <w:unhideWhenUsed/>
    <w:rsid w:val="00AA44D9"/>
    <w:rPr>
      <w:sz w:val="16"/>
      <w:szCs w:val="16"/>
    </w:rPr>
  </w:style>
  <w:style w:type="paragraph" w:styleId="CommentText">
    <w:name w:val="annotation text"/>
    <w:basedOn w:val="Normal"/>
    <w:link w:val="CommentTextChar"/>
    <w:uiPriority w:val="99"/>
    <w:unhideWhenUsed/>
    <w:rsid w:val="00AA44D9"/>
    <w:rPr>
      <w:rFonts w:eastAsiaTheme="minorHAnsi"/>
      <w:sz w:val="20"/>
      <w:szCs w:val="20"/>
    </w:rPr>
  </w:style>
  <w:style w:type="character" w:customStyle="1" w:styleId="CommentTextChar">
    <w:name w:val="Comment Text Char"/>
    <w:basedOn w:val="DefaultParagraphFont"/>
    <w:link w:val="CommentText"/>
    <w:uiPriority w:val="99"/>
    <w:rsid w:val="00AA44D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E00910"/>
    <w:rPr>
      <w:rFonts w:eastAsia="Cambria" w:cstheme="minorHAnsi"/>
      <w:b/>
      <w:bCs/>
      <w:color w:val="000000" w:themeColor="text1"/>
    </w:rPr>
  </w:style>
  <w:style w:type="character" w:customStyle="1" w:styleId="CommentSubjectChar">
    <w:name w:val="Comment Subject Char"/>
    <w:basedOn w:val="CommentTextChar"/>
    <w:link w:val="CommentSubject"/>
    <w:uiPriority w:val="99"/>
    <w:semiHidden/>
    <w:rsid w:val="00E00910"/>
    <w:rPr>
      <w:rFonts w:asciiTheme="minorHAnsi" w:eastAsiaTheme="minorHAnsi" w:hAnsiTheme="minorHAnsi" w:cstheme="minorHAnsi"/>
      <w:b/>
      <w:bCs/>
      <w:color w:val="000000" w:themeColor="text1"/>
      <w:sz w:val="20"/>
      <w:szCs w:val="20"/>
      <w:lang w:eastAsia="en-US"/>
    </w:rPr>
  </w:style>
  <w:style w:type="character" w:styleId="UnresolvedMention">
    <w:name w:val="Unresolved Mention"/>
    <w:basedOn w:val="DefaultParagraphFont"/>
    <w:uiPriority w:val="99"/>
    <w:semiHidden/>
    <w:unhideWhenUsed/>
    <w:rsid w:val="002B683A"/>
    <w:rPr>
      <w:color w:val="605E5C"/>
      <w:shd w:val="clear" w:color="auto" w:fill="E1DFDD"/>
    </w:rPr>
  </w:style>
  <w:style w:type="paragraph" w:styleId="TOC3">
    <w:name w:val="toc 3"/>
    <w:basedOn w:val="Normal"/>
    <w:next w:val="Normal"/>
    <w:autoRedefine/>
    <w:uiPriority w:val="39"/>
    <w:unhideWhenUsed/>
    <w:rsid w:val="006D19F2"/>
    <w:pPr>
      <w:spacing w:after="100"/>
      <w:ind w:left="440"/>
    </w:pPr>
  </w:style>
  <w:style w:type="paragraph" w:styleId="ListParagraph">
    <w:name w:val="List Paragraph"/>
    <w:basedOn w:val="Normal"/>
    <w:uiPriority w:val="34"/>
    <w:qFormat/>
    <w:rsid w:val="00AB229B"/>
    <w:pPr>
      <w:ind w:left="720"/>
      <w:contextualSpacing/>
    </w:pPr>
  </w:style>
  <w:style w:type="paragraph" w:styleId="FootnoteText">
    <w:name w:val="footnote text"/>
    <w:basedOn w:val="Normal"/>
    <w:link w:val="FootnoteTextChar"/>
    <w:uiPriority w:val="99"/>
    <w:semiHidden/>
    <w:unhideWhenUsed/>
    <w:rsid w:val="00F26E9E"/>
    <w:pPr>
      <w:spacing w:after="0"/>
    </w:pPr>
    <w:rPr>
      <w:sz w:val="20"/>
      <w:szCs w:val="20"/>
      <w:lang w:val="en-GB"/>
    </w:rPr>
  </w:style>
  <w:style w:type="character" w:customStyle="1" w:styleId="FootnoteTextChar">
    <w:name w:val="Footnote Text Char"/>
    <w:basedOn w:val="DefaultParagraphFont"/>
    <w:link w:val="FootnoteText"/>
    <w:uiPriority w:val="99"/>
    <w:semiHidden/>
    <w:rsid w:val="00F26E9E"/>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F26E9E"/>
    <w:rPr>
      <w:vertAlign w:val="superscript"/>
    </w:rPr>
  </w:style>
  <w:style w:type="character" w:styleId="Mention">
    <w:name w:val="Mention"/>
    <w:basedOn w:val="DefaultParagraphFont"/>
    <w:uiPriority w:val="99"/>
    <w:unhideWhenUsed/>
    <w:rsid w:val="00F26E9E"/>
    <w:rPr>
      <w:color w:val="2B579A"/>
      <w:shd w:val="clear" w:color="auto" w:fill="E1DFDD"/>
    </w:rPr>
  </w:style>
  <w:style w:type="paragraph" w:styleId="Revision">
    <w:name w:val="Revision"/>
    <w:hidden/>
    <w:semiHidden/>
    <w:rsid w:val="00DC4D0C"/>
    <w:rPr>
      <w:rFonts w:cstheme="minorHAnsi"/>
      <w:color w:val="000000" w:themeColor="text1"/>
      <w:sz w:val="22"/>
      <w:szCs w:val="24"/>
      <w:lang w:eastAsia="en-US"/>
    </w:rPr>
  </w:style>
  <w:style w:type="character" w:customStyle="1" w:styleId="Heading8Char">
    <w:name w:val="Heading 8 Char"/>
    <w:basedOn w:val="DefaultParagraphFont"/>
    <w:link w:val="Heading8"/>
    <w:uiPriority w:val="9"/>
    <w:semiHidden/>
    <w:rsid w:val="00835D59"/>
    <w:rPr>
      <w:rFonts w:asciiTheme="majorHAnsi" w:eastAsiaTheme="majorEastAsia" w:hAnsiTheme="majorHAnsi" w:cstheme="majorBidi"/>
      <w:b/>
      <w:bCs/>
      <w:i/>
      <w:iCs/>
      <w:color w:val="969696" w:themeColor="accent6"/>
      <w:sz w:val="20"/>
      <w:szCs w:val="20"/>
    </w:rPr>
  </w:style>
  <w:style w:type="character" w:customStyle="1" w:styleId="Heading9Char">
    <w:name w:val="Heading 9 Char"/>
    <w:basedOn w:val="DefaultParagraphFont"/>
    <w:link w:val="Heading9"/>
    <w:uiPriority w:val="9"/>
    <w:semiHidden/>
    <w:rsid w:val="00835D59"/>
    <w:rPr>
      <w:rFonts w:asciiTheme="majorHAnsi" w:eastAsiaTheme="majorEastAsia" w:hAnsiTheme="majorHAnsi" w:cstheme="majorBidi"/>
      <w:i/>
      <w:iCs/>
      <w:color w:val="969696" w:themeColor="accent6"/>
      <w:sz w:val="20"/>
      <w:szCs w:val="20"/>
    </w:rPr>
  </w:style>
  <w:style w:type="paragraph" w:customStyle="1" w:styleId="CERcovertitle">
    <w:name w:val="CER cover title"/>
    <w:basedOn w:val="Title"/>
    <w:link w:val="CERcovertitleChar"/>
    <w:uiPriority w:val="8"/>
    <w:rsid w:val="00835D59"/>
    <w:pPr>
      <w:spacing w:before="2760"/>
      <w:ind w:right="5204"/>
    </w:pPr>
    <w:rPr>
      <w:rFonts w:cs="Times New Roman (Headings CS)"/>
      <w:b/>
      <w:noProof/>
      <w:spacing w:val="0"/>
    </w:rPr>
  </w:style>
  <w:style w:type="paragraph" w:customStyle="1" w:styleId="CERcoversubtitle">
    <w:name w:val="CER cover subtitle"/>
    <w:basedOn w:val="Subtitle"/>
    <w:link w:val="CERcoversubtitleChar"/>
    <w:uiPriority w:val="8"/>
    <w:rsid w:val="00835D59"/>
    <w:pPr>
      <w:spacing w:before="120" w:after="120"/>
      <w:ind w:right="5062"/>
    </w:pPr>
    <w:rPr>
      <w:rFonts w:ascii="Calibri Light" w:eastAsia="Times New Roman" w:hAnsi="Calibri Light" w:cs="Calibri Light"/>
      <w:color w:val="000000" w:themeColor="text1"/>
      <w:sz w:val="40"/>
      <w:szCs w:val="40"/>
      <w:lang w:eastAsia="en-US"/>
    </w:rPr>
  </w:style>
  <w:style w:type="character" w:customStyle="1" w:styleId="CERcovertitleChar">
    <w:name w:val="CER cover title Char"/>
    <w:basedOn w:val="DefaultParagraphFont"/>
    <w:link w:val="CERcovertitle"/>
    <w:uiPriority w:val="8"/>
    <w:rsid w:val="00835D59"/>
    <w:rPr>
      <w:rFonts w:asciiTheme="majorHAnsi" w:eastAsiaTheme="majorEastAsia" w:hAnsiTheme="majorHAnsi" w:cs="Times New Roman (Headings CS)"/>
      <w:b/>
      <w:noProof/>
      <w:color w:val="262626" w:themeColor="text1" w:themeTint="D9"/>
      <w:sz w:val="96"/>
      <w:szCs w:val="96"/>
    </w:rPr>
  </w:style>
  <w:style w:type="character" w:customStyle="1" w:styleId="CERcoversubtitleChar">
    <w:name w:val="CER cover subtitle Char"/>
    <w:basedOn w:val="Heading2Char"/>
    <w:link w:val="CERcoversubtitle"/>
    <w:uiPriority w:val="8"/>
    <w:rsid w:val="00835D59"/>
    <w:rPr>
      <w:rFonts w:ascii="Calibri Light" w:eastAsiaTheme="majorEastAsia" w:hAnsi="Calibri Light" w:cs="Calibri Light"/>
      <w:b/>
      <w:bCs/>
      <w:color w:val="000000" w:themeColor="text1"/>
      <w:sz w:val="40"/>
      <w:szCs w:val="40"/>
    </w:rPr>
  </w:style>
  <w:style w:type="paragraph" w:customStyle="1" w:styleId="BodyText1">
    <w:name w:val="Body Text1"/>
    <w:basedOn w:val="Normal"/>
    <w:uiPriority w:val="8"/>
    <w:qFormat/>
    <w:rsid w:val="00835D59"/>
    <w:pPr>
      <w:spacing w:before="200"/>
    </w:pPr>
  </w:style>
  <w:style w:type="paragraph" w:styleId="Title">
    <w:name w:val="Title"/>
    <w:basedOn w:val="Normal"/>
    <w:next w:val="Normal"/>
    <w:link w:val="TitleChar"/>
    <w:uiPriority w:val="99"/>
    <w:qFormat/>
    <w:rsid w:val="00835D59"/>
    <w:pPr>
      <w:spacing w:after="0"/>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99"/>
    <w:rsid w:val="00835D59"/>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99"/>
    <w:qFormat/>
    <w:rsid w:val="00835D59"/>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99"/>
    <w:rsid w:val="00835D59"/>
    <w:rPr>
      <w:rFonts w:asciiTheme="majorHAnsi" w:eastAsiaTheme="majorEastAsia" w:hAnsiTheme="majorHAnsi" w:cstheme="majorBidi"/>
      <w:sz w:val="30"/>
      <w:szCs w:val="30"/>
    </w:rPr>
  </w:style>
  <w:style w:type="paragraph" w:styleId="Caption">
    <w:name w:val="caption"/>
    <w:basedOn w:val="Normal"/>
    <w:next w:val="Normal"/>
    <w:uiPriority w:val="35"/>
    <w:semiHidden/>
    <w:unhideWhenUsed/>
    <w:qFormat/>
    <w:rsid w:val="00835D59"/>
    <w:rPr>
      <w:b/>
      <w:bCs/>
      <w:smallCaps/>
      <w:color w:val="595959" w:themeColor="text1" w:themeTint="A6"/>
    </w:rPr>
  </w:style>
  <w:style w:type="character" w:styleId="Strong">
    <w:name w:val="Strong"/>
    <w:basedOn w:val="DefaultParagraphFont"/>
    <w:uiPriority w:val="22"/>
    <w:qFormat/>
    <w:rsid w:val="00835D59"/>
    <w:rPr>
      <w:b/>
      <w:bCs/>
    </w:rPr>
  </w:style>
  <w:style w:type="character" w:styleId="Emphasis">
    <w:name w:val="Emphasis"/>
    <w:basedOn w:val="DefaultParagraphFont"/>
    <w:uiPriority w:val="20"/>
    <w:qFormat/>
    <w:rsid w:val="00835D59"/>
    <w:rPr>
      <w:i/>
      <w:iCs/>
      <w:color w:val="969696" w:themeColor="accent6"/>
    </w:rPr>
  </w:style>
  <w:style w:type="paragraph" w:styleId="NoSpacing">
    <w:name w:val="No Spacing"/>
    <w:uiPriority w:val="1"/>
    <w:qFormat/>
    <w:rsid w:val="00835D59"/>
  </w:style>
  <w:style w:type="paragraph" w:styleId="Quote">
    <w:name w:val="Quote"/>
    <w:basedOn w:val="Normal"/>
    <w:next w:val="Normal"/>
    <w:link w:val="QuoteChar"/>
    <w:uiPriority w:val="29"/>
    <w:qFormat/>
    <w:rsid w:val="00835D59"/>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35D59"/>
    <w:rPr>
      <w:i/>
      <w:iCs/>
      <w:color w:val="262626" w:themeColor="text1" w:themeTint="D9"/>
    </w:rPr>
  </w:style>
  <w:style w:type="paragraph" w:styleId="IntenseQuote">
    <w:name w:val="Intense Quote"/>
    <w:basedOn w:val="Normal"/>
    <w:next w:val="Normal"/>
    <w:link w:val="IntenseQuoteChar"/>
    <w:uiPriority w:val="30"/>
    <w:qFormat/>
    <w:rsid w:val="00835D59"/>
    <w:pPr>
      <w:spacing w:before="160" w:line="264" w:lineRule="auto"/>
      <w:ind w:left="720" w:right="720"/>
      <w:jc w:val="center"/>
    </w:pPr>
    <w:rPr>
      <w:rFonts w:asciiTheme="majorHAnsi" w:eastAsiaTheme="majorEastAsia" w:hAnsiTheme="majorHAnsi" w:cstheme="majorBidi"/>
      <w:i/>
      <w:iCs/>
      <w:color w:val="969696" w:themeColor="accent6"/>
      <w:sz w:val="32"/>
      <w:szCs w:val="32"/>
    </w:rPr>
  </w:style>
  <w:style w:type="character" w:customStyle="1" w:styleId="IntenseQuoteChar">
    <w:name w:val="Intense Quote Char"/>
    <w:basedOn w:val="DefaultParagraphFont"/>
    <w:link w:val="IntenseQuote"/>
    <w:uiPriority w:val="30"/>
    <w:rsid w:val="00835D59"/>
    <w:rPr>
      <w:rFonts w:asciiTheme="majorHAnsi" w:eastAsiaTheme="majorEastAsia" w:hAnsiTheme="majorHAnsi" w:cstheme="majorBidi"/>
      <w:i/>
      <w:iCs/>
      <w:color w:val="969696" w:themeColor="accent6"/>
      <w:sz w:val="32"/>
      <w:szCs w:val="32"/>
    </w:rPr>
  </w:style>
  <w:style w:type="character" w:styleId="SubtleEmphasis">
    <w:name w:val="Subtle Emphasis"/>
    <w:basedOn w:val="DefaultParagraphFont"/>
    <w:uiPriority w:val="19"/>
    <w:qFormat/>
    <w:rsid w:val="00835D59"/>
    <w:rPr>
      <w:i/>
      <w:iCs/>
    </w:rPr>
  </w:style>
  <w:style w:type="character" w:styleId="IntenseEmphasis">
    <w:name w:val="Intense Emphasis"/>
    <w:basedOn w:val="DefaultParagraphFont"/>
    <w:uiPriority w:val="21"/>
    <w:qFormat/>
    <w:rsid w:val="00835D59"/>
    <w:rPr>
      <w:b/>
      <w:bCs/>
      <w:i/>
      <w:iCs/>
    </w:rPr>
  </w:style>
  <w:style w:type="character" w:styleId="SubtleReference">
    <w:name w:val="Subtle Reference"/>
    <w:basedOn w:val="DefaultParagraphFont"/>
    <w:uiPriority w:val="31"/>
    <w:qFormat/>
    <w:rsid w:val="00835D59"/>
    <w:rPr>
      <w:smallCaps/>
      <w:color w:val="595959" w:themeColor="text1" w:themeTint="A6"/>
    </w:rPr>
  </w:style>
  <w:style w:type="character" w:styleId="IntenseReference">
    <w:name w:val="Intense Reference"/>
    <w:basedOn w:val="DefaultParagraphFont"/>
    <w:uiPriority w:val="32"/>
    <w:qFormat/>
    <w:rsid w:val="00835D59"/>
    <w:rPr>
      <w:b/>
      <w:bCs/>
      <w:smallCaps/>
      <w:color w:val="969696" w:themeColor="accent6"/>
    </w:rPr>
  </w:style>
  <w:style w:type="character" w:styleId="BookTitle">
    <w:name w:val="Book Title"/>
    <w:basedOn w:val="DefaultParagraphFont"/>
    <w:uiPriority w:val="33"/>
    <w:qFormat/>
    <w:rsid w:val="00835D59"/>
    <w:rPr>
      <w:b/>
      <w:bCs/>
      <w:caps w:val="0"/>
      <w:smallCaps/>
      <w:spacing w:val="7"/>
      <w:sz w:val="21"/>
      <w:szCs w:val="21"/>
    </w:rPr>
  </w:style>
  <w:style w:type="paragraph" w:styleId="TOCHeading">
    <w:name w:val="TOC Heading"/>
    <w:basedOn w:val="Heading1"/>
    <w:next w:val="Normal"/>
    <w:uiPriority w:val="39"/>
    <w:unhideWhenUsed/>
    <w:qFormat/>
    <w:rsid w:val="00835D59"/>
    <w:pPr>
      <w:outlineLvl w:val="9"/>
    </w:pPr>
    <w:rPr>
      <w:b/>
      <w:bCs/>
    </w:rPr>
  </w:style>
  <w:style w:type="character" w:styleId="PageNumber">
    <w:name w:val="page number"/>
    <w:basedOn w:val="DefaultParagraphFont"/>
    <w:uiPriority w:val="99"/>
    <w:semiHidden/>
    <w:unhideWhenUsed/>
    <w:rsid w:val="00835D59"/>
    <w:rPr>
      <w:rFonts w:asciiTheme="minorHAnsi" w:hAnsiTheme="minorHAnsi"/>
    </w:rPr>
  </w:style>
  <w:style w:type="table" w:customStyle="1" w:styleId="CERTable1">
    <w:name w:val="CER Table1"/>
    <w:basedOn w:val="TableNormal"/>
    <w:uiPriority w:val="99"/>
    <w:rsid w:val="00835D59"/>
    <w:pPr>
      <w:spacing w:before="120"/>
    </w:pPr>
    <w:rPr>
      <w:rFonts w:ascii="Calibri" w:hAnsi="Calibri"/>
      <w:color w:val="000000"/>
      <w:kern w:val="2"/>
    </w:rPr>
    <w:tblPr>
      <w:tblStyleRowBandSize w:val="1"/>
      <w:tblBorders>
        <w:top w:val="single" w:sz="8" w:space="0" w:color="FCBA5C"/>
        <w:bottom w:val="single" w:sz="8" w:space="0" w:color="FCBA5C"/>
        <w:insideH w:val="single" w:sz="8" w:space="0" w:color="E8E8E8"/>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Calibri" w:hAnsi="Calibri"/>
        <w:b/>
        <w:color w:val="auto"/>
        <w:sz w:val="20"/>
      </w:rPr>
      <w:tblPr/>
      <w:tcPr>
        <w:tcBorders>
          <w:top w:val="nil"/>
          <w:left w:val="nil"/>
          <w:bottom w:val="single" w:sz="18" w:space="0" w:color="FCBA5C"/>
          <w:right w:val="nil"/>
          <w:insideH w:val="nil"/>
          <w:insideV w:val="nil"/>
          <w:tl2br w:val="nil"/>
          <w:tr2bl w:val="nil"/>
        </w:tcBorders>
        <w:shd w:val="clear" w:color="auto" w:fill="E8E8E8"/>
      </w:tcPr>
    </w:tblStylePr>
    <w:tblStylePr w:type="lastRow">
      <w:pPr>
        <w:wordWrap/>
        <w:spacing w:beforeLines="0" w:before="10" w:beforeAutospacing="0" w:afterLines="0" w:after="10" w:afterAutospacing="0"/>
      </w:pPr>
      <w:rPr>
        <w:rFonts w:ascii="Calibri" w:hAnsi="Calibri"/>
        <w:b/>
      </w:rPr>
      <w:tblPr/>
      <w:tcPr>
        <w:vAlign w:val="center"/>
      </w:tcPr>
    </w:tblStylePr>
    <w:tblStylePr w:type="firstCol">
      <w:pPr>
        <w:wordWrap/>
        <w:ind w:leftChars="0" w:left="0" w:rightChars="0" w:right="0"/>
        <w:contextualSpacing w:val="0"/>
      </w:pPr>
      <w:rPr>
        <w:rFonts w:ascii="Calibri" w:hAnsi="Calibri"/>
        <w:b/>
        <w:i w:val="0"/>
        <w:color w:val="000000"/>
      </w:rPr>
      <w:tblPr/>
      <w:tcPr>
        <w:shd w:val="clear" w:color="auto" w:fill="F2F2F2"/>
      </w:tcPr>
    </w:tblStylePr>
    <w:tblStylePr w:type="band1Horz">
      <w:rPr>
        <w:rFonts w:ascii="Calibri" w:hAnsi="Calibri"/>
      </w:rPr>
      <w:tblPr/>
      <w:tcPr>
        <w:tcBorders>
          <w:top w:val="nil"/>
          <w:left w:val="nil"/>
          <w:bottom w:val="single" w:sz="4" w:space="0" w:color="D1D1D1"/>
          <w:right w:val="nil"/>
          <w:insideH w:val="nil"/>
          <w:insideV w:val="nil"/>
          <w:tl2br w:val="nil"/>
          <w:tr2bl w:val="nil"/>
        </w:tcBorders>
      </w:tcPr>
    </w:tblStylePr>
    <w:tblStylePr w:type="band2Horz">
      <w:rPr>
        <w:rFonts w:ascii="Calibri" w:hAnsi="Calibri"/>
      </w:rPr>
      <w:tblPr/>
      <w:tcPr>
        <w:tcBorders>
          <w:insideH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91654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r.gov.au/schemes/national-greenhouse-and-energy-reporting-scheme" TargetMode="External"/><Relationship Id="rId18" Type="http://schemas.openxmlformats.org/officeDocument/2006/relationships/hyperlink" Target="https://cer.gov.au/schemes/national-greenhouse-and-energy-reporting-scheme/record-keeping-and-compliance-greenhouse-and-energy-reporting"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reporting@cer.gov.au" TargetMode="External"/><Relationship Id="rId7" Type="http://schemas.openxmlformats.org/officeDocument/2006/relationships/footnotes" Target="footnotes.xml"/><Relationship Id="rId12" Type="http://schemas.openxmlformats.org/officeDocument/2006/relationships/hyperlink" Target="https://www.legislation.gov.au/F2008L02309/latest/text" TargetMode="External"/><Relationship Id="rId17" Type="http://schemas.openxmlformats.org/officeDocument/2006/relationships/hyperlink" Target="https://portal.cleanenergyregulator.gov.au/signu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eporting@cleanenergyregulator.gov.au" TargetMode="External"/><Relationship Id="rId20" Type="http://schemas.openxmlformats.org/officeDocument/2006/relationships/hyperlink" Target="https://cer.gov.au/schemes/national-greenhouse-and-energy-reporting-scheme/record-keeping-and-compliance-greenhou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F2008L02230/latest/tex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er.gov.au/online-system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legislation.gov.au/C2007A00175/latest/text" TargetMode="External"/><Relationship Id="rId19" Type="http://schemas.openxmlformats.org/officeDocument/2006/relationships/hyperlink" Target="https://cer.gov.au/about-us/contact-u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er.gov.au/document/operational-control-supplementary-guideline" TargetMode="External"/><Relationship Id="rId22" Type="http://schemas.openxmlformats.org/officeDocument/2006/relationships/hyperlink" Target="http://www.cer.gov.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ER Custom">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FEED75-14F5-4DBC-A090-2B277161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1722</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of reporting obligations under section 22X</dc:title>
  <dc:subject/>
  <dc:creator/>
  <cp:keywords/>
  <cp:lastModifiedBy/>
  <cp:revision>1</cp:revision>
  <dcterms:created xsi:type="dcterms:W3CDTF">2024-11-27T05:07:00Z</dcterms:created>
  <dcterms:modified xsi:type="dcterms:W3CDTF">2024-11-27T21:03:00Z</dcterms:modified>
</cp:coreProperties>
</file>