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B9D7" w14:textId="452D92B5" w:rsidR="00944D0D" w:rsidRPr="000F5486" w:rsidRDefault="7CFF0C70" w:rsidP="00F00F51">
      <w:pPr>
        <w:pStyle w:val="Heading1"/>
      </w:pPr>
      <w:r w:rsidRPr="5FC45064">
        <w:t>Response to submissions</w:t>
      </w:r>
      <w:r w:rsidR="566BA844" w:rsidRPr="5FC45064">
        <w:t xml:space="preserve"> to </w:t>
      </w:r>
      <w:r w:rsidR="5B7C497E" w:rsidRPr="5FC45064">
        <w:t>public</w:t>
      </w:r>
      <w:r w:rsidRPr="5FC45064">
        <w:t xml:space="preserve"> consultation paper:</w:t>
      </w:r>
      <w:r w:rsidRPr="5FC45064">
        <w:rPr>
          <w:i/>
          <w:iCs/>
        </w:rPr>
        <w:t xml:space="preserve"> </w:t>
      </w:r>
      <w:r w:rsidRPr="5FC45064">
        <w:t xml:space="preserve">Seeking views on the </w:t>
      </w:r>
      <w:r w:rsidR="0015362A">
        <w:t>d</w:t>
      </w:r>
      <w:r w:rsidRPr="5FC45064">
        <w:t>raft Audit Thresholds Instrument 2025</w:t>
      </w:r>
    </w:p>
    <w:p w14:paraId="57C5A45D" w14:textId="335BF03B" w:rsidR="003B1A21" w:rsidRDefault="00CA7B38" w:rsidP="00944D0D">
      <w:r>
        <w:t xml:space="preserve">The Clean Energy Regulator (the </w:t>
      </w:r>
      <w:r w:rsidR="00473D08">
        <w:t>CER</w:t>
      </w:r>
      <w:r>
        <w:t>) undertook t</w:t>
      </w:r>
      <w:r w:rsidR="00944D0D" w:rsidRPr="00944D0D">
        <w:t>wo rounds of public consultation to inform the development of the Audit Thresholds Instrument</w:t>
      </w:r>
      <w:r w:rsidR="00BF4528">
        <w:t xml:space="preserve"> 2025</w:t>
      </w:r>
      <w:r w:rsidR="00944D0D" w:rsidRPr="00944D0D">
        <w:t xml:space="preserve">. The first public </w:t>
      </w:r>
      <w:hyperlink r:id="rId8" w:history="1">
        <w:r w:rsidR="00944D0D" w:rsidRPr="00944D0D">
          <w:rPr>
            <w:rStyle w:val="Hyperlink"/>
            <w:rFonts w:asciiTheme="minorHAnsi" w:hAnsiTheme="minorHAnsi"/>
          </w:rPr>
          <w:t>consultation paper</w:t>
        </w:r>
      </w:hyperlink>
      <w:r w:rsidR="00944D0D" w:rsidRPr="00944D0D">
        <w:t xml:space="preserve"> </w:t>
      </w:r>
      <w:r w:rsidR="00D002FD">
        <w:t xml:space="preserve">- </w:t>
      </w:r>
      <w:r w:rsidR="00D002FD" w:rsidRPr="00D002FD">
        <w:rPr>
          <w:i/>
          <w:iCs/>
        </w:rPr>
        <w:t>Seeking views from ACCU Scheme stakeholders on the Audit Thresholds Instrument</w:t>
      </w:r>
      <w:r w:rsidR="00D002FD">
        <w:rPr>
          <w:i/>
          <w:iCs/>
        </w:rPr>
        <w:t>,</w:t>
      </w:r>
      <w:r w:rsidR="00D002FD" w:rsidRPr="00D002FD">
        <w:rPr>
          <w:i/>
          <w:iCs/>
        </w:rPr>
        <w:t xml:space="preserve"> </w:t>
      </w:r>
      <w:r w:rsidR="00944D0D" w:rsidRPr="00944D0D">
        <w:t>provided an overview of how the Audit Thresholds Instrument works</w:t>
      </w:r>
      <w:r w:rsidR="009E4315">
        <w:t xml:space="preserve"> and</w:t>
      </w:r>
      <w:r w:rsidR="00975B04">
        <w:t xml:space="preserve"> </w:t>
      </w:r>
      <w:r w:rsidR="00BF4528">
        <w:t>asked for feedback on the Audit Thresholds Instrument 20</w:t>
      </w:r>
      <w:r w:rsidR="00975B04">
        <w:t>15</w:t>
      </w:r>
      <w:r w:rsidR="006F322F">
        <w:t>.</w:t>
      </w:r>
      <w:r w:rsidR="00975B04">
        <w:t xml:space="preserve"> </w:t>
      </w:r>
      <w:r w:rsidR="006F322F">
        <w:t>It also</w:t>
      </w:r>
      <w:r w:rsidR="00975B04">
        <w:t xml:space="preserve"> </w:t>
      </w:r>
      <w:r>
        <w:t xml:space="preserve">asked stakeholders about </w:t>
      </w:r>
      <w:r w:rsidR="00AA2056">
        <w:t xml:space="preserve">potentially </w:t>
      </w:r>
      <w:r w:rsidR="001E1B6C" w:rsidRPr="098FAF4F">
        <w:rPr>
          <w:rStyle w:val="normaltextrun"/>
        </w:rPr>
        <w:t xml:space="preserve">including alternative assurance for </w:t>
      </w:r>
      <w:r w:rsidR="001E1B6C">
        <w:t>Low r</w:t>
      </w:r>
      <w:r w:rsidR="006F322F">
        <w:t xml:space="preserve">isk </w:t>
      </w:r>
      <w:r w:rsidR="001E1B6C">
        <w:t xml:space="preserve">projects under the </w:t>
      </w:r>
      <w:hyperlink r:id="rId9">
        <w:r w:rsidR="001E1B6C" w:rsidRPr="098FAF4F">
          <w:rPr>
            <w:rStyle w:val="Hyperlink"/>
            <w:rFonts w:asciiTheme="minorHAnsi" w:hAnsiTheme="minorHAnsi"/>
          </w:rPr>
          <w:t>Carbon Credits (Carbon Farming Initiative) (Environmental and Mallee Plantings–</w:t>
        </w:r>
        <w:proofErr w:type="spellStart"/>
        <w:r w:rsidR="001E1B6C" w:rsidRPr="098FAF4F">
          <w:rPr>
            <w:rStyle w:val="Hyperlink"/>
            <w:rFonts w:asciiTheme="minorHAnsi" w:hAnsiTheme="minorHAnsi"/>
          </w:rPr>
          <w:t>FullCAM</w:t>
        </w:r>
        <w:proofErr w:type="spellEnd"/>
        <w:r w:rsidR="001E1B6C" w:rsidRPr="098FAF4F">
          <w:rPr>
            <w:rStyle w:val="Hyperlink"/>
            <w:rFonts w:asciiTheme="minorHAnsi" w:hAnsiTheme="minorHAnsi"/>
          </w:rPr>
          <w:t>) Methodology Determination 2024</w:t>
        </w:r>
      </w:hyperlink>
      <w:r w:rsidR="00944D0D" w:rsidRPr="00944D0D">
        <w:t xml:space="preserve">. It received a total of 20 submissions during the consultation period </w:t>
      </w:r>
      <w:r>
        <w:t xml:space="preserve">from </w:t>
      </w:r>
      <w:r w:rsidR="00944D0D" w:rsidRPr="00944D0D">
        <w:t xml:space="preserve">18 November </w:t>
      </w:r>
      <w:r>
        <w:t>to</w:t>
      </w:r>
      <w:r w:rsidR="00944D0D" w:rsidRPr="00944D0D">
        <w:t xml:space="preserve"> 15 December 2024. </w:t>
      </w:r>
    </w:p>
    <w:p w14:paraId="386F18A9" w14:textId="76C82722" w:rsidR="006F325E" w:rsidRDefault="00944D0D" w:rsidP="006F325E">
      <w:r w:rsidRPr="00944D0D">
        <w:t xml:space="preserve">The second </w:t>
      </w:r>
      <w:r w:rsidR="000F5486" w:rsidRPr="001726D1">
        <w:t xml:space="preserve">public </w:t>
      </w:r>
      <w:hyperlink r:id="rId10" w:history="1">
        <w:r w:rsidRPr="00944D0D">
          <w:rPr>
            <w:rStyle w:val="Hyperlink"/>
            <w:rFonts w:asciiTheme="minorHAnsi" w:hAnsiTheme="minorHAnsi"/>
          </w:rPr>
          <w:t>consultation paper</w:t>
        </w:r>
      </w:hyperlink>
      <w:r w:rsidR="000F5486" w:rsidRPr="001726D1">
        <w:t xml:space="preserve"> - </w:t>
      </w:r>
      <w:r w:rsidR="000F5486" w:rsidRPr="001726D1">
        <w:rPr>
          <w:i/>
          <w:iCs/>
        </w:rPr>
        <w:t xml:space="preserve">Seeking views on the </w:t>
      </w:r>
      <w:r w:rsidR="00137517">
        <w:rPr>
          <w:i/>
          <w:iCs/>
        </w:rPr>
        <w:t>d</w:t>
      </w:r>
      <w:r w:rsidR="000F5486" w:rsidRPr="001726D1">
        <w:rPr>
          <w:i/>
          <w:iCs/>
        </w:rPr>
        <w:t>raft Audit Thresholds Instrument 2025</w:t>
      </w:r>
      <w:r w:rsidR="00DC30B2" w:rsidRPr="001726D1">
        <w:t xml:space="preserve"> </w:t>
      </w:r>
      <w:r w:rsidRPr="001726D1">
        <w:t>contain</w:t>
      </w:r>
      <w:r w:rsidR="003B1A21" w:rsidRPr="001726D1">
        <w:t xml:space="preserve">s </w:t>
      </w:r>
      <w:r w:rsidR="00115EB6" w:rsidRPr="001726D1">
        <w:t>our response to submissions</w:t>
      </w:r>
      <w:r w:rsidRPr="001726D1">
        <w:t xml:space="preserve"> </w:t>
      </w:r>
      <w:r w:rsidR="009E4315">
        <w:t>from</w:t>
      </w:r>
      <w:r w:rsidRPr="001726D1">
        <w:t xml:space="preserve"> the first round of public consultation</w:t>
      </w:r>
      <w:r w:rsidR="00115EB6">
        <w:t>.</w:t>
      </w:r>
      <w:r w:rsidR="00840E3E" w:rsidRPr="001726D1">
        <w:t xml:space="preserve"> </w:t>
      </w:r>
      <w:r w:rsidR="00115EB6">
        <w:t>I</w:t>
      </w:r>
      <w:r>
        <w:t xml:space="preserve">t also </w:t>
      </w:r>
      <w:r w:rsidR="00BF37CE">
        <w:t>provide</w:t>
      </w:r>
      <w:r w:rsidR="00E02F44">
        <w:t>d</w:t>
      </w:r>
      <w:r w:rsidR="00BF37CE">
        <w:t xml:space="preserve"> an overview of </w:t>
      </w:r>
      <w:r w:rsidRPr="00944D0D">
        <w:t xml:space="preserve">proposed changes incorporated into an attached </w:t>
      </w:r>
      <w:r w:rsidR="00137517">
        <w:t>d</w:t>
      </w:r>
      <w:r w:rsidRPr="00944D0D">
        <w:t xml:space="preserve">raft Audit Thresholds Instrument </w:t>
      </w:r>
      <w:r w:rsidR="003B1A21">
        <w:t xml:space="preserve">2025 </w:t>
      </w:r>
      <w:r w:rsidRPr="00944D0D">
        <w:t xml:space="preserve">for </w:t>
      </w:r>
      <w:r w:rsidR="00E02F44">
        <w:t>comment</w:t>
      </w:r>
      <w:r w:rsidRPr="00944D0D">
        <w:t xml:space="preserve">. It received 23 submissions during the consultation period </w:t>
      </w:r>
      <w:r w:rsidR="006E12DC">
        <w:t xml:space="preserve">from </w:t>
      </w:r>
      <w:r w:rsidRPr="00944D0D">
        <w:t>22 January 2025 to 5 February 2025.</w:t>
      </w:r>
      <w:r w:rsidR="000345F9">
        <w:t xml:space="preserve"> </w:t>
      </w:r>
      <w:r w:rsidR="00460570">
        <w:t>Our response to</w:t>
      </w:r>
      <w:r w:rsidR="009E4315">
        <w:t xml:space="preserve"> these</w:t>
      </w:r>
      <w:r w:rsidR="00460570">
        <w:t xml:space="preserve"> submissions</w:t>
      </w:r>
      <w:r w:rsidR="00840E3E">
        <w:t xml:space="preserve"> </w:t>
      </w:r>
      <w:r w:rsidR="00BF37CE">
        <w:t xml:space="preserve">is </w:t>
      </w:r>
      <w:r w:rsidR="00FF3A00">
        <w:t xml:space="preserve">provided in </w:t>
      </w:r>
      <w:r w:rsidR="00392861">
        <w:t>T</w:t>
      </w:r>
      <w:r w:rsidR="00FF3A00">
        <w:t>able</w:t>
      </w:r>
      <w:r w:rsidR="00460570">
        <w:t xml:space="preserve"> 1</w:t>
      </w:r>
      <w:r w:rsidR="00FF3A00">
        <w:t xml:space="preserve"> below.</w:t>
      </w:r>
    </w:p>
    <w:p w14:paraId="201967A0" w14:textId="3DF7B5C9" w:rsidR="00903AD0" w:rsidRPr="00903AD0" w:rsidRDefault="00903AD0" w:rsidP="006F325E">
      <w:pPr>
        <w:rPr>
          <w:b/>
          <w:bCs/>
        </w:rPr>
      </w:pPr>
      <w:r>
        <w:rPr>
          <w:b/>
          <w:bCs/>
        </w:rPr>
        <w:t xml:space="preserve">Table 1 </w:t>
      </w:r>
      <w:r w:rsidRPr="00903AD0">
        <w:rPr>
          <w:b/>
          <w:bCs/>
        </w:rPr>
        <w:t xml:space="preserve">Response to submissions </w:t>
      </w:r>
      <w:r w:rsidR="005B4373">
        <w:rPr>
          <w:b/>
          <w:bCs/>
        </w:rPr>
        <w:t>to</w:t>
      </w:r>
      <w:r w:rsidRPr="00903AD0">
        <w:rPr>
          <w:b/>
          <w:bCs/>
        </w:rPr>
        <w:t xml:space="preserve"> the second </w:t>
      </w:r>
      <w:r w:rsidR="000D3C68">
        <w:rPr>
          <w:b/>
          <w:bCs/>
        </w:rPr>
        <w:t xml:space="preserve">public </w:t>
      </w:r>
      <w:r w:rsidRPr="00903AD0">
        <w:rPr>
          <w:b/>
          <w:bCs/>
        </w:rPr>
        <w:t xml:space="preserve">consultation </w:t>
      </w:r>
      <w:r w:rsidR="005B4373">
        <w:rPr>
          <w:b/>
          <w:bCs/>
        </w:rPr>
        <w:t>paper</w:t>
      </w:r>
      <w:r w:rsidR="000D3C68">
        <w:rPr>
          <w:b/>
          <w:bCs/>
        </w:rPr>
        <w:t>:</w:t>
      </w:r>
      <w:r w:rsidR="005B4373">
        <w:rPr>
          <w:b/>
          <w:bCs/>
        </w:rPr>
        <w:t xml:space="preserve"> </w:t>
      </w:r>
      <w:r w:rsidR="006F322F" w:rsidRPr="000D3C68">
        <w:rPr>
          <w:b/>
          <w:bCs/>
          <w:i/>
          <w:iCs/>
        </w:rPr>
        <w:t xml:space="preserve">Seeking views on the </w:t>
      </w:r>
      <w:r w:rsidR="00137517">
        <w:rPr>
          <w:b/>
          <w:bCs/>
          <w:i/>
          <w:iCs/>
        </w:rPr>
        <w:t>d</w:t>
      </w:r>
      <w:r w:rsidR="006F322F" w:rsidRPr="000D3C68">
        <w:rPr>
          <w:b/>
          <w:bCs/>
          <w:i/>
          <w:iCs/>
        </w:rPr>
        <w:t>raft Audit Thresholds Instrument 2025</w:t>
      </w:r>
    </w:p>
    <w:tbl>
      <w:tblPr>
        <w:tblStyle w:val="CERTable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4920"/>
      </w:tblGrid>
      <w:tr w:rsidR="00345F8A" w:rsidRPr="0047580B" w14:paraId="3A8FAAF5" w14:textId="77777777" w:rsidTr="5AD2C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5EB22F12" w14:textId="1E71B51D" w:rsidR="00345F8A" w:rsidRPr="0047580B" w:rsidRDefault="00345F8A">
            <w:pPr>
              <w:pStyle w:val="BodyText1"/>
              <w:rPr>
                <w:lang w:eastAsia="en-AU"/>
              </w:rPr>
            </w:pPr>
            <w:r w:rsidRPr="0047580B">
              <w:rPr>
                <w:lang w:eastAsia="en-AU"/>
              </w:rPr>
              <w:t xml:space="preserve">Summary of </w:t>
            </w:r>
            <w:r w:rsidR="00BF37CE">
              <w:rPr>
                <w:lang w:eastAsia="en-AU"/>
              </w:rPr>
              <w:t xml:space="preserve">responses </w:t>
            </w:r>
            <w:r w:rsidR="00460570">
              <w:rPr>
                <w:lang w:eastAsia="en-AU"/>
              </w:rPr>
              <w:t>to consultation questions</w:t>
            </w:r>
          </w:p>
        </w:tc>
        <w:tc>
          <w:tcPr>
            <w:tcW w:w="4920" w:type="dxa"/>
            <w:noWrap/>
            <w:hideMark/>
          </w:tcPr>
          <w:p w14:paraId="74C4BCE6" w14:textId="33CBB032" w:rsidR="00345F8A" w:rsidRPr="0047580B" w:rsidRDefault="00A33AFF">
            <w:pPr>
              <w:pStyle w:val="BodyTex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Clean Energy Regulator</w:t>
            </w:r>
            <w:r w:rsidR="00345F8A" w:rsidRPr="0047580B">
              <w:rPr>
                <w:lang w:eastAsia="en-AU"/>
              </w:rPr>
              <w:t xml:space="preserve"> response</w:t>
            </w:r>
          </w:p>
        </w:tc>
      </w:tr>
      <w:tr w:rsidR="00345F8A" w:rsidRPr="0047580B" w14:paraId="000EAD32" w14:textId="77777777" w:rsidTr="5AD2C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732E11D5" w14:textId="6A42A66C" w:rsidR="006719B6" w:rsidRPr="00AD65DD" w:rsidRDefault="00AD65DD" w:rsidP="00AD65DD">
            <w:pPr>
              <w:pStyle w:val="BodyText1"/>
              <w:rPr>
                <w:b w:val="0"/>
              </w:rPr>
            </w:pPr>
            <w:r w:rsidRPr="0047580B">
              <w:t xml:space="preserve">1. Do you think the </w:t>
            </w:r>
            <w:r w:rsidR="00137517">
              <w:t>d</w:t>
            </w:r>
            <w:r w:rsidRPr="0047580B">
              <w:t xml:space="preserve">raft Instrument strikes the right balance between supporting participation and abatement, ensuring integrity of abatement, and facilitating a </w:t>
            </w:r>
            <w:r w:rsidR="00C81B13" w:rsidRPr="0047580B">
              <w:t>risk-based</w:t>
            </w:r>
            <w:r w:rsidRPr="0047580B">
              <w:t xml:space="preserve"> approach to compliance?</w:t>
            </w:r>
          </w:p>
          <w:p w14:paraId="303D010C" w14:textId="18E74424" w:rsidR="00BE6264" w:rsidRDefault="00345F8A">
            <w:pPr>
              <w:spacing w:after="0"/>
              <w:rPr>
                <w:rFonts w:ascii="Aptos Narrow" w:eastAsia="Times New Roman" w:hAnsi="Aptos Narrow" w:cs="Times New Roman"/>
                <w:bCs/>
                <w:color w:val="000000"/>
                <w:lang w:eastAsia="en-AU"/>
              </w:rPr>
            </w:pPr>
            <w:r w:rsidRPr="004C5FCB">
              <w:rPr>
                <w:rFonts w:ascii="Aptos Narrow" w:eastAsia="Times New Roman" w:hAnsi="Aptos Narrow" w:cs="Times New Roman"/>
                <w:b w:val="0"/>
                <w:bCs/>
                <w:lang w:eastAsia="en-AU"/>
              </w:rPr>
              <w:t xml:space="preserve">Submissions overwhelmingly agreed that the </w:t>
            </w:r>
            <w:r w:rsidR="00137517">
              <w:rPr>
                <w:rFonts w:ascii="Aptos Narrow" w:eastAsia="Times New Roman" w:hAnsi="Aptos Narrow" w:cs="Times New Roman"/>
                <w:b w:val="0"/>
                <w:bCs/>
                <w:lang w:eastAsia="en-AU"/>
              </w:rPr>
              <w:t>d</w:t>
            </w:r>
            <w:r w:rsidRPr="004C5FCB">
              <w:rPr>
                <w:rFonts w:ascii="Aptos Narrow" w:eastAsia="Times New Roman" w:hAnsi="Aptos Narrow" w:cs="Times New Roman"/>
                <w:b w:val="0"/>
                <w:bCs/>
                <w:lang w:eastAsia="en-AU"/>
              </w:rPr>
              <w:t xml:space="preserve">raft Audit Threshold Instrument strikes the right balance. </w:t>
            </w:r>
          </w:p>
          <w:p w14:paraId="6ADF84C5" w14:textId="2F5DEB13" w:rsidR="00345F8A" w:rsidRPr="00BE6264" w:rsidRDefault="00345F8A">
            <w:pPr>
              <w:spacing w:after="0"/>
              <w:rPr>
                <w:rStyle w:val="CERbulletsChar"/>
                <w:rFonts w:ascii="Aptos Narrow" w:eastAsia="Times New Roman" w:hAnsi="Aptos Narrow" w:cs="Times New Roman"/>
                <w:b w:val="0"/>
                <w:bCs/>
                <w:color w:val="000000"/>
                <w:lang w:eastAsia="en-AU"/>
              </w:rPr>
            </w:pPr>
            <w:r w:rsidRPr="003F2CFA">
              <w:rPr>
                <w:rFonts w:ascii="Aptos Narrow" w:eastAsia="Times New Roman" w:hAnsi="Aptos Narrow" w:cs="Times New Roman"/>
                <w:b w:val="0"/>
                <w:bCs/>
                <w:lang w:eastAsia="en-AU"/>
              </w:rPr>
              <w:t>The following suggestions/concerns were raised:</w:t>
            </w:r>
          </w:p>
          <w:p w14:paraId="3230B90B" w14:textId="333B1A3F" w:rsidR="00345F8A" w:rsidRPr="002E7C29" w:rsidRDefault="00086B1D" w:rsidP="00A123D5">
            <w:pPr>
              <w:pStyle w:val="CERbullets"/>
              <w:rPr>
                <w:rStyle w:val="CERbulletsChar"/>
                <w:b w:val="0"/>
                <w:bCs/>
                <w:lang w:eastAsia="en-AU"/>
              </w:rPr>
            </w:pPr>
            <w:r>
              <w:rPr>
                <w:rStyle w:val="CERbulletsChar"/>
                <w:b w:val="0"/>
                <w:bCs/>
              </w:rPr>
              <w:t>A</w:t>
            </w:r>
            <w:r w:rsidR="00E74099">
              <w:rPr>
                <w:rStyle w:val="CERbulletsChar"/>
                <w:b w:val="0"/>
                <w:bCs/>
              </w:rPr>
              <w:t xml:space="preserve">udit </w:t>
            </w:r>
            <w:r w:rsidR="00345F8A" w:rsidRPr="003F2CFA">
              <w:rPr>
                <w:rStyle w:val="CERbulletsChar"/>
                <w:b w:val="0"/>
                <w:bCs/>
              </w:rPr>
              <w:t>threshold</w:t>
            </w:r>
            <w:r w:rsidR="00E74099">
              <w:rPr>
                <w:rStyle w:val="CERbulletsChar"/>
                <w:b w:val="0"/>
                <w:bCs/>
              </w:rPr>
              <w:t>s</w:t>
            </w:r>
            <w:r>
              <w:rPr>
                <w:rStyle w:val="CERbulletsChar"/>
                <w:b w:val="0"/>
                <w:bCs/>
              </w:rPr>
              <w:t xml:space="preserve"> should</w:t>
            </w:r>
            <w:r w:rsidR="00345F8A" w:rsidRPr="003F2CFA">
              <w:rPr>
                <w:rStyle w:val="CERbulletsChar"/>
                <w:b w:val="0"/>
                <w:bCs/>
              </w:rPr>
              <w:t xml:space="preserve"> be defined by area not by abatement volumes</w:t>
            </w:r>
            <w:r w:rsidR="008A7C54">
              <w:rPr>
                <w:rStyle w:val="CERbulletsChar"/>
                <w:b w:val="0"/>
                <w:bCs/>
              </w:rPr>
              <w:t>.</w:t>
            </w:r>
          </w:p>
          <w:p w14:paraId="03DB6AC7" w14:textId="7FBD1381" w:rsidR="002E7C29" w:rsidRPr="00A123D5" w:rsidRDefault="00086B1D" w:rsidP="00A123D5">
            <w:pPr>
              <w:pStyle w:val="CERbullets"/>
              <w:rPr>
                <w:rStyle w:val="CERbulletsChar"/>
                <w:b w:val="0"/>
                <w:bCs/>
                <w:lang w:eastAsia="en-AU"/>
              </w:rPr>
            </w:pPr>
            <w:r>
              <w:rPr>
                <w:rStyle w:val="CERbulletsChar"/>
                <w:b w:val="0"/>
                <w:bCs/>
              </w:rPr>
              <w:t>S</w:t>
            </w:r>
            <w:r w:rsidR="00D02BDF">
              <w:rPr>
                <w:rStyle w:val="CERbulletsChar"/>
                <w:b w:val="0"/>
                <w:bCs/>
              </w:rPr>
              <w:t xml:space="preserve">mall changes </w:t>
            </w:r>
            <w:r w:rsidR="0014079D">
              <w:rPr>
                <w:rStyle w:val="CERbulletsChar"/>
                <w:b w:val="0"/>
                <w:bCs/>
              </w:rPr>
              <w:t>t</w:t>
            </w:r>
            <w:r w:rsidR="002E02C2">
              <w:rPr>
                <w:rStyle w:val="CERbulletsChar"/>
                <w:b w:val="0"/>
                <w:bCs/>
              </w:rPr>
              <w:t xml:space="preserve">o </w:t>
            </w:r>
            <w:r w:rsidR="0014079D">
              <w:rPr>
                <w:rStyle w:val="CERbulletsChar"/>
                <w:b w:val="0"/>
                <w:bCs/>
              </w:rPr>
              <w:t>requirements keep happening</w:t>
            </w:r>
            <w:r w:rsidR="002E02C2">
              <w:rPr>
                <w:rStyle w:val="CERbulletsChar"/>
                <w:b w:val="0"/>
                <w:bCs/>
              </w:rPr>
              <w:t xml:space="preserve"> during the life of </w:t>
            </w:r>
            <w:r w:rsidR="001821E9">
              <w:rPr>
                <w:rStyle w:val="CERbulletsChar"/>
                <w:b w:val="0"/>
                <w:bCs/>
              </w:rPr>
              <w:t>a</w:t>
            </w:r>
            <w:r w:rsidR="002E02C2">
              <w:rPr>
                <w:rStyle w:val="CERbulletsChar"/>
                <w:b w:val="0"/>
                <w:bCs/>
              </w:rPr>
              <w:t xml:space="preserve"> project which </w:t>
            </w:r>
            <w:r>
              <w:rPr>
                <w:rStyle w:val="CERbulletsChar"/>
                <w:b w:val="0"/>
                <w:bCs/>
              </w:rPr>
              <w:t>makes things uncertain and confusing</w:t>
            </w:r>
            <w:r w:rsidR="00D02BDF">
              <w:rPr>
                <w:rStyle w:val="CERbulletsChar"/>
                <w:b w:val="0"/>
                <w:bCs/>
              </w:rPr>
              <w:t>.</w:t>
            </w:r>
          </w:p>
          <w:p w14:paraId="1237A661" w14:textId="5DAF78D2" w:rsidR="00345F8A" w:rsidRPr="0047580B" w:rsidRDefault="00345F8A" w:rsidP="006F325E">
            <w:pPr>
              <w:pStyle w:val="CERbullets"/>
              <w:rPr>
                <w:lang w:eastAsia="en-AU"/>
              </w:rPr>
            </w:pPr>
            <w:r w:rsidRPr="003F2CFA">
              <w:rPr>
                <w:rStyle w:val="CERbulletsChar"/>
                <w:b w:val="0"/>
                <w:bCs/>
              </w:rPr>
              <w:lastRenderedPageBreak/>
              <w:t xml:space="preserve">The </w:t>
            </w:r>
            <w:r w:rsidR="00086B1D">
              <w:rPr>
                <w:rStyle w:val="CERbulletsChar"/>
                <w:b w:val="0"/>
                <w:bCs/>
              </w:rPr>
              <w:t xml:space="preserve">Audit Thresholds Instrument </w:t>
            </w:r>
            <w:r w:rsidRPr="003F2CFA">
              <w:rPr>
                <w:rStyle w:val="CERbulletsChar"/>
                <w:b w:val="0"/>
                <w:bCs/>
              </w:rPr>
              <w:t xml:space="preserve">should be reviewed more often over the next few years because remote sensing technology is </w:t>
            </w:r>
            <w:r w:rsidR="00086B1D">
              <w:rPr>
                <w:rStyle w:val="CERbulletsChar"/>
                <w:b w:val="0"/>
                <w:bCs/>
              </w:rPr>
              <w:t>evolving quickly</w:t>
            </w:r>
            <w:r w:rsidRPr="003F2CFA">
              <w:rPr>
                <w:rStyle w:val="CERbulletsChar"/>
                <w:b w:val="0"/>
                <w:bCs/>
              </w:rPr>
              <w:t>.</w:t>
            </w:r>
          </w:p>
        </w:tc>
        <w:tc>
          <w:tcPr>
            <w:tcW w:w="4920" w:type="dxa"/>
            <w:noWrap/>
            <w:hideMark/>
          </w:tcPr>
          <w:p w14:paraId="7BF6805F" w14:textId="0DE065D0" w:rsidR="00345F8A" w:rsidRPr="0047580B" w:rsidRDefault="00345F8A" w:rsidP="006F325E">
            <w:pPr>
              <w:pStyle w:val="CERbulle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47580B">
              <w:rPr>
                <w:lang w:eastAsia="en-AU"/>
              </w:rPr>
              <w:lastRenderedPageBreak/>
              <w:t>The</w:t>
            </w:r>
            <w:r w:rsidR="003B7E62" w:rsidRPr="003B7E62">
              <w:rPr>
                <w:lang w:eastAsia="en-AU"/>
              </w:rPr>
              <w:t xml:space="preserve"> </w:t>
            </w:r>
            <w:hyperlink r:id="rId11" w:history="1">
              <w:r w:rsidR="003B7E62" w:rsidRPr="003B7E62">
                <w:rPr>
                  <w:rStyle w:val="Hyperlink"/>
                  <w:rFonts w:asciiTheme="minorHAnsi" w:hAnsiTheme="minorHAnsi"/>
                  <w:kern w:val="0"/>
                  <w:lang w:eastAsia="en-AU"/>
                </w:rPr>
                <w:t>Carbon Credits (Carbon Farming Initiative) Rule 2015</w:t>
              </w:r>
            </w:hyperlink>
            <w:r w:rsidR="003B7E62" w:rsidRPr="003B7E62">
              <w:rPr>
                <w:lang w:eastAsia="en-AU"/>
              </w:rPr>
              <w:t xml:space="preserve"> (CFI Rule)</w:t>
            </w:r>
            <w:r w:rsidR="003B7E62">
              <w:rPr>
                <w:lang w:eastAsia="en-AU"/>
              </w:rPr>
              <w:t xml:space="preserve"> </w:t>
            </w:r>
            <w:r w:rsidRPr="0047580B">
              <w:rPr>
                <w:lang w:eastAsia="en-AU"/>
              </w:rPr>
              <w:t xml:space="preserve">does not </w:t>
            </w:r>
            <w:r w:rsidR="00605D7D" w:rsidRPr="50B24A25">
              <w:rPr>
                <w:lang w:eastAsia="en-AU"/>
              </w:rPr>
              <w:t>allow</w:t>
            </w:r>
            <w:r w:rsidR="00605D7D">
              <w:rPr>
                <w:lang w:eastAsia="en-AU"/>
              </w:rPr>
              <w:t xml:space="preserve"> the Audit Thresholds Instrument to</w:t>
            </w:r>
            <w:r w:rsidRPr="0047580B">
              <w:rPr>
                <w:lang w:eastAsia="en-AU"/>
              </w:rPr>
              <w:t xml:space="preserve"> define audit thresholds by area size as s75(3) CFI Rule is based on annual average abatement. </w:t>
            </w:r>
          </w:p>
          <w:p w14:paraId="3AA7B200" w14:textId="02A179CD" w:rsidR="00345F8A" w:rsidRPr="0047580B" w:rsidRDefault="53A00CEF" w:rsidP="006F325E">
            <w:pPr>
              <w:pStyle w:val="CERbulle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2325828B">
              <w:rPr>
                <w:lang w:eastAsia="en-AU"/>
              </w:rPr>
              <w:t xml:space="preserve">The Audit Thresholds instrument 2025 largely mirrors the </w:t>
            </w:r>
            <w:r w:rsidR="6217894B" w:rsidRPr="2325828B">
              <w:rPr>
                <w:lang w:eastAsia="en-AU"/>
              </w:rPr>
              <w:t>previous instrument. This means it won’t result in changes to audit requirements for new or existing projects</w:t>
            </w:r>
            <w:r w:rsidR="630C7BC7" w:rsidRPr="2325828B">
              <w:rPr>
                <w:lang w:eastAsia="en-AU"/>
              </w:rPr>
              <w:t xml:space="preserve">, except for those that choose to opt in to </w:t>
            </w:r>
            <w:r w:rsidR="58CFEEFE" w:rsidRPr="2325828B">
              <w:rPr>
                <w:lang w:eastAsia="en-AU"/>
              </w:rPr>
              <w:t xml:space="preserve">the new </w:t>
            </w:r>
            <w:r w:rsidR="630C7BC7" w:rsidRPr="2325828B">
              <w:rPr>
                <w:lang w:eastAsia="en-AU"/>
              </w:rPr>
              <w:t>alternative assurance</w:t>
            </w:r>
            <w:r w:rsidR="6217894B" w:rsidRPr="2325828B">
              <w:rPr>
                <w:lang w:eastAsia="en-AU"/>
              </w:rPr>
              <w:t xml:space="preserve"> </w:t>
            </w:r>
            <w:r w:rsidR="17279D7C" w:rsidRPr="2325828B">
              <w:rPr>
                <w:lang w:eastAsia="en-AU"/>
              </w:rPr>
              <w:t xml:space="preserve">arrangements </w:t>
            </w:r>
            <w:r w:rsidR="630C7BC7" w:rsidRPr="2325828B">
              <w:rPr>
                <w:lang w:eastAsia="en-AU"/>
              </w:rPr>
              <w:t xml:space="preserve">for </w:t>
            </w:r>
            <w:r w:rsidR="00C81B13">
              <w:rPr>
                <w:lang w:eastAsia="en-AU"/>
              </w:rPr>
              <w:t>l</w:t>
            </w:r>
            <w:r w:rsidR="00C81B13" w:rsidRPr="2325828B">
              <w:rPr>
                <w:lang w:eastAsia="en-AU"/>
              </w:rPr>
              <w:t>ow-risk</w:t>
            </w:r>
            <w:r w:rsidR="630C7BC7" w:rsidRPr="2325828B">
              <w:rPr>
                <w:lang w:eastAsia="en-AU"/>
              </w:rPr>
              <w:t xml:space="preserve"> environmental plantings projects.</w:t>
            </w:r>
            <w:r w:rsidR="6217894B" w:rsidRPr="2325828B">
              <w:rPr>
                <w:lang w:eastAsia="en-AU"/>
              </w:rPr>
              <w:t xml:space="preserve"> </w:t>
            </w:r>
            <w:r w:rsidR="00C212C7" w:rsidRPr="0047580B">
              <w:rPr>
                <w:lang w:eastAsia="en-AU"/>
              </w:rPr>
              <w:t xml:space="preserve"> </w:t>
            </w:r>
          </w:p>
          <w:p w14:paraId="0B6F4567" w14:textId="4D9DC7F4" w:rsidR="0000752E" w:rsidRDefault="000518ED" w:rsidP="006F325E">
            <w:pPr>
              <w:pStyle w:val="CERbulle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0518ED">
              <w:rPr>
                <w:lang w:eastAsia="en-AU"/>
              </w:rPr>
              <w:t>Once in place, the Audit Thresholds Instrument 2025 can be amended by the CER Board if further proposals for alternative assurance are made and assessed as suitable.</w:t>
            </w:r>
          </w:p>
          <w:p w14:paraId="4E647CA5" w14:textId="08BF9154" w:rsidR="00345F8A" w:rsidRPr="0047580B" w:rsidRDefault="00345F8A" w:rsidP="006F325E">
            <w:pPr>
              <w:pStyle w:val="CERbulle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>T</w:t>
            </w:r>
            <w:r w:rsidRPr="00724886">
              <w:rPr>
                <w:lang w:eastAsia="en-AU"/>
              </w:rPr>
              <w:t xml:space="preserve">he CFI </w:t>
            </w:r>
            <w:r>
              <w:rPr>
                <w:lang w:eastAsia="en-AU"/>
              </w:rPr>
              <w:t>R</w:t>
            </w:r>
            <w:r w:rsidRPr="00724886">
              <w:rPr>
                <w:lang w:eastAsia="en-AU"/>
              </w:rPr>
              <w:t xml:space="preserve">ule </w:t>
            </w:r>
            <w:r w:rsidR="00282D04" w:rsidRPr="3450D67B">
              <w:rPr>
                <w:lang w:eastAsia="en-AU"/>
              </w:rPr>
              <w:t>is due to</w:t>
            </w:r>
            <w:r w:rsidRPr="00724886">
              <w:rPr>
                <w:lang w:eastAsia="en-AU"/>
              </w:rPr>
              <w:t xml:space="preserve"> sunset in </w:t>
            </w:r>
            <w:r w:rsidR="00C81B13" w:rsidRPr="00724886">
              <w:rPr>
                <w:lang w:eastAsia="en-AU"/>
              </w:rPr>
              <w:t>2027,</w:t>
            </w:r>
            <w:r w:rsidRPr="00724886">
              <w:rPr>
                <w:lang w:eastAsia="en-AU"/>
              </w:rPr>
              <w:t xml:space="preserve"> </w:t>
            </w:r>
            <w:r w:rsidR="00C41126">
              <w:rPr>
                <w:lang w:eastAsia="en-AU"/>
              </w:rPr>
              <w:t>and</w:t>
            </w:r>
            <w:r w:rsidRPr="00724886">
              <w:rPr>
                <w:lang w:eastAsia="en-AU"/>
              </w:rPr>
              <w:t xml:space="preserve"> the </w:t>
            </w:r>
            <w:r>
              <w:rPr>
                <w:lang w:eastAsia="en-AU"/>
              </w:rPr>
              <w:t>Audit Thresholds I</w:t>
            </w:r>
            <w:r w:rsidRPr="00724886">
              <w:rPr>
                <w:lang w:eastAsia="en-AU"/>
              </w:rPr>
              <w:t>nstrument will need to be remade</w:t>
            </w:r>
            <w:r>
              <w:rPr>
                <w:lang w:eastAsia="en-AU"/>
              </w:rPr>
              <w:t xml:space="preserve"> to align with this</w:t>
            </w:r>
            <w:r w:rsidRPr="00724886">
              <w:rPr>
                <w:lang w:eastAsia="en-AU"/>
              </w:rPr>
              <w:t>.</w:t>
            </w:r>
            <w:r w:rsidRPr="0047580B">
              <w:rPr>
                <w:lang w:eastAsia="en-AU"/>
              </w:rPr>
              <w:t xml:space="preserve"> </w:t>
            </w:r>
          </w:p>
        </w:tc>
      </w:tr>
      <w:tr w:rsidR="00345F8A" w:rsidRPr="0047580B" w14:paraId="59BE8354" w14:textId="77777777" w:rsidTr="5AD2C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776D5D41" w14:textId="18C330F3" w:rsidR="00A7769F" w:rsidRPr="00A7769F" w:rsidRDefault="00AD65DD" w:rsidP="00AD65DD">
            <w:pPr>
              <w:pStyle w:val="CERbullets"/>
              <w:numPr>
                <w:ilvl w:val="0"/>
                <w:numId w:val="0"/>
              </w:numPr>
              <w:ind w:left="357" w:hanging="357"/>
              <w:rPr>
                <w:rFonts w:eastAsia="Times New Roman"/>
                <w:color w:val="333333"/>
                <w:lang w:eastAsia="en-AU"/>
              </w:rPr>
            </w:pPr>
            <w:r>
              <w:rPr>
                <w:rFonts w:eastAsia="Times New Roman"/>
                <w:color w:val="333333"/>
                <w:lang w:eastAsia="en-AU"/>
              </w:rPr>
              <w:lastRenderedPageBreak/>
              <w:t xml:space="preserve">2. </w:t>
            </w:r>
            <w:r w:rsidR="00E40B4E" w:rsidRPr="0047580B">
              <w:rPr>
                <w:rFonts w:eastAsia="Times New Roman"/>
                <w:color w:val="333333"/>
                <w:lang w:eastAsia="en-AU"/>
              </w:rPr>
              <w:t xml:space="preserve">Are there any integrity risks that have not been considered in the </w:t>
            </w:r>
            <w:r w:rsidR="00137517">
              <w:rPr>
                <w:rFonts w:eastAsia="Times New Roman"/>
                <w:color w:val="333333"/>
                <w:lang w:eastAsia="en-AU"/>
              </w:rPr>
              <w:t>d</w:t>
            </w:r>
            <w:r w:rsidR="00E40B4E" w:rsidRPr="0047580B">
              <w:rPr>
                <w:rFonts w:eastAsia="Times New Roman"/>
                <w:color w:val="333333"/>
                <w:lang w:eastAsia="en-AU"/>
              </w:rPr>
              <w:t>raft Instrument?</w:t>
            </w:r>
          </w:p>
          <w:p w14:paraId="10EF8B85" w14:textId="41007648" w:rsidR="00BE6264" w:rsidRDefault="00345F8A">
            <w:pPr>
              <w:pStyle w:val="CERbullets"/>
              <w:numPr>
                <w:ilvl w:val="0"/>
                <w:numId w:val="0"/>
              </w:numPr>
              <w:rPr>
                <w:bCs/>
              </w:rPr>
            </w:pPr>
            <w:r w:rsidRPr="003F2CFA">
              <w:rPr>
                <w:b w:val="0"/>
                <w:bCs/>
                <w:lang w:eastAsia="en-AU"/>
              </w:rPr>
              <w:t>Of those that responded to this question most</w:t>
            </w:r>
            <w:r w:rsidR="00AA0B57">
              <w:rPr>
                <w:b w:val="0"/>
                <w:bCs/>
                <w:lang w:eastAsia="en-AU"/>
              </w:rPr>
              <w:t xml:space="preserve"> </w:t>
            </w:r>
            <w:r w:rsidRPr="003F2CFA">
              <w:rPr>
                <w:b w:val="0"/>
                <w:bCs/>
                <w:lang w:eastAsia="en-AU"/>
              </w:rPr>
              <w:t>indicat</w:t>
            </w:r>
            <w:r w:rsidR="00AA0B57">
              <w:rPr>
                <w:b w:val="0"/>
                <w:bCs/>
                <w:lang w:eastAsia="en-AU"/>
              </w:rPr>
              <w:t>e</w:t>
            </w:r>
            <w:r w:rsidR="00A809B0">
              <w:rPr>
                <w:b w:val="0"/>
                <w:bCs/>
                <w:lang w:eastAsia="en-AU"/>
              </w:rPr>
              <w:t>d</w:t>
            </w:r>
            <w:r w:rsidRPr="003F2CFA">
              <w:rPr>
                <w:b w:val="0"/>
                <w:bCs/>
                <w:lang w:eastAsia="en-AU"/>
              </w:rPr>
              <w:t xml:space="preserve"> they did not think there were any integrity risks that have not been considered.</w:t>
            </w:r>
          </w:p>
          <w:p w14:paraId="237EBC71" w14:textId="168F424F" w:rsidR="00345F8A" w:rsidRPr="003F2CFA" w:rsidRDefault="00345F8A">
            <w:pPr>
              <w:pStyle w:val="CERbullets"/>
              <w:numPr>
                <w:ilvl w:val="0"/>
                <w:numId w:val="0"/>
              </w:numPr>
              <w:rPr>
                <w:b w:val="0"/>
                <w:bCs/>
                <w:lang w:eastAsia="en-AU"/>
              </w:rPr>
            </w:pPr>
            <w:r w:rsidRPr="003F2CFA">
              <w:rPr>
                <w:b w:val="0"/>
                <w:bCs/>
                <w:lang w:eastAsia="en-AU"/>
              </w:rPr>
              <w:t>This suggestion was made:</w:t>
            </w:r>
          </w:p>
          <w:p w14:paraId="500FF87E" w14:textId="7ACC11F8" w:rsidR="00345F8A" w:rsidRPr="0047580B" w:rsidRDefault="00345F8A" w:rsidP="006F325E">
            <w:pPr>
              <w:pStyle w:val="CERbullets"/>
              <w:rPr>
                <w:lang w:eastAsia="en-AU"/>
              </w:rPr>
            </w:pPr>
            <w:r w:rsidRPr="003F2CFA">
              <w:rPr>
                <w:b w:val="0"/>
                <w:bCs/>
                <w:lang w:eastAsia="en-AU"/>
              </w:rPr>
              <w:t xml:space="preserve">Mallee plantings should be included in alternative assurance for </w:t>
            </w:r>
            <w:r w:rsidR="00C81B13" w:rsidRPr="00137517">
              <w:rPr>
                <w:b w:val="0"/>
                <w:bCs/>
                <w:lang w:eastAsia="en-AU"/>
              </w:rPr>
              <w:t>low-risk</w:t>
            </w:r>
            <w:r w:rsidRPr="003F2CFA">
              <w:rPr>
                <w:b w:val="0"/>
                <w:bCs/>
                <w:lang w:eastAsia="en-AU"/>
              </w:rPr>
              <w:t xml:space="preserve"> environmental plantings 2024 projects. </w:t>
            </w:r>
          </w:p>
        </w:tc>
        <w:tc>
          <w:tcPr>
            <w:tcW w:w="4920" w:type="dxa"/>
            <w:noWrap/>
            <w:hideMark/>
          </w:tcPr>
          <w:p w14:paraId="0FBCD185" w14:textId="123ABEC4" w:rsidR="00EF0E08" w:rsidRPr="0047580B" w:rsidRDefault="00345F8A" w:rsidP="006F325E">
            <w:pPr>
              <w:pStyle w:val="CERbullet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2325828B">
              <w:rPr>
                <w:rFonts w:ascii="Calibri" w:hAnsi="Calibri" w:cs="Calibri"/>
                <w:lang w:eastAsia="en-AU"/>
              </w:rPr>
              <w:t xml:space="preserve">The </w:t>
            </w:r>
            <w:r w:rsidR="00B73C02">
              <w:rPr>
                <w:lang w:eastAsia="en-AU"/>
              </w:rPr>
              <w:t>CER</w:t>
            </w:r>
            <w:r w:rsidR="00A809B0">
              <w:rPr>
                <w:lang w:eastAsia="en-AU"/>
              </w:rPr>
              <w:t xml:space="preserve"> </w:t>
            </w:r>
            <w:r w:rsidRPr="2325828B">
              <w:rPr>
                <w:rFonts w:ascii="Calibri" w:hAnsi="Calibri" w:cs="Calibri"/>
                <w:lang w:eastAsia="en-AU"/>
              </w:rPr>
              <w:t xml:space="preserve">is of the view that </w:t>
            </w:r>
            <w:r w:rsidRPr="2325828B">
              <w:rPr>
                <w:rFonts w:ascii="Calibri" w:hAnsi="Calibri" w:cs="Calibri"/>
              </w:rPr>
              <w:t>audits are required for mallee plantings as they have stricter allowable species requirements compared to a mixed-species planting</w:t>
            </w:r>
            <w:r w:rsidR="008D264B" w:rsidRPr="2325828B">
              <w:rPr>
                <w:rFonts w:ascii="Calibri" w:hAnsi="Calibri" w:cs="Calibri"/>
              </w:rPr>
              <w:t xml:space="preserve"> and </w:t>
            </w:r>
            <w:r w:rsidR="5F9589CD" w:rsidRPr="2325828B">
              <w:rPr>
                <w:rFonts w:ascii="Calibri" w:hAnsi="Calibri" w:cs="Calibri"/>
              </w:rPr>
              <w:t xml:space="preserve">generally have </w:t>
            </w:r>
            <w:r w:rsidR="494A01B6" w:rsidRPr="2325828B">
              <w:rPr>
                <w:rFonts w:ascii="Calibri" w:hAnsi="Calibri" w:cs="Calibri"/>
              </w:rPr>
              <w:t xml:space="preserve">a </w:t>
            </w:r>
            <w:r w:rsidR="5F9589CD" w:rsidRPr="2325828B">
              <w:rPr>
                <w:rFonts w:ascii="Calibri" w:hAnsi="Calibri" w:cs="Calibri"/>
              </w:rPr>
              <w:t>higher abatement yield</w:t>
            </w:r>
            <w:r w:rsidR="008D264B" w:rsidRPr="2325828B">
              <w:rPr>
                <w:rFonts w:ascii="Calibri" w:hAnsi="Calibri" w:cs="Calibri"/>
              </w:rPr>
              <w:t xml:space="preserve"> in </w:t>
            </w:r>
            <w:proofErr w:type="spellStart"/>
            <w:r w:rsidR="008D264B" w:rsidRPr="2325828B">
              <w:rPr>
                <w:rFonts w:ascii="Calibri" w:hAnsi="Calibri" w:cs="Calibri"/>
              </w:rPr>
              <w:t>FullCAM</w:t>
            </w:r>
            <w:proofErr w:type="spellEnd"/>
            <w:r w:rsidR="008D264B" w:rsidRPr="2325828B">
              <w:rPr>
                <w:rFonts w:ascii="Calibri" w:hAnsi="Calibri" w:cs="Calibri"/>
              </w:rPr>
              <w:t xml:space="preserve"> </w:t>
            </w:r>
            <w:r w:rsidR="5F9589CD" w:rsidRPr="2325828B">
              <w:rPr>
                <w:rFonts w:ascii="Calibri" w:hAnsi="Calibri" w:cs="Calibri"/>
              </w:rPr>
              <w:t>compared</w:t>
            </w:r>
            <w:r w:rsidR="004C2776" w:rsidRPr="2325828B">
              <w:rPr>
                <w:rFonts w:ascii="Calibri" w:hAnsi="Calibri" w:cs="Calibri"/>
              </w:rPr>
              <w:t xml:space="preserve"> to </w:t>
            </w:r>
            <w:r w:rsidR="5F9589CD" w:rsidRPr="2325828B">
              <w:rPr>
                <w:rFonts w:ascii="Calibri" w:hAnsi="Calibri" w:cs="Calibri"/>
              </w:rPr>
              <w:t>a</w:t>
            </w:r>
            <w:r w:rsidR="00EF0E08" w:rsidRPr="2325828B" w:rsidDel="008D264B">
              <w:rPr>
                <w:rFonts w:ascii="Calibri" w:hAnsi="Calibri" w:cs="Calibri"/>
              </w:rPr>
              <w:t xml:space="preserve"> mixed</w:t>
            </w:r>
            <w:r w:rsidR="5F9589CD" w:rsidRPr="2325828B">
              <w:rPr>
                <w:rFonts w:ascii="Calibri" w:hAnsi="Calibri" w:cs="Calibri"/>
              </w:rPr>
              <w:t>-</w:t>
            </w:r>
            <w:r w:rsidR="00EF0E08" w:rsidRPr="2325828B" w:rsidDel="008D264B">
              <w:rPr>
                <w:rFonts w:ascii="Calibri" w:hAnsi="Calibri" w:cs="Calibri"/>
              </w:rPr>
              <w:t xml:space="preserve">species </w:t>
            </w:r>
            <w:r w:rsidR="5F9589CD" w:rsidRPr="2325828B">
              <w:rPr>
                <w:rFonts w:ascii="Calibri" w:hAnsi="Calibri" w:cs="Calibri"/>
              </w:rPr>
              <w:t xml:space="preserve">planting. </w:t>
            </w:r>
          </w:p>
        </w:tc>
      </w:tr>
      <w:tr w:rsidR="00345F8A" w:rsidRPr="0047580B" w14:paraId="516B8306" w14:textId="77777777" w:rsidTr="5AD2C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0CB7619B" w14:textId="52A6167E" w:rsidR="00A7769F" w:rsidRPr="00AD65DD" w:rsidRDefault="00AD65DD" w:rsidP="00AD65DD">
            <w:pPr>
              <w:spacing w:after="0"/>
              <w:rPr>
                <w:rFonts w:eastAsia="Times New Roman"/>
                <w:color w:val="333333"/>
                <w:lang w:eastAsia="en-AU"/>
              </w:rPr>
            </w:pPr>
            <w:r>
              <w:rPr>
                <w:rFonts w:eastAsia="Times New Roman"/>
                <w:color w:val="333333"/>
                <w:lang w:eastAsia="en-AU"/>
              </w:rPr>
              <w:t xml:space="preserve">3. </w:t>
            </w:r>
            <w:r w:rsidR="00A7769F" w:rsidRPr="00AD65DD">
              <w:rPr>
                <w:rFonts w:eastAsia="Times New Roman"/>
                <w:color w:val="333333"/>
                <w:lang w:eastAsia="en-AU"/>
              </w:rPr>
              <w:t xml:space="preserve">Is there any other evidence that we have not considered that would support changes to the audit requirements proposed under the </w:t>
            </w:r>
            <w:r w:rsidR="00137517">
              <w:rPr>
                <w:rFonts w:eastAsia="Times New Roman"/>
                <w:color w:val="333333"/>
                <w:lang w:eastAsia="en-AU"/>
              </w:rPr>
              <w:t>d</w:t>
            </w:r>
            <w:r w:rsidR="00A7769F" w:rsidRPr="00AD65DD">
              <w:rPr>
                <w:rFonts w:eastAsia="Times New Roman"/>
                <w:color w:val="333333"/>
                <w:lang w:eastAsia="en-AU"/>
              </w:rPr>
              <w:t>raft Instrument?</w:t>
            </w:r>
            <w:r w:rsidR="006A7416" w:rsidRPr="00AD65DD">
              <w:rPr>
                <w:rFonts w:eastAsia="Times New Roman"/>
                <w:color w:val="333333"/>
                <w:lang w:eastAsia="en-AU"/>
              </w:rPr>
              <w:t xml:space="preserve"> </w:t>
            </w:r>
          </w:p>
          <w:p w14:paraId="377F3E41" w14:textId="70D280AC" w:rsidR="00345F8A" w:rsidRPr="00410BAD" w:rsidRDefault="00345F8A" w:rsidP="006F325E">
            <w:pPr>
              <w:pStyle w:val="CERbullets"/>
              <w:rPr>
                <w:rFonts w:ascii="Aptos Narrow" w:eastAsia="Times New Roman" w:hAnsi="Aptos Narrow" w:cs="Times New Roman"/>
                <w:b w:val="0"/>
                <w:color w:val="000000"/>
                <w:lang w:eastAsia="en-AU"/>
              </w:rPr>
            </w:pPr>
            <w:r w:rsidRPr="002E4112">
              <w:rPr>
                <w:rFonts w:ascii="Aptos Narrow" w:eastAsia="Times New Roman" w:hAnsi="Aptos Narrow" w:cs="Times New Roman"/>
                <w:b w:val="0"/>
                <w:lang w:eastAsia="en-AU"/>
              </w:rPr>
              <w:t xml:space="preserve">Most submissions answered no, were unsure or did not answer the question. </w:t>
            </w:r>
          </w:p>
        </w:tc>
        <w:tc>
          <w:tcPr>
            <w:tcW w:w="4920" w:type="dxa"/>
            <w:noWrap/>
            <w:hideMark/>
          </w:tcPr>
          <w:p w14:paraId="10C42FD4" w14:textId="1DFFB046" w:rsidR="00345F8A" w:rsidRPr="0047580B" w:rsidRDefault="00345F8A" w:rsidP="5AD2C2E0">
            <w:pPr>
              <w:pStyle w:val="CER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eastAsia="en-AU"/>
              </w:rPr>
            </w:pPr>
          </w:p>
        </w:tc>
      </w:tr>
      <w:tr w:rsidR="00345F8A" w:rsidRPr="007000A6" w14:paraId="63798780" w14:textId="77777777" w:rsidTr="5AD2C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1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007D804B" w14:textId="47013E72" w:rsidR="002E4112" w:rsidRPr="00AD65DD" w:rsidRDefault="00AD65DD" w:rsidP="00AD65DD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>
              <w:rPr>
                <w:rFonts w:eastAsia="Times New Roman"/>
                <w:color w:val="333333"/>
                <w:lang w:eastAsia="en-AU"/>
              </w:rPr>
              <w:t xml:space="preserve">4. </w:t>
            </w:r>
            <w:r w:rsidR="002E4112" w:rsidRPr="00AD65DD">
              <w:rPr>
                <w:rFonts w:eastAsia="Times New Roman"/>
                <w:color w:val="333333"/>
                <w:lang w:eastAsia="en-AU"/>
              </w:rPr>
              <w:t xml:space="preserve">Do you have any further feedback to provide on the </w:t>
            </w:r>
            <w:r w:rsidR="00137517">
              <w:rPr>
                <w:rFonts w:eastAsia="Times New Roman"/>
                <w:color w:val="333333"/>
                <w:lang w:eastAsia="en-AU"/>
              </w:rPr>
              <w:t>d</w:t>
            </w:r>
            <w:r w:rsidR="002E4112" w:rsidRPr="00AD65DD">
              <w:rPr>
                <w:rFonts w:eastAsia="Times New Roman"/>
                <w:color w:val="333333"/>
                <w:lang w:eastAsia="en-AU"/>
              </w:rPr>
              <w:t xml:space="preserve">raft Instrument or alternative assurance arrangements for </w:t>
            </w:r>
            <w:r w:rsidR="00C81B13">
              <w:rPr>
                <w:rFonts w:eastAsia="Times New Roman"/>
                <w:color w:val="333333"/>
                <w:lang w:eastAsia="en-AU"/>
              </w:rPr>
              <w:t>l</w:t>
            </w:r>
            <w:r w:rsidR="002E4112" w:rsidRPr="00AD65DD">
              <w:rPr>
                <w:rFonts w:eastAsia="Times New Roman"/>
                <w:color w:val="333333"/>
                <w:lang w:eastAsia="en-AU"/>
              </w:rPr>
              <w:t>ow</w:t>
            </w:r>
            <w:r w:rsidR="00C81B13">
              <w:rPr>
                <w:rFonts w:eastAsia="Times New Roman"/>
                <w:color w:val="333333"/>
                <w:lang w:eastAsia="en-AU"/>
              </w:rPr>
              <w:t>-</w:t>
            </w:r>
            <w:r w:rsidR="002E4112" w:rsidRPr="00AD65DD">
              <w:rPr>
                <w:rFonts w:eastAsia="Times New Roman"/>
                <w:color w:val="333333"/>
                <w:lang w:eastAsia="en-AU"/>
              </w:rPr>
              <w:t>risk environmental plantings 2024 projects?</w:t>
            </w:r>
          </w:p>
          <w:p w14:paraId="052E5B2A" w14:textId="77777777" w:rsidR="00345F8A" w:rsidRPr="002E4112" w:rsidRDefault="00345F8A">
            <w:pPr>
              <w:pStyle w:val="CERbullets"/>
              <w:numPr>
                <w:ilvl w:val="0"/>
                <w:numId w:val="0"/>
              </w:numPr>
              <w:ind w:left="360" w:hanging="360"/>
              <w:rPr>
                <w:b w:val="0"/>
                <w:lang w:eastAsia="en-AU"/>
              </w:rPr>
            </w:pPr>
            <w:r w:rsidRPr="002E4112">
              <w:rPr>
                <w:rFonts w:ascii="Aptos Narrow" w:eastAsia="Times New Roman" w:hAnsi="Aptos Narrow" w:cs="Times New Roman"/>
                <w:b w:val="0"/>
                <w:color w:val="000000" w:themeColor="text1"/>
                <w:lang w:eastAsia="en-AU"/>
              </w:rPr>
              <w:t>The following suggestions/concerns were raised:</w:t>
            </w:r>
          </w:p>
          <w:p w14:paraId="55A72B13" w14:textId="14768E0D" w:rsidR="00BE5683" w:rsidRPr="00430379" w:rsidRDefault="00C77C06" w:rsidP="00430379">
            <w:pPr>
              <w:pStyle w:val="CERbullets"/>
              <w:rPr>
                <w:lang w:eastAsia="en-AU"/>
              </w:rPr>
            </w:pPr>
            <w:r>
              <w:rPr>
                <w:b w:val="0"/>
                <w:lang w:eastAsia="en-AU"/>
              </w:rPr>
              <w:t xml:space="preserve">A </w:t>
            </w:r>
            <w:r w:rsidR="007B0C3F">
              <w:rPr>
                <w:b w:val="0"/>
                <w:lang w:eastAsia="en-AU"/>
              </w:rPr>
              <w:t xml:space="preserve">small number </w:t>
            </w:r>
            <w:r>
              <w:rPr>
                <w:b w:val="0"/>
                <w:lang w:eastAsia="en-AU"/>
              </w:rPr>
              <w:t>of suggestions were made to co</w:t>
            </w:r>
            <w:r w:rsidR="007B0C3F">
              <w:rPr>
                <w:b w:val="0"/>
                <w:lang w:eastAsia="en-AU"/>
              </w:rPr>
              <w:t>rrect or clarify the text in the instrument.</w:t>
            </w:r>
          </w:p>
          <w:p w14:paraId="10DD183A" w14:textId="4D3064C7" w:rsidR="00345F8A" w:rsidRPr="002E4112" w:rsidRDefault="00345F8A" w:rsidP="006F325E">
            <w:pPr>
              <w:pStyle w:val="CERbullets"/>
              <w:rPr>
                <w:b w:val="0"/>
                <w:lang w:eastAsia="en-AU"/>
              </w:rPr>
            </w:pPr>
            <w:r w:rsidRPr="002E4112">
              <w:rPr>
                <w:b w:val="0"/>
                <w:lang w:eastAsia="en-AU"/>
              </w:rPr>
              <w:t xml:space="preserve">Suggestion that the criteria for alternative assurance for </w:t>
            </w:r>
            <w:r w:rsidR="00C81B13">
              <w:rPr>
                <w:b w:val="0"/>
                <w:lang w:eastAsia="en-AU"/>
              </w:rPr>
              <w:t>l</w:t>
            </w:r>
            <w:r w:rsidRPr="002E4112">
              <w:rPr>
                <w:b w:val="0"/>
                <w:lang w:eastAsia="en-AU"/>
              </w:rPr>
              <w:t>ow</w:t>
            </w:r>
            <w:r w:rsidR="00C81B13">
              <w:rPr>
                <w:b w:val="0"/>
                <w:lang w:eastAsia="en-AU"/>
              </w:rPr>
              <w:t>-</w:t>
            </w:r>
            <w:r w:rsidRPr="002E4112">
              <w:rPr>
                <w:b w:val="0"/>
                <w:lang w:eastAsia="en-AU"/>
              </w:rPr>
              <w:t>risk environmental plantings 2024 projects is modified to allow a family or first-party relationship between the title holder and the proponent.</w:t>
            </w:r>
          </w:p>
          <w:p w14:paraId="4E72C967" w14:textId="6534D2D6" w:rsidR="00345F8A" w:rsidRPr="00735FD1" w:rsidRDefault="00345F8A" w:rsidP="00735FD1">
            <w:pPr>
              <w:pStyle w:val="CERbullets"/>
              <w:rPr>
                <w:b w:val="0"/>
                <w:lang w:eastAsia="en-AU"/>
              </w:rPr>
            </w:pPr>
            <w:r w:rsidRPr="002E4112">
              <w:rPr>
                <w:rFonts w:ascii="Aptos Narrow" w:eastAsia="Times New Roman" w:hAnsi="Aptos Narrow" w:cs="Times New Roman"/>
                <w:b w:val="0"/>
                <w:color w:val="000000" w:themeColor="text1"/>
                <w:lang w:eastAsia="en-AU"/>
              </w:rPr>
              <w:t xml:space="preserve">Concerns that the criteria for </w:t>
            </w:r>
            <w:r w:rsidR="00C81B13">
              <w:rPr>
                <w:rFonts w:ascii="Aptos Narrow" w:eastAsia="Times New Roman" w:hAnsi="Aptos Narrow" w:cs="Times New Roman"/>
                <w:b w:val="0"/>
                <w:color w:val="000000" w:themeColor="text1"/>
                <w:lang w:eastAsia="en-AU"/>
              </w:rPr>
              <w:t>l</w:t>
            </w:r>
            <w:r w:rsidRPr="002E4112">
              <w:rPr>
                <w:rFonts w:ascii="Aptos Narrow" w:eastAsia="Times New Roman" w:hAnsi="Aptos Narrow" w:cs="Times New Roman"/>
                <w:b w:val="0"/>
                <w:color w:val="000000" w:themeColor="text1"/>
                <w:lang w:eastAsia="en-AU"/>
              </w:rPr>
              <w:t>ow</w:t>
            </w:r>
            <w:r w:rsidR="00C81B13">
              <w:rPr>
                <w:rFonts w:ascii="Aptos Narrow" w:eastAsia="Times New Roman" w:hAnsi="Aptos Narrow" w:cs="Times New Roman"/>
                <w:b w:val="0"/>
                <w:color w:val="000000" w:themeColor="text1"/>
                <w:lang w:eastAsia="en-AU"/>
              </w:rPr>
              <w:t>-</w:t>
            </w:r>
            <w:r w:rsidRPr="002E4112">
              <w:rPr>
                <w:rFonts w:ascii="Aptos Narrow" w:eastAsia="Times New Roman" w:hAnsi="Aptos Narrow" w:cs="Times New Roman"/>
                <w:b w:val="0"/>
                <w:color w:val="000000" w:themeColor="text1"/>
                <w:lang w:eastAsia="en-AU"/>
              </w:rPr>
              <w:t xml:space="preserve">risk environmental planting 2024 projects </w:t>
            </w:r>
            <w:proofErr w:type="gramStart"/>
            <w:r w:rsidR="00AD3498">
              <w:rPr>
                <w:rFonts w:ascii="Aptos Narrow" w:eastAsia="Times New Roman" w:hAnsi="Aptos Narrow" w:cs="Times New Roman"/>
                <w:b w:val="0"/>
                <w:color w:val="000000" w:themeColor="text1"/>
                <w:lang w:eastAsia="en-AU"/>
              </w:rPr>
              <w:t>was</w:t>
            </w:r>
            <w:proofErr w:type="gramEnd"/>
            <w:r w:rsidR="00AD3498">
              <w:rPr>
                <w:rFonts w:ascii="Aptos Narrow" w:eastAsia="Times New Roman" w:hAnsi="Aptos Narrow" w:cs="Times New Roman"/>
                <w:b w:val="0"/>
                <w:color w:val="000000" w:themeColor="text1"/>
                <w:lang w:eastAsia="en-AU"/>
              </w:rPr>
              <w:t xml:space="preserve"> not </w:t>
            </w:r>
            <w:r w:rsidRPr="002E4112">
              <w:rPr>
                <w:rFonts w:ascii="Aptos Narrow" w:eastAsia="Times New Roman" w:hAnsi="Aptos Narrow" w:cs="Times New Roman"/>
                <w:b w:val="0"/>
                <w:color w:val="000000" w:themeColor="text1"/>
                <w:lang w:eastAsia="en-AU"/>
              </w:rPr>
              <w:t xml:space="preserve">adjusted to apply to proponents other than owner, leaseholder or native title holder. </w:t>
            </w:r>
            <w:r w:rsidRPr="002E4112">
              <w:rPr>
                <w:b w:val="0"/>
                <w:lang w:eastAsia="en-AU"/>
              </w:rPr>
              <w:t xml:space="preserve"> </w:t>
            </w:r>
          </w:p>
        </w:tc>
        <w:tc>
          <w:tcPr>
            <w:tcW w:w="0" w:type="dxa"/>
            <w:noWrap/>
            <w:hideMark/>
          </w:tcPr>
          <w:p w14:paraId="24A54FAF" w14:textId="3B0DE9C7" w:rsidR="00345F8A" w:rsidRPr="0047580B" w:rsidRDefault="00345F8A" w:rsidP="006F325E">
            <w:pPr>
              <w:pStyle w:val="CERbullet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000000"/>
                <w:lang w:eastAsia="en-AU"/>
              </w:rPr>
            </w:pPr>
            <w:r w:rsidRPr="0047580B">
              <w:rPr>
                <w:rFonts w:eastAsia="Times New Roman"/>
                <w:color w:val="000000" w:themeColor="text1"/>
                <w:lang w:eastAsia="en-AU"/>
              </w:rPr>
              <w:t xml:space="preserve">The </w:t>
            </w:r>
            <w:r w:rsidR="00B73C02">
              <w:rPr>
                <w:lang w:eastAsia="en-AU"/>
              </w:rPr>
              <w:t>CER</w:t>
            </w:r>
            <w:r w:rsidR="00FE02EA" w:rsidRPr="0047580B">
              <w:rPr>
                <w:lang w:eastAsia="en-AU"/>
              </w:rPr>
              <w:t xml:space="preserve"> </w:t>
            </w:r>
            <w:r w:rsidRPr="0047580B">
              <w:rPr>
                <w:rFonts w:eastAsia="Times New Roman"/>
                <w:color w:val="000000" w:themeColor="text1"/>
                <w:lang w:eastAsia="en-AU"/>
              </w:rPr>
              <w:t>has amended the incorrect reference to column 6 in subsection 3</w:t>
            </w:r>
            <w:r w:rsidR="00A61F82">
              <w:rPr>
                <w:rFonts w:eastAsia="Times New Roman"/>
                <w:color w:val="000000" w:themeColor="text1"/>
                <w:lang w:eastAsia="en-AU"/>
              </w:rPr>
              <w:t xml:space="preserve"> of the</w:t>
            </w:r>
            <w:r w:rsidR="00D33D8E">
              <w:rPr>
                <w:rFonts w:eastAsia="Times New Roman"/>
                <w:color w:val="000000" w:themeColor="text1"/>
                <w:lang w:eastAsia="en-AU"/>
              </w:rPr>
              <w:t xml:space="preserve"> draft</w:t>
            </w:r>
            <w:r w:rsidR="00A61F82">
              <w:rPr>
                <w:rFonts w:eastAsia="Times New Roman"/>
                <w:color w:val="000000" w:themeColor="text1"/>
                <w:lang w:eastAsia="en-AU"/>
              </w:rPr>
              <w:t xml:space="preserve"> instrument</w:t>
            </w:r>
            <w:r w:rsidRPr="0047580B">
              <w:rPr>
                <w:rFonts w:eastAsia="Times New Roman"/>
                <w:color w:val="000000" w:themeColor="text1"/>
                <w:lang w:eastAsia="en-AU"/>
              </w:rPr>
              <w:t xml:space="preserve">. We have also made amendments to clarify </w:t>
            </w:r>
            <w:r w:rsidRPr="0047580B">
              <w:rPr>
                <w:lang w:eastAsia="en-AU"/>
              </w:rPr>
              <w:t xml:space="preserve">that the </w:t>
            </w:r>
            <w:r w:rsidR="00C81B13" w:rsidRPr="0047580B">
              <w:rPr>
                <w:lang w:eastAsia="en-AU"/>
              </w:rPr>
              <w:t>200-hectare</w:t>
            </w:r>
            <w:r w:rsidRPr="0047580B">
              <w:rPr>
                <w:lang w:eastAsia="en-AU"/>
              </w:rPr>
              <w:t xml:space="preserve"> size limit for </w:t>
            </w:r>
            <w:r w:rsidR="00C81B13">
              <w:rPr>
                <w:lang w:eastAsia="en-AU"/>
              </w:rPr>
              <w:t>l</w:t>
            </w:r>
            <w:r w:rsidRPr="0047580B">
              <w:rPr>
                <w:lang w:eastAsia="en-AU"/>
              </w:rPr>
              <w:t>ow</w:t>
            </w:r>
            <w:r w:rsidR="00C81B13">
              <w:rPr>
                <w:lang w:eastAsia="en-AU"/>
              </w:rPr>
              <w:t>-</w:t>
            </w:r>
            <w:r w:rsidRPr="0047580B">
              <w:rPr>
                <w:lang w:eastAsia="en-AU"/>
              </w:rPr>
              <w:t>risk environmental plantings 2024 projects includes projects with multiple carbon estimation areas and the combined project total cannot be more than 200 hectares</w:t>
            </w:r>
            <w:r w:rsidRPr="0047580B">
              <w:rPr>
                <w:rFonts w:eastAsia="Times New Roman"/>
                <w:color w:val="000000" w:themeColor="text1"/>
                <w:lang w:eastAsia="en-AU"/>
              </w:rPr>
              <w:t xml:space="preserve">. </w:t>
            </w:r>
          </w:p>
          <w:p w14:paraId="197CCAB7" w14:textId="6C87136F" w:rsidR="00345F8A" w:rsidRPr="009E3384" w:rsidRDefault="004B1766" w:rsidP="006F325E">
            <w:pPr>
              <w:pStyle w:val="CERbullet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4B1766">
              <w:rPr>
                <w:lang w:eastAsia="en-AU"/>
              </w:rPr>
              <w:t xml:space="preserve">The </w:t>
            </w:r>
            <w:r w:rsidR="00B73C02">
              <w:rPr>
                <w:lang w:eastAsia="en-AU"/>
              </w:rPr>
              <w:t>CER</w:t>
            </w:r>
            <w:r w:rsidR="00195F82" w:rsidRPr="0047580B">
              <w:rPr>
                <w:lang w:eastAsia="en-AU"/>
              </w:rPr>
              <w:t xml:space="preserve"> </w:t>
            </w:r>
            <w:r w:rsidRPr="004B1766">
              <w:rPr>
                <w:lang w:eastAsia="en-AU"/>
              </w:rPr>
              <w:t xml:space="preserve">considered the suggestion that </w:t>
            </w:r>
            <w:r w:rsidR="000B2AFA">
              <w:rPr>
                <w:lang w:eastAsia="en-AU"/>
              </w:rPr>
              <w:t xml:space="preserve">eligibility should be expanded beyond proponents who are owners, leaseholders or native title </w:t>
            </w:r>
            <w:r w:rsidR="000B2AFA" w:rsidRPr="2325828B">
              <w:rPr>
                <w:lang w:eastAsia="en-AU"/>
              </w:rPr>
              <w:t>holders</w:t>
            </w:r>
            <w:r w:rsidRPr="2325828B">
              <w:rPr>
                <w:lang w:eastAsia="en-AU"/>
              </w:rPr>
              <w:t>.</w:t>
            </w:r>
            <w:r w:rsidRPr="004B1766">
              <w:rPr>
                <w:lang w:eastAsia="en-AU"/>
              </w:rPr>
              <w:t xml:space="preserve"> However, we concluded that this would increase risk and complicate assessment processes required to ensure proponents have the legal right to undertake the project. </w:t>
            </w:r>
          </w:p>
        </w:tc>
      </w:tr>
    </w:tbl>
    <w:p w14:paraId="464E9061" w14:textId="77777777" w:rsidR="00253FFC" w:rsidRDefault="00253FFC" w:rsidP="00C8171E">
      <w:pPr>
        <w:pStyle w:val="CERbullets"/>
        <w:numPr>
          <w:ilvl w:val="0"/>
          <w:numId w:val="0"/>
        </w:numPr>
      </w:pPr>
    </w:p>
    <w:sectPr w:rsidR="00253FFC" w:rsidSect="00E349E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447" w:right="1080" w:bottom="993" w:left="1080" w:header="22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5C4DA" w14:textId="77777777" w:rsidR="009F3A4A" w:rsidRDefault="009F3A4A" w:rsidP="00176C28">
      <w:r>
        <w:separator/>
      </w:r>
    </w:p>
    <w:p w14:paraId="3ABDC865" w14:textId="77777777" w:rsidR="009F3A4A" w:rsidRDefault="009F3A4A"/>
  </w:endnote>
  <w:endnote w:type="continuationSeparator" w:id="0">
    <w:p w14:paraId="0F804588" w14:textId="77777777" w:rsidR="009F3A4A" w:rsidRDefault="009F3A4A" w:rsidP="00176C28">
      <w:r>
        <w:continuationSeparator/>
      </w:r>
    </w:p>
    <w:p w14:paraId="46F81A58" w14:textId="77777777" w:rsidR="009F3A4A" w:rsidRDefault="009F3A4A"/>
  </w:endnote>
  <w:endnote w:type="continuationNotice" w:id="1">
    <w:p w14:paraId="19E47229" w14:textId="77777777" w:rsidR="009F3A4A" w:rsidRDefault="009F3A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,Sans-Serif">
    <w:altName w:val="Symbo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8269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EDF02E" w14:textId="77777777" w:rsidR="009633DE" w:rsidRDefault="009633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23D599" w14:textId="77777777" w:rsidR="00977234" w:rsidRDefault="00977234" w:rsidP="009633DE">
    <w:pPr>
      <w:pStyle w:val="Footer"/>
      <w:ind w:right="360"/>
      <w:rPr>
        <w:rStyle w:val="PageNumber"/>
      </w:rPr>
    </w:pPr>
  </w:p>
  <w:p w14:paraId="4CC633F6" w14:textId="77777777" w:rsidR="00977234" w:rsidRDefault="00977234" w:rsidP="009633DE">
    <w:pPr>
      <w:pStyle w:val="Footer"/>
    </w:pPr>
  </w:p>
  <w:p w14:paraId="6AC43510" w14:textId="77777777" w:rsidR="006C58B9" w:rsidRDefault="006C5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0ED3" w14:textId="77777777" w:rsidR="00F76419" w:rsidRPr="00515AAD" w:rsidRDefault="002D18F3" w:rsidP="00515AAD">
    <w:pPr>
      <w:pStyle w:val="Footer"/>
      <w:tabs>
        <w:tab w:val="clear" w:pos="2694"/>
        <w:tab w:val="clear" w:pos="3969"/>
        <w:tab w:val="clear" w:pos="6946"/>
        <w:tab w:val="clear" w:pos="9498"/>
        <w:tab w:val="center" w:pos="9639"/>
      </w:tabs>
      <w:spacing w:before="360" w:after="0"/>
      <w:ind w:left="0"/>
      <w:rPr>
        <w:rStyle w:val="Protectivemarker"/>
        <w:b w:val="0"/>
        <w:color w:val="000000" w:themeColor="text1"/>
        <w:sz w:val="18"/>
        <w:szCs w:val="18"/>
      </w:rPr>
    </w:pPr>
    <w:r w:rsidRPr="002D18F3">
      <w:rPr>
        <w:b/>
        <w:bCs/>
      </w:rPr>
      <w:t>W:</w:t>
    </w:r>
    <w:r w:rsidRPr="002D18F3">
      <w:t xml:space="preserve"> </w:t>
    </w:r>
    <w:r w:rsidR="006E3CA9" w:rsidRPr="002D18F3">
      <w:t>www.</w:t>
    </w:r>
    <w:r w:rsidR="00D90D15">
      <w:t>cer</w:t>
    </w:r>
    <w:r w:rsidR="006E3CA9" w:rsidRPr="002D18F3">
      <w:t>.gov.au</w:t>
    </w:r>
    <w:r w:rsidR="006E3CA9" w:rsidRPr="002D18F3">
      <w:rPr>
        <w:rStyle w:val="PageNumber"/>
      </w:rPr>
      <w:t xml:space="preserve"> </w:t>
    </w:r>
    <w:r w:rsidR="00223676" w:rsidRPr="002D18F3">
      <w:rPr>
        <w:rStyle w:val="PageNumber"/>
      </w:rPr>
      <w:t xml:space="preserve">| </w:t>
    </w:r>
    <w:r w:rsidR="00223676" w:rsidRPr="002D18F3">
      <w:rPr>
        <w:rStyle w:val="PageNumber"/>
        <w:b/>
        <w:bCs/>
      </w:rPr>
      <w:t>T:</w:t>
    </w:r>
    <w:r w:rsidR="00223676" w:rsidRPr="002D18F3">
      <w:rPr>
        <w:rStyle w:val="PageNumber"/>
      </w:rPr>
      <w:t xml:space="preserve"> 1300 553 542</w:t>
    </w:r>
    <w:r w:rsidRPr="002D18F3">
      <w:rPr>
        <w:rStyle w:val="PageNumber"/>
      </w:rPr>
      <w:t xml:space="preserve"> | </w:t>
    </w:r>
    <w:r w:rsidRPr="002D18F3">
      <w:rPr>
        <w:rStyle w:val="PageNumber"/>
        <w:b/>
        <w:bCs/>
      </w:rPr>
      <w:t>E:</w:t>
    </w:r>
    <w:r w:rsidRPr="002D18F3">
      <w:rPr>
        <w:rStyle w:val="PageNumber"/>
      </w:rPr>
      <w:t xml:space="preserve"> enquiries@</w:t>
    </w:r>
    <w:r w:rsidR="00D90D15">
      <w:rPr>
        <w:rStyle w:val="PageNumber"/>
      </w:rPr>
      <w:t>cer</w:t>
    </w:r>
    <w:r w:rsidRPr="002D18F3">
      <w:rPr>
        <w:rStyle w:val="PageNumber"/>
      </w:rPr>
      <w:t>.gov.au</w:t>
    </w:r>
    <w:r w:rsidR="006E3CA9">
      <w:rPr>
        <w:rStyle w:val="PageNumber"/>
      </w:rPr>
      <w:tab/>
    </w:r>
    <w:sdt>
      <w:sdtPr>
        <w:rPr>
          <w:rStyle w:val="PageNumber"/>
        </w:rPr>
        <w:id w:val="1597057790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6E3CA9" w:rsidRPr="00E349EF">
          <w:rPr>
            <w:rStyle w:val="PageNumber"/>
            <w:sz w:val="20"/>
            <w:szCs w:val="20"/>
          </w:rPr>
          <w:fldChar w:fldCharType="begin"/>
        </w:r>
        <w:r w:rsidR="006E3CA9" w:rsidRPr="00E349EF">
          <w:rPr>
            <w:rStyle w:val="PageNumber"/>
            <w:sz w:val="20"/>
            <w:szCs w:val="20"/>
          </w:rPr>
          <w:instrText xml:space="preserve"> PAGE </w:instrText>
        </w:r>
        <w:r w:rsidR="006E3CA9" w:rsidRPr="00E349EF">
          <w:rPr>
            <w:rStyle w:val="PageNumber"/>
            <w:sz w:val="20"/>
            <w:szCs w:val="20"/>
          </w:rPr>
          <w:fldChar w:fldCharType="separate"/>
        </w:r>
        <w:r w:rsidR="006E3CA9">
          <w:rPr>
            <w:rStyle w:val="PageNumber"/>
            <w:sz w:val="20"/>
            <w:szCs w:val="20"/>
          </w:rPr>
          <w:t>3</w:t>
        </w:r>
        <w:r w:rsidR="006E3CA9" w:rsidRPr="00E349EF">
          <w:rPr>
            <w:rStyle w:val="PageNumber"/>
            <w:sz w:val="20"/>
            <w:szCs w:val="20"/>
          </w:rPr>
          <w:fldChar w:fldCharType="end"/>
        </w:r>
      </w:sdtContent>
    </w:sdt>
  </w:p>
  <w:p w14:paraId="6BECA1E5" w14:textId="1659DBD5" w:rsidR="00F76419" w:rsidRPr="009633DE" w:rsidRDefault="005238EA" w:rsidP="00E349EF">
    <w:pPr>
      <w:pStyle w:val="Footer"/>
      <w:spacing w:before="60"/>
      <w:jc w:val="center"/>
      <w:rPr>
        <w:rStyle w:val="Protectivemarker"/>
      </w:rPr>
    </w:pPr>
    <w:r>
      <w:rPr>
        <w:rStyle w:val="Protectivemarker"/>
      </w:rP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6803" w14:textId="77777777" w:rsidR="007A32A0" w:rsidRPr="00515AAD" w:rsidRDefault="007A32A0" w:rsidP="00515AAD">
    <w:pPr>
      <w:tabs>
        <w:tab w:val="left" w:pos="2694"/>
        <w:tab w:val="left" w:pos="4269"/>
      </w:tabs>
      <w:spacing w:before="360" w:after="120"/>
      <w:ind w:right="101"/>
      <w:rPr>
        <w:rStyle w:val="Protectivemarker"/>
        <w:b w:val="0"/>
        <w:color w:val="005874"/>
        <w:sz w:val="16"/>
        <w:szCs w:val="16"/>
      </w:rPr>
    </w:pPr>
    <w:r>
      <w:rPr>
        <w:noProof/>
      </w:rPr>
      <w:drawing>
        <wp:inline distT="0" distB="0" distL="0" distR="0" wp14:anchorId="0486C39A" wp14:editId="410AA0D2">
          <wp:extent cx="1918800" cy="644717"/>
          <wp:effectExtent l="0" t="0" r="0" b="0"/>
          <wp:docPr id="5" name="Picture 5" descr="CER Mon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ER Monogra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8800" cy="64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602D48" w14:textId="2B4828A8" w:rsidR="0065750A" w:rsidRPr="009C30B4" w:rsidRDefault="005238EA" w:rsidP="007A32A0">
    <w:pPr>
      <w:pStyle w:val="Footer"/>
      <w:tabs>
        <w:tab w:val="clear" w:pos="2694"/>
        <w:tab w:val="clear" w:pos="3969"/>
      </w:tabs>
      <w:ind w:left="0" w:right="101"/>
      <w:jc w:val="center"/>
      <w:rPr>
        <w:color w:val="005874"/>
        <w:sz w:val="16"/>
        <w:szCs w:val="16"/>
      </w:rPr>
    </w:pPr>
    <w:r>
      <w:rPr>
        <w:rStyle w:val="Protectivemarker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F978" w14:textId="77777777" w:rsidR="009F3A4A" w:rsidRDefault="009F3A4A" w:rsidP="00176C28">
      <w:r>
        <w:separator/>
      </w:r>
    </w:p>
    <w:p w14:paraId="1E5D694E" w14:textId="77777777" w:rsidR="009F3A4A" w:rsidRDefault="009F3A4A"/>
  </w:footnote>
  <w:footnote w:type="continuationSeparator" w:id="0">
    <w:p w14:paraId="3A2B5BFB" w14:textId="77777777" w:rsidR="009F3A4A" w:rsidRDefault="009F3A4A" w:rsidP="00176C28">
      <w:r>
        <w:continuationSeparator/>
      </w:r>
    </w:p>
    <w:p w14:paraId="2C747B50" w14:textId="77777777" w:rsidR="009F3A4A" w:rsidRDefault="009F3A4A"/>
  </w:footnote>
  <w:footnote w:type="continuationNotice" w:id="1">
    <w:p w14:paraId="4920DB6F" w14:textId="77777777" w:rsidR="009F3A4A" w:rsidRDefault="009F3A4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4A47" w14:textId="39BDB2F8" w:rsidR="00D81782" w:rsidRDefault="005238EA" w:rsidP="00977234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rStyle w:val="Protectivemarker"/>
        <w:b/>
      </w:rPr>
      <w:t>OFFICIAL</w:t>
    </w:r>
  </w:p>
  <w:p w14:paraId="453F7BA8" w14:textId="77777777" w:rsidR="00D81782" w:rsidRPr="00BE0DA3" w:rsidRDefault="00407A97" w:rsidP="00515AAD">
    <w:pPr>
      <w:pStyle w:val="LegislativesecrecyACT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736626" wp14:editId="6D2291EC">
          <wp:simplePos x="0" y="0"/>
          <wp:positionH relativeFrom="column">
            <wp:posOffset>4706474</wp:posOffset>
          </wp:positionH>
          <wp:positionV relativeFrom="paragraph">
            <wp:posOffset>-190500</wp:posOffset>
          </wp:positionV>
          <wp:extent cx="1424451" cy="469454"/>
          <wp:effectExtent l="0" t="0" r="0" b="63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451" cy="469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554E" w14:textId="612D0693" w:rsidR="003D3FC1" w:rsidRDefault="003D3FC1" w:rsidP="003D3FC1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2450DEF" wp14:editId="0E3465C4">
          <wp:simplePos x="0" y="0"/>
          <wp:positionH relativeFrom="column">
            <wp:posOffset>3764366</wp:posOffset>
          </wp:positionH>
          <wp:positionV relativeFrom="paragraph">
            <wp:posOffset>430621</wp:posOffset>
          </wp:positionV>
          <wp:extent cx="2443363" cy="910681"/>
          <wp:effectExtent l="0" t="0" r="0" b="381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3363" cy="910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  <w:r w:rsidR="005238EA">
      <w:rPr>
        <w:rStyle w:val="Protectivemarker"/>
        <w:b/>
      </w:rPr>
      <w:t>OFFICIAL</w:t>
    </w:r>
  </w:p>
  <w:p w14:paraId="4DBD4C4E" w14:textId="77777777" w:rsidR="003D3FC1" w:rsidRPr="00BE0DA3" w:rsidRDefault="003D3FC1" w:rsidP="003D3FC1">
    <w:pPr>
      <w:pStyle w:val="LegislativesecrecyACT"/>
    </w:pPr>
  </w:p>
  <w:p w14:paraId="7225244D" w14:textId="77777777" w:rsidR="00CA2954" w:rsidRPr="003D3FC1" w:rsidRDefault="003D3FC1" w:rsidP="003D3FC1">
    <w:pPr>
      <w:pStyle w:val="Header"/>
      <w:spacing w:before="240"/>
    </w:pPr>
    <w:r>
      <w:rPr>
        <w:noProof/>
      </w:rPr>
      <w:drawing>
        <wp:inline distT="0" distB="0" distL="0" distR="0" wp14:anchorId="0B30BED0" wp14:editId="6814E449">
          <wp:extent cx="2628000" cy="617737"/>
          <wp:effectExtent l="0" t="0" r="1270" b="5080"/>
          <wp:docPr id="4" name="Picture 4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28000" cy="61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E2F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5C7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A2D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5A3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060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08D2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78B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1E60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94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1A5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1FF7"/>
    <w:multiLevelType w:val="multilevel"/>
    <w:tmpl w:val="1BAAA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297344"/>
    <w:multiLevelType w:val="hybridMultilevel"/>
    <w:tmpl w:val="7EF4B3D6"/>
    <w:lvl w:ilvl="0" w:tplc="3624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8314BE"/>
    <w:multiLevelType w:val="hybridMultilevel"/>
    <w:tmpl w:val="F886B918"/>
    <w:lvl w:ilvl="0" w:tplc="845C2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644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00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24B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CAB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6E7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72F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706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54C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05AA77D3"/>
    <w:multiLevelType w:val="hybridMultilevel"/>
    <w:tmpl w:val="440E4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A46B0F"/>
    <w:multiLevelType w:val="hybridMultilevel"/>
    <w:tmpl w:val="E0687782"/>
    <w:lvl w:ilvl="0" w:tplc="95B0138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7254ADB"/>
    <w:multiLevelType w:val="hybridMultilevel"/>
    <w:tmpl w:val="71EE4F1E"/>
    <w:lvl w:ilvl="0" w:tplc="BDF60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A452B8"/>
    <w:multiLevelType w:val="hybridMultilevel"/>
    <w:tmpl w:val="E988AB44"/>
    <w:lvl w:ilvl="0" w:tplc="6ABE5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A6B4C84"/>
    <w:multiLevelType w:val="multilevel"/>
    <w:tmpl w:val="6C6027F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0D44178B"/>
    <w:multiLevelType w:val="hybridMultilevel"/>
    <w:tmpl w:val="E0CEF33A"/>
    <w:lvl w:ilvl="0" w:tplc="64DA82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6C93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723427"/>
    <w:multiLevelType w:val="hybridMultilevel"/>
    <w:tmpl w:val="FDC4F178"/>
    <w:lvl w:ilvl="0" w:tplc="32F8D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169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70E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CA7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F66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66A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063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221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422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0F794309"/>
    <w:multiLevelType w:val="hybridMultilevel"/>
    <w:tmpl w:val="D0AAC4E8"/>
    <w:lvl w:ilvl="0" w:tplc="7D383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AE6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D08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A45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448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ECA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D68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08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B85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18052ABA"/>
    <w:multiLevelType w:val="hybridMultilevel"/>
    <w:tmpl w:val="9FA64C0C"/>
    <w:lvl w:ilvl="0" w:tplc="017EC1F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,Sans-Serif" w:hAnsi="Symbol,Sans-Serif" w:hint="default"/>
      </w:rPr>
    </w:lvl>
    <w:lvl w:ilvl="1" w:tplc="3CE8F182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,Sans-Serif" w:hAnsi="Symbol,Sans-Serif" w:hint="default"/>
      </w:rPr>
    </w:lvl>
    <w:lvl w:ilvl="2" w:tplc="BD201F0C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,Sans-Serif" w:hAnsi="Symbol,Sans-Serif" w:hint="default"/>
      </w:rPr>
    </w:lvl>
    <w:lvl w:ilvl="3" w:tplc="8FA8841E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,Sans-Serif" w:hAnsi="Symbol,Sans-Serif" w:hint="default"/>
      </w:rPr>
    </w:lvl>
    <w:lvl w:ilvl="4" w:tplc="166218EE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,Sans-Serif" w:hAnsi="Symbol,Sans-Serif" w:hint="default"/>
      </w:rPr>
    </w:lvl>
    <w:lvl w:ilvl="5" w:tplc="A28AF292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,Sans-Serif" w:hAnsi="Symbol,Sans-Serif" w:hint="default"/>
      </w:rPr>
    </w:lvl>
    <w:lvl w:ilvl="6" w:tplc="717C1CA8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,Sans-Serif" w:hAnsi="Symbol,Sans-Serif" w:hint="default"/>
      </w:rPr>
    </w:lvl>
    <w:lvl w:ilvl="7" w:tplc="996A0430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,Sans-Serif" w:hAnsi="Symbol,Sans-Serif" w:hint="default"/>
      </w:rPr>
    </w:lvl>
    <w:lvl w:ilvl="8" w:tplc="1F14943E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,Sans-Serif" w:hAnsi="Symbol,Sans-Serif" w:hint="default"/>
      </w:rPr>
    </w:lvl>
  </w:abstractNum>
  <w:abstractNum w:abstractNumId="22" w15:restartNumberingAfterBreak="0">
    <w:nsid w:val="19586BB2"/>
    <w:multiLevelType w:val="hybridMultilevel"/>
    <w:tmpl w:val="1C4AA27C"/>
    <w:lvl w:ilvl="0" w:tplc="E932CA06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006C93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F1976A"/>
    <w:multiLevelType w:val="hybridMultilevel"/>
    <w:tmpl w:val="FFFFFFFF"/>
    <w:lvl w:ilvl="0" w:tplc="96803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C2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2D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A7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EC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0E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E2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69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C1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FF74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C8679C2"/>
    <w:multiLevelType w:val="hybridMultilevel"/>
    <w:tmpl w:val="921EF11C"/>
    <w:lvl w:ilvl="0" w:tplc="602A9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547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801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34C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A6A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E3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6E8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B88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A8D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23244624"/>
    <w:multiLevelType w:val="hybridMultilevel"/>
    <w:tmpl w:val="9252EA40"/>
    <w:lvl w:ilvl="0" w:tplc="10968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8066C7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6B055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9705660"/>
    <w:multiLevelType w:val="hybridMultilevel"/>
    <w:tmpl w:val="F6723E5E"/>
    <w:lvl w:ilvl="0" w:tplc="1DE8C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B21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3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CD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A8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27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143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ED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947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2FBF71D9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4E76A2"/>
    <w:multiLevelType w:val="hybridMultilevel"/>
    <w:tmpl w:val="D63A0706"/>
    <w:lvl w:ilvl="0" w:tplc="F048C07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,Sans-Serif" w:hAnsi="Symbol,Sans-Serif" w:hint="default"/>
      </w:rPr>
    </w:lvl>
    <w:lvl w:ilvl="1" w:tplc="65329EE8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,Sans-Serif" w:hAnsi="Symbol,Sans-Serif" w:hint="default"/>
      </w:rPr>
    </w:lvl>
    <w:lvl w:ilvl="2" w:tplc="DC58A310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,Sans-Serif" w:hAnsi="Symbol,Sans-Serif" w:hint="default"/>
      </w:rPr>
    </w:lvl>
    <w:lvl w:ilvl="3" w:tplc="2CEA6ED2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,Sans-Serif" w:hAnsi="Symbol,Sans-Serif" w:hint="default"/>
      </w:rPr>
    </w:lvl>
    <w:lvl w:ilvl="4" w:tplc="D74899C6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,Sans-Serif" w:hAnsi="Symbol,Sans-Serif" w:hint="default"/>
      </w:rPr>
    </w:lvl>
    <w:lvl w:ilvl="5" w:tplc="BACA6930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,Sans-Serif" w:hAnsi="Symbol,Sans-Serif" w:hint="default"/>
      </w:rPr>
    </w:lvl>
    <w:lvl w:ilvl="6" w:tplc="D8ACFE10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,Sans-Serif" w:hAnsi="Symbol,Sans-Serif" w:hint="default"/>
      </w:rPr>
    </w:lvl>
    <w:lvl w:ilvl="7" w:tplc="50D46394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,Sans-Serif" w:hAnsi="Symbol,Sans-Serif" w:hint="default"/>
      </w:rPr>
    </w:lvl>
    <w:lvl w:ilvl="8" w:tplc="B470BB3A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,Sans-Serif" w:hAnsi="Symbol,Sans-Serif" w:hint="default"/>
      </w:rPr>
    </w:lvl>
  </w:abstractNum>
  <w:abstractNum w:abstractNumId="33" w15:restartNumberingAfterBreak="0">
    <w:nsid w:val="38A675ED"/>
    <w:multiLevelType w:val="hybridMultilevel"/>
    <w:tmpl w:val="DD582AC6"/>
    <w:lvl w:ilvl="0" w:tplc="504A93CE">
      <w:start w:val="1"/>
      <w:numFmt w:val="bullet"/>
      <w:lvlText w:val="»"/>
      <w:lvlJc w:val="left"/>
      <w:pPr>
        <w:ind w:left="558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813BD7"/>
    <w:multiLevelType w:val="hybridMultilevel"/>
    <w:tmpl w:val="D7A444B6"/>
    <w:lvl w:ilvl="0" w:tplc="4BF43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F83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C2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F49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7A0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EE2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345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EC9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FE9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4DE34D8E"/>
    <w:multiLevelType w:val="multilevel"/>
    <w:tmpl w:val="EBE0A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F5B111B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1394C88"/>
    <w:multiLevelType w:val="hybridMultilevel"/>
    <w:tmpl w:val="8E7A8B00"/>
    <w:lvl w:ilvl="0" w:tplc="25769398">
      <w:start w:val="1"/>
      <w:numFmt w:val="decimal"/>
      <w:pStyle w:val="CERnumbering"/>
      <w:lvlText w:val="%1."/>
      <w:lvlJc w:val="left"/>
      <w:pPr>
        <w:ind w:left="360" w:hanging="360"/>
      </w:pPr>
      <w:rPr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81050A"/>
    <w:multiLevelType w:val="multilevel"/>
    <w:tmpl w:val="FFFFFFFF"/>
    <w:lvl w:ilvl="0">
      <w:start w:val="1"/>
      <w:numFmt w:val="bullet"/>
      <w:pStyle w:val="CER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FF48AB"/>
    <w:multiLevelType w:val="hybridMultilevel"/>
    <w:tmpl w:val="3544B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FF30DD"/>
    <w:multiLevelType w:val="hybridMultilevel"/>
    <w:tmpl w:val="F3C0C4A8"/>
    <w:lvl w:ilvl="0" w:tplc="7242BB74">
      <w:start w:val="1"/>
      <w:numFmt w:val="bullet"/>
      <w:lvlText w:val="›"/>
      <w:lvlJc w:val="left"/>
      <w:pPr>
        <w:ind w:left="757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CFD18CA"/>
    <w:multiLevelType w:val="multilevel"/>
    <w:tmpl w:val="D5A2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5D3B6431"/>
    <w:multiLevelType w:val="hybridMultilevel"/>
    <w:tmpl w:val="10167BD6"/>
    <w:lvl w:ilvl="0" w:tplc="454E1C40">
      <w:start w:val="1"/>
      <w:numFmt w:val="decimal"/>
      <w:lvlText w:val="%1."/>
      <w:lvlJc w:val="left"/>
      <w:pPr>
        <w:ind w:left="360" w:hanging="360"/>
      </w:pPr>
      <w:rPr>
        <w:rFonts w:hint="default"/>
        <w:color w:val="4FC2CC" w:themeColor="accent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0B16ED"/>
    <w:multiLevelType w:val="multilevel"/>
    <w:tmpl w:val="15362F84"/>
    <w:lvl w:ilvl="0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AB321E6"/>
    <w:multiLevelType w:val="hybridMultilevel"/>
    <w:tmpl w:val="1F520E5C"/>
    <w:lvl w:ilvl="0" w:tplc="4442E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B23C0"/>
    <w:multiLevelType w:val="multilevel"/>
    <w:tmpl w:val="11A43B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D6E3F1C"/>
    <w:multiLevelType w:val="multilevel"/>
    <w:tmpl w:val="32AA17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59436909">
    <w:abstractNumId w:val="23"/>
  </w:num>
  <w:num w:numId="2" w16cid:durableId="1259563345">
    <w:abstractNumId w:val="37"/>
  </w:num>
  <w:num w:numId="3" w16cid:durableId="1145195212">
    <w:abstractNumId w:val="27"/>
  </w:num>
  <w:num w:numId="4" w16cid:durableId="1946382314">
    <w:abstractNumId w:val="28"/>
  </w:num>
  <w:num w:numId="5" w16cid:durableId="167062484">
    <w:abstractNumId w:val="15"/>
  </w:num>
  <w:num w:numId="6" w16cid:durableId="1319043239">
    <w:abstractNumId w:val="16"/>
  </w:num>
  <w:num w:numId="7" w16cid:durableId="1434666003">
    <w:abstractNumId w:val="33"/>
  </w:num>
  <w:num w:numId="8" w16cid:durableId="191765376">
    <w:abstractNumId w:val="41"/>
  </w:num>
  <w:num w:numId="9" w16cid:durableId="2102489800">
    <w:abstractNumId w:val="16"/>
  </w:num>
  <w:num w:numId="10" w16cid:durableId="132990940">
    <w:abstractNumId w:val="9"/>
  </w:num>
  <w:num w:numId="11" w16cid:durableId="941953457">
    <w:abstractNumId w:val="7"/>
  </w:num>
  <w:num w:numId="12" w16cid:durableId="113602217">
    <w:abstractNumId w:val="6"/>
  </w:num>
  <w:num w:numId="13" w16cid:durableId="941764108">
    <w:abstractNumId w:val="5"/>
  </w:num>
  <w:num w:numId="14" w16cid:durableId="792093082">
    <w:abstractNumId w:val="4"/>
  </w:num>
  <w:num w:numId="15" w16cid:durableId="846749805">
    <w:abstractNumId w:val="8"/>
  </w:num>
  <w:num w:numId="16" w16cid:durableId="64912557">
    <w:abstractNumId w:val="3"/>
  </w:num>
  <w:num w:numId="17" w16cid:durableId="162749089">
    <w:abstractNumId w:val="2"/>
  </w:num>
  <w:num w:numId="18" w16cid:durableId="1145200700">
    <w:abstractNumId w:val="1"/>
  </w:num>
  <w:num w:numId="19" w16cid:durableId="1273513962">
    <w:abstractNumId w:val="0"/>
  </w:num>
  <w:num w:numId="20" w16cid:durableId="1087994369">
    <w:abstractNumId w:val="13"/>
  </w:num>
  <w:num w:numId="21" w16cid:durableId="1675911033">
    <w:abstractNumId w:val="24"/>
  </w:num>
  <w:num w:numId="22" w16cid:durableId="487522351">
    <w:abstractNumId w:val="46"/>
  </w:num>
  <w:num w:numId="23" w16cid:durableId="996806229">
    <w:abstractNumId w:val="10"/>
  </w:num>
  <w:num w:numId="24" w16cid:durableId="1952400327">
    <w:abstractNumId w:val="47"/>
  </w:num>
  <w:num w:numId="25" w16cid:durableId="1044675325">
    <w:abstractNumId w:val="34"/>
  </w:num>
  <w:num w:numId="26" w16cid:durableId="1087850429">
    <w:abstractNumId w:val="30"/>
  </w:num>
  <w:num w:numId="27" w16cid:durableId="442841569">
    <w:abstractNumId w:val="26"/>
  </w:num>
  <w:num w:numId="28" w16cid:durableId="975185138">
    <w:abstractNumId w:val="45"/>
  </w:num>
  <w:num w:numId="29" w16cid:durableId="1891184274">
    <w:abstractNumId w:val="40"/>
  </w:num>
  <w:num w:numId="30" w16cid:durableId="1481537573">
    <w:abstractNumId w:val="36"/>
  </w:num>
  <w:num w:numId="31" w16cid:durableId="1980452010">
    <w:abstractNumId w:val="42"/>
  </w:num>
  <w:num w:numId="32" w16cid:durableId="765538109">
    <w:abstractNumId w:val="44"/>
  </w:num>
  <w:num w:numId="33" w16cid:durableId="1107117602">
    <w:abstractNumId w:val="11"/>
  </w:num>
  <w:num w:numId="34" w16cid:durableId="1914314312">
    <w:abstractNumId w:val="43"/>
  </w:num>
  <w:num w:numId="35" w16cid:durableId="1458063041">
    <w:abstractNumId w:val="18"/>
  </w:num>
  <w:num w:numId="36" w16cid:durableId="1397700018">
    <w:abstractNumId w:val="22"/>
  </w:num>
  <w:num w:numId="37" w16cid:durableId="1354306641">
    <w:abstractNumId w:val="38"/>
  </w:num>
  <w:num w:numId="38" w16cid:durableId="2041973407">
    <w:abstractNumId w:val="17"/>
  </w:num>
  <w:num w:numId="39" w16cid:durableId="11163489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0857969">
    <w:abstractNumId w:val="32"/>
  </w:num>
  <w:num w:numId="41" w16cid:durableId="1303654383">
    <w:abstractNumId w:val="21"/>
  </w:num>
  <w:num w:numId="42" w16cid:durableId="1212811302">
    <w:abstractNumId w:val="20"/>
  </w:num>
  <w:num w:numId="43" w16cid:durableId="586813392">
    <w:abstractNumId w:val="12"/>
  </w:num>
  <w:num w:numId="44" w16cid:durableId="2003000771">
    <w:abstractNumId w:val="19"/>
  </w:num>
  <w:num w:numId="45" w16cid:durableId="225993256">
    <w:abstractNumId w:val="25"/>
  </w:num>
  <w:num w:numId="46" w16cid:durableId="1880121055">
    <w:abstractNumId w:val="14"/>
  </w:num>
  <w:num w:numId="47" w16cid:durableId="1696810497">
    <w:abstractNumId w:val="35"/>
  </w:num>
  <w:num w:numId="48" w16cid:durableId="1267425581">
    <w:abstractNumId w:val="29"/>
  </w:num>
  <w:num w:numId="49" w16cid:durableId="1551651459">
    <w:abstractNumId w:val="39"/>
  </w:num>
  <w:num w:numId="50" w16cid:durableId="17065597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spinCount="100000" w:hashValue="I/tDCU7tRYbeUANuolGLNwfZpMzmYI5C6c7aZ1KzkRk=" w:saltValue="+D8KPI+HcCnGd98Ft6Sbmg==" w:algorithmName="SHA-256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0D"/>
    <w:rsid w:val="00000543"/>
    <w:rsid w:val="00000630"/>
    <w:rsid w:val="0000070A"/>
    <w:rsid w:val="000025EE"/>
    <w:rsid w:val="0000446F"/>
    <w:rsid w:val="0000752E"/>
    <w:rsid w:val="000224F6"/>
    <w:rsid w:val="000247F8"/>
    <w:rsid w:val="00026492"/>
    <w:rsid w:val="0002709E"/>
    <w:rsid w:val="00027E92"/>
    <w:rsid w:val="00031090"/>
    <w:rsid w:val="000345F9"/>
    <w:rsid w:val="00035237"/>
    <w:rsid w:val="00035321"/>
    <w:rsid w:val="0003582F"/>
    <w:rsid w:val="0003585E"/>
    <w:rsid w:val="000378B6"/>
    <w:rsid w:val="000418E6"/>
    <w:rsid w:val="0004404C"/>
    <w:rsid w:val="000442F7"/>
    <w:rsid w:val="0004563D"/>
    <w:rsid w:val="0004685C"/>
    <w:rsid w:val="000518ED"/>
    <w:rsid w:val="00051BBB"/>
    <w:rsid w:val="00056B47"/>
    <w:rsid w:val="00056FF0"/>
    <w:rsid w:val="00067453"/>
    <w:rsid w:val="000678AA"/>
    <w:rsid w:val="00073F47"/>
    <w:rsid w:val="000745B8"/>
    <w:rsid w:val="00075C4A"/>
    <w:rsid w:val="00083FFC"/>
    <w:rsid w:val="000841E9"/>
    <w:rsid w:val="0008694A"/>
    <w:rsid w:val="00086B1D"/>
    <w:rsid w:val="000873E6"/>
    <w:rsid w:val="00087A76"/>
    <w:rsid w:val="000903D7"/>
    <w:rsid w:val="000906DE"/>
    <w:rsid w:val="00096878"/>
    <w:rsid w:val="000A0DD5"/>
    <w:rsid w:val="000A200C"/>
    <w:rsid w:val="000B2225"/>
    <w:rsid w:val="000B2A91"/>
    <w:rsid w:val="000B2AFA"/>
    <w:rsid w:val="000C2771"/>
    <w:rsid w:val="000C5FCD"/>
    <w:rsid w:val="000D0A44"/>
    <w:rsid w:val="000D296C"/>
    <w:rsid w:val="000D3C16"/>
    <w:rsid w:val="000D3C68"/>
    <w:rsid w:val="000D5907"/>
    <w:rsid w:val="000D6BE4"/>
    <w:rsid w:val="000E1F16"/>
    <w:rsid w:val="000E318F"/>
    <w:rsid w:val="000E5A13"/>
    <w:rsid w:val="000E61B8"/>
    <w:rsid w:val="000E7859"/>
    <w:rsid w:val="000F1EB7"/>
    <w:rsid w:val="000F5486"/>
    <w:rsid w:val="000F6B44"/>
    <w:rsid w:val="0010224C"/>
    <w:rsid w:val="001070EF"/>
    <w:rsid w:val="00112653"/>
    <w:rsid w:val="00112E29"/>
    <w:rsid w:val="00115EB6"/>
    <w:rsid w:val="00121512"/>
    <w:rsid w:val="001276AA"/>
    <w:rsid w:val="00127E0A"/>
    <w:rsid w:val="00130B9F"/>
    <w:rsid w:val="0013310B"/>
    <w:rsid w:val="00137517"/>
    <w:rsid w:val="0013763E"/>
    <w:rsid w:val="0014079D"/>
    <w:rsid w:val="0014153D"/>
    <w:rsid w:val="001512C0"/>
    <w:rsid w:val="0015362A"/>
    <w:rsid w:val="00156DE3"/>
    <w:rsid w:val="00157175"/>
    <w:rsid w:val="00163FC4"/>
    <w:rsid w:val="001651F7"/>
    <w:rsid w:val="001653E9"/>
    <w:rsid w:val="00170398"/>
    <w:rsid w:val="001726D1"/>
    <w:rsid w:val="00175313"/>
    <w:rsid w:val="00176871"/>
    <w:rsid w:val="00176C28"/>
    <w:rsid w:val="001779EB"/>
    <w:rsid w:val="00180A09"/>
    <w:rsid w:val="00180B45"/>
    <w:rsid w:val="001821E9"/>
    <w:rsid w:val="00191843"/>
    <w:rsid w:val="00193A6C"/>
    <w:rsid w:val="00195F82"/>
    <w:rsid w:val="00196C6D"/>
    <w:rsid w:val="00197300"/>
    <w:rsid w:val="00197F43"/>
    <w:rsid w:val="001A00EB"/>
    <w:rsid w:val="001A24DA"/>
    <w:rsid w:val="001A2B20"/>
    <w:rsid w:val="001A5473"/>
    <w:rsid w:val="001B0F4D"/>
    <w:rsid w:val="001B66AA"/>
    <w:rsid w:val="001C191F"/>
    <w:rsid w:val="001C2E38"/>
    <w:rsid w:val="001C3D63"/>
    <w:rsid w:val="001D2DB3"/>
    <w:rsid w:val="001D5E01"/>
    <w:rsid w:val="001D75DF"/>
    <w:rsid w:val="001E1B6C"/>
    <w:rsid w:val="001E355F"/>
    <w:rsid w:val="001E56B5"/>
    <w:rsid w:val="001E5865"/>
    <w:rsid w:val="001F621F"/>
    <w:rsid w:val="001F6671"/>
    <w:rsid w:val="00201A95"/>
    <w:rsid w:val="00201ADA"/>
    <w:rsid w:val="00203CE7"/>
    <w:rsid w:val="00204A63"/>
    <w:rsid w:val="002066AB"/>
    <w:rsid w:val="002117C4"/>
    <w:rsid w:val="002118E5"/>
    <w:rsid w:val="0021462B"/>
    <w:rsid w:val="00216E5D"/>
    <w:rsid w:val="0021782A"/>
    <w:rsid w:val="00217EEB"/>
    <w:rsid w:val="002217A4"/>
    <w:rsid w:val="00222013"/>
    <w:rsid w:val="002235D6"/>
    <w:rsid w:val="00223676"/>
    <w:rsid w:val="002251EC"/>
    <w:rsid w:val="00232236"/>
    <w:rsid w:val="00232997"/>
    <w:rsid w:val="00235B98"/>
    <w:rsid w:val="00235EDC"/>
    <w:rsid w:val="0023789E"/>
    <w:rsid w:val="00242D2A"/>
    <w:rsid w:val="00250FA8"/>
    <w:rsid w:val="002518E1"/>
    <w:rsid w:val="002537CF"/>
    <w:rsid w:val="00253F97"/>
    <w:rsid w:val="00253FFC"/>
    <w:rsid w:val="00256B74"/>
    <w:rsid w:val="002622E9"/>
    <w:rsid w:val="00266C46"/>
    <w:rsid w:val="00270AFE"/>
    <w:rsid w:val="00271FCB"/>
    <w:rsid w:val="00272F3A"/>
    <w:rsid w:val="00282D04"/>
    <w:rsid w:val="00283466"/>
    <w:rsid w:val="00290E3D"/>
    <w:rsid w:val="0029151B"/>
    <w:rsid w:val="0029262D"/>
    <w:rsid w:val="00296D02"/>
    <w:rsid w:val="002975C3"/>
    <w:rsid w:val="002A02D5"/>
    <w:rsid w:val="002A4F5D"/>
    <w:rsid w:val="002A7EA6"/>
    <w:rsid w:val="002B75B9"/>
    <w:rsid w:val="002C2029"/>
    <w:rsid w:val="002C427B"/>
    <w:rsid w:val="002C702A"/>
    <w:rsid w:val="002D18F3"/>
    <w:rsid w:val="002D30B2"/>
    <w:rsid w:val="002D51A1"/>
    <w:rsid w:val="002D7C06"/>
    <w:rsid w:val="002D7F8B"/>
    <w:rsid w:val="002E02C2"/>
    <w:rsid w:val="002E11BC"/>
    <w:rsid w:val="002E3F59"/>
    <w:rsid w:val="002E4112"/>
    <w:rsid w:val="002E7C29"/>
    <w:rsid w:val="002F0565"/>
    <w:rsid w:val="002F1986"/>
    <w:rsid w:val="002F452F"/>
    <w:rsid w:val="002F4D7A"/>
    <w:rsid w:val="002F754E"/>
    <w:rsid w:val="00303920"/>
    <w:rsid w:val="003061A6"/>
    <w:rsid w:val="0031739A"/>
    <w:rsid w:val="00320FFF"/>
    <w:rsid w:val="00322D17"/>
    <w:rsid w:val="00326EED"/>
    <w:rsid w:val="00333376"/>
    <w:rsid w:val="00337C90"/>
    <w:rsid w:val="00337CCB"/>
    <w:rsid w:val="0034198D"/>
    <w:rsid w:val="003456B2"/>
    <w:rsid w:val="00345F8A"/>
    <w:rsid w:val="0035224F"/>
    <w:rsid w:val="00361FC7"/>
    <w:rsid w:val="00365CD3"/>
    <w:rsid w:val="00367813"/>
    <w:rsid w:val="00370CE8"/>
    <w:rsid w:val="00371059"/>
    <w:rsid w:val="0037247F"/>
    <w:rsid w:val="00374BAD"/>
    <w:rsid w:val="00377803"/>
    <w:rsid w:val="00386E0D"/>
    <w:rsid w:val="00387DF1"/>
    <w:rsid w:val="00392861"/>
    <w:rsid w:val="00397B02"/>
    <w:rsid w:val="003A09DA"/>
    <w:rsid w:val="003A0D22"/>
    <w:rsid w:val="003A5739"/>
    <w:rsid w:val="003A760B"/>
    <w:rsid w:val="003B1A21"/>
    <w:rsid w:val="003B6864"/>
    <w:rsid w:val="003B6FDC"/>
    <w:rsid w:val="003B7380"/>
    <w:rsid w:val="003B7A12"/>
    <w:rsid w:val="003B7E62"/>
    <w:rsid w:val="003C0B09"/>
    <w:rsid w:val="003D34BE"/>
    <w:rsid w:val="003D3FC1"/>
    <w:rsid w:val="003E06EA"/>
    <w:rsid w:val="003E4A13"/>
    <w:rsid w:val="003E4C6D"/>
    <w:rsid w:val="003E6058"/>
    <w:rsid w:val="003F2CFA"/>
    <w:rsid w:val="003F441C"/>
    <w:rsid w:val="00400BA0"/>
    <w:rsid w:val="00400D4D"/>
    <w:rsid w:val="00407A97"/>
    <w:rsid w:val="00410BAD"/>
    <w:rsid w:val="00413C0A"/>
    <w:rsid w:val="00420BF6"/>
    <w:rsid w:val="004234D8"/>
    <w:rsid w:val="00424CC6"/>
    <w:rsid w:val="00426275"/>
    <w:rsid w:val="00427881"/>
    <w:rsid w:val="00430379"/>
    <w:rsid w:val="0043452C"/>
    <w:rsid w:val="004458B4"/>
    <w:rsid w:val="00447B7B"/>
    <w:rsid w:val="004503FC"/>
    <w:rsid w:val="0045317B"/>
    <w:rsid w:val="00455455"/>
    <w:rsid w:val="004559EF"/>
    <w:rsid w:val="00460570"/>
    <w:rsid w:val="00461849"/>
    <w:rsid w:val="00461ED8"/>
    <w:rsid w:val="004632DF"/>
    <w:rsid w:val="00465287"/>
    <w:rsid w:val="00471682"/>
    <w:rsid w:val="00472A9E"/>
    <w:rsid w:val="00473D08"/>
    <w:rsid w:val="00474C2B"/>
    <w:rsid w:val="0047612E"/>
    <w:rsid w:val="00477AFD"/>
    <w:rsid w:val="00480154"/>
    <w:rsid w:val="004871C1"/>
    <w:rsid w:val="004931AD"/>
    <w:rsid w:val="00494826"/>
    <w:rsid w:val="00494F07"/>
    <w:rsid w:val="004A2771"/>
    <w:rsid w:val="004A581F"/>
    <w:rsid w:val="004A5F95"/>
    <w:rsid w:val="004A6212"/>
    <w:rsid w:val="004B1766"/>
    <w:rsid w:val="004B19A5"/>
    <w:rsid w:val="004B236C"/>
    <w:rsid w:val="004B470E"/>
    <w:rsid w:val="004B4C65"/>
    <w:rsid w:val="004B6303"/>
    <w:rsid w:val="004B6AF5"/>
    <w:rsid w:val="004C2776"/>
    <w:rsid w:val="004C5FCB"/>
    <w:rsid w:val="004C6DF4"/>
    <w:rsid w:val="004D0162"/>
    <w:rsid w:val="004D3EFF"/>
    <w:rsid w:val="004D3F8B"/>
    <w:rsid w:val="004D4C02"/>
    <w:rsid w:val="004D532D"/>
    <w:rsid w:val="004D70CF"/>
    <w:rsid w:val="004E02C0"/>
    <w:rsid w:val="004E04DE"/>
    <w:rsid w:val="004E07BA"/>
    <w:rsid w:val="004E1F53"/>
    <w:rsid w:val="004E4234"/>
    <w:rsid w:val="004E5E2E"/>
    <w:rsid w:val="0050106D"/>
    <w:rsid w:val="00515AAD"/>
    <w:rsid w:val="00516089"/>
    <w:rsid w:val="00521016"/>
    <w:rsid w:val="0052247A"/>
    <w:rsid w:val="005230BD"/>
    <w:rsid w:val="005238EA"/>
    <w:rsid w:val="0052457E"/>
    <w:rsid w:val="00525D8A"/>
    <w:rsid w:val="00531F3B"/>
    <w:rsid w:val="00534EFE"/>
    <w:rsid w:val="0054032E"/>
    <w:rsid w:val="005409EA"/>
    <w:rsid w:val="0054199F"/>
    <w:rsid w:val="005430A4"/>
    <w:rsid w:val="00545173"/>
    <w:rsid w:val="00550526"/>
    <w:rsid w:val="00552C7D"/>
    <w:rsid w:val="0055496D"/>
    <w:rsid w:val="00562C02"/>
    <w:rsid w:val="00566D82"/>
    <w:rsid w:val="0057266A"/>
    <w:rsid w:val="00576E40"/>
    <w:rsid w:val="00585D42"/>
    <w:rsid w:val="00586AC8"/>
    <w:rsid w:val="00586D0F"/>
    <w:rsid w:val="0058709D"/>
    <w:rsid w:val="00587126"/>
    <w:rsid w:val="00591C9D"/>
    <w:rsid w:val="00591DA3"/>
    <w:rsid w:val="005945FB"/>
    <w:rsid w:val="005951E3"/>
    <w:rsid w:val="0059615B"/>
    <w:rsid w:val="005A18BD"/>
    <w:rsid w:val="005A266D"/>
    <w:rsid w:val="005A35E7"/>
    <w:rsid w:val="005B313B"/>
    <w:rsid w:val="005B3472"/>
    <w:rsid w:val="005B4373"/>
    <w:rsid w:val="005B67A4"/>
    <w:rsid w:val="005B71E4"/>
    <w:rsid w:val="005C0A94"/>
    <w:rsid w:val="005D075F"/>
    <w:rsid w:val="005D4D95"/>
    <w:rsid w:val="005D7986"/>
    <w:rsid w:val="005E33DF"/>
    <w:rsid w:val="005E5900"/>
    <w:rsid w:val="005F3202"/>
    <w:rsid w:val="005F4BE4"/>
    <w:rsid w:val="005F5844"/>
    <w:rsid w:val="00602E93"/>
    <w:rsid w:val="006040A5"/>
    <w:rsid w:val="00604C8B"/>
    <w:rsid w:val="00605D7D"/>
    <w:rsid w:val="0060775C"/>
    <w:rsid w:val="0061010A"/>
    <w:rsid w:val="006130AC"/>
    <w:rsid w:val="006139F1"/>
    <w:rsid w:val="006166C3"/>
    <w:rsid w:val="0062080A"/>
    <w:rsid w:val="006211BA"/>
    <w:rsid w:val="00622DA5"/>
    <w:rsid w:val="00625176"/>
    <w:rsid w:val="00625187"/>
    <w:rsid w:val="00625C65"/>
    <w:rsid w:val="006264A6"/>
    <w:rsid w:val="00630595"/>
    <w:rsid w:val="00632E89"/>
    <w:rsid w:val="00642057"/>
    <w:rsid w:val="006423DF"/>
    <w:rsid w:val="00650242"/>
    <w:rsid w:val="006530B0"/>
    <w:rsid w:val="00656183"/>
    <w:rsid w:val="006561A7"/>
    <w:rsid w:val="00657339"/>
    <w:rsid w:val="0065750A"/>
    <w:rsid w:val="00657BC9"/>
    <w:rsid w:val="00661619"/>
    <w:rsid w:val="00662ED8"/>
    <w:rsid w:val="0066370B"/>
    <w:rsid w:val="006719B6"/>
    <w:rsid w:val="0067292D"/>
    <w:rsid w:val="006741C5"/>
    <w:rsid w:val="00674932"/>
    <w:rsid w:val="00675439"/>
    <w:rsid w:val="006761B1"/>
    <w:rsid w:val="00677510"/>
    <w:rsid w:val="0068095A"/>
    <w:rsid w:val="00680B5A"/>
    <w:rsid w:val="00682756"/>
    <w:rsid w:val="006847EF"/>
    <w:rsid w:val="00685795"/>
    <w:rsid w:val="00696A0F"/>
    <w:rsid w:val="00697C8D"/>
    <w:rsid w:val="006A1906"/>
    <w:rsid w:val="006A37D7"/>
    <w:rsid w:val="006A3CC0"/>
    <w:rsid w:val="006A52D1"/>
    <w:rsid w:val="006A6483"/>
    <w:rsid w:val="006A7416"/>
    <w:rsid w:val="006A7A4E"/>
    <w:rsid w:val="006B2A42"/>
    <w:rsid w:val="006B3F0D"/>
    <w:rsid w:val="006C121A"/>
    <w:rsid w:val="006C32AC"/>
    <w:rsid w:val="006C3432"/>
    <w:rsid w:val="006C58B9"/>
    <w:rsid w:val="006C63E2"/>
    <w:rsid w:val="006D0535"/>
    <w:rsid w:val="006E12DC"/>
    <w:rsid w:val="006E20EA"/>
    <w:rsid w:val="006E3CA9"/>
    <w:rsid w:val="006E5E45"/>
    <w:rsid w:val="006F14C6"/>
    <w:rsid w:val="006F322F"/>
    <w:rsid w:val="006F325E"/>
    <w:rsid w:val="006F3BEF"/>
    <w:rsid w:val="0071476A"/>
    <w:rsid w:val="0071528F"/>
    <w:rsid w:val="00717540"/>
    <w:rsid w:val="00720B2B"/>
    <w:rsid w:val="00721E8C"/>
    <w:rsid w:val="00724B10"/>
    <w:rsid w:val="007270A5"/>
    <w:rsid w:val="00733C45"/>
    <w:rsid w:val="007341D1"/>
    <w:rsid w:val="0073449A"/>
    <w:rsid w:val="00735FD1"/>
    <w:rsid w:val="00737201"/>
    <w:rsid w:val="0074370A"/>
    <w:rsid w:val="0074464E"/>
    <w:rsid w:val="0075217C"/>
    <w:rsid w:val="007548D6"/>
    <w:rsid w:val="00760B42"/>
    <w:rsid w:val="007619E5"/>
    <w:rsid w:val="0076397A"/>
    <w:rsid w:val="007639EE"/>
    <w:rsid w:val="007642DF"/>
    <w:rsid w:val="007656AB"/>
    <w:rsid w:val="007659F0"/>
    <w:rsid w:val="00767FAB"/>
    <w:rsid w:val="007700F6"/>
    <w:rsid w:val="00774E11"/>
    <w:rsid w:val="007773D1"/>
    <w:rsid w:val="007778F6"/>
    <w:rsid w:val="007813EC"/>
    <w:rsid w:val="00782BF9"/>
    <w:rsid w:val="00785ED5"/>
    <w:rsid w:val="00790E79"/>
    <w:rsid w:val="007A32A0"/>
    <w:rsid w:val="007A3C43"/>
    <w:rsid w:val="007A5CF8"/>
    <w:rsid w:val="007B0C3F"/>
    <w:rsid w:val="007B18D3"/>
    <w:rsid w:val="007B2652"/>
    <w:rsid w:val="007B31E7"/>
    <w:rsid w:val="007B6D18"/>
    <w:rsid w:val="007B6EED"/>
    <w:rsid w:val="007C1D88"/>
    <w:rsid w:val="007C310C"/>
    <w:rsid w:val="007C3754"/>
    <w:rsid w:val="007C7046"/>
    <w:rsid w:val="007D4002"/>
    <w:rsid w:val="007D40F4"/>
    <w:rsid w:val="007D47D6"/>
    <w:rsid w:val="007D784F"/>
    <w:rsid w:val="007E17AF"/>
    <w:rsid w:val="007E1B39"/>
    <w:rsid w:val="007E56FD"/>
    <w:rsid w:val="007F1B2A"/>
    <w:rsid w:val="007F3928"/>
    <w:rsid w:val="007F39BB"/>
    <w:rsid w:val="008009DA"/>
    <w:rsid w:val="008019A3"/>
    <w:rsid w:val="00801EDE"/>
    <w:rsid w:val="00805956"/>
    <w:rsid w:val="00807E30"/>
    <w:rsid w:val="00812809"/>
    <w:rsid w:val="00815153"/>
    <w:rsid w:val="0081614F"/>
    <w:rsid w:val="00816D8B"/>
    <w:rsid w:val="00817934"/>
    <w:rsid w:val="0082181E"/>
    <w:rsid w:val="00826A84"/>
    <w:rsid w:val="00833813"/>
    <w:rsid w:val="008352D1"/>
    <w:rsid w:val="00840E3E"/>
    <w:rsid w:val="00841CCC"/>
    <w:rsid w:val="00843E7D"/>
    <w:rsid w:val="008444A8"/>
    <w:rsid w:val="0084452C"/>
    <w:rsid w:val="0084628E"/>
    <w:rsid w:val="008504F1"/>
    <w:rsid w:val="0085363B"/>
    <w:rsid w:val="00854F5B"/>
    <w:rsid w:val="00855C77"/>
    <w:rsid w:val="00863646"/>
    <w:rsid w:val="00865BAD"/>
    <w:rsid w:val="008664EA"/>
    <w:rsid w:val="008669DA"/>
    <w:rsid w:val="00885AB6"/>
    <w:rsid w:val="00890472"/>
    <w:rsid w:val="00891107"/>
    <w:rsid w:val="0089498E"/>
    <w:rsid w:val="008A21C9"/>
    <w:rsid w:val="008A33C2"/>
    <w:rsid w:val="008A4F2A"/>
    <w:rsid w:val="008A4F55"/>
    <w:rsid w:val="008A6ECA"/>
    <w:rsid w:val="008A7C54"/>
    <w:rsid w:val="008B0D79"/>
    <w:rsid w:val="008B434A"/>
    <w:rsid w:val="008B5018"/>
    <w:rsid w:val="008B7132"/>
    <w:rsid w:val="008B71F8"/>
    <w:rsid w:val="008C0DEB"/>
    <w:rsid w:val="008C2AD7"/>
    <w:rsid w:val="008C2D55"/>
    <w:rsid w:val="008C6338"/>
    <w:rsid w:val="008C63A1"/>
    <w:rsid w:val="008C75D5"/>
    <w:rsid w:val="008C7728"/>
    <w:rsid w:val="008D17B2"/>
    <w:rsid w:val="008D264B"/>
    <w:rsid w:val="008D43A0"/>
    <w:rsid w:val="008E15DF"/>
    <w:rsid w:val="008E4798"/>
    <w:rsid w:val="008E6CE0"/>
    <w:rsid w:val="008F548E"/>
    <w:rsid w:val="008F608E"/>
    <w:rsid w:val="008F6581"/>
    <w:rsid w:val="008F6BA7"/>
    <w:rsid w:val="00903AD0"/>
    <w:rsid w:val="009069A1"/>
    <w:rsid w:val="00906DED"/>
    <w:rsid w:val="009104BB"/>
    <w:rsid w:val="0091088F"/>
    <w:rsid w:val="0091768F"/>
    <w:rsid w:val="00920F4A"/>
    <w:rsid w:val="0092568B"/>
    <w:rsid w:val="00925F9D"/>
    <w:rsid w:val="00930D2E"/>
    <w:rsid w:val="0093105B"/>
    <w:rsid w:val="0093226C"/>
    <w:rsid w:val="0093771C"/>
    <w:rsid w:val="009404D4"/>
    <w:rsid w:val="00941C84"/>
    <w:rsid w:val="00944029"/>
    <w:rsid w:val="00944D0D"/>
    <w:rsid w:val="00951FFE"/>
    <w:rsid w:val="00952233"/>
    <w:rsid w:val="009528F7"/>
    <w:rsid w:val="00952D64"/>
    <w:rsid w:val="00954B11"/>
    <w:rsid w:val="00957585"/>
    <w:rsid w:val="00957A8A"/>
    <w:rsid w:val="0096308A"/>
    <w:rsid w:val="009633DE"/>
    <w:rsid w:val="0096642C"/>
    <w:rsid w:val="00970488"/>
    <w:rsid w:val="0097086D"/>
    <w:rsid w:val="009757EB"/>
    <w:rsid w:val="00975B04"/>
    <w:rsid w:val="00977234"/>
    <w:rsid w:val="009801E4"/>
    <w:rsid w:val="00990C52"/>
    <w:rsid w:val="00991A29"/>
    <w:rsid w:val="009A2199"/>
    <w:rsid w:val="009A2E7F"/>
    <w:rsid w:val="009A4E41"/>
    <w:rsid w:val="009A530E"/>
    <w:rsid w:val="009A699B"/>
    <w:rsid w:val="009C094A"/>
    <w:rsid w:val="009C1CB8"/>
    <w:rsid w:val="009C30B4"/>
    <w:rsid w:val="009D01EB"/>
    <w:rsid w:val="009D4066"/>
    <w:rsid w:val="009D4C93"/>
    <w:rsid w:val="009D4D75"/>
    <w:rsid w:val="009D6239"/>
    <w:rsid w:val="009E3384"/>
    <w:rsid w:val="009E4315"/>
    <w:rsid w:val="009E5D05"/>
    <w:rsid w:val="009E7323"/>
    <w:rsid w:val="009E7E95"/>
    <w:rsid w:val="009F3A4A"/>
    <w:rsid w:val="009F4AB1"/>
    <w:rsid w:val="009F77F3"/>
    <w:rsid w:val="00A01C11"/>
    <w:rsid w:val="00A03576"/>
    <w:rsid w:val="00A114F2"/>
    <w:rsid w:val="00A123D5"/>
    <w:rsid w:val="00A16327"/>
    <w:rsid w:val="00A21C7D"/>
    <w:rsid w:val="00A223BB"/>
    <w:rsid w:val="00A22B03"/>
    <w:rsid w:val="00A23C1D"/>
    <w:rsid w:val="00A262EA"/>
    <w:rsid w:val="00A32B0C"/>
    <w:rsid w:val="00A33AFF"/>
    <w:rsid w:val="00A33ECD"/>
    <w:rsid w:val="00A41A11"/>
    <w:rsid w:val="00A44C0C"/>
    <w:rsid w:val="00A50A9D"/>
    <w:rsid w:val="00A61F82"/>
    <w:rsid w:val="00A73449"/>
    <w:rsid w:val="00A7769F"/>
    <w:rsid w:val="00A809B0"/>
    <w:rsid w:val="00A85C6E"/>
    <w:rsid w:val="00A907A0"/>
    <w:rsid w:val="00A92FCE"/>
    <w:rsid w:val="00A97044"/>
    <w:rsid w:val="00AA0B57"/>
    <w:rsid w:val="00AA2056"/>
    <w:rsid w:val="00AA2792"/>
    <w:rsid w:val="00AA4E06"/>
    <w:rsid w:val="00AA574B"/>
    <w:rsid w:val="00AA705A"/>
    <w:rsid w:val="00AB04A4"/>
    <w:rsid w:val="00AB1D66"/>
    <w:rsid w:val="00AC2131"/>
    <w:rsid w:val="00AD1050"/>
    <w:rsid w:val="00AD1541"/>
    <w:rsid w:val="00AD3498"/>
    <w:rsid w:val="00AD3999"/>
    <w:rsid w:val="00AD49AD"/>
    <w:rsid w:val="00AD649E"/>
    <w:rsid w:val="00AD65DD"/>
    <w:rsid w:val="00AE1BC0"/>
    <w:rsid w:val="00AF12A3"/>
    <w:rsid w:val="00AF56BD"/>
    <w:rsid w:val="00AF5E82"/>
    <w:rsid w:val="00AF5F77"/>
    <w:rsid w:val="00B152DE"/>
    <w:rsid w:val="00B27B5B"/>
    <w:rsid w:val="00B34545"/>
    <w:rsid w:val="00B355CA"/>
    <w:rsid w:val="00B37574"/>
    <w:rsid w:val="00B40708"/>
    <w:rsid w:val="00B4115C"/>
    <w:rsid w:val="00B42777"/>
    <w:rsid w:val="00B43C96"/>
    <w:rsid w:val="00B44479"/>
    <w:rsid w:val="00B4496E"/>
    <w:rsid w:val="00B45C18"/>
    <w:rsid w:val="00B531D4"/>
    <w:rsid w:val="00B53590"/>
    <w:rsid w:val="00B608C0"/>
    <w:rsid w:val="00B63850"/>
    <w:rsid w:val="00B73C02"/>
    <w:rsid w:val="00B74275"/>
    <w:rsid w:val="00B76924"/>
    <w:rsid w:val="00B8270A"/>
    <w:rsid w:val="00B832A4"/>
    <w:rsid w:val="00B842B7"/>
    <w:rsid w:val="00B857F9"/>
    <w:rsid w:val="00B86126"/>
    <w:rsid w:val="00B872E1"/>
    <w:rsid w:val="00B95A04"/>
    <w:rsid w:val="00B97B9E"/>
    <w:rsid w:val="00BA12E8"/>
    <w:rsid w:val="00BA1D56"/>
    <w:rsid w:val="00BA2629"/>
    <w:rsid w:val="00BA3D6B"/>
    <w:rsid w:val="00BA5513"/>
    <w:rsid w:val="00BB0A6B"/>
    <w:rsid w:val="00BB3BAA"/>
    <w:rsid w:val="00BB45AF"/>
    <w:rsid w:val="00BB4F42"/>
    <w:rsid w:val="00BB7578"/>
    <w:rsid w:val="00BB7EAD"/>
    <w:rsid w:val="00BC3020"/>
    <w:rsid w:val="00BC649A"/>
    <w:rsid w:val="00BD3F64"/>
    <w:rsid w:val="00BD5B73"/>
    <w:rsid w:val="00BD5ED5"/>
    <w:rsid w:val="00BD720B"/>
    <w:rsid w:val="00BD7ABF"/>
    <w:rsid w:val="00BE2E8C"/>
    <w:rsid w:val="00BE5683"/>
    <w:rsid w:val="00BE6264"/>
    <w:rsid w:val="00BF37CE"/>
    <w:rsid w:val="00BF4528"/>
    <w:rsid w:val="00BF5D5D"/>
    <w:rsid w:val="00C0017F"/>
    <w:rsid w:val="00C033D8"/>
    <w:rsid w:val="00C067A3"/>
    <w:rsid w:val="00C06FDE"/>
    <w:rsid w:val="00C07BEA"/>
    <w:rsid w:val="00C12FE9"/>
    <w:rsid w:val="00C13A44"/>
    <w:rsid w:val="00C13FB9"/>
    <w:rsid w:val="00C1496D"/>
    <w:rsid w:val="00C16817"/>
    <w:rsid w:val="00C212C7"/>
    <w:rsid w:val="00C251F0"/>
    <w:rsid w:val="00C27341"/>
    <w:rsid w:val="00C3122E"/>
    <w:rsid w:val="00C33420"/>
    <w:rsid w:val="00C35CB8"/>
    <w:rsid w:val="00C371E3"/>
    <w:rsid w:val="00C40CF0"/>
    <w:rsid w:val="00C41126"/>
    <w:rsid w:val="00C47609"/>
    <w:rsid w:val="00C50D3F"/>
    <w:rsid w:val="00C5325D"/>
    <w:rsid w:val="00C5504D"/>
    <w:rsid w:val="00C61B2F"/>
    <w:rsid w:val="00C62F4C"/>
    <w:rsid w:val="00C64D5E"/>
    <w:rsid w:val="00C73199"/>
    <w:rsid w:val="00C73A9D"/>
    <w:rsid w:val="00C77223"/>
    <w:rsid w:val="00C77C06"/>
    <w:rsid w:val="00C8171E"/>
    <w:rsid w:val="00C81B13"/>
    <w:rsid w:val="00C8202E"/>
    <w:rsid w:val="00C82E2C"/>
    <w:rsid w:val="00C83177"/>
    <w:rsid w:val="00C86B48"/>
    <w:rsid w:val="00C96E1E"/>
    <w:rsid w:val="00CA27D2"/>
    <w:rsid w:val="00CA2954"/>
    <w:rsid w:val="00CA3DBC"/>
    <w:rsid w:val="00CA63D2"/>
    <w:rsid w:val="00CA7B38"/>
    <w:rsid w:val="00CB1B45"/>
    <w:rsid w:val="00CB276B"/>
    <w:rsid w:val="00CB35EA"/>
    <w:rsid w:val="00CB7505"/>
    <w:rsid w:val="00CB7ED6"/>
    <w:rsid w:val="00CC3E1B"/>
    <w:rsid w:val="00CC7E58"/>
    <w:rsid w:val="00CD1948"/>
    <w:rsid w:val="00CD1FBA"/>
    <w:rsid w:val="00CD20EE"/>
    <w:rsid w:val="00CE06C6"/>
    <w:rsid w:val="00CE0850"/>
    <w:rsid w:val="00CE3E30"/>
    <w:rsid w:val="00CF18F4"/>
    <w:rsid w:val="00CF3A8C"/>
    <w:rsid w:val="00D002FD"/>
    <w:rsid w:val="00D02BDF"/>
    <w:rsid w:val="00D03A68"/>
    <w:rsid w:val="00D07937"/>
    <w:rsid w:val="00D102D0"/>
    <w:rsid w:val="00D112A5"/>
    <w:rsid w:val="00D11673"/>
    <w:rsid w:val="00D14488"/>
    <w:rsid w:val="00D14607"/>
    <w:rsid w:val="00D172C8"/>
    <w:rsid w:val="00D2006E"/>
    <w:rsid w:val="00D2153E"/>
    <w:rsid w:val="00D21C52"/>
    <w:rsid w:val="00D278E5"/>
    <w:rsid w:val="00D30A6F"/>
    <w:rsid w:val="00D30A70"/>
    <w:rsid w:val="00D3290F"/>
    <w:rsid w:val="00D33D8E"/>
    <w:rsid w:val="00D354D7"/>
    <w:rsid w:val="00D365D0"/>
    <w:rsid w:val="00D37F8E"/>
    <w:rsid w:val="00D435BB"/>
    <w:rsid w:val="00D5130D"/>
    <w:rsid w:val="00D559C4"/>
    <w:rsid w:val="00D60430"/>
    <w:rsid w:val="00D71E62"/>
    <w:rsid w:val="00D73072"/>
    <w:rsid w:val="00D7565C"/>
    <w:rsid w:val="00D77620"/>
    <w:rsid w:val="00D81782"/>
    <w:rsid w:val="00D855CD"/>
    <w:rsid w:val="00D90D15"/>
    <w:rsid w:val="00D9149E"/>
    <w:rsid w:val="00D961CA"/>
    <w:rsid w:val="00DA3C8E"/>
    <w:rsid w:val="00DB16FB"/>
    <w:rsid w:val="00DB1917"/>
    <w:rsid w:val="00DB1EE8"/>
    <w:rsid w:val="00DC30B2"/>
    <w:rsid w:val="00DC3A30"/>
    <w:rsid w:val="00DC7816"/>
    <w:rsid w:val="00DD1E50"/>
    <w:rsid w:val="00DD2066"/>
    <w:rsid w:val="00DD61F7"/>
    <w:rsid w:val="00DD7441"/>
    <w:rsid w:val="00DE3CBB"/>
    <w:rsid w:val="00DF0F4C"/>
    <w:rsid w:val="00DF2A54"/>
    <w:rsid w:val="00DF4814"/>
    <w:rsid w:val="00E02F44"/>
    <w:rsid w:val="00E12286"/>
    <w:rsid w:val="00E16577"/>
    <w:rsid w:val="00E17A35"/>
    <w:rsid w:val="00E349EF"/>
    <w:rsid w:val="00E3522A"/>
    <w:rsid w:val="00E3740A"/>
    <w:rsid w:val="00E40383"/>
    <w:rsid w:val="00E40B4E"/>
    <w:rsid w:val="00E42575"/>
    <w:rsid w:val="00E42AC6"/>
    <w:rsid w:val="00E43EF3"/>
    <w:rsid w:val="00E44DCF"/>
    <w:rsid w:val="00E469CE"/>
    <w:rsid w:val="00E52FC6"/>
    <w:rsid w:val="00E55937"/>
    <w:rsid w:val="00E56738"/>
    <w:rsid w:val="00E6044A"/>
    <w:rsid w:val="00E62C63"/>
    <w:rsid w:val="00E62E73"/>
    <w:rsid w:val="00E63453"/>
    <w:rsid w:val="00E707D0"/>
    <w:rsid w:val="00E71BAE"/>
    <w:rsid w:val="00E731F7"/>
    <w:rsid w:val="00E74099"/>
    <w:rsid w:val="00E770EC"/>
    <w:rsid w:val="00E81823"/>
    <w:rsid w:val="00E830CE"/>
    <w:rsid w:val="00E85BF6"/>
    <w:rsid w:val="00E877FE"/>
    <w:rsid w:val="00E941A1"/>
    <w:rsid w:val="00E94FFF"/>
    <w:rsid w:val="00E956A9"/>
    <w:rsid w:val="00EA0C9D"/>
    <w:rsid w:val="00EA2CB0"/>
    <w:rsid w:val="00EA5635"/>
    <w:rsid w:val="00EA7A28"/>
    <w:rsid w:val="00EB5785"/>
    <w:rsid w:val="00EB605B"/>
    <w:rsid w:val="00EB7618"/>
    <w:rsid w:val="00EB7F5F"/>
    <w:rsid w:val="00EC0480"/>
    <w:rsid w:val="00EE32CB"/>
    <w:rsid w:val="00EE5D2F"/>
    <w:rsid w:val="00EF0E08"/>
    <w:rsid w:val="00EF1670"/>
    <w:rsid w:val="00F00F51"/>
    <w:rsid w:val="00F01819"/>
    <w:rsid w:val="00F0589A"/>
    <w:rsid w:val="00F06ABC"/>
    <w:rsid w:val="00F07817"/>
    <w:rsid w:val="00F07D0A"/>
    <w:rsid w:val="00F107BD"/>
    <w:rsid w:val="00F1084B"/>
    <w:rsid w:val="00F11377"/>
    <w:rsid w:val="00F11473"/>
    <w:rsid w:val="00F20462"/>
    <w:rsid w:val="00F23C18"/>
    <w:rsid w:val="00F262AC"/>
    <w:rsid w:val="00F2673F"/>
    <w:rsid w:val="00F2767A"/>
    <w:rsid w:val="00F32404"/>
    <w:rsid w:val="00F32806"/>
    <w:rsid w:val="00F346FE"/>
    <w:rsid w:val="00F3522B"/>
    <w:rsid w:val="00F365BC"/>
    <w:rsid w:val="00F3671D"/>
    <w:rsid w:val="00F37290"/>
    <w:rsid w:val="00F40368"/>
    <w:rsid w:val="00F46941"/>
    <w:rsid w:val="00F477E4"/>
    <w:rsid w:val="00F51DF9"/>
    <w:rsid w:val="00F548B7"/>
    <w:rsid w:val="00F6659F"/>
    <w:rsid w:val="00F67F4E"/>
    <w:rsid w:val="00F70B17"/>
    <w:rsid w:val="00F71D97"/>
    <w:rsid w:val="00F7523F"/>
    <w:rsid w:val="00F76419"/>
    <w:rsid w:val="00F8070C"/>
    <w:rsid w:val="00F831A1"/>
    <w:rsid w:val="00F94571"/>
    <w:rsid w:val="00FA07BB"/>
    <w:rsid w:val="00FA5E47"/>
    <w:rsid w:val="00FA7635"/>
    <w:rsid w:val="00FB26CE"/>
    <w:rsid w:val="00FC0BB4"/>
    <w:rsid w:val="00FC0CE2"/>
    <w:rsid w:val="00FC20CB"/>
    <w:rsid w:val="00FC3CD6"/>
    <w:rsid w:val="00FC5817"/>
    <w:rsid w:val="00FC5CAA"/>
    <w:rsid w:val="00FC69C2"/>
    <w:rsid w:val="00FD0D0F"/>
    <w:rsid w:val="00FD2635"/>
    <w:rsid w:val="00FE02EA"/>
    <w:rsid w:val="00FE07BB"/>
    <w:rsid w:val="00FE08CE"/>
    <w:rsid w:val="00FE0925"/>
    <w:rsid w:val="00FE2F68"/>
    <w:rsid w:val="00FF3A00"/>
    <w:rsid w:val="00FF5CD2"/>
    <w:rsid w:val="00FF6220"/>
    <w:rsid w:val="06E22E73"/>
    <w:rsid w:val="09DF059D"/>
    <w:rsid w:val="0C576FDB"/>
    <w:rsid w:val="103851A2"/>
    <w:rsid w:val="15B3C7E2"/>
    <w:rsid w:val="17279D7C"/>
    <w:rsid w:val="180DF7B2"/>
    <w:rsid w:val="1875EF1D"/>
    <w:rsid w:val="18F3B807"/>
    <w:rsid w:val="1D4EB76F"/>
    <w:rsid w:val="1E7E64FC"/>
    <w:rsid w:val="1FA5EAFF"/>
    <w:rsid w:val="1FCB0225"/>
    <w:rsid w:val="1FDCEB43"/>
    <w:rsid w:val="1FF25D7E"/>
    <w:rsid w:val="204572B4"/>
    <w:rsid w:val="2325828B"/>
    <w:rsid w:val="25D5E437"/>
    <w:rsid w:val="2E638D68"/>
    <w:rsid w:val="2F19B1CB"/>
    <w:rsid w:val="30C4857E"/>
    <w:rsid w:val="3450D67B"/>
    <w:rsid w:val="375258CA"/>
    <w:rsid w:val="37D77633"/>
    <w:rsid w:val="384B828B"/>
    <w:rsid w:val="3916B36D"/>
    <w:rsid w:val="3B29A1D0"/>
    <w:rsid w:val="43B46B41"/>
    <w:rsid w:val="474EBD41"/>
    <w:rsid w:val="494A01B6"/>
    <w:rsid w:val="4AB90B11"/>
    <w:rsid w:val="4BC1A899"/>
    <w:rsid w:val="4E2F9096"/>
    <w:rsid w:val="501B1E67"/>
    <w:rsid w:val="50678DBF"/>
    <w:rsid w:val="50B24A25"/>
    <w:rsid w:val="51043929"/>
    <w:rsid w:val="53A00CEF"/>
    <w:rsid w:val="53A588D8"/>
    <w:rsid w:val="5469E3BE"/>
    <w:rsid w:val="547E1CF7"/>
    <w:rsid w:val="551107B9"/>
    <w:rsid w:val="566BA844"/>
    <w:rsid w:val="58CFEEFE"/>
    <w:rsid w:val="5AC1190F"/>
    <w:rsid w:val="5AD2C2E0"/>
    <w:rsid w:val="5AEBE14D"/>
    <w:rsid w:val="5B7C497E"/>
    <w:rsid w:val="5D3E468E"/>
    <w:rsid w:val="5F9589CD"/>
    <w:rsid w:val="5FC45064"/>
    <w:rsid w:val="61C81C63"/>
    <w:rsid w:val="6217894B"/>
    <w:rsid w:val="630C7BC7"/>
    <w:rsid w:val="631A3FF1"/>
    <w:rsid w:val="63ADB03B"/>
    <w:rsid w:val="660F44B6"/>
    <w:rsid w:val="6749AA7F"/>
    <w:rsid w:val="684CA1DD"/>
    <w:rsid w:val="706B7E4F"/>
    <w:rsid w:val="713F1D98"/>
    <w:rsid w:val="739CB2B6"/>
    <w:rsid w:val="757C001D"/>
    <w:rsid w:val="76D09B98"/>
    <w:rsid w:val="773360C6"/>
    <w:rsid w:val="7878C5F8"/>
    <w:rsid w:val="79193C1C"/>
    <w:rsid w:val="797AED29"/>
    <w:rsid w:val="7C85B0BD"/>
    <w:rsid w:val="7CFF0C70"/>
    <w:rsid w:val="7D69376E"/>
    <w:rsid w:val="7E474C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B4B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6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BB4F42"/>
    <w:pPr>
      <w:spacing w:after="200"/>
    </w:pPr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2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2D18F3"/>
    <w:pPr>
      <w:keepNext/>
      <w:keepLines/>
      <w:spacing w:before="280" w:after="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5C0A94"/>
    <w:pPr>
      <w:keepNext/>
      <w:spacing w:before="240" w:after="0"/>
      <w:outlineLvl w:val="3"/>
    </w:pPr>
    <w:rPr>
      <w:rFonts w:asciiTheme="majorHAnsi" w:eastAsiaTheme="minorEastAsia" w:hAnsiTheme="majorHAnsi" w:cstheme="minorBid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521016"/>
    <w:pPr>
      <w:keepNext/>
      <w:keepLines/>
      <w:spacing w:before="200" w:after="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21016"/>
    <w:rPr>
      <w:rFonts w:ascii="Calibri" w:hAnsi="Calibri"/>
      <w:color w:val="006C93" w:themeColor="accent3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numPr>
        <w:numId w:val="49"/>
      </w:numPr>
      <w:spacing w:before="120" w:after="120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4458B4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8" w:space="0" w:color="FCBA5C" w:themeColor="accent2"/>
        <w:bottom w:val="single" w:sz="8" w:space="0" w:color="FCBA5C" w:themeColor="accent2"/>
        <w:insideH w:val="single" w:sz="8" w:space="0" w:color="E8E8E8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FCBA5C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C13A44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24" w:space="0" w:color="9FB76F" w:themeColor="accen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rPr>
        <w:cantSplit w:val="0"/>
      </w:trPr>
      <w:tcPr>
        <w:tcBorders>
          <w:top w:val="nil"/>
          <w:left w:val="single" w:sz="24" w:space="0" w:color="9FB76F" w:themeColor="accent1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</w:style>
  <w:style w:type="character" w:customStyle="1" w:styleId="Heading7Char">
    <w:name w:val="Heading 7 Char"/>
    <w:basedOn w:val="DefaultParagraphFont"/>
    <w:link w:val="Heading7"/>
    <w:uiPriority w:val="9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covertitle">
    <w:name w:val="CER cover title"/>
    <w:basedOn w:val="Title"/>
    <w:link w:val="CERcovertitleChar"/>
    <w:uiPriority w:val="8"/>
    <w:rsid w:val="00521016"/>
    <w:pPr>
      <w:spacing w:before="2760"/>
      <w:ind w:right="5204"/>
    </w:pPr>
    <w:rPr>
      <w:rFonts w:cs="Times New Roman (Headings CS)"/>
      <w:b/>
      <w:noProof/>
      <w:spacing w:val="0"/>
      <w:lang w:eastAsia="en-AU"/>
    </w:rPr>
  </w:style>
  <w:style w:type="paragraph" w:customStyle="1" w:styleId="CERcoversubtitle">
    <w:name w:val="CER cover subtitle"/>
    <w:basedOn w:val="Subtitle"/>
    <w:link w:val="CERcoversubtitleChar"/>
    <w:uiPriority w:val="8"/>
    <w:rsid w:val="00253FFC"/>
    <w:pPr>
      <w:spacing w:before="120" w:after="120"/>
      <w:ind w:right="5062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covertitleChar">
    <w:name w:val="CER cover title Char"/>
    <w:basedOn w:val="DefaultParagraphFont"/>
    <w:link w:val="CERcovertitle"/>
    <w:uiPriority w:val="8"/>
    <w:rsid w:val="00521016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81614F"/>
    <w:pPr>
      <w:numPr>
        <w:numId w:val="37"/>
      </w:numPr>
      <w:spacing w:before="120" w:after="120"/>
    </w:pPr>
  </w:style>
  <w:style w:type="character" w:customStyle="1" w:styleId="CERcoversubtitleChar">
    <w:name w:val="CER cover subtitle Char"/>
    <w:basedOn w:val="Heading2Char"/>
    <w:link w:val="CERcoversubtitle"/>
    <w:uiPriority w:val="8"/>
    <w:rsid w:val="00253FFC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81614F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BB4F42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99"/>
    <w:rsid w:val="009772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6F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99"/>
    <w:rsid w:val="002C702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uiPriority w:val="8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F51D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44D0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325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325E"/>
    <w:rPr>
      <w:rFonts w:asciiTheme="minorHAnsi" w:hAnsiTheme="minorHAnsi" w:cstheme="minorHAnsi"/>
      <w:color w:val="000000" w:themeColor="text1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F325E"/>
    <w:rPr>
      <w:vertAlign w:val="superscript"/>
    </w:rPr>
  </w:style>
  <w:style w:type="character" w:customStyle="1" w:styleId="normaltextrun">
    <w:name w:val="normaltextrun"/>
    <w:basedOn w:val="DefaultParagraphFont"/>
    <w:rsid w:val="004632DF"/>
  </w:style>
  <w:style w:type="character" w:styleId="CommentReference">
    <w:name w:val="annotation reference"/>
    <w:basedOn w:val="DefaultParagraphFont"/>
    <w:uiPriority w:val="99"/>
    <w:semiHidden/>
    <w:unhideWhenUsed/>
    <w:rsid w:val="00BB4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5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5AF"/>
    <w:rPr>
      <w:rFonts w:asciiTheme="minorHAnsi" w:hAnsiTheme="minorHAnsi" w:cstheme="minorHAnsi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5AF"/>
    <w:rPr>
      <w:rFonts w:asciiTheme="minorHAnsi" w:hAnsiTheme="minorHAnsi" w:cstheme="minorHAnsi"/>
      <w:b/>
      <w:bCs/>
      <w:color w:val="000000" w:themeColor="text1"/>
      <w:lang w:eastAsia="en-US"/>
    </w:rPr>
  </w:style>
  <w:style w:type="character" w:styleId="Mention">
    <w:name w:val="Mention"/>
    <w:basedOn w:val="DefaultParagraphFont"/>
    <w:uiPriority w:val="99"/>
    <w:unhideWhenUsed/>
    <w:rsid w:val="00BB45AF"/>
    <w:rPr>
      <w:color w:val="2B579A"/>
      <w:shd w:val="clear" w:color="auto" w:fill="E1DFDD"/>
    </w:rPr>
  </w:style>
  <w:style w:type="paragraph" w:styleId="Revision">
    <w:name w:val="Revision"/>
    <w:hidden/>
    <w:semiHidden/>
    <w:rsid w:val="0057266A"/>
    <w:rPr>
      <w:rFonts w:asciiTheme="minorHAnsi" w:hAnsiTheme="minorHAnsi" w:cstheme="minorHAnsi"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8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52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4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5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3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1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9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3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.gov.au/document/public-consultation-paper-seeking-views-accu-scheme-stakeholders-audit-thresholds-instrumen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au/F2015L00156/latest/tex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er.gov.au/document/public-consultation-paper-draft-audit-thresholds-instrument-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au/F2024L01473/asmade/text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4747</Characters>
  <Application>Microsoft Office Word</Application>
  <DocSecurity>8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to submissions to draft Audit Thresholds Instrument 2025 consultation</vt:lpstr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submissions to draft Audit Thresholds Instrument 2025 consultation</dc:title>
  <dc:subject/>
  <dc:creator/>
  <cp:keywords/>
  <cp:lastModifiedBy/>
  <cp:revision>1</cp:revision>
  <dcterms:created xsi:type="dcterms:W3CDTF">2025-03-19T23:42:00Z</dcterms:created>
  <dcterms:modified xsi:type="dcterms:W3CDTF">2025-03-20T04:02:00Z</dcterms:modified>
</cp:coreProperties>
</file>