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28D14834" w:rsidR="00977234" w:rsidRPr="003A28B3" w:rsidRDefault="00B16D30" w:rsidP="00146FC8">
      <w:pPr>
        <w:pStyle w:val="CERcovertitle"/>
        <w:tabs>
          <w:tab w:val="left" w:pos="5103"/>
        </w:tabs>
        <w:spacing w:before="2520"/>
        <w:ind w:left="5103" w:right="-41"/>
      </w:pPr>
      <w:r>
        <w:drawing>
          <wp:anchor distT="0" distB="0" distL="114300" distR="114300" simplePos="0" relativeHeight="251655168"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1072" behindDoc="0" locked="0" layoutInCell="1" allowOverlap="1" wp14:anchorId="41A7BA9F" wp14:editId="62D8A85A">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9FB76F"/>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 w14:anchorId="3F4DD6B5" id="Freeform: Shape 15" o:spid="_x0000_s1026" alt="&quot;&quot;" style="position:absolute;margin-left:-1.5pt;margin-top:70.35pt;width:487.55pt;height:48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0841,75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gqOAoAALREAAAOAAAAZHJzL2Uyb0RvYy54bWysXE2P4zYSvQfY/yD4uMCORUmkpMb0BPnA&#10;7CXZDZAESI5qW24ba1uOpGn3/PsUP2QXGbf1ONlLq9Vdj0UWXxVFVknvv3497JOXth923fFxId6l&#10;i6Q9rrr17vj8uPj1l4//qhbJMDbHdbPvju3j4nM7LL7+8I+v3p9PD23Wbbv9uu0TauQ4PJxPj4vt&#10;OJ4elsthtW0PzfCuO7VH+uem6w/NSLf983LdN2dq/bBfZmmqlueuX5/6btUOA/31e/vPxQfT/mbT&#10;rsb/bjZDOyb7xwX1bTQ/e/PzSf9cfnjfPDz3zWm7W7luNF/Qi0OzO5LSS1PfN2OTfOp3f2nqsFv1&#10;3dBtxner7rDsNpvdqjVjoNGINBjNz9vm1JqxkHGG08VMw/+v2dV/Xn4+/dTrrg+nH7rV/4bk2H23&#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cfdfq+3oEP//PTdvk9eGtrd1h+/LdVH1wVPbG9qLo6dhk0eqOGt+RKHLe0w&#10;n4zQX4nQ3+gYHp669Wf6YsSZPsHxuBj++NT07YLKPVbbjvbOq7E3NR/H7hv6ksRmp7/3YPAW5W7o&#10;0xhmJO4zHvrbG/zeSF0/NvLhTwAAAP//AwBQSwMEFAAGAAgAAAAhAMpACB7jAAAACwEAAA8AAABk&#10;cnMvZG93bnJldi54bWxMj8FOwzAQRO9I/IO1SNxaJ6XQNsSpAggqEaSKFnF2km0cEa+j2G3D37Oc&#10;4Lizo5k36Xq0nTjh4FtHCuJpBAKpcnVLjYKP/fNkCcIHTbXuHKGCb/Swzi4vUp3U7kzveNqFRnAI&#10;+UQrMCH0iZS+Mmi1n7oeiX8HN1gd+BwaWQ/6zOG2k7MoupNWt8QNRvf4aLD62h2tgsPm9uUtL7cP&#10;4/4zL5pXU2xXT4VS11djfg8i4Bj+zPCLz+iQMVPpjlR70SmY3PCUwPo8WoBgw2oxi0GUrMTxfAky&#10;S+X/DdkPAAAA//8DAFBLAQItABQABgAIAAAAIQC2gziS/gAAAOEBAAATAAAAAAAAAAAAAAAAAAAA&#10;AABbQ29udGVudF9UeXBlc10ueG1sUEsBAi0AFAAGAAgAAAAhADj9If/WAAAAlAEAAAsAAAAAAAAA&#10;AAAAAAAALwEAAF9yZWxzLy5yZWxzUEsBAi0AFAAGAAgAAAAhABLNyCo4CgAAtEQAAA4AAAAAAAAA&#10;AAAAAAAALgIAAGRycy9lMm9Eb2MueG1sUEsBAi0AFAAGAAgAAAAhAMpACB7jAAAACwEAAA8AAAAA&#10;AAAAAAAAAAAAkgwAAGRycy9kb3ducmV2LnhtbFBLBQYAAAAABAAEAPMAAACiDQAAAAA=&#10;"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fillcolor="#9fb76f" stroked="f">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666DD5">
        <w:rPr>
          <w:sz w:val="40"/>
          <w:szCs w:val="40"/>
        </w:rPr>
        <w:t xml:space="preserve">Reporting </w:t>
      </w:r>
      <w:r w:rsidR="00930521">
        <w:rPr>
          <w:sz w:val="40"/>
          <w:szCs w:val="40"/>
        </w:rPr>
        <w:t>u</w:t>
      </w:r>
      <w:r w:rsidR="00666DD5">
        <w:rPr>
          <w:sz w:val="40"/>
          <w:szCs w:val="40"/>
        </w:rPr>
        <w:t xml:space="preserve">ncertainty </w:t>
      </w:r>
      <w:r w:rsidR="00930521">
        <w:rPr>
          <w:sz w:val="40"/>
          <w:szCs w:val="40"/>
        </w:rPr>
        <w:t>g</w:t>
      </w:r>
      <w:r w:rsidR="00666DD5">
        <w:rPr>
          <w:sz w:val="40"/>
          <w:szCs w:val="40"/>
        </w:rPr>
        <w:t>uideline</w:t>
      </w:r>
    </w:p>
    <w:p w14:paraId="3B543F96" w14:textId="4FA99A24" w:rsidR="003A5739" w:rsidRPr="00531F3B" w:rsidRDefault="006559FD" w:rsidP="001813DE">
      <w:pPr>
        <w:pStyle w:val="BodyText1"/>
        <w:tabs>
          <w:tab w:val="left" w:pos="3969"/>
        </w:tabs>
        <w:ind w:left="5103" w:right="101"/>
      </w:pPr>
      <w:r>
        <w:t xml:space="preserve">July </w:t>
      </w:r>
      <w:r w:rsidR="0068486A">
        <w:t>202</w:t>
      </w:r>
      <w:r>
        <w:t>5</w:t>
      </w:r>
    </w:p>
    <w:p w14:paraId="6519C78F" w14:textId="03C371E9" w:rsidR="00235142" w:rsidRPr="00874B8F" w:rsidRDefault="00346AEF" w:rsidP="005B2609">
      <w:pPr>
        <w:pStyle w:val="Heading1"/>
      </w:pPr>
      <w:bookmarkStart w:id="0" w:name="_Toc108023390"/>
      <w:bookmarkStart w:id="1" w:name="_Toc137107814"/>
      <w:bookmarkStart w:id="2" w:name="_Toc198909891"/>
      <w:bookmarkStart w:id="3" w:name="_Toc204852496"/>
      <w:r>
        <w:rPr>
          <w:noProof/>
        </w:rPr>
        <w:drawing>
          <wp:anchor distT="0" distB="0" distL="114300" distR="114300" simplePos="0" relativeHeight="251657216"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65408"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63360"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61312"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3120"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9264"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4" w:name="_Toc447009035"/>
      <w:bookmarkStart w:id="5" w:name="_Toc413749884"/>
      <w:r w:rsidR="00235142" w:rsidRPr="00874B8F">
        <w:lastRenderedPageBreak/>
        <w:t>Contents</w:t>
      </w:r>
      <w:bookmarkEnd w:id="0"/>
      <w:bookmarkEnd w:id="1"/>
      <w:bookmarkEnd w:id="2"/>
      <w:bookmarkEnd w:id="3"/>
    </w:p>
    <w:p w14:paraId="422AB6EF" w14:textId="3ED46BA6" w:rsidR="00002BB7" w:rsidRDefault="00235142">
      <w:pPr>
        <w:pStyle w:val="TOC1"/>
        <w:rPr>
          <w:rFonts w:eastAsiaTheme="minorEastAsia" w:cstheme="minorBidi"/>
          <w:b w:val="0"/>
          <w:noProof/>
          <w:color w:val="auto"/>
          <w:kern w:val="2"/>
          <w:sz w:val="24"/>
          <w:lang w:eastAsia="en-AU"/>
          <w14:ligatures w14:val="standardContextual"/>
        </w:rPr>
      </w:pPr>
      <w:r>
        <w:fldChar w:fldCharType="begin"/>
      </w:r>
      <w:r>
        <w:instrText xml:space="preserve"> TOC  \* MERGEFORMAT </w:instrText>
      </w:r>
      <w:r>
        <w:fldChar w:fldCharType="separate"/>
      </w:r>
      <w:r w:rsidR="00002BB7">
        <w:rPr>
          <w:noProof/>
        </w:rPr>
        <w:t>Contents</w:t>
      </w:r>
      <w:r w:rsidR="00002BB7">
        <w:rPr>
          <w:noProof/>
        </w:rPr>
        <w:tab/>
      </w:r>
      <w:r w:rsidR="00002BB7">
        <w:rPr>
          <w:noProof/>
        </w:rPr>
        <w:fldChar w:fldCharType="begin"/>
      </w:r>
      <w:r w:rsidR="00002BB7">
        <w:rPr>
          <w:noProof/>
        </w:rPr>
        <w:instrText xml:space="preserve"> PAGEREF _Toc204852496 \h </w:instrText>
      </w:r>
      <w:r w:rsidR="00002BB7">
        <w:rPr>
          <w:noProof/>
        </w:rPr>
      </w:r>
      <w:r w:rsidR="00002BB7">
        <w:rPr>
          <w:noProof/>
        </w:rPr>
        <w:fldChar w:fldCharType="separate"/>
      </w:r>
      <w:r w:rsidR="00002BB7">
        <w:rPr>
          <w:noProof/>
        </w:rPr>
        <w:t>1</w:t>
      </w:r>
      <w:r w:rsidR="00002BB7">
        <w:rPr>
          <w:noProof/>
        </w:rPr>
        <w:fldChar w:fldCharType="end"/>
      </w:r>
    </w:p>
    <w:p w14:paraId="7BB8B7CD" w14:textId="0DA2D832" w:rsidR="00002BB7" w:rsidRDefault="00002BB7">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_Toc204852497 \h </w:instrText>
      </w:r>
      <w:r>
        <w:rPr>
          <w:noProof/>
        </w:rPr>
      </w:r>
      <w:r>
        <w:rPr>
          <w:noProof/>
        </w:rPr>
        <w:fldChar w:fldCharType="separate"/>
      </w:r>
      <w:r>
        <w:rPr>
          <w:noProof/>
        </w:rPr>
        <w:t>3</w:t>
      </w:r>
      <w:r>
        <w:rPr>
          <w:noProof/>
        </w:rPr>
        <w:fldChar w:fldCharType="end"/>
      </w:r>
    </w:p>
    <w:p w14:paraId="78703086" w14:textId="074E47AB" w:rsidR="00002BB7" w:rsidRDefault="00002BB7">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_Toc204852498 \h </w:instrText>
      </w:r>
      <w:r>
        <w:rPr>
          <w:noProof/>
        </w:rPr>
      </w:r>
      <w:r>
        <w:rPr>
          <w:noProof/>
        </w:rPr>
        <w:fldChar w:fldCharType="separate"/>
      </w:r>
      <w:r>
        <w:rPr>
          <w:noProof/>
        </w:rPr>
        <w:t>4</w:t>
      </w:r>
      <w:r>
        <w:rPr>
          <w:noProof/>
        </w:rPr>
        <w:fldChar w:fldCharType="end"/>
      </w:r>
    </w:p>
    <w:p w14:paraId="03028B08" w14:textId="2756EFDC" w:rsidR="00002BB7" w:rsidRDefault="00002BB7">
      <w:pPr>
        <w:pStyle w:val="TOC1"/>
        <w:rPr>
          <w:rFonts w:eastAsiaTheme="minorEastAsia" w:cstheme="minorBidi"/>
          <w:b w:val="0"/>
          <w:noProof/>
          <w:color w:val="auto"/>
          <w:kern w:val="2"/>
          <w:sz w:val="24"/>
          <w:lang w:eastAsia="en-AU"/>
          <w14:ligatures w14:val="standardContextual"/>
        </w:rPr>
      </w:pPr>
      <w:r w:rsidRPr="00474DAB">
        <w:rPr>
          <w:noProof/>
          <w:lang w:val="en-GB"/>
        </w:rPr>
        <w:t>2024–25 updates</w:t>
      </w:r>
      <w:r>
        <w:rPr>
          <w:noProof/>
        </w:rPr>
        <w:tab/>
      </w:r>
      <w:r>
        <w:rPr>
          <w:noProof/>
        </w:rPr>
        <w:fldChar w:fldCharType="begin"/>
      </w:r>
      <w:r>
        <w:rPr>
          <w:noProof/>
        </w:rPr>
        <w:instrText xml:space="preserve"> PAGEREF _Toc204852499 \h </w:instrText>
      </w:r>
      <w:r>
        <w:rPr>
          <w:noProof/>
        </w:rPr>
      </w:r>
      <w:r>
        <w:rPr>
          <w:noProof/>
        </w:rPr>
        <w:fldChar w:fldCharType="separate"/>
      </w:r>
      <w:r>
        <w:rPr>
          <w:noProof/>
        </w:rPr>
        <w:t>5</w:t>
      </w:r>
      <w:r>
        <w:rPr>
          <w:noProof/>
        </w:rPr>
        <w:fldChar w:fldCharType="end"/>
      </w:r>
    </w:p>
    <w:p w14:paraId="139C593F" w14:textId="295EABF7" w:rsidR="00002BB7" w:rsidRDefault="00002BB7">
      <w:pPr>
        <w:pStyle w:val="TOC1"/>
        <w:rPr>
          <w:rFonts w:eastAsiaTheme="minorEastAsia" w:cstheme="minorBidi"/>
          <w:b w:val="0"/>
          <w:noProof/>
          <w:color w:val="auto"/>
          <w:kern w:val="2"/>
          <w:sz w:val="24"/>
          <w:lang w:eastAsia="en-AU"/>
          <w14:ligatures w14:val="standardContextual"/>
        </w:rPr>
      </w:pPr>
      <w:r w:rsidRPr="00474DAB">
        <w:rPr>
          <w:noProof/>
          <w:lang w:val="en-GB"/>
        </w:rPr>
        <w:t>1.</w:t>
      </w:r>
      <w:r>
        <w:rPr>
          <w:rFonts w:eastAsiaTheme="minorEastAsia" w:cstheme="minorBidi"/>
          <w:b w:val="0"/>
          <w:noProof/>
          <w:color w:val="auto"/>
          <w:kern w:val="2"/>
          <w:sz w:val="24"/>
          <w:lang w:eastAsia="en-AU"/>
          <w14:ligatures w14:val="standardContextual"/>
        </w:rPr>
        <w:tab/>
      </w:r>
      <w:r>
        <w:rPr>
          <w:noProof/>
        </w:rPr>
        <w:t>Introduction</w:t>
      </w:r>
      <w:r>
        <w:rPr>
          <w:noProof/>
        </w:rPr>
        <w:tab/>
      </w:r>
      <w:r>
        <w:rPr>
          <w:noProof/>
        </w:rPr>
        <w:fldChar w:fldCharType="begin"/>
      </w:r>
      <w:r>
        <w:rPr>
          <w:noProof/>
        </w:rPr>
        <w:instrText xml:space="preserve"> PAGEREF _Toc204852500 \h </w:instrText>
      </w:r>
      <w:r>
        <w:rPr>
          <w:noProof/>
        </w:rPr>
      </w:r>
      <w:r>
        <w:rPr>
          <w:noProof/>
        </w:rPr>
        <w:fldChar w:fldCharType="separate"/>
      </w:r>
      <w:r>
        <w:rPr>
          <w:noProof/>
        </w:rPr>
        <w:t>5</w:t>
      </w:r>
      <w:r>
        <w:rPr>
          <w:noProof/>
        </w:rPr>
        <w:fldChar w:fldCharType="end"/>
      </w:r>
    </w:p>
    <w:p w14:paraId="70188739" w14:textId="52CD3652" w:rsidR="00002BB7" w:rsidRDefault="00002BB7">
      <w:pPr>
        <w:pStyle w:val="TOC1"/>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What is uncertainty?</w:t>
      </w:r>
      <w:r>
        <w:rPr>
          <w:noProof/>
        </w:rPr>
        <w:tab/>
      </w:r>
      <w:r>
        <w:rPr>
          <w:noProof/>
        </w:rPr>
        <w:fldChar w:fldCharType="begin"/>
      </w:r>
      <w:r>
        <w:rPr>
          <w:noProof/>
        </w:rPr>
        <w:instrText xml:space="preserve"> PAGEREF _Toc204852501 \h </w:instrText>
      </w:r>
      <w:r>
        <w:rPr>
          <w:noProof/>
        </w:rPr>
      </w:r>
      <w:r>
        <w:rPr>
          <w:noProof/>
        </w:rPr>
        <w:fldChar w:fldCharType="separate"/>
      </w:r>
      <w:r>
        <w:rPr>
          <w:noProof/>
        </w:rPr>
        <w:t>5</w:t>
      </w:r>
      <w:r>
        <w:rPr>
          <w:noProof/>
        </w:rPr>
        <w:fldChar w:fldCharType="end"/>
      </w:r>
    </w:p>
    <w:p w14:paraId="78089588" w14:textId="7D7E8342" w:rsidR="00002BB7" w:rsidRDefault="00002BB7">
      <w:pPr>
        <w:pStyle w:val="TOC1"/>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What is uncertainty used for?</w:t>
      </w:r>
      <w:r>
        <w:rPr>
          <w:noProof/>
        </w:rPr>
        <w:tab/>
      </w:r>
      <w:r>
        <w:rPr>
          <w:noProof/>
        </w:rPr>
        <w:fldChar w:fldCharType="begin"/>
      </w:r>
      <w:r>
        <w:rPr>
          <w:noProof/>
        </w:rPr>
        <w:instrText xml:space="preserve"> PAGEREF _Toc204852502 \h </w:instrText>
      </w:r>
      <w:r>
        <w:rPr>
          <w:noProof/>
        </w:rPr>
      </w:r>
      <w:r>
        <w:rPr>
          <w:noProof/>
        </w:rPr>
        <w:fldChar w:fldCharType="separate"/>
      </w:r>
      <w:r>
        <w:rPr>
          <w:noProof/>
        </w:rPr>
        <w:t>5</w:t>
      </w:r>
      <w:r>
        <w:rPr>
          <w:noProof/>
        </w:rPr>
        <w:fldChar w:fldCharType="end"/>
      </w:r>
    </w:p>
    <w:p w14:paraId="7C5D7E1C" w14:textId="04E39E7A" w:rsidR="00002BB7" w:rsidRDefault="00002BB7">
      <w:pPr>
        <w:pStyle w:val="TOC1"/>
        <w:rPr>
          <w:rFonts w:eastAsiaTheme="minorEastAsia" w:cstheme="minorBidi"/>
          <w:b w:val="0"/>
          <w:noProof/>
          <w:color w:val="auto"/>
          <w:kern w:val="2"/>
          <w:sz w:val="24"/>
          <w:lang w:eastAsia="en-AU"/>
          <w14:ligatures w14:val="standardContextual"/>
        </w:rPr>
      </w:pPr>
      <w:r w:rsidRPr="00474DAB">
        <w:rPr>
          <w:noProof/>
          <w:lang w:val="en-GB"/>
        </w:rPr>
        <w:t>4.</w:t>
      </w:r>
      <w:r>
        <w:rPr>
          <w:rFonts w:eastAsiaTheme="minorEastAsia" w:cstheme="minorBidi"/>
          <w:b w:val="0"/>
          <w:noProof/>
          <w:color w:val="auto"/>
          <w:kern w:val="2"/>
          <w:sz w:val="24"/>
          <w:lang w:eastAsia="en-AU"/>
          <w14:ligatures w14:val="standardContextual"/>
        </w:rPr>
        <w:tab/>
      </w:r>
      <w:r w:rsidRPr="00474DAB">
        <w:rPr>
          <w:noProof/>
          <w:lang w:val="en-GB"/>
        </w:rPr>
        <w:t>Uncertainty reporting thresholds and requirements</w:t>
      </w:r>
      <w:r>
        <w:rPr>
          <w:noProof/>
        </w:rPr>
        <w:tab/>
      </w:r>
      <w:r>
        <w:rPr>
          <w:noProof/>
        </w:rPr>
        <w:fldChar w:fldCharType="begin"/>
      </w:r>
      <w:r>
        <w:rPr>
          <w:noProof/>
        </w:rPr>
        <w:instrText xml:space="preserve"> PAGEREF _Toc204852503 \h </w:instrText>
      </w:r>
      <w:r>
        <w:rPr>
          <w:noProof/>
        </w:rPr>
      </w:r>
      <w:r>
        <w:rPr>
          <w:noProof/>
        </w:rPr>
        <w:fldChar w:fldCharType="separate"/>
      </w:r>
      <w:r>
        <w:rPr>
          <w:noProof/>
        </w:rPr>
        <w:t>6</w:t>
      </w:r>
      <w:r>
        <w:rPr>
          <w:noProof/>
        </w:rPr>
        <w:fldChar w:fldCharType="end"/>
      </w:r>
    </w:p>
    <w:p w14:paraId="29BBF42E" w14:textId="552DC835"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4.1.</w:t>
      </w:r>
      <w:r>
        <w:rPr>
          <w:rFonts w:eastAsiaTheme="minorEastAsia" w:cstheme="minorBidi"/>
          <w:noProof/>
          <w:color w:val="auto"/>
          <w:kern w:val="2"/>
          <w:sz w:val="24"/>
          <w:lang w:eastAsia="en-AU"/>
          <w14:ligatures w14:val="standardContextual"/>
        </w:rPr>
        <w:tab/>
      </w:r>
      <w:r>
        <w:rPr>
          <w:noProof/>
        </w:rPr>
        <w:t>Special cases: Emissions from entities that are not common ‘facilities’</w:t>
      </w:r>
      <w:r>
        <w:rPr>
          <w:noProof/>
        </w:rPr>
        <w:tab/>
      </w:r>
      <w:r>
        <w:rPr>
          <w:noProof/>
        </w:rPr>
        <w:fldChar w:fldCharType="begin"/>
      </w:r>
      <w:r>
        <w:rPr>
          <w:noProof/>
        </w:rPr>
        <w:instrText xml:space="preserve"> PAGEREF _Toc204852504 \h </w:instrText>
      </w:r>
      <w:r>
        <w:rPr>
          <w:noProof/>
        </w:rPr>
      </w:r>
      <w:r>
        <w:rPr>
          <w:noProof/>
        </w:rPr>
        <w:fldChar w:fldCharType="separate"/>
      </w:r>
      <w:r>
        <w:rPr>
          <w:noProof/>
        </w:rPr>
        <w:t>6</w:t>
      </w:r>
      <w:r>
        <w:rPr>
          <w:noProof/>
        </w:rPr>
        <w:fldChar w:fldCharType="end"/>
      </w:r>
    </w:p>
    <w:p w14:paraId="2A9353DE" w14:textId="70AD0B1C" w:rsidR="00002BB7" w:rsidRDefault="00002BB7">
      <w:pPr>
        <w:pStyle w:val="TOC3"/>
        <w:rPr>
          <w:rFonts w:eastAsiaTheme="minorEastAsia" w:cstheme="minorBidi"/>
          <w:noProof/>
          <w:color w:val="auto"/>
          <w:kern w:val="2"/>
          <w:sz w:val="24"/>
          <w:lang w:eastAsia="en-AU"/>
          <w14:ligatures w14:val="standardContextual"/>
        </w:rPr>
      </w:pPr>
      <w:r w:rsidRPr="00474DAB">
        <w:rPr>
          <w:noProof/>
          <w:lang w:val="en-GB"/>
        </w:rPr>
        <w:t>Facility Aggregates</w:t>
      </w:r>
      <w:r>
        <w:rPr>
          <w:noProof/>
        </w:rPr>
        <w:tab/>
      </w:r>
      <w:r>
        <w:rPr>
          <w:noProof/>
        </w:rPr>
        <w:fldChar w:fldCharType="begin"/>
      </w:r>
      <w:r>
        <w:rPr>
          <w:noProof/>
        </w:rPr>
        <w:instrText xml:space="preserve"> PAGEREF _Toc204852505 \h </w:instrText>
      </w:r>
      <w:r>
        <w:rPr>
          <w:noProof/>
        </w:rPr>
      </w:r>
      <w:r>
        <w:rPr>
          <w:noProof/>
        </w:rPr>
        <w:fldChar w:fldCharType="separate"/>
      </w:r>
      <w:r>
        <w:rPr>
          <w:noProof/>
        </w:rPr>
        <w:t>6</w:t>
      </w:r>
      <w:r>
        <w:rPr>
          <w:noProof/>
        </w:rPr>
        <w:fldChar w:fldCharType="end"/>
      </w:r>
    </w:p>
    <w:p w14:paraId="7105263D" w14:textId="671CF729" w:rsidR="00002BB7" w:rsidRDefault="00002BB7">
      <w:pPr>
        <w:pStyle w:val="TOC3"/>
        <w:rPr>
          <w:rFonts w:eastAsiaTheme="minorEastAsia" w:cstheme="minorBidi"/>
          <w:noProof/>
          <w:color w:val="auto"/>
          <w:kern w:val="2"/>
          <w:sz w:val="24"/>
          <w:lang w:eastAsia="en-AU"/>
          <w14:ligatures w14:val="standardContextual"/>
        </w:rPr>
      </w:pPr>
      <w:r w:rsidRPr="00474DAB">
        <w:rPr>
          <w:noProof/>
          <w:lang w:val="en-GB"/>
        </w:rPr>
        <w:t>Incidental and percentage reporting</w:t>
      </w:r>
      <w:r>
        <w:rPr>
          <w:noProof/>
        </w:rPr>
        <w:tab/>
      </w:r>
      <w:r>
        <w:rPr>
          <w:noProof/>
        </w:rPr>
        <w:fldChar w:fldCharType="begin"/>
      </w:r>
      <w:r>
        <w:rPr>
          <w:noProof/>
        </w:rPr>
        <w:instrText xml:space="preserve"> PAGEREF _Toc204852506 \h </w:instrText>
      </w:r>
      <w:r>
        <w:rPr>
          <w:noProof/>
        </w:rPr>
      </w:r>
      <w:r>
        <w:rPr>
          <w:noProof/>
        </w:rPr>
        <w:fldChar w:fldCharType="separate"/>
      </w:r>
      <w:r>
        <w:rPr>
          <w:noProof/>
        </w:rPr>
        <w:t>6</w:t>
      </w:r>
      <w:r>
        <w:rPr>
          <w:noProof/>
        </w:rPr>
        <w:fldChar w:fldCharType="end"/>
      </w:r>
    </w:p>
    <w:p w14:paraId="6D98F402" w14:textId="678DE86B" w:rsidR="00002BB7" w:rsidRDefault="00002BB7">
      <w:pPr>
        <w:pStyle w:val="TOC3"/>
        <w:rPr>
          <w:rFonts w:eastAsiaTheme="minorEastAsia" w:cstheme="minorBidi"/>
          <w:noProof/>
          <w:color w:val="auto"/>
          <w:kern w:val="2"/>
          <w:sz w:val="24"/>
          <w:lang w:eastAsia="en-AU"/>
          <w14:ligatures w14:val="standardContextual"/>
        </w:rPr>
      </w:pPr>
      <w:r w:rsidRPr="00474DAB">
        <w:rPr>
          <w:noProof/>
          <w:lang w:val="en-GB"/>
        </w:rPr>
        <w:t>Network or pipeline and multi-site cement site facilities</w:t>
      </w:r>
      <w:r>
        <w:rPr>
          <w:noProof/>
        </w:rPr>
        <w:tab/>
      </w:r>
      <w:r>
        <w:rPr>
          <w:noProof/>
        </w:rPr>
        <w:fldChar w:fldCharType="begin"/>
      </w:r>
      <w:r>
        <w:rPr>
          <w:noProof/>
        </w:rPr>
        <w:instrText xml:space="preserve"> PAGEREF _Toc204852507 \h </w:instrText>
      </w:r>
      <w:r>
        <w:rPr>
          <w:noProof/>
        </w:rPr>
      </w:r>
      <w:r>
        <w:rPr>
          <w:noProof/>
        </w:rPr>
        <w:fldChar w:fldCharType="separate"/>
      </w:r>
      <w:r>
        <w:rPr>
          <w:noProof/>
        </w:rPr>
        <w:t>6</w:t>
      </w:r>
      <w:r>
        <w:rPr>
          <w:noProof/>
        </w:rPr>
        <w:fldChar w:fldCharType="end"/>
      </w:r>
    </w:p>
    <w:p w14:paraId="1FD5E8B0" w14:textId="6C9CCEFB" w:rsidR="00002BB7" w:rsidRDefault="00002BB7">
      <w:pPr>
        <w:pStyle w:val="TOC1"/>
        <w:rPr>
          <w:rFonts w:eastAsiaTheme="minorEastAsia" w:cstheme="minorBidi"/>
          <w:b w:val="0"/>
          <w:noProof/>
          <w:color w:val="auto"/>
          <w:kern w:val="2"/>
          <w:sz w:val="24"/>
          <w:lang w:eastAsia="en-AU"/>
          <w14:ligatures w14:val="standardContextual"/>
        </w:rPr>
      </w:pPr>
      <w:r w:rsidRPr="00474DAB">
        <w:rPr>
          <w:noProof/>
          <w:lang w:val="en-GB"/>
        </w:rPr>
        <w:t>5.</w:t>
      </w:r>
      <w:r>
        <w:rPr>
          <w:rFonts w:eastAsiaTheme="minorEastAsia" w:cstheme="minorBidi"/>
          <w:b w:val="0"/>
          <w:noProof/>
          <w:color w:val="auto"/>
          <w:kern w:val="2"/>
          <w:sz w:val="24"/>
          <w:lang w:eastAsia="en-AU"/>
          <w14:ligatures w14:val="standardContextual"/>
        </w:rPr>
        <w:tab/>
      </w:r>
      <w:r w:rsidRPr="00474DAB">
        <w:rPr>
          <w:noProof/>
          <w:lang w:val="en-GB"/>
        </w:rPr>
        <w:t>How to assess uncertainty</w:t>
      </w:r>
      <w:r>
        <w:rPr>
          <w:noProof/>
        </w:rPr>
        <w:tab/>
      </w:r>
      <w:r>
        <w:rPr>
          <w:noProof/>
        </w:rPr>
        <w:fldChar w:fldCharType="begin"/>
      </w:r>
      <w:r>
        <w:rPr>
          <w:noProof/>
        </w:rPr>
        <w:instrText xml:space="preserve"> PAGEREF _Toc204852508 \h </w:instrText>
      </w:r>
      <w:r>
        <w:rPr>
          <w:noProof/>
        </w:rPr>
      </w:r>
      <w:r>
        <w:rPr>
          <w:noProof/>
        </w:rPr>
        <w:fldChar w:fldCharType="separate"/>
      </w:r>
      <w:r>
        <w:rPr>
          <w:noProof/>
        </w:rPr>
        <w:t>6</w:t>
      </w:r>
      <w:r>
        <w:rPr>
          <w:noProof/>
        </w:rPr>
        <w:fldChar w:fldCharType="end"/>
      </w:r>
    </w:p>
    <w:p w14:paraId="6C4C7A6E" w14:textId="39BBF445"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5.1.</w:t>
      </w:r>
      <w:r>
        <w:rPr>
          <w:rFonts w:eastAsiaTheme="minorEastAsia" w:cstheme="minorBidi"/>
          <w:noProof/>
          <w:color w:val="auto"/>
          <w:kern w:val="2"/>
          <w:sz w:val="24"/>
          <w:lang w:eastAsia="en-AU"/>
          <w14:ligatures w14:val="standardContextual"/>
        </w:rPr>
        <w:tab/>
      </w:r>
      <w:r>
        <w:rPr>
          <w:noProof/>
        </w:rPr>
        <w:t>Assessing uncertainty where Method 1 is used to estimate emissions</w:t>
      </w:r>
      <w:r>
        <w:rPr>
          <w:noProof/>
        </w:rPr>
        <w:tab/>
      </w:r>
      <w:r>
        <w:rPr>
          <w:noProof/>
        </w:rPr>
        <w:fldChar w:fldCharType="begin"/>
      </w:r>
      <w:r>
        <w:rPr>
          <w:noProof/>
        </w:rPr>
        <w:instrText xml:space="preserve"> PAGEREF _Toc204852509 \h </w:instrText>
      </w:r>
      <w:r>
        <w:rPr>
          <w:noProof/>
        </w:rPr>
      </w:r>
      <w:r>
        <w:rPr>
          <w:noProof/>
        </w:rPr>
        <w:fldChar w:fldCharType="separate"/>
      </w:r>
      <w:r>
        <w:rPr>
          <w:noProof/>
        </w:rPr>
        <w:t>7</w:t>
      </w:r>
      <w:r>
        <w:rPr>
          <w:noProof/>
        </w:rPr>
        <w:fldChar w:fldCharType="end"/>
      </w:r>
    </w:p>
    <w:p w14:paraId="4D01CDA3" w14:textId="08DFA988"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5.2.</w:t>
      </w:r>
      <w:r>
        <w:rPr>
          <w:rFonts w:eastAsiaTheme="minorEastAsia" w:cstheme="minorBidi"/>
          <w:noProof/>
          <w:color w:val="auto"/>
          <w:kern w:val="2"/>
          <w:sz w:val="24"/>
          <w:lang w:eastAsia="en-AU"/>
          <w14:ligatures w14:val="standardContextual"/>
        </w:rPr>
        <w:tab/>
      </w:r>
      <w:r>
        <w:rPr>
          <w:noProof/>
        </w:rPr>
        <w:t>Assessing uncertainty where Method 2, 3 or 4 is used to estimate emissions</w:t>
      </w:r>
      <w:r>
        <w:rPr>
          <w:noProof/>
        </w:rPr>
        <w:tab/>
      </w:r>
      <w:r>
        <w:rPr>
          <w:noProof/>
        </w:rPr>
        <w:fldChar w:fldCharType="begin"/>
      </w:r>
      <w:r>
        <w:rPr>
          <w:noProof/>
        </w:rPr>
        <w:instrText xml:space="preserve"> PAGEREF _Toc204852510 \h </w:instrText>
      </w:r>
      <w:r>
        <w:rPr>
          <w:noProof/>
        </w:rPr>
      </w:r>
      <w:r>
        <w:rPr>
          <w:noProof/>
        </w:rPr>
        <w:fldChar w:fldCharType="separate"/>
      </w:r>
      <w:r>
        <w:rPr>
          <w:noProof/>
        </w:rPr>
        <w:t>7</w:t>
      </w:r>
      <w:r>
        <w:rPr>
          <w:noProof/>
        </w:rPr>
        <w:fldChar w:fldCharType="end"/>
      </w:r>
    </w:p>
    <w:p w14:paraId="593AD3D5" w14:textId="0F8B4DC2"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5.3.</w:t>
      </w:r>
      <w:r>
        <w:rPr>
          <w:rFonts w:eastAsiaTheme="minorEastAsia" w:cstheme="minorBidi"/>
          <w:noProof/>
          <w:color w:val="auto"/>
          <w:kern w:val="2"/>
          <w:sz w:val="24"/>
          <w:lang w:eastAsia="en-AU"/>
          <w14:ligatures w14:val="standardContextual"/>
        </w:rPr>
        <w:tab/>
      </w:r>
      <w:r>
        <w:rPr>
          <w:noProof/>
        </w:rPr>
        <w:t>Assessing uncertainty for industrial process sources with no default uncertainty levels</w:t>
      </w:r>
      <w:r>
        <w:rPr>
          <w:noProof/>
        </w:rPr>
        <w:tab/>
      </w:r>
      <w:r>
        <w:rPr>
          <w:noProof/>
        </w:rPr>
        <w:fldChar w:fldCharType="begin"/>
      </w:r>
      <w:r>
        <w:rPr>
          <w:noProof/>
        </w:rPr>
        <w:instrText xml:space="preserve"> PAGEREF _Toc204852511 \h </w:instrText>
      </w:r>
      <w:r>
        <w:rPr>
          <w:noProof/>
        </w:rPr>
      </w:r>
      <w:r>
        <w:rPr>
          <w:noProof/>
        </w:rPr>
        <w:fldChar w:fldCharType="separate"/>
      </w:r>
      <w:r>
        <w:rPr>
          <w:noProof/>
        </w:rPr>
        <w:t>7</w:t>
      </w:r>
      <w:r>
        <w:rPr>
          <w:noProof/>
        </w:rPr>
        <w:fldChar w:fldCharType="end"/>
      </w:r>
    </w:p>
    <w:p w14:paraId="40DD889E" w14:textId="2B10F11C" w:rsidR="00002BB7" w:rsidRDefault="00002BB7">
      <w:pPr>
        <w:pStyle w:val="TOC1"/>
        <w:rPr>
          <w:rFonts w:eastAsiaTheme="minorEastAsia" w:cstheme="minorBidi"/>
          <w:b w:val="0"/>
          <w:noProof/>
          <w:color w:val="auto"/>
          <w:kern w:val="2"/>
          <w:sz w:val="24"/>
          <w:lang w:eastAsia="en-AU"/>
          <w14:ligatures w14:val="standardContextual"/>
        </w:rPr>
      </w:pPr>
      <w:r w:rsidRPr="00474DAB">
        <w:rPr>
          <w:noProof/>
          <w:lang w:val="en-GB"/>
        </w:rPr>
        <w:t>6.</w:t>
      </w:r>
      <w:r>
        <w:rPr>
          <w:rFonts w:eastAsiaTheme="minorEastAsia" w:cstheme="minorBidi"/>
          <w:b w:val="0"/>
          <w:noProof/>
          <w:color w:val="auto"/>
          <w:kern w:val="2"/>
          <w:sz w:val="24"/>
          <w:lang w:eastAsia="en-AU"/>
          <w14:ligatures w14:val="standardContextual"/>
        </w:rPr>
        <w:tab/>
      </w:r>
      <w:r w:rsidRPr="00474DAB">
        <w:rPr>
          <w:noProof/>
          <w:lang w:val="en-GB"/>
        </w:rPr>
        <w:t>Reporting uncertainty in the Emissions and Energy Reporting System</w:t>
      </w:r>
      <w:r>
        <w:rPr>
          <w:noProof/>
        </w:rPr>
        <w:tab/>
      </w:r>
      <w:r>
        <w:rPr>
          <w:noProof/>
        </w:rPr>
        <w:fldChar w:fldCharType="begin"/>
      </w:r>
      <w:r>
        <w:rPr>
          <w:noProof/>
        </w:rPr>
        <w:instrText xml:space="preserve"> PAGEREF _Toc204852512 \h </w:instrText>
      </w:r>
      <w:r>
        <w:rPr>
          <w:noProof/>
        </w:rPr>
      </w:r>
      <w:r>
        <w:rPr>
          <w:noProof/>
        </w:rPr>
        <w:fldChar w:fldCharType="separate"/>
      </w:r>
      <w:r>
        <w:rPr>
          <w:noProof/>
        </w:rPr>
        <w:t>8</w:t>
      </w:r>
      <w:r>
        <w:rPr>
          <w:noProof/>
        </w:rPr>
        <w:fldChar w:fldCharType="end"/>
      </w:r>
    </w:p>
    <w:p w14:paraId="0DCEE101" w14:textId="15360852"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6.1.</w:t>
      </w:r>
      <w:r>
        <w:rPr>
          <w:rFonts w:eastAsiaTheme="minorEastAsia" w:cstheme="minorBidi"/>
          <w:noProof/>
          <w:color w:val="auto"/>
          <w:kern w:val="2"/>
          <w:sz w:val="24"/>
          <w:lang w:eastAsia="en-AU"/>
          <w14:ligatures w14:val="standardContextual"/>
        </w:rPr>
        <w:tab/>
      </w:r>
      <w:r>
        <w:rPr>
          <w:noProof/>
        </w:rPr>
        <w:t>NGER Uncertainty Calculator</w:t>
      </w:r>
      <w:r>
        <w:rPr>
          <w:noProof/>
        </w:rPr>
        <w:tab/>
      </w:r>
      <w:r>
        <w:rPr>
          <w:noProof/>
        </w:rPr>
        <w:fldChar w:fldCharType="begin"/>
      </w:r>
      <w:r>
        <w:rPr>
          <w:noProof/>
        </w:rPr>
        <w:instrText xml:space="preserve"> PAGEREF _Toc204852513 \h </w:instrText>
      </w:r>
      <w:r>
        <w:rPr>
          <w:noProof/>
        </w:rPr>
      </w:r>
      <w:r>
        <w:rPr>
          <w:noProof/>
        </w:rPr>
        <w:fldChar w:fldCharType="separate"/>
      </w:r>
      <w:r>
        <w:rPr>
          <w:noProof/>
        </w:rPr>
        <w:t>9</w:t>
      </w:r>
      <w:r>
        <w:rPr>
          <w:noProof/>
        </w:rPr>
        <w:fldChar w:fldCharType="end"/>
      </w:r>
    </w:p>
    <w:p w14:paraId="549AA167" w14:textId="2FD8C7AA" w:rsidR="00002BB7" w:rsidRDefault="00002BB7">
      <w:pPr>
        <w:pStyle w:val="TOC1"/>
        <w:rPr>
          <w:rFonts w:eastAsiaTheme="minorEastAsia" w:cstheme="minorBidi"/>
          <w:b w:val="0"/>
          <w:noProof/>
          <w:color w:val="auto"/>
          <w:kern w:val="2"/>
          <w:sz w:val="24"/>
          <w:lang w:eastAsia="en-AU"/>
          <w14:ligatures w14:val="standardContextual"/>
        </w:rPr>
      </w:pPr>
      <w:r>
        <w:rPr>
          <w:noProof/>
        </w:rPr>
        <w:t>7.</w:t>
      </w:r>
      <w:r>
        <w:rPr>
          <w:rFonts w:eastAsiaTheme="minorEastAsia" w:cstheme="minorBidi"/>
          <w:b w:val="0"/>
          <w:noProof/>
          <w:color w:val="auto"/>
          <w:kern w:val="2"/>
          <w:sz w:val="24"/>
          <w:lang w:eastAsia="en-AU"/>
          <w14:ligatures w14:val="standardContextual"/>
        </w:rPr>
        <w:tab/>
      </w:r>
      <w:r>
        <w:rPr>
          <w:noProof/>
        </w:rPr>
        <w:t>More information and references</w:t>
      </w:r>
      <w:r>
        <w:rPr>
          <w:noProof/>
        </w:rPr>
        <w:tab/>
      </w:r>
      <w:r>
        <w:rPr>
          <w:noProof/>
        </w:rPr>
        <w:fldChar w:fldCharType="begin"/>
      </w:r>
      <w:r>
        <w:rPr>
          <w:noProof/>
        </w:rPr>
        <w:instrText xml:space="preserve"> PAGEREF _Toc204852514 \h </w:instrText>
      </w:r>
      <w:r>
        <w:rPr>
          <w:noProof/>
        </w:rPr>
      </w:r>
      <w:r>
        <w:rPr>
          <w:noProof/>
        </w:rPr>
        <w:fldChar w:fldCharType="separate"/>
      </w:r>
      <w:r>
        <w:rPr>
          <w:noProof/>
        </w:rPr>
        <w:t>9</w:t>
      </w:r>
      <w:r>
        <w:rPr>
          <w:noProof/>
        </w:rPr>
        <w:fldChar w:fldCharType="end"/>
      </w:r>
    </w:p>
    <w:p w14:paraId="4B2ED58B" w14:textId="3BA9BA77"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7.1.</w:t>
      </w:r>
      <w:r>
        <w:rPr>
          <w:rFonts w:eastAsiaTheme="minorEastAsia" w:cstheme="minorBidi"/>
          <w:noProof/>
          <w:color w:val="auto"/>
          <w:kern w:val="2"/>
          <w:sz w:val="24"/>
          <w:lang w:eastAsia="en-AU"/>
          <w14:ligatures w14:val="standardContextual"/>
        </w:rPr>
        <w:tab/>
      </w:r>
      <w:r>
        <w:rPr>
          <w:noProof/>
        </w:rPr>
        <w:t>More information</w:t>
      </w:r>
      <w:r>
        <w:rPr>
          <w:noProof/>
        </w:rPr>
        <w:tab/>
      </w:r>
      <w:r>
        <w:rPr>
          <w:noProof/>
        </w:rPr>
        <w:fldChar w:fldCharType="begin"/>
      </w:r>
      <w:r>
        <w:rPr>
          <w:noProof/>
        </w:rPr>
        <w:instrText xml:space="preserve"> PAGEREF _Toc204852515 \h </w:instrText>
      </w:r>
      <w:r>
        <w:rPr>
          <w:noProof/>
        </w:rPr>
      </w:r>
      <w:r>
        <w:rPr>
          <w:noProof/>
        </w:rPr>
        <w:fldChar w:fldCharType="separate"/>
      </w:r>
      <w:r>
        <w:rPr>
          <w:noProof/>
        </w:rPr>
        <w:t>9</w:t>
      </w:r>
      <w:r>
        <w:rPr>
          <w:noProof/>
        </w:rPr>
        <w:fldChar w:fldCharType="end"/>
      </w:r>
    </w:p>
    <w:p w14:paraId="5EC30944" w14:textId="6D7F7B55" w:rsidR="00002BB7" w:rsidRDefault="00002BB7">
      <w:pPr>
        <w:pStyle w:val="TOC2"/>
        <w:tabs>
          <w:tab w:val="left" w:pos="960"/>
          <w:tab w:val="right" w:leader="dot" w:pos="9730"/>
        </w:tabs>
        <w:rPr>
          <w:rFonts w:eastAsiaTheme="minorEastAsia" w:cstheme="minorBidi"/>
          <w:noProof/>
          <w:color w:val="auto"/>
          <w:kern w:val="2"/>
          <w:sz w:val="24"/>
          <w:lang w:eastAsia="en-AU"/>
          <w14:ligatures w14:val="standardContextual"/>
        </w:rPr>
      </w:pPr>
      <w:r>
        <w:rPr>
          <w:noProof/>
        </w:rPr>
        <w:t>7.2.</w:t>
      </w:r>
      <w:r>
        <w:rPr>
          <w:rFonts w:eastAsiaTheme="minorEastAsia" w:cstheme="minorBidi"/>
          <w:noProof/>
          <w:color w:val="auto"/>
          <w:kern w:val="2"/>
          <w:sz w:val="24"/>
          <w:lang w:eastAsia="en-AU"/>
          <w14:ligatures w14:val="standardContextual"/>
        </w:rPr>
        <w:tab/>
      </w:r>
      <w:r>
        <w:rPr>
          <w:noProof/>
        </w:rPr>
        <w:t>Guidelines</w:t>
      </w:r>
      <w:r>
        <w:rPr>
          <w:noProof/>
        </w:rPr>
        <w:tab/>
      </w:r>
      <w:r>
        <w:rPr>
          <w:noProof/>
        </w:rPr>
        <w:fldChar w:fldCharType="begin"/>
      </w:r>
      <w:r>
        <w:rPr>
          <w:noProof/>
        </w:rPr>
        <w:instrText xml:space="preserve"> PAGEREF _Toc204852516 \h </w:instrText>
      </w:r>
      <w:r>
        <w:rPr>
          <w:noProof/>
        </w:rPr>
      </w:r>
      <w:r>
        <w:rPr>
          <w:noProof/>
        </w:rPr>
        <w:fldChar w:fldCharType="separate"/>
      </w:r>
      <w:r>
        <w:rPr>
          <w:noProof/>
        </w:rPr>
        <w:t>9</w:t>
      </w:r>
      <w:r>
        <w:rPr>
          <w:noProof/>
        </w:rPr>
        <w:fldChar w:fldCharType="end"/>
      </w:r>
    </w:p>
    <w:p w14:paraId="6A75B548" w14:textId="7B475263" w:rsidR="00235142" w:rsidRDefault="00235142" w:rsidP="00235142">
      <w:r>
        <w:fldChar w:fldCharType="end"/>
      </w:r>
    </w:p>
    <w:p w14:paraId="4BC4C78A" w14:textId="77777777" w:rsidR="00012166" w:rsidRDefault="00235142" w:rsidP="00012166">
      <w:pPr>
        <w:pStyle w:val="Heading1"/>
      </w:pPr>
      <w:r>
        <w:br w:type="page"/>
      </w:r>
      <w:bookmarkStart w:id="6" w:name="_Toc489001005"/>
      <w:bookmarkStart w:id="7" w:name="_Toc42609445"/>
      <w:bookmarkStart w:id="8" w:name="_Toc106870227"/>
      <w:bookmarkStart w:id="9" w:name="_Toc198909892"/>
      <w:bookmarkStart w:id="10" w:name="_Toc204852497"/>
      <w:bookmarkEnd w:id="4"/>
      <w:bookmarkEnd w:id="5"/>
      <w:r w:rsidR="00012166">
        <w:lastRenderedPageBreak/>
        <w:t>Definitions and abbreviations</w:t>
      </w:r>
      <w:bookmarkEnd w:id="6"/>
      <w:bookmarkEnd w:id="7"/>
      <w:bookmarkEnd w:id="8"/>
      <w:bookmarkEnd w:id="9"/>
      <w:bookmarkEnd w:id="10"/>
      <w:r w:rsidR="00012166">
        <w:t xml:space="preserve"> </w:t>
      </w:r>
    </w:p>
    <w:tbl>
      <w:tblPr>
        <w:tblStyle w:val="CERTable"/>
        <w:tblW w:w="0" w:type="auto"/>
        <w:tblLook w:val="06A0" w:firstRow="1" w:lastRow="0" w:firstColumn="1" w:lastColumn="0" w:noHBand="1" w:noVBand="1"/>
      </w:tblPr>
      <w:tblGrid>
        <w:gridCol w:w="2486"/>
        <w:gridCol w:w="7244"/>
      </w:tblGrid>
      <w:tr w:rsidR="00012166" w:rsidRPr="00AA1BB1" w14:paraId="4E73168B" w14:textId="77777777" w:rsidTr="00B366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5727C735" w14:textId="77777777" w:rsidR="00012166" w:rsidRPr="00BF392D" w:rsidRDefault="00012166">
            <w:pPr>
              <w:spacing w:before="60"/>
              <w:jc w:val="center"/>
            </w:pPr>
            <w:r w:rsidRPr="00BF392D">
              <w:t>Term</w:t>
            </w:r>
          </w:p>
        </w:tc>
        <w:tc>
          <w:tcPr>
            <w:tcW w:w="7244" w:type="dxa"/>
          </w:tcPr>
          <w:p w14:paraId="2C12206F" w14:textId="77777777" w:rsidR="00012166" w:rsidRPr="00BF392D" w:rsidRDefault="00012166">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012166" w:rsidRPr="00AA1BB1" w14:paraId="03B01938" w14:textId="77777777">
        <w:tc>
          <w:tcPr>
            <w:cnfStyle w:val="001000000000" w:firstRow="0" w:lastRow="0" w:firstColumn="1" w:lastColumn="0" w:oddVBand="0" w:evenVBand="0" w:oddHBand="0" w:evenHBand="0" w:firstRowFirstColumn="0" w:firstRowLastColumn="0" w:lastRowFirstColumn="0" w:lastRowLastColumn="0"/>
            <w:tcW w:w="2486" w:type="dxa"/>
          </w:tcPr>
          <w:p w14:paraId="3034B2A1" w14:textId="77777777" w:rsidR="00012166" w:rsidRDefault="00012166">
            <w:pPr>
              <w:spacing w:before="60"/>
            </w:pPr>
            <w:r w:rsidRPr="00F4378E">
              <w:t>CO</w:t>
            </w:r>
            <w:r w:rsidRPr="0083432B">
              <w:rPr>
                <w:vertAlign w:val="subscript"/>
              </w:rPr>
              <w:t>2</w:t>
            </w:r>
          </w:p>
        </w:tc>
        <w:tc>
          <w:tcPr>
            <w:tcW w:w="7244" w:type="dxa"/>
          </w:tcPr>
          <w:p w14:paraId="70B5A60C" w14:textId="77777777" w:rsidR="00012166" w:rsidRDefault="00012166">
            <w:pPr>
              <w:spacing w:before="60"/>
              <w:cnfStyle w:val="000000000000" w:firstRow="0" w:lastRow="0" w:firstColumn="0" w:lastColumn="0" w:oddVBand="0" w:evenVBand="0" w:oddHBand="0" w:evenHBand="0" w:firstRowFirstColumn="0" w:firstRowLastColumn="0" w:lastRowFirstColumn="0" w:lastRowLastColumn="0"/>
            </w:pPr>
            <w:r w:rsidRPr="00F4378E">
              <w:t>Carbon dioxide</w:t>
            </w:r>
          </w:p>
        </w:tc>
      </w:tr>
      <w:tr w:rsidR="00012166" w:rsidRPr="00AA1BB1" w14:paraId="54F706A7" w14:textId="77777777">
        <w:tc>
          <w:tcPr>
            <w:cnfStyle w:val="001000000000" w:firstRow="0" w:lastRow="0" w:firstColumn="1" w:lastColumn="0" w:oddVBand="0" w:evenVBand="0" w:oddHBand="0" w:evenHBand="0" w:firstRowFirstColumn="0" w:firstRowLastColumn="0" w:lastRowFirstColumn="0" w:lastRowLastColumn="0"/>
            <w:tcW w:w="2486" w:type="dxa"/>
          </w:tcPr>
          <w:p w14:paraId="15C41A64" w14:textId="77777777" w:rsidR="00012166" w:rsidRDefault="00012166">
            <w:pPr>
              <w:spacing w:before="60"/>
            </w:pPr>
            <w:r w:rsidRPr="00F4378E">
              <w:t>CO</w:t>
            </w:r>
            <w:r w:rsidRPr="0083432B">
              <w:rPr>
                <w:vertAlign w:val="subscript"/>
              </w:rPr>
              <w:t>2</w:t>
            </w:r>
            <w:r w:rsidRPr="00F4378E">
              <w:t>-e</w:t>
            </w:r>
          </w:p>
        </w:tc>
        <w:tc>
          <w:tcPr>
            <w:tcW w:w="7244" w:type="dxa"/>
          </w:tcPr>
          <w:p w14:paraId="1F3525C7" w14:textId="77777777" w:rsidR="00012166" w:rsidRDefault="00012166">
            <w:pPr>
              <w:spacing w:before="60"/>
              <w:cnfStyle w:val="000000000000" w:firstRow="0" w:lastRow="0" w:firstColumn="0" w:lastColumn="0" w:oddVBand="0" w:evenVBand="0" w:oddHBand="0" w:evenHBand="0" w:firstRowFirstColumn="0" w:firstRowLastColumn="0" w:lastRowFirstColumn="0" w:lastRowLastColumn="0"/>
            </w:pPr>
            <w:r w:rsidRPr="00F4378E">
              <w:t>Carbon dioxide equivalence</w:t>
            </w:r>
          </w:p>
        </w:tc>
      </w:tr>
      <w:tr w:rsidR="00012166" w:rsidRPr="00AA1BB1" w14:paraId="4B5B606F" w14:textId="77777777">
        <w:tc>
          <w:tcPr>
            <w:cnfStyle w:val="001000000000" w:firstRow="0" w:lastRow="0" w:firstColumn="1" w:lastColumn="0" w:oddVBand="0" w:evenVBand="0" w:oddHBand="0" w:evenHBand="0" w:firstRowFirstColumn="0" w:firstRowLastColumn="0" w:lastRowFirstColumn="0" w:lastRowLastColumn="0"/>
            <w:tcW w:w="2486" w:type="dxa"/>
          </w:tcPr>
          <w:p w14:paraId="23C719D3" w14:textId="77777777" w:rsidR="00012166" w:rsidRPr="00AA1BB1" w:rsidRDefault="00012166">
            <w:pPr>
              <w:spacing w:before="60"/>
            </w:pPr>
            <w:r>
              <w:t>EERS</w:t>
            </w:r>
          </w:p>
        </w:tc>
        <w:tc>
          <w:tcPr>
            <w:tcW w:w="7244" w:type="dxa"/>
          </w:tcPr>
          <w:p w14:paraId="28366F5F" w14:textId="77777777" w:rsidR="00012166" w:rsidRPr="00AA1BB1" w:rsidRDefault="00012166">
            <w:pPr>
              <w:spacing w:before="60"/>
              <w:cnfStyle w:val="000000000000" w:firstRow="0" w:lastRow="0" w:firstColumn="0" w:lastColumn="0" w:oddVBand="0" w:evenVBand="0" w:oddHBand="0" w:evenHBand="0" w:firstRowFirstColumn="0" w:firstRowLastColumn="0" w:lastRowFirstColumn="0" w:lastRowLastColumn="0"/>
            </w:pPr>
            <w:r>
              <w:t>The Clean Energy Regulator’s Emissions and Energy Reporting System, which is used for National Greenhouse and Energy Reporting (NGER) reporting.</w:t>
            </w:r>
          </w:p>
        </w:tc>
      </w:tr>
      <w:tr w:rsidR="00012166" w:rsidRPr="00AA1BB1" w14:paraId="3DF9523B" w14:textId="77777777">
        <w:tc>
          <w:tcPr>
            <w:cnfStyle w:val="001000000000" w:firstRow="0" w:lastRow="0" w:firstColumn="1" w:lastColumn="0" w:oddVBand="0" w:evenVBand="0" w:oddHBand="0" w:evenHBand="0" w:firstRowFirstColumn="0" w:firstRowLastColumn="0" w:lastRowFirstColumn="0" w:lastRowLastColumn="0"/>
            <w:tcW w:w="2486" w:type="dxa"/>
          </w:tcPr>
          <w:p w14:paraId="0B8F62C3" w14:textId="77777777" w:rsidR="00012166" w:rsidRPr="00AA1BB1" w:rsidRDefault="00012166">
            <w:pPr>
              <w:spacing w:before="60"/>
            </w:pPr>
            <w:r w:rsidRPr="00AA1BB1">
              <w:t>NGER Act</w:t>
            </w:r>
          </w:p>
        </w:tc>
        <w:tc>
          <w:tcPr>
            <w:tcW w:w="7244" w:type="dxa"/>
          </w:tcPr>
          <w:p w14:paraId="16CC7D8D" w14:textId="77777777" w:rsidR="00012166" w:rsidRPr="00E95F4A" w:rsidRDefault="00012166">
            <w:pPr>
              <w:spacing w:before="60"/>
              <w:cnfStyle w:val="000000000000" w:firstRow="0" w:lastRow="0" w:firstColumn="0" w:lastColumn="0" w:oddVBand="0" w:evenVBand="0" w:oddHBand="0" w:evenHBand="0" w:firstRowFirstColumn="0" w:firstRowLastColumn="0" w:lastRowFirstColumn="0" w:lastRowLastColumn="0"/>
              <w:rPr>
                <w:i/>
              </w:rPr>
            </w:pPr>
            <w:r w:rsidRPr="00E95F4A">
              <w:rPr>
                <w:i/>
              </w:rPr>
              <w:t>National Greenhouse and Energy Reporting Act 2007</w:t>
            </w:r>
          </w:p>
        </w:tc>
      </w:tr>
      <w:tr w:rsidR="00012166" w:rsidRPr="00AA1BB1" w14:paraId="0A761FA8" w14:textId="77777777">
        <w:tc>
          <w:tcPr>
            <w:cnfStyle w:val="001000000000" w:firstRow="0" w:lastRow="0" w:firstColumn="1" w:lastColumn="0" w:oddVBand="0" w:evenVBand="0" w:oddHBand="0" w:evenHBand="0" w:firstRowFirstColumn="0" w:firstRowLastColumn="0" w:lastRowFirstColumn="0" w:lastRowLastColumn="0"/>
            <w:tcW w:w="2486" w:type="dxa"/>
          </w:tcPr>
          <w:p w14:paraId="20D46A44" w14:textId="77777777" w:rsidR="00012166" w:rsidRPr="00AA1BB1" w:rsidRDefault="00012166">
            <w:pPr>
              <w:spacing w:before="60"/>
            </w:pPr>
            <w:r>
              <w:t>NGER Legislation</w:t>
            </w:r>
          </w:p>
        </w:tc>
        <w:tc>
          <w:tcPr>
            <w:tcW w:w="7244" w:type="dxa"/>
          </w:tcPr>
          <w:p w14:paraId="0FFD7B76" w14:textId="77777777" w:rsidR="00012166" w:rsidRPr="009E754F" w:rsidRDefault="00012166">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rsidRPr="009E754F">
              <w:t>NGER Act, NGER Measurement Determination and NGER Regulations</w:t>
            </w:r>
          </w:p>
        </w:tc>
      </w:tr>
      <w:tr w:rsidR="00012166" w:rsidRPr="00AA1BB1" w14:paraId="2980290D" w14:textId="77777777">
        <w:tc>
          <w:tcPr>
            <w:cnfStyle w:val="001000000000" w:firstRow="0" w:lastRow="0" w:firstColumn="1" w:lastColumn="0" w:oddVBand="0" w:evenVBand="0" w:oddHBand="0" w:evenHBand="0" w:firstRowFirstColumn="0" w:firstRowLastColumn="0" w:lastRowFirstColumn="0" w:lastRowLastColumn="0"/>
            <w:tcW w:w="2486" w:type="dxa"/>
          </w:tcPr>
          <w:p w14:paraId="70A935F0" w14:textId="77777777" w:rsidR="00012166" w:rsidRPr="00AA1BB1" w:rsidRDefault="00012166">
            <w:pPr>
              <w:spacing w:before="60"/>
            </w:pPr>
            <w:r>
              <w:t>NGER Measurement Determination</w:t>
            </w:r>
          </w:p>
        </w:tc>
        <w:tc>
          <w:tcPr>
            <w:tcW w:w="7244" w:type="dxa"/>
          </w:tcPr>
          <w:p w14:paraId="26872416" w14:textId="77777777" w:rsidR="00012166" w:rsidRPr="0083432B" w:rsidRDefault="00012166">
            <w:pPr>
              <w:spacing w:before="60"/>
              <w:cnfStyle w:val="000000000000" w:firstRow="0" w:lastRow="0" w:firstColumn="0" w:lastColumn="0" w:oddVBand="0" w:evenVBand="0" w:oddHBand="0" w:evenHBand="0" w:firstRowFirstColumn="0" w:firstRowLastColumn="0" w:lastRowFirstColumn="0" w:lastRowLastColumn="0"/>
              <w:rPr>
                <w:iCs/>
              </w:rPr>
            </w:pPr>
            <w:r w:rsidRPr="0083432B">
              <w:rPr>
                <w:iCs/>
              </w:rPr>
              <w:t>National Greenhouse and Energy Reporting (Measurement) Determination 2008</w:t>
            </w:r>
          </w:p>
        </w:tc>
      </w:tr>
      <w:tr w:rsidR="00012166" w:rsidRPr="00AA1BB1" w14:paraId="16A59758" w14:textId="77777777">
        <w:tc>
          <w:tcPr>
            <w:cnfStyle w:val="001000000000" w:firstRow="0" w:lastRow="0" w:firstColumn="1" w:lastColumn="0" w:oddVBand="0" w:evenVBand="0" w:oddHBand="0" w:evenHBand="0" w:firstRowFirstColumn="0" w:firstRowLastColumn="0" w:lastRowFirstColumn="0" w:lastRowLastColumn="0"/>
            <w:tcW w:w="2486" w:type="dxa"/>
          </w:tcPr>
          <w:p w14:paraId="34B38F05" w14:textId="77777777" w:rsidR="00012166" w:rsidRPr="00AA1BB1" w:rsidRDefault="00012166">
            <w:pPr>
              <w:spacing w:before="60"/>
            </w:pPr>
            <w:r w:rsidRPr="00AA1BB1">
              <w:t>NGER Regulations</w:t>
            </w:r>
          </w:p>
        </w:tc>
        <w:tc>
          <w:tcPr>
            <w:tcW w:w="7244" w:type="dxa"/>
          </w:tcPr>
          <w:p w14:paraId="67828E9A" w14:textId="77777777" w:rsidR="00012166" w:rsidRPr="0083432B" w:rsidRDefault="00012166">
            <w:pPr>
              <w:spacing w:before="60"/>
              <w:cnfStyle w:val="000000000000" w:firstRow="0" w:lastRow="0" w:firstColumn="0" w:lastColumn="0" w:oddVBand="0" w:evenVBand="0" w:oddHBand="0" w:evenHBand="0" w:firstRowFirstColumn="0" w:firstRowLastColumn="0" w:lastRowFirstColumn="0" w:lastRowLastColumn="0"/>
              <w:rPr>
                <w:iCs/>
              </w:rPr>
            </w:pPr>
            <w:r w:rsidRPr="0083432B">
              <w:rPr>
                <w:iCs/>
              </w:rPr>
              <w:t>National Greenhouse and Energy Reporting Regulations 2008</w:t>
            </w:r>
          </w:p>
        </w:tc>
      </w:tr>
      <w:tr w:rsidR="00012166" w:rsidRPr="00AA1BB1" w14:paraId="7DD69B72" w14:textId="77777777">
        <w:tc>
          <w:tcPr>
            <w:cnfStyle w:val="001000000000" w:firstRow="0" w:lastRow="0" w:firstColumn="1" w:lastColumn="0" w:oddVBand="0" w:evenVBand="0" w:oddHBand="0" w:evenHBand="0" w:firstRowFirstColumn="0" w:firstRowLastColumn="0" w:lastRowFirstColumn="0" w:lastRowLastColumn="0"/>
            <w:tcW w:w="2486" w:type="dxa"/>
          </w:tcPr>
          <w:p w14:paraId="69ABC5EF" w14:textId="77777777" w:rsidR="00012166" w:rsidRPr="00AA1BB1" w:rsidRDefault="00012166">
            <w:pPr>
              <w:spacing w:before="60"/>
            </w:pPr>
            <w:r w:rsidRPr="00AA1BB1">
              <w:t>Scope 1 emissions</w:t>
            </w:r>
          </w:p>
        </w:tc>
        <w:tc>
          <w:tcPr>
            <w:tcW w:w="7244" w:type="dxa"/>
          </w:tcPr>
          <w:p w14:paraId="7DD56026" w14:textId="77777777" w:rsidR="00012166" w:rsidRPr="00AA1BB1" w:rsidRDefault="00012166">
            <w:pPr>
              <w:spacing w:before="60"/>
              <w:cnfStyle w:val="000000000000" w:firstRow="0" w:lastRow="0" w:firstColumn="0" w:lastColumn="0" w:oddVBand="0" w:evenVBand="0" w:oddHBand="0" w:evenHBand="0" w:firstRowFirstColumn="0" w:firstRowLastColumn="0" w:lastRowFirstColumn="0" w:lastRowLastColumn="0"/>
            </w:pPr>
            <w:r>
              <w:t>T</w:t>
            </w:r>
            <w:r w:rsidRPr="00AA1BB1">
              <w:t>he release of greenhouse gas into the atmosphere as a direct result of an activity or series of activities (including ancillary activities) that constitute the facility.</w:t>
            </w:r>
          </w:p>
        </w:tc>
      </w:tr>
      <w:tr w:rsidR="00012166" w:rsidRPr="00AA1BB1" w14:paraId="6AEE68F2" w14:textId="77777777">
        <w:tc>
          <w:tcPr>
            <w:cnfStyle w:val="001000000000" w:firstRow="0" w:lastRow="0" w:firstColumn="1" w:lastColumn="0" w:oddVBand="0" w:evenVBand="0" w:oddHBand="0" w:evenHBand="0" w:firstRowFirstColumn="0" w:firstRowLastColumn="0" w:lastRowFirstColumn="0" w:lastRowLastColumn="0"/>
            <w:tcW w:w="2486" w:type="dxa"/>
          </w:tcPr>
          <w:p w14:paraId="2D16582E" w14:textId="77777777" w:rsidR="00012166" w:rsidRPr="00AA1BB1" w:rsidRDefault="00012166">
            <w:pPr>
              <w:spacing w:before="60"/>
            </w:pPr>
            <w:r w:rsidRPr="00AA1BB1">
              <w:t>Scope 2 emissions</w:t>
            </w:r>
          </w:p>
        </w:tc>
        <w:tc>
          <w:tcPr>
            <w:tcW w:w="7244" w:type="dxa"/>
          </w:tcPr>
          <w:p w14:paraId="4D41A89D" w14:textId="77777777" w:rsidR="00012166" w:rsidRPr="00AA1BB1" w:rsidRDefault="00012166">
            <w:pPr>
              <w:spacing w:before="60"/>
              <w:cnfStyle w:val="000000000000" w:firstRow="0" w:lastRow="0" w:firstColumn="0" w:lastColumn="0" w:oddVBand="0" w:evenVBand="0" w:oddHBand="0" w:evenHBand="0" w:firstRowFirstColumn="0" w:firstRowLastColumn="0" w:lastRowFirstColumn="0" w:lastRowLastColumn="0"/>
            </w:pPr>
            <w:r>
              <w:t>T</w:t>
            </w:r>
            <w:r w:rsidRPr="00AA1BB1">
              <w:t>he release of greenhouse gas into the atmosphere as a direct result of one or more activities that generate electricity, heating, cooling or steam that is consumed by the facility but that do not form part of the facility.</w:t>
            </w:r>
          </w:p>
        </w:tc>
      </w:tr>
      <w:tr w:rsidR="00012166" w:rsidRPr="00AA1BB1" w14:paraId="22B3780D" w14:textId="77777777">
        <w:tc>
          <w:tcPr>
            <w:cnfStyle w:val="001000000000" w:firstRow="0" w:lastRow="0" w:firstColumn="1" w:lastColumn="0" w:oddVBand="0" w:evenVBand="0" w:oddHBand="0" w:evenHBand="0" w:firstRowFirstColumn="0" w:firstRowLastColumn="0" w:lastRowFirstColumn="0" w:lastRowLastColumn="0"/>
            <w:tcW w:w="2486" w:type="dxa"/>
          </w:tcPr>
          <w:p w14:paraId="573D0AEB" w14:textId="77777777" w:rsidR="00012166" w:rsidRPr="00AA1BB1" w:rsidRDefault="00012166">
            <w:pPr>
              <w:spacing w:before="60"/>
            </w:pPr>
            <w:r w:rsidRPr="00AA1BB1">
              <w:t>t CO</w:t>
            </w:r>
            <w:r w:rsidRPr="004C4CDE">
              <w:rPr>
                <w:vertAlign w:val="subscript"/>
              </w:rPr>
              <w:t>2</w:t>
            </w:r>
            <w:r w:rsidRPr="00AA1BB1">
              <w:t>-e</w:t>
            </w:r>
          </w:p>
        </w:tc>
        <w:tc>
          <w:tcPr>
            <w:tcW w:w="7244" w:type="dxa"/>
          </w:tcPr>
          <w:p w14:paraId="5BD8AEB7" w14:textId="77777777" w:rsidR="00012166" w:rsidRPr="00AA1BB1" w:rsidRDefault="00012166">
            <w:pPr>
              <w:spacing w:before="60"/>
              <w:cnfStyle w:val="000000000000" w:firstRow="0" w:lastRow="0" w:firstColumn="0" w:lastColumn="0" w:oddVBand="0" w:evenVBand="0" w:oddHBand="0" w:evenHBand="0" w:firstRowFirstColumn="0" w:firstRowLastColumn="0" w:lastRowFirstColumn="0" w:lastRowLastColumn="0"/>
            </w:pPr>
            <w:r w:rsidRPr="00AA1BB1">
              <w:t>Tonnes carbon dioxide equivalence</w:t>
            </w:r>
          </w:p>
        </w:tc>
      </w:tr>
      <w:tr w:rsidR="00012166" w:rsidRPr="00AA1BB1" w14:paraId="5066DDA5" w14:textId="77777777">
        <w:tc>
          <w:tcPr>
            <w:cnfStyle w:val="001000000000" w:firstRow="0" w:lastRow="0" w:firstColumn="1" w:lastColumn="0" w:oddVBand="0" w:evenVBand="0" w:oddHBand="0" w:evenHBand="0" w:firstRowFirstColumn="0" w:firstRowLastColumn="0" w:lastRowFirstColumn="0" w:lastRowLastColumn="0"/>
            <w:tcW w:w="2486" w:type="dxa"/>
          </w:tcPr>
          <w:p w14:paraId="5A114ED5" w14:textId="77777777" w:rsidR="00012166" w:rsidRPr="00AA1BB1" w:rsidRDefault="00012166">
            <w:pPr>
              <w:spacing w:before="60"/>
            </w:pPr>
            <w:r>
              <w:t>Uncertainty protocol</w:t>
            </w:r>
          </w:p>
        </w:tc>
        <w:tc>
          <w:tcPr>
            <w:tcW w:w="7244" w:type="dxa"/>
          </w:tcPr>
          <w:p w14:paraId="650A1F7D" w14:textId="77777777" w:rsidR="00012166" w:rsidRPr="00AA1BB1" w:rsidRDefault="00012166">
            <w:pPr>
              <w:spacing w:before="60"/>
              <w:cnfStyle w:val="000000000000" w:firstRow="0" w:lastRow="0" w:firstColumn="0" w:lastColumn="0" w:oddVBand="0" w:evenVBand="0" w:oddHBand="0" w:evenHBand="0" w:firstRowFirstColumn="0" w:firstRowLastColumn="0" w:lastRowFirstColumn="0" w:lastRowLastColumn="0"/>
            </w:pPr>
            <w:r>
              <w:t>The document titled: ‘</w:t>
            </w:r>
            <w:r w:rsidRPr="002B6B52">
              <w:t>GHG Protocol guidance on uncertainty assessment in GHG inventories and calculating statistical parameter uncertainty</w:t>
            </w:r>
            <w:r>
              <w:t>’</w:t>
            </w:r>
            <w:r w:rsidRPr="002B6B52">
              <w:t xml:space="preserve"> (September 2003 v1.0)</w:t>
            </w:r>
            <w:r>
              <w:t xml:space="preserve"> issued by the ‘World Resources Institute’ and the ‘World Business Council for Sustainable Development’.</w:t>
            </w:r>
          </w:p>
        </w:tc>
      </w:tr>
    </w:tbl>
    <w:p w14:paraId="199FD330" w14:textId="77777777" w:rsidR="00EC1970" w:rsidRPr="00F8076C" w:rsidRDefault="00EC1970" w:rsidP="00EC1970">
      <w:pPr>
        <w:pStyle w:val="BodyText1"/>
      </w:pPr>
      <w:bookmarkStart w:id="11" w:name="_Toc489001006"/>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23759090" w14:textId="61FFFF46" w:rsidR="00EC1970" w:rsidRPr="00F8076C" w:rsidRDefault="00EC1970" w:rsidP="00EC1970">
      <w:pPr>
        <w:pStyle w:val="BodyText1"/>
      </w:pPr>
      <w:r w:rsidRPr="00F8076C">
        <w:t xml:space="preserve">For more information on interpreting legislation see </w:t>
      </w:r>
      <w:hyperlink r:id="rId22" w:tooltip="A link to the Australian Government site - Understanding Federal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2"/>
      </w:r>
      <w:r w:rsidRPr="00F8076C">
        <w:t>.</w:t>
      </w:r>
    </w:p>
    <w:p w14:paraId="1551D79D" w14:textId="38C14DD7" w:rsidR="00012166" w:rsidRDefault="00012166" w:rsidP="00012166">
      <w:pPr>
        <w:pStyle w:val="Heading1"/>
      </w:pPr>
      <w:r>
        <w:br w:type="page"/>
      </w:r>
    </w:p>
    <w:p w14:paraId="7FC95F3F" w14:textId="77777777" w:rsidR="00012166" w:rsidRDefault="00012166" w:rsidP="00012166">
      <w:pPr>
        <w:pStyle w:val="Heading1"/>
      </w:pPr>
      <w:bookmarkStart w:id="12" w:name="_Toc42609446"/>
      <w:bookmarkStart w:id="13" w:name="_Toc106870228"/>
      <w:bookmarkStart w:id="14" w:name="_Toc198909893"/>
      <w:bookmarkStart w:id="15" w:name="_Toc204852498"/>
      <w:r>
        <w:lastRenderedPageBreak/>
        <w:t>Disclaimer</w:t>
      </w:r>
      <w:bookmarkEnd w:id="11"/>
      <w:bookmarkEnd w:id="12"/>
      <w:bookmarkEnd w:id="13"/>
      <w:bookmarkEnd w:id="14"/>
      <w:bookmarkEnd w:id="15"/>
    </w:p>
    <w:p w14:paraId="6B580372" w14:textId="025C56C7" w:rsidR="00012166" w:rsidRPr="000B3301" w:rsidRDefault="00012166" w:rsidP="00012166">
      <w:pPr>
        <w:autoSpaceDE w:val="0"/>
        <w:autoSpaceDN w:val="0"/>
        <w:adjustRightInd w:val="0"/>
        <w:spacing w:after="0"/>
        <w:rPr>
          <w:lang w:eastAsia="en-AU"/>
        </w:rPr>
      </w:pPr>
      <w:bookmarkStart w:id="16" w:name="_Hlk43829006"/>
      <w:bookmarkStart w:id="17" w:name="_Hlk43905249"/>
      <w:r w:rsidRPr="000B3301">
        <w:rPr>
          <w:lang w:eastAsia="en-AU"/>
        </w:rPr>
        <w:t>This</w:t>
      </w:r>
      <w:r w:rsidRPr="000B3301">
        <w:rPr>
          <w:i/>
          <w:iCs/>
          <w:lang w:eastAsia="en-AU"/>
        </w:rPr>
        <w:t xml:space="preserve"> </w:t>
      </w:r>
      <w:r w:rsidRPr="000B3301">
        <w:rPr>
          <w:lang w:eastAsia="en-AU"/>
        </w:rPr>
        <w:t>guideline has been developed by the Clean Energy Regulator (</w:t>
      </w:r>
      <w:r w:rsidR="42760738" w:rsidRPr="000B3301">
        <w:rPr>
          <w:lang w:eastAsia="en-AU"/>
        </w:rPr>
        <w:t>CER</w:t>
      </w:r>
      <w:r w:rsidRPr="000B3301">
        <w:rPr>
          <w:lang w:eastAsia="en-AU"/>
        </w:rPr>
        <w:t xml:space="preserve">) to assist entities to comply with their reporting obligations under the </w:t>
      </w:r>
      <w:hyperlink r:id="rId23" w:tooltip="Link to the National Greenhouse and Energy Reporting Act 2007 on the Australian Government Federal Register of Legislation" w:history="1">
        <w:r w:rsidRPr="000B3301">
          <w:rPr>
            <w:rStyle w:val="Hyperlink"/>
            <w:i/>
            <w:iCs/>
            <w:lang w:eastAsia="en-AU"/>
          </w:rPr>
          <w:t>National Greenhouse and Energy Reporting Act 2007</w:t>
        </w:r>
      </w:hyperlink>
      <w:bookmarkStart w:id="18" w:name="_Ref105748531"/>
      <w:r w:rsidRPr="00A469D7">
        <w:rPr>
          <w:rStyle w:val="FootnoteReference"/>
          <w:color w:val="000000"/>
          <w:lang w:eastAsia="en-AU"/>
        </w:rPr>
        <w:footnoteReference w:id="3"/>
      </w:r>
      <w:bookmarkEnd w:id="18"/>
      <w:r w:rsidRPr="000B3301">
        <w:rPr>
          <w:i/>
          <w:iCs/>
          <w:lang w:eastAsia="en-AU"/>
        </w:rPr>
        <w:t xml:space="preserve"> </w:t>
      </w:r>
      <w:r w:rsidRPr="000B3301">
        <w:rPr>
          <w:iCs/>
          <w:lang w:eastAsia="en-AU"/>
        </w:rPr>
        <w:t>(NGER Act)</w:t>
      </w:r>
      <w:r w:rsidRPr="000B3301">
        <w:rPr>
          <w:i/>
          <w:iCs/>
          <w:lang w:eastAsia="en-AU"/>
        </w:rPr>
        <w:t xml:space="preserve"> </w:t>
      </w:r>
      <w:r w:rsidRPr="000B3301">
        <w:rPr>
          <w:lang w:eastAsia="en-AU"/>
        </w:rPr>
        <w:t>and associated legislation.</w:t>
      </w:r>
    </w:p>
    <w:p w14:paraId="2A892D84" w14:textId="77777777" w:rsidR="00012166" w:rsidRPr="000B3301" w:rsidRDefault="00012166" w:rsidP="00012166">
      <w:pPr>
        <w:autoSpaceDE w:val="0"/>
        <w:autoSpaceDN w:val="0"/>
        <w:adjustRightInd w:val="0"/>
        <w:spacing w:after="0"/>
        <w:rPr>
          <w:lang w:eastAsia="en-AU"/>
        </w:rPr>
      </w:pPr>
    </w:p>
    <w:p w14:paraId="6BA3F997" w14:textId="1B4C774A" w:rsidR="00012166" w:rsidRPr="000B3301" w:rsidRDefault="00012166" w:rsidP="00012166">
      <w:pPr>
        <w:autoSpaceDE w:val="0"/>
        <w:autoSpaceDN w:val="0"/>
        <w:adjustRightInd w:val="0"/>
        <w:spacing w:after="0"/>
        <w:rPr>
          <w:lang w:eastAsia="en-AU"/>
        </w:rPr>
      </w:pPr>
      <w:r w:rsidRPr="004C131A">
        <w:rPr>
          <w:lang w:eastAsia="en-AU"/>
        </w:rPr>
        <w:t xml:space="preserve">This guideline only applies to the </w:t>
      </w:r>
      <w:r w:rsidR="006559FD">
        <w:rPr>
          <w:lang w:eastAsia="en-AU"/>
        </w:rPr>
        <w:t>2024–25</w:t>
      </w:r>
      <w:r w:rsidRPr="004C131A">
        <w:rPr>
          <w:lang w:eastAsia="en-AU"/>
        </w:rPr>
        <w:t xml:space="preserve"> NGER reporting year and should be read in conjunction with the NGER </w:t>
      </w:r>
      <w:r w:rsidRPr="00D41EB0">
        <w:rPr>
          <w:lang w:eastAsia="en-AU"/>
        </w:rPr>
        <w:t xml:space="preserve">Act, </w:t>
      </w:r>
      <w:hyperlink r:id="rId24" w:tooltip="Link to the National Greenhouse and Energy regulations on the Australian Government Federal Register of Legislation" w:history="1">
        <w:r w:rsidRPr="00D41EB0">
          <w:rPr>
            <w:rStyle w:val="Hyperlink"/>
            <w:lang w:eastAsia="en-AU"/>
          </w:rPr>
          <w:t>National Greenhouse and Energy Regulations 2008</w:t>
        </w:r>
      </w:hyperlink>
      <w:r w:rsidRPr="00D41EB0">
        <w:rPr>
          <w:rStyle w:val="FootnoteReference"/>
          <w:color w:val="000000"/>
          <w:lang w:eastAsia="en-AU"/>
        </w:rPr>
        <w:footnoteReference w:id="4"/>
      </w:r>
      <w:r w:rsidRPr="00D41EB0">
        <w:rPr>
          <w:color w:val="000000"/>
          <w:lang w:eastAsia="en-AU"/>
        </w:rPr>
        <w:t xml:space="preserve"> (</w:t>
      </w:r>
      <w:r w:rsidRPr="00D41EB0">
        <w:rPr>
          <w:lang w:eastAsia="en-AU"/>
        </w:rPr>
        <w:t xml:space="preserve">NGER Regulations), and </w:t>
      </w:r>
      <w:hyperlink r:id="rId25"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5"/>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 </w:t>
      </w:r>
    </w:p>
    <w:p w14:paraId="0CAB117E" w14:textId="77777777" w:rsidR="00012166" w:rsidRPr="000B3301" w:rsidRDefault="00012166" w:rsidP="00012166">
      <w:pPr>
        <w:autoSpaceDE w:val="0"/>
        <w:autoSpaceDN w:val="0"/>
        <w:adjustRightInd w:val="0"/>
        <w:spacing w:after="0"/>
        <w:rPr>
          <w:lang w:eastAsia="en-AU"/>
        </w:rPr>
      </w:pPr>
    </w:p>
    <w:p w14:paraId="19CAB72A" w14:textId="1DC7FF76" w:rsidR="00012166" w:rsidRPr="000B3301" w:rsidRDefault="00012166" w:rsidP="00012166">
      <w:pPr>
        <w:autoSpaceDE w:val="0"/>
        <w:autoSpaceDN w:val="0"/>
        <w:adjustRightInd w:val="0"/>
        <w:spacing w:after="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6" w:tooltip="A link to National Greenhouse and Energy Reporting scheme page on the Clean Energy Regulator webpage" w:history="1">
        <w:r w:rsidRPr="00452C2E">
          <w:rPr>
            <w:rStyle w:val="Hyperlink"/>
            <w:lang w:eastAsia="en-AU"/>
          </w:rPr>
          <w:t xml:space="preserve">National Greenhouse and Energy Reporting (NGER) </w:t>
        </w:r>
        <w:r w:rsidR="006559FD">
          <w:rPr>
            <w:rStyle w:val="Hyperlink"/>
            <w:lang w:eastAsia="en-AU"/>
          </w:rPr>
          <w:t>S</w:t>
        </w:r>
        <w:r w:rsidRPr="00452C2E">
          <w:rPr>
            <w:rStyle w:val="Hyperlink"/>
            <w:lang w:eastAsia="en-AU"/>
          </w:rPr>
          <w:t>cheme</w:t>
        </w:r>
      </w:hyperlink>
      <w:r>
        <w:rPr>
          <w:rStyle w:val="FootnoteReference"/>
          <w:lang w:eastAsia="en-AU"/>
        </w:rPr>
        <w:footnoteReference w:id="6"/>
      </w:r>
      <w:r w:rsidRPr="000B3301">
        <w:rPr>
          <w:lang w:eastAsia="en-AU"/>
        </w:rPr>
        <w:t xml:space="preserve"> at all times.</w:t>
      </w:r>
      <w:r w:rsidR="00ED711C">
        <w:rPr>
          <w:lang w:eastAsia="en-AU"/>
        </w:rPr>
        <w:t xml:space="preserve"> The</w:t>
      </w:r>
      <w:r w:rsidRPr="000B3301">
        <w:rPr>
          <w:lang w:eastAsia="en-AU"/>
        </w:rPr>
        <w:t xml:space="preserve"> </w:t>
      </w:r>
      <w:r w:rsidR="1FBB249D" w:rsidRPr="04F2FFEB">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based on this </w:t>
      </w:r>
      <w:r>
        <w:rPr>
          <w:lang w:eastAsia="en-AU"/>
        </w:rPr>
        <w:t>guidance</w:t>
      </w:r>
      <w:r w:rsidRPr="000B3301">
        <w:rPr>
          <w:lang w:eastAsia="en-AU"/>
        </w:rPr>
        <w:t>.</w:t>
      </w:r>
    </w:p>
    <w:p w14:paraId="10E17611" w14:textId="77777777" w:rsidR="00012166" w:rsidRPr="000B3301" w:rsidRDefault="00012166" w:rsidP="00012166">
      <w:pPr>
        <w:autoSpaceDE w:val="0"/>
        <w:autoSpaceDN w:val="0"/>
        <w:adjustRightInd w:val="0"/>
        <w:spacing w:after="0"/>
        <w:rPr>
          <w:lang w:eastAsia="en-AU"/>
        </w:rPr>
      </w:pPr>
    </w:p>
    <w:p w14:paraId="347B194F" w14:textId="2EAEEAFF" w:rsidR="00012166" w:rsidRPr="000B3301" w:rsidRDefault="00ED711C" w:rsidP="00012166">
      <w:pPr>
        <w:autoSpaceDE w:val="0"/>
        <w:autoSpaceDN w:val="0"/>
        <w:adjustRightInd w:val="0"/>
        <w:spacing w:after="0"/>
        <w:rPr>
          <w:lang w:eastAsia="en-AU"/>
        </w:rPr>
      </w:pPr>
      <w:r>
        <w:rPr>
          <w:lang w:eastAsia="en-AU"/>
        </w:rPr>
        <w:t xml:space="preserve">The </w:t>
      </w:r>
      <w:r w:rsidR="3E8A9084" w:rsidRPr="04F2FFEB">
        <w:rPr>
          <w:lang w:eastAsia="en-AU"/>
        </w:rPr>
        <w:t>CER</w:t>
      </w:r>
      <w:r w:rsidR="00012166" w:rsidRPr="000B3301">
        <w:rPr>
          <w:lang w:eastAsia="en-AU"/>
        </w:rPr>
        <w:t xml:space="preserve"> and the Australian Government will not be liable for any loss or damage from any cause (including negligence) whether arising directly, incidentally, or as consequential loss, out of or in connection with, any use of this guideline or reliance on it, for any purpose.</w:t>
      </w:r>
    </w:p>
    <w:p w14:paraId="7186A8D7" w14:textId="77777777" w:rsidR="00012166" w:rsidRPr="000B3301" w:rsidRDefault="00012166" w:rsidP="00012166">
      <w:pPr>
        <w:autoSpaceDE w:val="0"/>
        <w:autoSpaceDN w:val="0"/>
        <w:adjustRightInd w:val="0"/>
        <w:spacing w:after="0"/>
        <w:rPr>
          <w:lang w:eastAsia="en-AU"/>
        </w:rPr>
      </w:pPr>
    </w:p>
    <w:p w14:paraId="56082256" w14:textId="7E2A79F2" w:rsidR="00012166" w:rsidRDefault="00012166" w:rsidP="00012166">
      <w:pPr>
        <w:spacing w:after="0"/>
        <w:rPr>
          <w:rFonts w:ascii="Calibri" w:hAnsi="Calibri" w:cs="Calibri"/>
          <w:lang w:eastAsia="en-AU"/>
        </w:rPr>
      </w:pPr>
      <w:r w:rsidRPr="000B3301">
        <w:rPr>
          <w:lang w:eastAsia="en-AU"/>
        </w:rPr>
        <w:t xml:space="preserve">If an entity chooses to meet their obligations under the NGER scheme in a manner that is inconsistent with the guidance provided in this document, </w:t>
      </w:r>
      <w:r w:rsidR="00ED711C">
        <w:rPr>
          <w:lang w:eastAsia="en-AU"/>
        </w:rPr>
        <w:t xml:space="preserve">the </w:t>
      </w:r>
      <w:r w:rsidR="399B5171" w:rsidRPr="04F2FFEB">
        <w:rPr>
          <w:lang w:eastAsia="en-AU"/>
        </w:rPr>
        <w:t>CER</w:t>
      </w:r>
      <w:r w:rsidRPr="000B3301">
        <w:rPr>
          <w:lang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bookmarkEnd w:id="16"/>
      <w:bookmarkEnd w:id="17"/>
    </w:p>
    <w:p w14:paraId="111A1C2E" w14:textId="77777777" w:rsidR="00012166" w:rsidRDefault="00012166" w:rsidP="00012166">
      <w:pPr>
        <w:spacing w:after="0"/>
        <w:rPr>
          <w:rFonts w:eastAsia="Times New Roman"/>
          <w:b/>
          <w:bCs/>
          <w:color w:val="005874"/>
          <w:kern w:val="32"/>
          <w:sz w:val="40"/>
          <w:lang w:val="en-GB"/>
        </w:rPr>
      </w:pPr>
      <w:bookmarkStart w:id="19" w:name="_Toc106193892"/>
      <w:bookmarkStart w:id="20" w:name="_Toc106705743"/>
      <w:bookmarkStart w:id="21" w:name="_Toc106870229"/>
      <w:r>
        <w:rPr>
          <w:lang w:val="en-GB"/>
        </w:rPr>
        <w:br w:type="page"/>
      </w:r>
    </w:p>
    <w:p w14:paraId="31B7C982" w14:textId="231D81F5" w:rsidR="00012166" w:rsidRPr="00D079FC" w:rsidRDefault="006559FD" w:rsidP="00012166">
      <w:pPr>
        <w:pStyle w:val="Heading1"/>
        <w:rPr>
          <w:lang w:val="en-GB"/>
        </w:rPr>
      </w:pPr>
      <w:bookmarkStart w:id="22" w:name="_Toc198909894"/>
      <w:bookmarkStart w:id="23" w:name="_Toc204852499"/>
      <w:r>
        <w:rPr>
          <w:lang w:val="en-GB"/>
        </w:rPr>
        <w:t>2024–25</w:t>
      </w:r>
      <w:r w:rsidR="00012166" w:rsidRPr="00D079FC">
        <w:rPr>
          <w:lang w:val="en-GB"/>
        </w:rPr>
        <w:t xml:space="preserve"> updates</w:t>
      </w:r>
      <w:bookmarkEnd w:id="19"/>
      <w:bookmarkEnd w:id="20"/>
      <w:bookmarkEnd w:id="21"/>
      <w:bookmarkEnd w:id="22"/>
      <w:bookmarkEnd w:id="23"/>
      <w:r w:rsidR="00012166" w:rsidRPr="00D079FC">
        <w:rPr>
          <w:lang w:val="en-GB"/>
        </w:rPr>
        <w:t> </w:t>
      </w:r>
    </w:p>
    <w:p w14:paraId="53FC0F1E" w14:textId="0D789545" w:rsidR="00D31EA6" w:rsidRDefault="00D31EA6" w:rsidP="00D31EA6">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eastAsiaTheme="minorEastAsia" w:hAnsi="Calibri" w:cs="Calibri"/>
          <w:color w:val="000000"/>
          <w:sz w:val="22"/>
          <w:szCs w:val="22"/>
        </w:rPr>
        <w:t xml:space="preserve">Changes in this document for the </w:t>
      </w:r>
      <w:r w:rsidR="006559FD">
        <w:rPr>
          <w:rStyle w:val="normaltextrun"/>
          <w:rFonts w:ascii="Calibri" w:eastAsiaTheme="minorEastAsia" w:hAnsi="Calibri" w:cs="Calibri"/>
          <w:color w:val="000000"/>
          <w:sz w:val="22"/>
          <w:szCs w:val="22"/>
        </w:rPr>
        <w:t>2024–25</w:t>
      </w:r>
      <w:r>
        <w:rPr>
          <w:rStyle w:val="normaltextrun"/>
          <w:rFonts w:ascii="Calibri" w:eastAsiaTheme="minorEastAsia" w:hAnsi="Calibri" w:cs="Calibri"/>
          <w:color w:val="000000"/>
          <w:sz w:val="22"/>
          <w:szCs w:val="22"/>
        </w:rPr>
        <w:t xml:space="preserve"> reporting year:</w:t>
      </w:r>
      <w:r>
        <w:rPr>
          <w:rStyle w:val="eop"/>
          <w:rFonts w:ascii="Calibri" w:eastAsiaTheme="minorEastAsia" w:hAnsi="Calibri" w:cs="Calibri"/>
          <w:color w:val="000000"/>
          <w:sz w:val="22"/>
        </w:rPr>
        <w:t> </w:t>
      </w:r>
    </w:p>
    <w:p w14:paraId="4B37666B" w14:textId="77777777" w:rsidR="006B7FBA" w:rsidRPr="00371274" w:rsidRDefault="00D31EA6" w:rsidP="00FC3696">
      <w:pPr>
        <w:pStyle w:val="CERbullets"/>
        <w:rPr>
          <w:rStyle w:val="scxw209785220"/>
        </w:rPr>
      </w:pPr>
      <w:r>
        <w:rPr>
          <w:rStyle w:val="normaltextrun"/>
          <w:rFonts w:ascii="Calibri" w:eastAsiaTheme="minorEastAsia" w:hAnsi="Calibri" w:cs="Calibri"/>
          <w:szCs w:val="22"/>
          <w:lang w:val="en-GB"/>
        </w:rPr>
        <w:t>Minor stylistic and formatting changes have been made to this document</w:t>
      </w:r>
      <w:r w:rsidR="00E211F5">
        <w:rPr>
          <w:rStyle w:val="normaltextrun"/>
          <w:rFonts w:ascii="Calibri" w:eastAsiaTheme="minorEastAsia" w:hAnsi="Calibri" w:cs="Calibri"/>
          <w:szCs w:val="22"/>
          <w:lang w:val="en-GB"/>
        </w:rPr>
        <w:t>.</w:t>
      </w:r>
      <w:r>
        <w:rPr>
          <w:rStyle w:val="scxw209785220"/>
          <w:rFonts w:ascii="Calibri" w:hAnsi="Calibri" w:cs="Calibri"/>
          <w:szCs w:val="22"/>
        </w:rPr>
        <w:t> </w:t>
      </w:r>
    </w:p>
    <w:p w14:paraId="13D3F856" w14:textId="375B33B9" w:rsidR="000872EE" w:rsidRDefault="00670977" w:rsidP="00FC3696">
      <w:pPr>
        <w:pStyle w:val="CERbullets"/>
        <w:rPr>
          <w:rStyle w:val="scxw209785220"/>
        </w:rPr>
      </w:pPr>
      <w:r>
        <w:rPr>
          <w:rStyle w:val="scxw209785220"/>
        </w:rPr>
        <w:t xml:space="preserve">Chapter </w:t>
      </w:r>
      <w:r w:rsidR="000872EE">
        <w:rPr>
          <w:rStyle w:val="scxw209785220"/>
        </w:rPr>
        <w:t xml:space="preserve">1: Removed </w:t>
      </w:r>
      <w:r w:rsidR="00F02FFF">
        <w:rPr>
          <w:rStyle w:val="scxw209785220"/>
        </w:rPr>
        <w:t xml:space="preserve">context regarding NGER Scheme </w:t>
      </w:r>
      <w:r w:rsidR="00942A5E">
        <w:rPr>
          <w:rStyle w:val="scxw209785220"/>
        </w:rPr>
        <w:t>basics</w:t>
      </w:r>
    </w:p>
    <w:p w14:paraId="0E390C5E" w14:textId="613C4526" w:rsidR="00CE1CED" w:rsidRPr="00371274" w:rsidRDefault="00670977" w:rsidP="00FC3696">
      <w:pPr>
        <w:pStyle w:val="CERbullets"/>
        <w:rPr>
          <w:rStyle w:val="scxw209785220"/>
        </w:rPr>
      </w:pPr>
      <w:r>
        <w:rPr>
          <w:rStyle w:val="scxw209785220"/>
        </w:rPr>
        <w:t xml:space="preserve">Chapter </w:t>
      </w:r>
      <w:r w:rsidR="002B17AB">
        <w:rPr>
          <w:rStyle w:val="scxw209785220"/>
        </w:rPr>
        <w:t xml:space="preserve">4.1 Added </w:t>
      </w:r>
      <w:r w:rsidR="00D11246">
        <w:rPr>
          <w:rStyle w:val="scxw209785220"/>
        </w:rPr>
        <w:t xml:space="preserve">more </w:t>
      </w:r>
      <w:r w:rsidR="002B17AB">
        <w:rPr>
          <w:rStyle w:val="scxw209785220"/>
        </w:rPr>
        <w:t xml:space="preserve">context for </w:t>
      </w:r>
      <w:r w:rsidR="000D5FF4">
        <w:rPr>
          <w:rStyle w:val="scxw209785220"/>
        </w:rPr>
        <w:t>special case facility types</w:t>
      </w:r>
    </w:p>
    <w:p w14:paraId="07DCD39C" w14:textId="2D728839" w:rsidR="00D31EA6" w:rsidRDefault="00670977" w:rsidP="00FC3696">
      <w:pPr>
        <w:pStyle w:val="CERbullets"/>
      </w:pPr>
      <w:r>
        <w:rPr>
          <w:rStyle w:val="scxw209785220"/>
          <w:rFonts w:ascii="Calibri" w:hAnsi="Calibri" w:cs="Calibri"/>
          <w:szCs w:val="22"/>
        </w:rPr>
        <w:t xml:space="preserve">Chapter </w:t>
      </w:r>
      <w:r w:rsidR="0069441C">
        <w:rPr>
          <w:rStyle w:val="scxw209785220"/>
          <w:rFonts w:ascii="Calibri" w:hAnsi="Calibri" w:cs="Calibri"/>
          <w:szCs w:val="22"/>
        </w:rPr>
        <w:t xml:space="preserve">6: </w:t>
      </w:r>
      <w:r w:rsidR="00CB055C">
        <w:rPr>
          <w:rStyle w:val="scxw209785220"/>
          <w:rFonts w:ascii="Calibri" w:hAnsi="Calibri" w:cs="Calibri"/>
          <w:szCs w:val="22"/>
        </w:rPr>
        <w:t>Removed</w:t>
      </w:r>
      <w:r w:rsidR="004709B0">
        <w:rPr>
          <w:rStyle w:val="scxw209785220"/>
          <w:rFonts w:ascii="Calibri" w:hAnsi="Calibri" w:cs="Calibri"/>
          <w:szCs w:val="22"/>
        </w:rPr>
        <w:t xml:space="preserve"> </w:t>
      </w:r>
      <w:r w:rsidR="0069441C">
        <w:rPr>
          <w:rStyle w:val="scxw209785220"/>
          <w:rFonts w:ascii="Calibri" w:hAnsi="Calibri" w:cs="Calibri"/>
          <w:szCs w:val="22"/>
        </w:rPr>
        <w:t>instruction</w:t>
      </w:r>
      <w:r w:rsidR="000D5FF4">
        <w:rPr>
          <w:rStyle w:val="scxw209785220"/>
          <w:rFonts w:ascii="Calibri" w:hAnsi="Calibri" w:cs="Calibri"/>
          <w:szCs w:val="22"/>
        </w:rPr>
        <w:t>s</w:t>
      </w:r>
      <w:r w:rsidR="0069441C">
        <w:rPr>
          <w:rStyle w:val="scxw209785220"/>
          <w:rFonts w:ascii="Calibri" w:hAnsi="Calibri" w:cs="Calibri"/>
          <w:szCs w:val="22"/>
        </w:rPr>
        <w:t xml:space="preserve"> for reporting uncertainty in </w:t>
      </w:r>
      <w:r w:rsidR="008973F2">
        <w:rPr>
          <w:rStyle w:val="scxw209785220"/>
          <w:rFonts w:ascii="Calibri" w:hAnsi="Calibri" w:cs="Calibri"/>
          <w:szCs w:val="22"/>
        </w:rPr>
        <w:t xml:space="preserve">the old version of </w:t>
      </w:r>
      <w:r w:rsidR="000872EE">
        <w:rPr>
          <w:rStyle w:val="scxw209785220"/>
          <w:rFonts w:ascii="Calibri" w:hAnsi="Calibri" w:cs="Calibri"/>
          <w:szCs w:val="22"/>
        </w:rPr>
        <w:t>EERS.</w:t>
      </w:r>
      <w:r w:rsidR="00D31EA6">
        <w:rPr>
          <w:rStyle w:val="eop"/>
          <w:rFonts w:ascii="Calibri" w:eastAsiaTheme="minorEastAsia" w:hAnsi="Calibri" w:cs="Calibri"/>
        </w:rPr>
        <w:t> </w:t>
      </w:r>
    </w:p>
    <w:p w14:paraId="3DAEB5C1" w14:textId="06359870" w:rsidR="00D31EA6" w:rsidRDefault="00D31EA6" w:rsidP="00D31EA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inorEastAsia" w:hAnsi="Calibri" w:cs="Calibri"/>
          <w:sz w:val="22"/>
          <w:szCs w:val="22"/>
        </w:rPr>
        <w:t xml:space="preserve">Read about the </w:t>
      </w:r>
      <w:hyperlink r:id="rId27" w:tooltip="A link to the 2024-25 NGER legislation changes section on the Clean Energy Regulator webpage" w:history="1">
        <w:r w:rsidR="008A4C49">
          <w:rPr>
            <w:rStyle w:val="normaltextrun"/>
            <w:rFonts w:ascii="Calibri" w:eastAsiaTheme="minorEastAsia" w:hAnsi="Calibri" w:cs="Calibri"/>
            <w:color w:val="006C93"/>
            <w:sz w:val="22"/>
            <w:szCs w:val="22"/>
            <w:u w:val="single"/>
          </w:rPr>
          <w:t xml:space="preserve">changes to the NGER Legislation for the </w:t>
        </w:r>
        <w:r w:rsidR="006559FD">
          <w:rPr>
            <w:rStyle w:val="normaltextrun"/>
            <w:rFonts w:ascii="Calibri" w:eastAsiaTheme="minorEastAsia" w:hAnsi="Calibri" w:cs="Calibri"/>
            <w:color w:val="006C93"/>
            <w:sz w:val="22"/>
            <w:szCs w:val="22"/>
            <w:u w:val="single"/>
          </w:rPr>
          <w:t>2024–25</w:t>
        </w:r>
        <w:r w:rsidR="008A4C49">
          <w:rPr>
            <w:rStyle w:val="normaltextrun"/>
            <w:rFonts w:ascii="Calibri" w:eastAsiaTheme="minorEastAsia" w:hAnsi="Calibri" w:cs="Calibri"/>
            <w:color w:val="006C93"/>
            <w:sz w:val="22"/>
            <w:szCs w:val="22"/>
            <w:u w:val="single"/>
          </w:rPr>
          <w:t xml:space="preserve"> reporting period</w:t>
        </w:r>
      </w:hyperlink>
      <w:r w:rsidR="008A4C49">
        <w:rPr>
          <w:rStyle w:val="FootnoteReference"/>
          <w:rFonts w:ascii="Segoe UI" w:hAnsi="Segoe UI" w:cs="Segoe UI"/>
          <w:sz w:val="18"/>
          <w:szCs w:val="18"/>
        </w:rPr>
        <w:footnoteReference w:id="7"/>
      </w:r>
      <w:r>
        <w:rPr>
          <w:rStyle w:val="normaltextrun"/>
          <w:rFonts w:ascii="Calibri" w:eastAsiaTheme="minorEastAsia" w:hAnsi="Calibri" w:cs="Calibri"/>
          <w:sz w:val="22"/>
          <w:szCs w:val="22"/>
        </w:rPr>
        <w:t>.  </w:t>
      </w:r>
      <w:r>
        <w:rPr>
          <w:rStyle w:val="eop"/>
          <w:rFonts w:ascii="Calibri" w:eastAsiaTheme="minorEastAsia" w:hAnsi="Calibri" w:cs="Calibri"/>
          <w:sz w:val="22"/>
        </w:rPr>
        <w:t> </w:t>
      </w:r>
    </w:p>
    <w:p w14:paraId="758F43AB" w14:textId="77777777" w:rsidR="00012166" w:rsidRPr="00F60EF4" w:rsidRDefault="00012166" w:rsidP="00012166">
      <w:pPr>
        <w:pStyle w:val="Heading1"/>
        <w:keepNext/>
        <w:numPr>
          <w:ilvl w:val="0"/>
          <w:numId w:val="35"/>
        </w:numPr>
        <w:spacing w:before="280" w:after="200"/>
        <w:rPr>
          <w:lang w:val="en-GB"/>
        </w:rPr>
      </w:pPr>
      <w:bookmarkStart w:id="24" w:name="_Toc163724335"/>
      <w:bookmarkStart w:id="25" w:name="_Toc163737013"/>
      <w:bookmarkStart w:id="26" w:name="_Toc489952045"/>
      <w:bookmarkStart w:id="27" w:name="_Toc42609447"/>
      <w:bookmarkStart w:id="28" w:name="_Toc106870230"/>
      <w:bookmarkStart w:id="29" w:name="_Toc198909895"/>
      <w:bookmarkStart w:id="30" w:name="_Toc204852500"/>
      <w:bookmarkEnd w:id="24"/>
      <w:bookmarkEnd w:id="25"/>
      <w:r>
        <w:t>Introduction</w:t>
      </w:r>
      <w:bookmarkEnd w:id="26"/>
      <w:bookmarkEnd w:id="27"/>
      <w:bookmarkEnd w:id="28"/>
      <w:bookmarkEnd w:id="29"/>
      <w:bookmarkEnd w:id="30"/>
      <w:r w:rsidRPr="00F60EF4">
        <w:rPr>
          <w:lang w:val="en-GB"/>
        </w:rPr>
        <w:t xml:space="preserve"> </w:t>
      </w:r>
    </w:p>
    <w:p w14:paraId="5C1D568C" w14:textId="77777777" w:rsidR="005B6DC6" w:rsidRPr="00F60EF4" w:rsidRDefault="005B6DC6" w:rsidP="005B6DC6">
      <w:bookmarkStart w:id="31" w:name="_Toc413749873"/>
      <w:r w:rsidRPr="00F60EF4">
        <w:t>This guide provides information about the reporting requirements for uncertainty under the NGER Act. This</w:t>
      </w:r>
      <w:r>
        <w:t xml:space="preserve"> </w:t>
      </w:r>
      <w:r w:rsidRPr="00F60EF4">
        <w:t>includes information about:</w:t>
      </w:r>
    </w:p>
    <w:p w14:paraId="6C8E2474" w14:textId="77777777" w:rsidR="005B6DC6" w:rsidRPr="00F60EF4" w:rsidRDefault="005B6DC6" w:rsidP="005B6DC6">
      <w:pPr>
        <w:pStyle w:val="CERbullets"/>
      </w:pPr>
      <w:r w:rsidRPr="00F60EF4">
        <w:t xml:space="preserve">background </w:t>
      </w:r>
      <w:r>
        <w:t>to</w:t>
      </w:r>
      <w:r w:rsidRPr="00F60EF4">
        <w:t xml:space="preserve"> reporting uncertainty </w:t>
      </w:r>
    </w:p>
    <w:p w14:paraId="2419700D" w14:textId="4695E963" w:rsidR="005B6DC6" w:rsidRPr="00F60EF4" w:rsidRDefault="005B6DC6" w:rsidP="005B6DC6">
      <w:pPr>
        <w:pStyle w:val="CERbullets"/>
      </w:pPr>
      <w:r w:rsidRPr="00F60EF4">
        <w:t>reporting</w:t>
      </w:r>
      <w:r w:rsidR="00A83994">
        <w:t xml:space="preserve"> thresholds and</w:t>
      </w:r>
      <w:r w:rsidRPr="00F60EF4">
        <w:t xml:space="preserve"> requirements </w:t>
      </w:r>
    </w:p>
    <w:p w14:paraId="7704D90F" w14:textId="44C02801" w:rsidR="008A43C4" w:rsidRPr="00670977" w:rsidRDefault="006B74EC" w:rsidP="00670977">
      <w:pPr>
        <w:pStyle w:val="CERbullets"/>
      </w:pPr>
      <w:r>
        <w:t xml:space="preserve">rules </w:t>
      </w:r>
      <w:r w:rsidR="005B6DC6" w:rsidRPr="00F60EF4">
        <w:t>for uncertainty calculation</w:t>
      </w:r>
      <w:r w:rsidR="00C85D88">
        <w:t>.</w:t>
      </w:r>
    </w:p>
    <w:p w14:paraId="5CBAA90E" w14:textId="4A84908F" w:rsidR="00FB68B7" w:rsidRDefault="0090002A" w:rsidP="00670977">
      <w:pPr>
        <w:pStyle w:val="CERbullets"/>
        <w:numPr>
          <w:ilvl w:val="0"/>
          <w:numId w:val="0"/>
        </w:numPr>
      </w:pPr>
      <w:r>
        <w:t>F</w:t>
      </w:r>
      <w:r w:rsidR="00453433">
        <w:t xml:space="preserve">or more comprehensive </w:t>
      </w:r>
      <w:r w:rsidR="0065527D">
        <w:t xml:space="preserve">information on assessing uncertainty, </w:t>
      </w:r>
      <w:r w:rsidR="00453433">
        <w:t>s</w:t>
      </w:r>
      <w:r w:rsidR="00FB68B7" w:rsidRPr="00670977">
        <w:t xml:space="preserve">ee the </w:t>
      </w:r>
      <w:hyperlink r:id="rId28" w:tooltip="A link to the Reporting uncertainty calculator user guide on the Clean Energy Regulator webpage" w:history="1">
        <w:r w:rsidR="002B1690" w:rsidRPr="008D5F03">
          <w:rPr>
            <w:rStyle w:val="Hyperlink"/>
            <w:rFonts w:asciiTheme="minorHAnsi" w:hAnsiTheme="minorHAnsi"/>
          </w:rPr>
          <w:t>NGER Uncertainty Calculator User Guide</w:t>
        </w:r>
      </w:hyperlink>
      <w:r w:rsidR="002B1690">
        <w:rPr>
          <w:rStyle w:val="FootnoteReference"/>
        </w:rPr>
        <w:footnoteReference w:id="8"/>
      </w:r>
      <w:r w:rsidR="002B1690" w:rsidRPr="0090002A">
        <w:t>.</w:t>
      </w:r>
    </w:p>
    <w:p w14:paraId="57C11C23" w14:textId="25394600" w:rsidR="00012166" w:rsidRDefault="00012166" w:rsidP="00012166">
      <w:pPr>
        <w:pStyle w:val="Heading1"/>
        <w:keepNext/>
        <w:numPr>
          <w:ilvl w:val="0"/>
          <w:numId w:val="35"/>
        </w:numPr>
        <w:spacing w:before="280" w:after="200"/>
      </w:pPr>
      <w:bookmarkStart w:id="32" w:name="_Toc198909896"/>
      <w:bookmarkStart w:id="33" w:name="_Toc198910511"/>
      <w:bookmarkStart w:id="34" w:name="_Toc198909897"/>
      <w:bookmarkStart w:id="35" w:name="_Toc198910512"/>
      <w:bookmarkStart w:id="36" w:name="_Toc198909898"/>
      <w:bookmarkStart w:id="37" w:name="_Toc198910513"/>
      <w:bookmarkStart w:id="38" w:name="_Toc198909899"/>
      <w:bookmarkStart w:id="39" w:name="_Toc198910514"/>
      <w:bookmarkStart w:id="40" w:name="_Toc198909900"/>
      <w:bookmarkStart w:id="41" w:name="_Toc198910515"/>
      <w:bookmarkStart w:id="42" w:name="_Toc198909902"/>
      <w:bookmarkStart w:id="43" w:name="_Toc198910517"/>
      <w:bookmarkStart w:id="44" w:name="_Toc198909903"/>
      <w:bookmarkStart w:id="45" w:name="_Toc198910518"/>
      <w:bookmarkStart w:id="46" w:name="_Toc198909904"/>
      <w:bookmarkStart w:id="47" w:name="_Toc198910519"/>
      <w:bookmarkStart w:id="48" w:name="_Toc198909905"/>
      <w:bookmarkStart w:id="49" w:name="_Toc198910520"/>
      <w:bookmarkStart w:id="50" w:name="_Toc198909906"/>
      <w:bookmarkStart w:id="51" w:name="_Toc198910521"/>
      <w:bookmarkStart w:id="52" w:name="_Toc42609448"/>
      <w:bookmarkStart w:id="53" w:name="_Toc106870231"/>
      <w:bookmarkStart w:id="54" w:name="_Toc198909907"/>
      <w:bookmarkStart w:id="55" w:name="_Toc20485250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31"/>
      <w:r>
        <w:t>What is uncertainty?</w:t>
      </w:r>
      <w:bookmarkEnd w:id="52"/>
      <w:bookmarkEnd w:id="53"/>
      <w:bookmarkEnd w:id="54"/>
      <w:bookmarkEnd w:id="55"/>
    </w:p>
    <w:p w14:paraId="26613F29" w14:textId="77777777" w:rsidR="00012166" w:rsidRDefault="00012166" w:rsidP="00012166">
      <w:r w:rsidRPr="00F60EF4">
        <w:t>Uncertainty can be described as the amount of variation in a numerical result consistent with observations. Statistical uncertainty</w:t>
      </w:r>
      <w:r>
        <w:t>,</w:t>
      </w:r>
      <w:r w:rsidRPr="00F60EF4">
        <w:t xml:space="preserve"> as measured under NGER legislation</w:t>
      </w:r>
      <w:r>
        <w:t>,</w:t>
      </w:r>
      <w:r w:rsidRPr="00F60EF4">
        <w:t xml:space="preserve"> accounts for the level of uncertainty that may be attributed to sampling and statistical variation. </w:t>
      </w:r>
    </w:p>
    <w:p w14:paraId="7BC0D691" w14:textId="77777777" w:rsidR="00012166" w:rsidRDefault="00012166" w:rsidP="00012166">
      <w:r w:rsidRPr="00F60EF4">
        <w:t>Uncertainty is to be reported at the 95</w:t>
      </w:r>
      <w:r>
        <w:t>%</w:t>
      </w:r>
      <w:r w:rsidRPr="00F60EF4">
        <w:t xml:space="preserve"> confidence level.</w:t>
      </w:r>
      <w:r>
        <w:t xml:space="preserve"> For example, an uncertainty assessment of 7% identifies that with 95% confidence the true value of scope 1 emissions is within 7% of the reported value. From basic statistical principles, the reported figure is more likely to lie near the true value than at the outer limits of the uncertainty range.</w:t>
      </w:r>
    </w:p>
    <w:p w14:paraId="2FF46E3D" w14:textId="77777777" w:rsidR="00012166" w:rsidRDefault="00012166" w:rsidP="00012166">
      <w:pPr>
        <w:pStyle w:val="Heading1"/>
        <w:keepNext/>
        <w:numPr>
          <w:ilvl w:val="0"/>
          <w:numId w:val="35"/>
        </w:numPr>
        <w:spacing w:before="280" w:after="200"/>
      </w:pPr>
      <w:bookmarkStart w:id="56" w:name="_Toc42609449"/>
      <w:bookmarkStart w:id="57" w:name="_Toc106870232"/>
      <w:bookmarkStart w:id="58" w:name="_Toc198909908"/>
      <w:bookmarkStart w:id="59" w:name="_Toc204852502"/>
      <w:r>
        <w:t>What is uncertainty used for?</w:t>
      </w:r>
      <w:bookmarkEnd w:id="56"/>
      <w:bookmarkEnd w:id="57"/>
      <w:bookmarkEnd w:id="58"/>
      <w:bookmarkEnd w:id="59"/>
    </w:p>
    <w:p w14:paraId="4F35F3D9" w14:textId="77777777" w:rsidR="00012166" w:rsidRPr="00300477" w:rsidRDefault="00012166" w:rsidP="00012166">
      <w:r w:rsidRPr="00300477">
        <w:t xml:space="preserve">The uncertainty data provided under NGER legislation will help inform the uncertainty estimates published in Australia’s National Greenhouse Accounts, including: </w:t>
      </w:r>
    </w:p>
    <w:p w14:paraId="63D8B5EE" w14:textId="77777777" w:rsidR="00012166" w:rsidRPr="00300477" w:rsidRDefault="00012166" w:rsidP="00012166">
      <w:pPr>
        <w:pStyle w:val="CERbullets"/>
      </w:pPr>
      <w:r w:rsidRPr="00300477">
        <w:t>meeting Australia's reporting commitments under the United Nations Framework Convention on Climate Change (UNFCCC)</w:t>
      </w:r>
    </w:p>
    <w:p w14:paraId="0BC84D19" w14:textId="77777777" w:rsidR="00012166" w:rsidRPr="00300477" w:rsidRDefault="00012166" w:rsidP="00012166">
      <w:pPr>
        <w:pStyle w:val="CERbullets"/>
      </w:pPr>
      <w:r w:rsidRPr="00300477">
        <w:t>tracking progress against Australia’s targets under various international agreements</w:t>
      </w:r>
    </w:p>
    <w:p w14:paraId="1E425F32" w14:textId="77777777" w:rsidR="00012166" w:rsidRPr="00300477" w:rsidRDefault="00012166" w:rsidP="00012166">
      <w:pPr>
        <w:pStyle w:val="CERbullets"/>
      </w:pPr>
      <w:r w:rsidRPr="00300477">
        <w:t>informing policymakers and the public.</w:t>
      </w:r>
    </w:p>
    <w:p w14:paraId="734AD3F5" w14:textId="67926297" w:rsidR="00012166" w:rsidRDefault="00012166" w:rsidP="00012166">
      <w:r w:rsidRPr="00300477">
        <w:t>The uncertainty data can also assist corporations in understanding the uncertainties associated with their emission estimates, informing their allocation of resources and their choice of methods under the NGER legislation.</w:t>
      </w:r>
      <w:r>
        <w:t xml:space="preserve"> </w:t>
      </w:r>
      <w:r w:rsidR="0018216D">
        <w:t>U</w:t>
      </w:r>
      <w:r>
        <w:t xml:space="preserve">ncertainty data is not published annually under section 24 of the NGER Act. </w:t>
      </w:r>
    </w:p>
    <w:p w14:paraId="18B25332" w14:textId="5C70115C" w:rsidR="00012166" w:rsidRDefault="00012166" w:rsidP="00012166">
      <w:r>
        <w:t xml:space="preserve">See the </w:t>
      </w:r>
      <w:hyperlink r:id="rId29" w:tooltip="A link to the Department of Climate Change, Energy, the Environment and Water website  " w:history="1">
        <w:r w:rsidRPr="00372513">
          <w:rPr>
            <w:rStyle w:val="Hyperlink"/>
            <w:rFonts w:asciiTheme="minorHAnsi" w:hAnsiTheme="minorHAnsi"/>
          </w:rPr>
          <w:t>Department of Climate Change, Energy, the Environment and Water website</w:t>
        </w:r>
        <w:r w:rsidR="00FF558D" w:rsidRPr="00372513">
          <w:rPr>
            <w:rStyle w:val="Hyperlink"/>
            <w:rFonts w:asciiTheme="minorHAnsi" w:hAnsiTheme="minorHAnsi"/>
            <w:vertAlign w:val="superscript"/>
          </w:rPr>
          <w:footnoteReference w:id="9"/>
        </w:r>
      </w:hyperlink>
      <w:r>
        <w:t xml:space="preserve"> for more information about National Greenhouse Accounts.</w:t>
      </w:r>
    </w:p>
    <w:p w14:paraId="0C2E5BF1" w14:textId="48E2FAAB" w:rsidR="00012166" w:rsidRPr="00F60EF4" w:rsidRDefault="00012166" w:rsidP="00012166">
      <w:pPr>
        <w:pStyle w:val="Heading1"/>
        <w:keepNext/>
        <w:numPr>
          <w:ilvl w:val="0"/>
          <w:numId w:val="35"/>
        </w:numPr>
        <w:spacing w:before="280" w:after="200"/>
        <w:rPr>
          <w:lang w:val="en-GB"/>
        </w:rPr>
      </w:pPr>
      <w:bookmarkStart w:id="60" w:name="_Toc489526911"/>
      <w:bookmarkStart w:id="61" w:name="_Toc489527125"/>
      <w:bookmarkStart w:id="62" w:name="_Toc489527238"/>
      <w:bookmarkStart w:id="63" w:name="_Toc413749878"/>
      <w:bookmarkStart w:id="64" w:name="_Toc42609450"/>
      <w:bookmarkStart w:id="65" w:name="_Toc106870233"/>
      <w:bookmarkStart w:id="66" w:name="_Toc198909909"/>
      <w:bookmarkStart w:id="67" w:name="_Toc204852503"/>
      <w:bookmarkEnd w:id="60"/>
      <w:bookmarkEnd w:id="61"/>
      <w:bookmarkEnd w:id="62"/>
      <w:r w:rsidRPr="00F60EF4">
        <w:rPr>
          <w:lang w:val="en-GB"/>
        </w:rPr>
        <w:t xml:space="preserve">Uncertainty reporting </w:t>
      </w:r>
      <w:r w:rsidR="00552CC0">
        <w:rPr>
          <w:lang w:val="en-GB"/>
        </w:rPr>
        <w:t>thresholds</w:t>
      </w:r>
      <w:r w:rsidR="00552CC0" w:rsidRPr="00F60EF4">
        <w:rPr>
          <w:lang w:val="en-GB"/>
        </w:rPr>
        <w:t xml:space="preserve"> </w:t>
      </w:r>
      <w:r w:rsidR="00552CC0">
        <w:rPr>
          <w:lang w:val="en-GB"/>
        </w:rPr>
        <w:t xml:space="preserve">and </w:t>
      </w:r>
      <w:r w:rsidRPr="00F60EF4">
        <w:rPr>
          <w:lang w:val="en-GB"/>
        </w:rPr>
        <w:t>requirements</w:t>
      </w:r>
      <w:bookmarkEnd w:id="63"/>
      <w:bookmarkEnd w:id="64"/>
      <w:bookmarkEnd w:id="65"/>
      <w:bookmarkEnd w:id="66"/>
      <w:bookmarkEnd w:id="67"/>
      <w:r w:rsidRPr="00F60EF4">
        <w:rPr>
          <w:lang w:val="en-GB"/>
        </w:rPr>
        <w:t xml:space="preserve"> </w:t>
      </w:r>
    </w:p>
    <w:p w14:paraId="577B03C2" w14:textId="52AC40F7" w:rsidR="0051792B" w:rsidRDefault="00012166" w:rsidP="00012166">
      <w:r w:rsidRPr="00F60EF4">
        <w:t xml:space="preserve">4.08 and 4.17A </w:t>
      </w:r>
      <w:r>
        <w:t xml:space="preserve">of the NGER Regulations </w:t>
      </w:r>
      <w:r w:rsidRPr="00F60EF4">
        <w:t>detail the threshold</w:t>
      </w:r>
      <w:r>
        <w:t>s</w:t>
      </w:r>
      <w:r w:rsidRPr="00F60EF4">
        <w:t xml:space="preserve"> for</w:t>
      </w:r>
      <w:r>
        <w:t xml:space="preserve"> reporting</w:t>
      </w:r>
      <w:r w:rsidRPr="00F60EF4">
        <w:t xml:space="preserve"> uncertainty associated with </w:t>
      </w:r>
      <w:r>
        <w:t xml:space="preserve">scope 1 </w:t>
      </w:r>
      <w:r w:rsidRPr="00F60EF4">
        <w:t xml:space="preserve">emissions. </w:t>
      </w:r>
      <w:r w:rsidR="006E1DFB">
        <w:t>When the scope 1 emissions from the fuel/energy type or source are 25,000 tonnes carbon dioxide equivalence (t CO</w:t>
      </w:r>
      <w:r w:rsidR="006E1DFB" w:rsidRPr="32837AE1">
        <w:rPr>
          <w:vertAlign w:val="subscript"/>
        </w:rPr>
        <w:t>2</w:t>
      </w:r>
      <w:r w:rsidR="006E1DFB">
        <w:t>-e) or more, u</w:t>
      </w:r>
      <w:r w:rsidRPr="00F60EF4">
        <w:t>ncertainty must be reported for</w:t>
      </w:r>
      <w:r w:rsidR="00A2438F">
        <w:t xml:space="preserve"> each</w:t>
      </w:r>
      <w:r w:rsidR="0051792B">
        <w:t>:</w:t>
      </w:r>
    </w:p>
    <w:p w14:paraId="49CB7BBD" w14:textId="25B27D3E" w:rsidR="0051792B" w:rsidRDefault="0070421E" w:rsidP="00670977">
      <w:pPr>
        <w:pStyle w:val="ListParagraph"/>
        <w:numPr>
          <w:ilvl w:val="0"/>
          <w:numId w:val="40"/>
        </w:numPr>
      </w:pPr>
      <w:r>
        <w:t>source</w:t>
      </w:r>
      <w:r w:rsidR="00540B89">
        <w:t xml:space="preserve"> </w:t>
      </w:r>
      <w:r w:rsidR="00BB22D4">
        <w:t>listed</w:t>
      </w:r>
      <w:r w:rsidR="00540B89">
        <w:t xml:space="preserve"> in section 1.10</w:t>
      </w:r>
      <w:r w:rsidR="00123963">
        <w:t xml:space="preserve"> of the NGER Measurement Determinatio</w:t>
      </w:r>
      <w:r w:rsidR="0051792B">
        <w:t xml:space="preserve">n, </w:t>
      </w:r>
      <w:r w:rsidR="000B35E7">
        <w:t>or</w:t>
      </w:r>
    </w:p>
    <w:p w14:paraId="7E7D6A75" w14:textId="079797F2" w:rsidR="00A2438F" w:rsidRDefault="00AA1838" w:rsidP="00670977">
      <w:pPr>
        <w:pStyle w:val="ListParagraph"/>
        <w:numPr>
          <w:ilvl w:val="0"/>
          <w:numId w:val="40"/>
        </w:numPr>
      </w:pPr>
      <w:r>
        <w:t>f</w:t>
      </w:r>
      <w:r w:rsidR="00C33116">
        <w:t>uel</w:t>
      </w:r>
      <w:r w:rsidR="00A2438F">
        <w:t>/energy</w:t>
      </w:r>
      <w:r w:rsidR="00C33116">
        <w:t xml:space="preserve"> type</w:t>
      </w:r>
      <w:r w:rsidR="00671797">
        <w:t xml:space="preserve"> listed in Schedule 1 of the NGER Regulations</w:t>
      </w:r>
      <w:r w:rsidR="006E1DFB">
        <w:t>.</w:t>
      </w:r>
    </w:p>
    <w:p w14:paraId="559335BF" w14:textId="77777777" w:rsidR="00F061DB" w:rsidRPr="00F60EF4" w:rsidRDefault="00F061DB" w:rsidP="00E62043">
      <w:pPr>
        <w:pStyle w:val="Heading2"/>
        <w:numPr>
          <w:ilvl w:val="1"/>
          <w:numId w:val="35"/>
        </w:numPr>
        <w:spacing w:after="200"/>
        <w:ind w:left="426" w:hanging="426"/>
      </w:pPr>
      <w:bookmarkStart w:id="68" w:name="_Toc413749900"/>
      <w:bookmarkStart w:id="69" w:name="_Toc107324707"/>
      <w:bookmarkStart w:id="70" w:name="_Toc170292422"/>
      <w:bookmarkStart w:id="71" w:name="_Toc198909910"/>
      <w:bookmarkStart w:id="72" w:name="_Toc204852504"/>
      <w:r w:rsidRPr="00F60EF4">
        <w:t>Special cases: Emissions from entities that are not common ‘facilities’</w:t>
      </w:r>
      <w:bookmarkEnd w:id="68"/>
      <w:bookmarkEnd w:id="69"/>
      <w:bookmarkEnd w:id="70"/>
      <w:bookmarkEnd w:id="71"/>
      <w:bookmarkEnd w:id="72"/>
    </w:p>
    <w:p w14:paraId="0C9E000E" w14:textId="795CCFBE" w:rsidR="00F061DB" w:rsidRPr="00F60EF4" w:rsidRDefault="00F061DB" w:rsidP="00F061DB">
      <w:pPr>
        <w:pStyle w:val="Heading3"/>
        <w:rPr>
          <w:lang w:val="en-GB"/>
        </w:rPr>
      </w:pPr>
      <w:bookmarkStart w:id="73" w:name="_Toc413749901"/>
      <w:bookmarkStart w:id="74" w:name="_Toc107324708"/>
      <w:bookmarkStart w:id="75" w:name="_Toc170292423"/>
      <w:bookmarkStart w:id="76" w:name="_Toc198909911"/>
      <w:bookmarkStart w:id="77" w:name="_Toc204852505"/>
      <w:r w:rsidRPr="00F60EF4">
        <w:rPr>
          <w:lang w:val="en-GB"/>
        </w:rPr>
        <w:t>Facility Aggregates</w:t>
      </w:r>
      <w:bookmarkEnd w:id="73"/>
      <w:bookmarkEnd w:id="74"/>
      <w:bookmarkEnd w:id="75"/>
      <w:bookmarkEnd w:id="76"/>
      <w:bookmarkEnd w:id="77"/>
      <w:r w:rsidRPr="00F60EF4">
        <w:rPr>
          <w:lang w:val="en-GB"/>
        </w:rPr>
        <w:t xml:space="preserve"> </w:t>
      </w:r>
    </w:p>
    <w:p w14:paraId="2474C4EC" w14:textId="2A63E35E" w:rsidR="00F061DB" w:rsidRPr="00F60EF4" w:rsidRDefault="007B0960" w:rsidP="00F061DB">
      <w:r>
        <w:t>A f</w:t>
      </w:r>
      <w:r w:rsidR="00F061DB" w:rsidRPr="00F60EF4">
        <w:t>acilit</w:t>
      </w:r>
      <w:r>
        <w:t>y</w:t>
      </w:r>
      <w:r w:rsidR="00F061DB" w:rsidRPr="00F60EF4">
        <w:t xml:space="preserve"> cannot be </w:t>
      </w:r>
      <w:r w:rsidR="006A2704">
        <w:t>included</w:t>
      </w:r>
      <w:r w:rsidR="00F061DB" w:rsidRPr="00F60EF4">
        <w:t xml:space="preserve"> within a facility aggregate if </w:t>
      </w:r>
      <w:r>
        <w:t xml:space="preserve">its </w:t>
      </w:r>
      <w:r w:rsidR="00F061DB" w:rsidRPr="00F60EF4">
        <w:t>scope 1 emissions are 25,000 t CO</w:t>
      </w:r>
      <w:r w:rsidR="00F061DB" w:rsidRPr="00DE511E">
        <w:rPr>
          <w:vertAlign w:val="subscript"/>
        </w:rPr>
        <w:t>2</w:t>
      </w:r>
      <w:r w:rsidR="00F061DB" w:rsidRPr="00F60EF4">
        <w:t>-e or more (</w:t>
      </w:r>
      <w:r w:rsidR="00F061DB">
        <w:t xml:space="preserve">NGER </w:t>
      </w:r>
      <w:r w:rsidR="00F061DB" w:rsidRPr="00F60EF4">
        <w:t xml:space="preserve">Regulation 4.25). Therefore, emissions from facility aggregates will not appear in the uncertainty dashboard. </w:t>
      </w:r>
    </w:p>
    <w:p w14:paraId="2EB34F2D" w14:textId="77777777" w:rsidR="00F061DB" w:rsidRPr="00F60EF4" w:rsidRDefault="00F061DB" w:rsidP="00F061DB">
      <w:pPr>
        <w:pStyle w:val="Heading3"/>
        <w:rPr>
          <w:lang w:val="en-GB"/>
        </w:rPr>
      </w:pPr>
      <w:bookmarkStart w:id="78" w:name="_Toc413749903"/>
      <w:bookmarkStart w:id="79" w:name="_Toc107324709"/>
      <w:bookmarkStart w:id="80" w:name="_Toc170292424"/>
      <w:bookmarkStart w:id="81" w:name="_Toc198909912"/>
      <w:bookmarkStart w:id="82" w:name="_Toc204852506"/>
      <w:r w:rsidRPr="00F60EF4">
        <w:rPr>
          <w:lang w:val="en-GB"/>
        </w:rPr>
        <w:t>Incidental and percentage reporting</w:t>
      </w:r>
      <w:bookmarkEnd w:id="78"/>
      <w:bookmarkEnd w:id="79"/>
      <w:bookmarkEnd w:id="80"/>
      <w:bookmarkEnd w:id="81"/>
      <w:bookmarkEnd w:id="82"/>
    </w:p>
    <w:p w14:paraId="4F17DF27" w14:textId="3321564A" w:rsidR="00F061DB" w:rsidRDefault="00F061DB" w:rsidP="00012166">
      <w:r w:rsidRPr="00F60EF4">
        <w:t xml:space="preserve">Data </w:t>
      </w:r>
      <w:r>
        <w:t xml:space="preserve">reported as a percentage or </w:t>
      </w:r>
      <w:r w:rsidR="007B0960">
        <w:t>‘</w:t>
      </w:r>
      <w:r>
        <w:t>incidental</w:t>
      </w:r>
      <w:r w:rsidR="007B0960">
        <w:t>’</w:t>
      </w:r>
      <w:r>
        <w:t xml:space="preserve"> </w:t>
      </w:r>
      <w:r w:rsidRPr="00F60EF4">
        <w:t>is not subject to uncertainty reporting requirements</w:t>
      </w:r>
      <w:r>
        <w:t xml:space="preserve"> (under NGER R</w:t>
      </w:r>
      <w:r w:rsidRPr="00F60EF4">
        <w:t>egulation 4.26</w:t>
      </w:r>
      <w:r>
        <w:t xml:space="preserve"> and 4.27 respectively).</w:t>
      </w:r>
    </w:p>
    <w:p w14:paraId="4012D49B" w14:textId="7455C17D" w:rsidR="00575166" w:rsidRPr="00A10B7F" w:rsidRDefault="00575166" w:rsidP="00A10B7F">
      <w:pPr>
        <w:pStyle w:val="Heading3"/>
        <w:rPr>
          <w:lang w:val="en-GB"/>
        </w:rPr>
      </w:pPr>
      <w:bookmarkStart w:id="83" w:name="_Toc198909913"/>
      <w:bookmarkStart w:id="84" w:name="_Toc204852507"/>
      <w:r w:rsidRPr="00A10B7F">
        <w:rPr>
          <w:lang w:val="en-GB"/>
        </w:rPr>
        <w:t xml:space="preserve">Network or pipeline </w:t>
      </w:r>
      <w:r w:rsidR="00E1640F" w:rsidRPr="00A10B7F">
        <w:rPr>
          <w:lang w:val="en-GB"/>
        </w:rPr>
        <w:t>and multi</w:t>
      </w:r>
      <w:r w:rsidR="00E74C30">
        <w:rPr>
          <w:lang w:val="en-GB"/>
        </w:rPr>
        <w:t xml:space="preserve">-site </w:t>
      </w:r>
      <w:r w:rsidR="00E1640F" w:rsidRPr="00A10B7F">
        <w:rPr>
          <w:lang w:val="en-GB"/>
        </w:rPr>
        <w:t xml:space="preserve">cement site </w:t>
      </w:r>
      <w:r w:rsidR="00E876B4" w:rsidRPr="00A10B7F">
        <w:rPr>
          <w:lang w:val="en-GB"/>
        </w:rPr>
        <w:t>facilities</w:t>
      </w:r>
      <w:bookmarkEnd w:id="83"/>
      <w:bookmarkEnd w:id="84"/>
    </w:p>
    <w:p w14:paraId="189EDFBA" w14:textId="1CEDAA4D" w:rsidR="00012166" w:rsidRDefault="00012166" w:rsidP="00012166">
      <w:r>
        <w:t>The requirement to report uncertainty applies to network or pipeline facilit</w:t>
      </w:r>
      <w:r w:rsidR="00634B5B">
        <w:t>ies as well multi-site cement facilities which are</w:t>
      </w:r>
      <w:r>
        <w:t xml:space="preserve"> defined under </w:t>
      </w:r>
      <w:r w:rsidR="00AE4F23">
        <w:t xml:space="preserve">4.28 </w:t>
      </w:r>
      <w:r w:rsidR="00634B5B">
        <w:t xml:space="preserve">and 4.28A </w:t>
      </w:r>
      <w:r w:rsidR="00AE4F23">
        <w:t xml:space="preserve">of the NGER </w:t>
      </w:r>
      <w:r w:rsidR="00C91C04">
        <w:t>R</w:t>
      </w:r>
      <w:r>
        <w:t>egulation</w:t>
      </w:r>
      <w:r w:rsidR="00C91C04">
        <w:t>s</w:t>
      </w:r>
      <w:r w:rsidR="00634B5B">
        <w:t xml:space="preserve"> respectively.</w:t>
      </w:r>
    </w:p>
    <w:tbl>
      <w:tblPr>
        <w:tblStyle w:val="CERCallout"/>
        <w:tblW w:w="5000" w:type="pct"/>
        <w:tblLook w:val="04A0" w:firstRow="1" w:lastRow="0" w:firstColumn="1" w:lastColumn="0" w:noHBand="0" w:noVBand="1"/>
      </w:tblPr>
      <w:tblGrid>
        <w:gridCol w:w="9710"/>
      </w:tblGrid>
      <w:tr w:rsidR="00E6628E" w14:paraId="0267F4B8" w14:textId="77777777" w:rsidTr="00181F79">
        <w:trPr>
          <w:cnfStyle w:val="100000000000" w:firstRow="1" w:lastRow="0" w:firstColumn="0" w:lastColumn="0" w:oddVBand="0" w:evenVBand="0" w:oddHBand="0" w:evenHBand="0" w:firstRowFirstColumn="0" w:firstRowLastColumn="0" w:lastRowFirstColumn="0" w:lastRowLastColumn="0"/>
        </w:trPr>
        <w:tc>
          <w:tcPr>
            <w:tcW w:w="5000" w:type="pct"/>
          </w:tcPr>
          <w:p w14:paraId="21F9ACD4" w14:textId="2F260D3E" w:rsidR="00481C4E" w:rsidRPr="001A0C32" w:rsidRDefault="00012166" w:rsidP="008C7FED">
            <w:pPr>
              <w:rPr>
                <w:b w:val="0"/>
              </w:rPr>
            </w:pPr>
            <w:r w:rsidRPr="001A0C32">
              <w:rPr>
                <w:b w:val="0"/>
              </w:rPr>
              <w:t>Note:</w:t>
            </w:r>
            <w:r w:rsidR="00481C4E">
              <w:t xml:space="preserve"> </w:t>
            </w:r>
            <w:r w:rsidR="00481C4E" w:rsidRPr="00481C4E">
              <w:rPr>
                <w:b w:val="0"/>
              </w:rPr>
              <w:t xml:space="preserve">If any relevant activity data is changed </w:t>
            </w:r>
            <w:r w:rsidR="008C7FED">
              <w:rPr>
                <w:b w:val="0"/>
              </w:rPr>
              <w:t xml:space="preserve">in EERS </w:t>
            </w:r>
            <w:r w:rsidR="00481C4E" w:rsidRPr="00481C4E">
              <w:rPr>
                <w:b w:val="0"/>
              </w:rPr>
              <w:t>after you report uncertainty, the uncertainty value will clear and will need to be recalculated</w:t>
            </w:r>
            <w:r w:rsidR="00BF6457">
              <w:rPr>
                <w:b w:val="0"/>
              </w:rPr>
              <w:t xml:space="preserve"> prior to submission</w:t>
            </w:r>
            <w:r w:rsidR="00481C4E" w:rsidRPr="00481C4E">
              <w:rPr>
                <w:b w:val="0"/>
              </w:rPr>
              <w:t>.</w:t>
            </w:r>
          </w:p>
        </w:tc>
      </w:tr>
    </w:tbl>
    <w:p w14:paraId="6923F70E" w14:textId="77777777" w:rsidR="00012166" w:rsidRPr="00F60EF4" w:rsidRDefault="00012166" w:rsidP="00012166">
      <w:pPr>
        <w:pStyle w:val="Heading1"/>
        <w:keepNext/>
        <w:numPr>
          <w:ilvl w:val="0"/>
          <w:numId w:val="35"/>
        </w:numPr>
        <w:spacing w:before="280" w:after="200"/>
        <w:rPr>
          <w:lang w:val="en-GB"/>
        </w:rPr>
      </w:pPr>
      <w:bookmarkStart w:id="85" w:name="_Toc43486700"/>
      <w:bookmarkStart w:id="86" w:name="_Toc413749881"/>
      <w:bookmarkStart w:id="87" w:name="_Toc42609451"/>
      <w:bookmarkStart w:id="88" w:name="_Toc106870234"/>
      <w:bookmarkStart w:id="89" w:name="_Toc198909914"/>
      <w:bookmarkStart w:id="90" w:name="_Toc204852508"/>
      <w:bookmarkEnd w:id="85"/>
      <w:r>
        <w:rPr>
          <w:lang w:val="en-GB"/>
        </w:rPr>
        <w:t>How to assess</w:t>
      </w:r>
      <w:r w:rsidRPr="00F60EF4">
        <w:rPr>
          <w:lang w:val="en-GB"/>
        </w:rPr>
        <w:t xml:space="preserve"> uncertainty</w:t>
      </w:r>
      <w:bookmarkEnd w:id="86"/>
      <w:bookmarkEnd w:id="87"/>
      <w:bookmarkEnd w:id="88"/>
      <w:bookmarkEnd w:id="89"/>
      <w:bookmarkEnd w:id="90"/>
      <w:r w:rsidRPr="00F60EF4">
        <w:rPr>
          <w:lang w:val="en-GB"/>
        </w:rPr>
        <w:t xml:space="preserve"> </w:t>
      </w:r>
    </w:p>
    <w:p w14:paraId="23C9C77B" w14:textId="64C53366" w:rsidR="00012166" w:rsidRDefault="00012166" w:rsidP="00012166">
      <w:r w:rsidRPr="00EA167D">
        <w:t xml:space="preserve">Uncertainty </w:t>
      </w:r>
      <w:r w:rsidR="0009546C">
        <w:t>m</w:t>
      </w:r>
      <w:r w:rsidR="00B4617C">
        <w:t>ust</w:t>
      </w:r>
      <w:r w:rsidRPr="00EA167D">
        <w:t xml:space="preserve"> be assessed in accordance with Chapter 8 of the </w:t>
      </w:r>
      <w:r>
        <w:t xml:space="preserve">NGER Measurement Determination. Part 8.3 sets out </w:t>
      </w:r>
      <w:r w:rsidR="0008682C">
        <w:t>the requirements</w:t>
      </w:r>
      <w:r w:rsidRPr="00EA167D">
        <w:t xml:space="preserve"> </w:t>
      </w:r>
      <w:r>
        <w:t xml:space="preserve">where </w:t>
      </w:r>
      <w:r w:rsidR="7AC4B56D">
        <w:t>M</w:t>
      </w:r>
      <w:r w:rsidRPr="00F60EF4">
        <w:t xml:space="preserve">ethod </w:t>
      </w:r>
      <w:r>
        <w:t xml:space="preserve">1 is </w:t>
      </w:r>
      <w:r w:rsidR="00B4617C">
        <w:t>exclusive</w:t>
      </w:r>
      <w:r w:rsidR="00275E7A">
        <w:t>ly</w:t>
      </w:r>
      <w:r w:rsidR="00B4617C">
        <w:t xml:space="preserve"> </w:t>
      </w:r>
      <w:r>
        <w:t>used</w:t>
      </w:r>
      <w:r w:rsidR="007A66CA">
        <w:t>,</w:t>
      </w:r>
      <w:r>
        <w:t xml:space="preserve"> </w:t>
      </w:r>
      <w:r w:rsidR="007A66CA">
        <w:t>and</w:t>
      </w:r>
      <w:r>
        <w:t xml:space="preserve"> Part 8.4 sets out the requirements where </w:t>
      </w:r>
      <w:r w:rsidR="68D2E498">
        <w:t>M</w:t>
      </w:r>
      <w:r w:rsidRPr="00F60EF4">
        <w:t xml:space="preserve">ethod </w:t>
      </w:r>
      <w:r>
        <w:t xml:space="preserve">2, 3 or 4 is used. </w:t>
      </w:r>
    </w:p>
    <w:p w14:paraId="0EF679AD" w14:textId="15DEB0AE" w:rsidR="00012166" w:rsidRPr="00F60EF4" w:rsidRDefault="00012166" w:rsidP="00012166">
      <w:pPr>
        <w:pStyle w:val="Heading2"/>
        <w:numPr>
          <w:ilvl w:val="1"/>
          <w:numId w:val="35"/>
        </w:numPr>
        <w:spacing w:after="200"/>
        <w:ind w:left="426" w:hanging="426"/>
      </w:pPr>
      <w:bookmarkStart w:id="91" w:name="_Toc48048165"/>
      <w:bookmarkStart w:id="92" w:name="_Toc413749882"/>
      <w:bookmarkStart w:id="93" w:name="_Toc42609452"/>
      <w:bookmarkStart w:id="94" w:name="_Toc106870235"/>
      <w:bookmarkStart w:id="95" w:name="_Toc198909915"/>
      <w:bookmarkStart w:id="96" w:name="_Toc204852509"/>
      <w:bookmarkEnd w:id="91"/>
      <w:r>
        <w:t>Assessing</w:t>
      </w:r>
      <w:r w:rsidRPr="00F60EF4">
        <w:t xml:space="preserve"> uncertainty where </w:t>
      </w:r>
      <w:r w:rsidR="29B1BB5D">
        <w:t>M</w:t>
      </w:r>
      <w:r w:rsidRPr="00F60EF4">
        <w:t>ethod 1 is used to estimate emissions</w:t>
      </w:r>
      <w:bookmarkEnd w:id="92"/>
      <w:bookmarkEnd w:id="93"/>
      <w:bookmarkEnd w:id="94"/>
      <w:bookmarkEnd w:id="95"/>
      <w:bookmarkEnd w:id="96"/>
    </w:p>
    <w:p w14:paraId="31D8B744" w14:textId="77D75CF9" w:rsidR="00012166" w:rsidRDefault="00012166" w:rsidP="00012166">
      <w:r w:rsidRPr="00F60EF4">
        <w:t xml:space="preserve">Part 8.3 of the </w:t>
      </w:r>
      <w:r>
        <w:t>NGER Measurement Determination</w:t>
      </w:r>
      <w:r w:rsidRPr="00F60EF4">
        <w:t xml:space="preserve"> provides default uncertainty </w:t>
      </w:r>
      <w:r>
        <w:t xml:space="preserve">levels </w:t>
      </w:r>
      <w:r w:rsidRPr="00F60EF4">
        <w:t xml:space="preserve">which can be used to calculate the uncertainty for emissions </w:t>
      </w:r>
      <w:r w:rsidR="00F31346">
        <w:t xml:space="preserve">of a fuel or source </w:t>
      </w:r>
      <w:r w:rsidRPr="00F60EF4">
        <w:t xml:space="preserve">estimated using </w:t>
      </w:r>
      <w:r w:rsidR="00697F5C">
        <w:t xml:space="preserve">exclusively </w:t>
      </w:r>
      <w:r w:rsidR="70018A88">
        <w:t>M</w:t>
      </w:r>
      <w:r w:rsidRPr="00F60EF4">
        <w:t>ethod 1.</w:t>
      </w:r>
      <w:r w:rsidR="00FA6835">
        <w:t xml:space="preserve"> It</w:t>
      </w:r>
      <w:r>
        <w:t xml:space="preserve"> also allows uncertainty levels to be worked out </w:t>
      </w:r>
      <w:r w:rsidRPr="00F60EF4">
        <w:t xml:space="preserve">in accordance with </w:t>
      </w:r>
      <w:r>
        <w:t xml:space="preserve">the </w:t>
      </w:r>
      <w:hyperlink r:id="rId30" w:tooltip="A link to the 'Guidance on Uncertainty Assessment in GHG Inventories' on the  GHG Protocol's website" w:history="1">
        <w:r w:rsidRPr="00BD0BC9">
          <w:rPr>
            <w:rStyle w:val="Hyperlink"/>
            <w:rFonts w:asciiTheme="minorHAnsi" w:hAnsiTheme="minorHAnsi"/>
          </w:rPr>
          <w:t>GHG Protocol guidance on uncertainty assessment in GHG inventories and calculating statistical parameter uncertainty</w:t>
        </w:r>
      </w:hyperlink>
      <w:r>
        <w:rPr>
          <w:rStyle w:val="FootnoteReference"/>
        </w:rPr>
        <w:footnoteReference w:id="10"/>
      </w:r>
      <w:r w:rsidRPr="002B6B52">
        <w:t xml:space="preserve"> (September 2003 v1.0)</w:t>
      </w:r>
      <w:r w:rsidRPr="00E436DE">
        <w:t>,</w:t>
      </w:r>
      <w:r w:rsidRPr="00D41B3B">
        <w:t xml:space="preserve"> </w:t>
      </w:r>
      <w:r>
        <w:t xml:space="preserve">also </w:t>
      </w:r>
      <w:r w:rsidRPr="00D41B3B">
        <w:t xml:space="preserve">known as the </w:t>
      </w:r>
      <w:r>
        <w:t>‘uncertainty protocol’.</w:t>
      </w:r>
    </w:p>
    <w:p w14:paraId="37FCB382" w14:textId="25C354CF" w:rsidR="008C1EF1" w:rsidRDefault="00A246AC" w:rsidP="008C1EF1">
      <w:r>
        <w:t>T</w:t>
      </w:r>
      <w:r w:rsidRPr="003A7A9C">
        <w:t xml:space="preserve">he default </w:t>
      </w:r>
      <w:r>
        <w:t>levels can be found in S</w:t>
      </w:r>
      <w:r w:rsidRPr="003A7A9C">
        <w:t>ections 8.6 to 8.10</w:t>
      </w:r>
      <w:r>
        <w:t xml:space="preserve"> of the NGER Measurement Determination. </w:t>
      </w:r>
      <w:r w:rsidR="008C1EF1">
        <w:t xml:space="preserve">EERS provides an ‘auto-calculate’ function which uses </w:t>
      </w:r>
      <w:r w:rsidR="006B24E4">
        <w:t xml:space="preserve">the </w:t>
      </w:r>
      <w:r w:rsidR="008C1EF1">
        <w:t xml:space="preserve">default uncertainty levels. See the </w:t>
      </w:r>
      <w:hyperlink r:id="rId31" w:tooltip="A link to the EERS navigation guide on the Clean Energy Regulator webpage" w:history="1">
        <w:r w:rsidR="00BB7DF0" w:rsidRPr="003455D5">
          <w:rPr>
            <w:rStyle w:val="Hyperlink"/>
            <w:rFonts w:asciiTheme="minorHAnsi" w:hAnsiTheme="minorHAnsi"/>
          </w:rPr>
          <w:t>EERS Navigation Guide</w:t>
        </w:r>
      </w:hyperlink>
      <w:r w:rsidR="003455D5">
        <w:rPr>
          <w:rStyle w:val="FootnoteReference"/>
        </w:rPr>
        <w:footnoteReference w:id="11"/>
      </w:r>
      <w:r w:rsidR="008C1EF1">
        <w:t xml:space="preserve"> for more information.</w:t>
      </w:r>
      <w:r w:rsidR="00097DEF">
        <w:t xml:space="preserve"> If you do not use the default </w:t>
      </w:r>
      <w:r w:rsidR="008F160A">
        <w:t>levels</w:t>
      </w:r>
      <w:r w:rsidR="00097DEF">
        <w:t xml:space="preserve">, records must be kept regarding how your uncertainty </w:t>
      </w:r>
      <w:r w:rsidR="008F160A">
        <w:t xml:space="preserve">level </w:t>
      </w:r>
      <w:r w:rsidR="00097DEF">
        <w:t>was determined in a manner compliant with section 22 of the NGER Act.</w:t>
      </w:r>
    </w:p>
    <w:p w14:paraId="61FB6ACA" w14:textId="51CCBE50" w:rsidR="00012166" w:rsidRDefault="00E864C8" w:rsidP="00012166">
      <w:r w:rsidRPr="0090002A">
        <w:t xml:space="preserve">For information on calculating uncertainty for </w:t>
      </w:r>
      <w:r w:rsidR="008F160A">
        <w:t>‘</w:t>
      </w:r>
      <w:r w:rsidRPr="0090002A">
        <w:t>carbon mass balance equations</w:t>
      </w:r>
      <w:r w:rsidR="008F160A">
        <w:t>’</w:t>
      </w:r>
      <w:r w:rsidRPr="0090002A">
        <w:t xml:space="preserve"> using </w:t>
      </w:r>
      <w:r w:rsidR="006253B7">
        <w:t>M</w:t>
      </w:r>
      <w:r w:rsidRPr="0090002A">
        <w:t xml:space="preserve">ethod 1, see the </w:t>
      </w:r>
      <w:hyperlink r:id="rId32" w:tooltip="A link to the Uncertainty claculator user guide on the Clean Energy Regulator webpage" w:history="1">
        <w:r w:rsidR="00052580" w:rsidRPr="008D5F03">
          <w:rPr>
            <w:rStyle w:val="Hyperlink"/>
            <w:rFonts w:asciiTheme="minorHAnsi" w:hAnsiTheme="minorHAnsi"/>
          </w:rPr>
          <w:t>NGER U</w:t>
        </w:r>
        <w:r w:rsidR="00BB7DF0" w:rsidRPr="008D5F03">
          <w:rPr>
            <w:rStyle w:val="Hyperlink"/>
            <w:rFonts w:asciiTheme="minorHAnsi" w:hAnsiTheme="minorHAnsi"/>
          </w:rPr>
          <w:t xml:space="preserve">ncertainty </w:t>
        </w:r>
        <w:r w:rsidR="00052580" w:rsidRPr="008D5F03">
          <w:rPr>
            <w:rStyle w:val="Hyperlink"/>
            <w:rFonts w:asciiTheme="minorHAnsi" w:hAnsiTheme="minorHAnsi"/>
          </w:rPr>
          <w:t>C</w:t>
        </w:r>
        <w:r w:rsidR="00BB7DF0" w:rsidRPr="008D5F03">
          <w:rPr>
            <w:rStyle w:val="Hyperlink"/>
            <w:rFonts w:asciiTheme="minorHAnsi" w:hAnsiTheme="minorHAnsi"/>
          </w:rPr>
          <w:t xml:space="preserve">alculator </w:t>
        </w:r>
        <w:r w:rsidR="00052580" w:rsidRPr="008D5F03">
          <w:rPr>
            <w:rStyle w:val="Hyperlink"/>
            <w:rFonts w:asciiTheme="minorHAnsi" w:hAnsiTheme="minorHAnsi"/>
          </w:rPr>
          <w:t>U</w:t>
        </w:r>
        <w:r w:rsidR="00BB7DF0" w:rsidRPr="008D5F03">
          <w:rPr>
            <w:rStyle w:val="Hyperlink"/>
            <w:rFonts w:asciiTheme="minorHAnsi" w:hAnsiTheme="minorHAnsi"/>
          </w:rPr>
          <w:t xml:space="preserve">ser </w:t>
        </w:r>
        <w:r w:rsidR="00052580" w:rsidRPr="008D5F03">
          <w:rPr>
            <w:rStyle w:val="Hyperlink"/>
            <w:rFonts w:asciiTheme="minorHAnsi" w:hAnsiTheme="minorHAnsi"/>
          </w:rPr>
          <w:t>G</w:t>
        </w:r>
        <w:r w:rsidR="00BB7DF0" w:rsidRPr="008D5F03">
          <w:rPr>
            <w:rStyle w:val="Hyperlink"/>
            <w:rFonts w:asciiTheme="minorHAnsi" w:hAnsiTheme="minorHAnsi"/>
          </w:rPr>
          <w:t>uide</w:t>
        </w:r>
      </w:hyperlink>
      <w:r w:rsidR="008D5F03">
        <w:rPr>
          <w:rStyle w:val="FootnoteReference"/>
        </w:rPr>
        <w:footnoteReference w:id="12"/>
      </w:r>
      <w:r w:rsidRPr="0090002A">
        <w:t>.</w:t>
      </w:r>
    </w:p>
    <w:p w14:paraId="053CC557" w14:textId="32FE0C5E" w:rsidR="00012166" w:rsidRPr="00F60EF4" w:rsidRDefault="00012166" w:rsidP="00012166">
      <w:pPr>
        <w:pStyle w:val="Heading2"/>
        <w:numPr>
          <w:ilvl w:val="1"/>
          <w:numId w:val="35"/>
        </w:numPr>
        <w:spacing w:after="200"/>
        <w:ind w:left="426" w:hanging="426"/>
      </w:pPr>
      <w:bookmarkStart w:id="97" w:name="_Toc413749883"/>
      <w:bookmarkStart w:id="98" w:name="_Toc42609453"/>
      <w:bookmarkStart w:id="99" w:name="_Toc106870236"/>
      <w:bookmarkStart w:id="100" w:name="_Toc198909916"/>
      <w:bookmarkStart w:id="101" w:name="_Toc204852510"/>
      <w:r>
        <w:t>Assessing</w:t>
      </w:r>
      <w:r w:rsidRPr="00F60EF4">
        <w:t xml:space="preserve"> uncertainty where </w:t>
      </w:r>
      <w:r w:rsidR="2843C931">
        <w:t>M</w:t>
      </w:r>
      <w:r w:rsidRPr="00F60EF4">
        <w:t xml:space="preserve">ethod 2, 3 </w:t>
      </w:r>
      <w:r>
        <w:t>or</w:t>
      </w:r>
      <w:r w:rsidRPr="00F60EF4">
        <w:t xml:space="preserve"> 4 </w:t>
      </w:r>
      <w:r>
        <w:t>is</w:t>
      </w:r>
      <w:r w:rsidRPr="00F60EF4">
        <w:t xml:space="preserve"> used to estimate emissions</w:t>
      </w:r>
      <w:bookmarkEnd w:id="97"/>
      <w:bookmarkEnd w:id="98"/>
      <w:bookmarkEnd w:id="99"/>
      <w:bookmarkEnd w:id="100"/>
      <w:bookmarkEnd w:id="101"/>
    </w:p>
    <w:p w14:paraId="076B5B0C" w14:textId="04153400" w:rsidR="00012166" w:rsidRDefault="00012166" w:rsidP="00012166">
      <w:r>
        <w:t>P</w:t>
      </w:r>
      <w:r w:rsidRPr="00F60EF4">
        <w:t xml:space="preserve">art 8.4 of the </w:t>
      </w:r>
      <w:r>
        <w:t xml:space="preserve">NGER Measurement Determination sets out how to assess </w:t>
      </w:r>
      <w:r w:rsidRPr="00EA167D">
        <w:t xml:space="preserve">uncertainty </w:t>
      </w:r>
      <w:r>
        <w:t xml:space="preserve">where </w:t>
      </w:r>
      <w:r w:rsidR="6493516E">
        <w:t>M</w:t>
      </w:r>
      <w:r w:rsidRPr="00F60EF4">
        <w:t xml:space="preserve">ethod </w:t>
      </w:r>
      <w:r>
        <w:t>2, 3 or 4 is used to</w:t>
      </w:r>
      <w:r w:rsidRPr="00F60EF4">
        <w:t xml:space="preserve"> estimate</w:t>
      </w:r>
      <w:r>
        <w:t xml:space="preserve"> scope 1 emissions</w:t>
      </w:r>
      <w:r w:rsidR="00772037">
        <w:t xml:space="preserve"> of a fuel or source</w:t>
      </w:r>
      <w:r>
        <w:t xml:space="preserve">. </w:t>
      </w:r>
      <w:r w:rsidR="009D2FC0">
        <w:t xml:space="preserve">The </w:t>
      </w:r>
      <w:r w:rsidR="008D3D03">
        <w:t xml:space="preserve">default uncertainty levels are not available </w:t>
      </w:r>
      <w:r w:rsidR="001A4409">
        <w:t xml:space="preserve">for these methods and </w:t>
      </w:r>
      <w:r w:rsidR="00E72772">
        <w:t xml:space="preserve">uncertainty is </w:t>
      </w:r>
      <w:r>
        <w:t>require</w:t>
      </w:r>
      <w:r w:rsidR="00E72772">
        <w:t>d</w:t>
      </w:r>
      <w:r>
        <w:t xml:space="preserve"> to be assessed </w:t>
      </w:r>
      <w:r w:rsidRPr="00F60EF4">
        <w:t xml:space="preserve">in accordance with the </w:t>
      </w:r>
      <w:r>
        <w:t>uncertainty protocol</w:t>
      </w:r>
      <w:r w:rsidRPr="00F60EF4">
        <w:t xml:space="preserve">. </w:t>
      </w:r>
      <w:r w:rsidR="00FB0D81">
        <w:t>T</w:t>
      </w:r>
      <w:r w:rsidR="00FB0D81" w:rsidRPr="003A7A9C">
        <w:t>he uncertainty protocol</w:t>
      </w:r>
      <w:r w:rsidR="00FB0D81">
        <w:t xml:space="preserve"> provides</w:t>
      </w:r>
      <w:r w:rsidR="00FB0D81" w:rsidRPr="003A7A9C" w:rsidDel="001A4409">
        <w:t xml:space="preserve"> </w:t>
      </w:r>
      <w:r w:rsidR="002D60A5">
        <w:t xml:space="preserve">estimation </w:t>
      </w:r>
      <w:r w:rsidR="00FB0D81">
        <w:t>t</w:t>
      </w:r>
      <w:r w:rsidRPr="003A7A9C">
        <w:t>echniques</w:t>
      </w:r>
      <w:r w:rsidR="002D60A5">
        <w:t>,</w:t>
      </w:r>
      <w:r w:rsidR="00ED2EDD">
        <w:t xml:space="preserve"> as well as</w:t>
      </w:r>
      <w:r w:rsidRPr="003A7A9C">
        <w:t xml:space="preserve"> guidance and discussion</w:t>
      </w:r>
      <w:r w:rsidR="002D60A5">
        <w:t>,</w:t>
      </w:r>
      <w:r w:rsidRPr="003A7A9C">
        <w:t xml:space="preserve"> on </w:t>
      </w:r>
      <w:r w:rsidR="00ED2EDD">
        <w:t xml:space="preserve">the </w:t>
      </w:r>
      <w:r w:rsidRPr="003A7A9C">
        <w:t>calculation</w:t>
      </w:r>
      <w:r w:rsidR="002D60A5">
        <w:t>s</w:t>
      </w:r>
      <w:r w:rsidRPr="003A7A9C">
        <w:t>.</w:t>
      </w:r>
    </w:p>
    <w:p w14:paraId="3C9096EE" w14:textId="4824DEB9" w:rsidR="00012166" w:rsidRDefault="00012166" w:rsidP="00012166">
      <w:r w:rsidRPr="00472EC5">
        <w:t xml:space="preserve">Generally, the uncertainties estimated under </w:t>
      </w:r>
      <w:r w:rsidR="6FAEA51E">
        <w:t>M</w:t>
      </w:r>
      <w:r w:rsidRPr="00472EC5">
        <w:t>ethods 2, 3</w:t>
      </w:r>
      <w:r>
        <w:t>,</w:t>
      </w:r>
      <w:r w:rsidRPr="00472EC5">
        <w:t xml:space="preserve"> and 4 are likely to be lower than those calculated under </w:t>
      </w:r>
      <w:r w:rsidR="38872C90">
        <w:t>M</w:t>
      </w:r>
      <w:r w:rsidRPr="00472EC5">
        <w:t>ethod 1</w:t>
      </w:r>
      <w:r>
        <w:t>. This</w:t>
      </w:r>
      <w:r w:rsidRPr="00472EC5">
        <w:t xml:space="preserve"> indicat</w:t>
      </w:r>
      <w:r>
        <w:t>es</w:t>
      </w:r>
      <w:r w:rsidRPr="00472EC5">
        <w:t xml:space="preserve"> that emission</w:t>
      </w:r>
      <w:r>
        <w:t>s</w:t>
      </w:r>
      <w:r w:rsidRPr="00472EC5">
        <w:t xml:space="preserve"> estimate</w:t>
      </w:r>
      <w:r>
        <w:t xml:space="preserve">s </w:t>
      </w:r>
      <w:r w:rsidRPr="00472EC5">
        <w:t xml:space="preserve">using the higher </w:t>
      </w:r>
      <w:r w:rsidR="00B50709">
        <w:t xml:space="preserve">order </w:t>
      </w:r>
      <w:r w:rsidR="00FE7033">
        <w:t>m</w:t>
      </w:r>
      <w:r w:rsidRPr="00472EC5">
        <w:t xml:space="preserve">ethods </w:t>
      </w:r>
      <w:r>
        <w:t>are</w:t>
      </w:r>
      <w:r w:rsidRPr="00472EC5">
        <w:t xml:space="preserve"> more accurate than </w:t>
      </w:r>
      <w:r>
        <w:t xml:space="preserve">emissions estimates using </w:t>
      </w:r>
      <w:r w:rsidR="4BA684FB">
        <w:t>M</w:t>
      </w:r>
      <w:r w:rsidRPr="00472EC5">
        <w:t xml:space="preserve">ethod 1. The main reason for this is that in </w:t>
      </w:r>
      <w:r w:rsidR="67A6B2E9">
        <w:t>M</w:t>
      </w:r>
      <w:r w:rsidRPr="00472EC5">
        <w:t>ethod 1</w:t>
      </w:r>
      <w:r>
        <w:t>,</w:t>
      </w:r>
      <w:r w:rsidRPr="00472EC5">
        <w:t xml:space="preserve"> default e</w:t>
      </w:r>
      <w:r>
        <w:t>mission</w:t>
      </w:r>
      <w:r w:rsidRPr="00472EC5">
        <w:t xml:space="preserve"> factors are used</w:t>
      </w:r>
      <w:r w:rsidR="008D70E8">
        <w:t>,</w:t>
      </w:r>
      <w:r w:rsidRPr="00472EC5">
        <w:t xml:space="preserve"> </w:t>
      </w:r>
      <w:r w:rsidR="00E9524A">
        <w:t xml:space="preserve">which bear </w:t>
      </w:r>
      <w:r w:rsidR="00A347C5">
        <w:t>higher levels of uncertainty</w:t>
      </w:r>
      <w:r>
        <w:t xml:space="preserve">. </w:t>
      </w:r>
      <w:r w:rsidRPr="00472EC5">
        <w:t>Higher</w:t>
      </w:r>
      <w:r w:rsidR="00A347C5">
        <w:t xml:space="preserve"> order</w:t>
      </w:r>
      <w:r w:rsidRPr="00472EC5">
        <w:t xml:space="preserve"> </w:t>
      </w:r>
      <w:r w:rsidR="00A2481E">
        <w:t>m</w:t>
      </w:r>
      <w:r w:rsidRPr="00472EC5">
        <w:t>ethods require direct analysis of fuel</w:t>
      </w:r>
      <w:r w:rsidR="001C5C2C">
        <w:t>s, providing</w:t>
      </w:r>
      <w:r w:rsidRPr="00472EC5">
        <w:t xml:space="preserve"> a more accurate estimation of the</w:t>
      </w:r>
      <w:r w:rsidR="001C5C2C">
        <w:t>ir</w:t>
      </w:r>
      <w:r w:rsidRPr="00472EC5">
        <w:t xml:space="preserve"> carbon content and </w:t>
      </w:r>
      <w:r>
        <w:t>associated</w:t>
      </w:r>
      <w:r w:rsidRPr="00472EC5">
        <w:t xml:space="preserve"> emissions.</w:t>
      </w:r>
      <w:bookmarkStart w:id="102" w:name="_Toc489526916"/>
      <w:bookmarkStart w:id="103" w:name="_Toc489527130"/>
      <w:bookmarkStart w:id="104" w:name="_Toc489527243"/>
      <w:bookmarkStart w:id="105" w:name="_Toc413749899"/>
      <w:bookmarkEnd w:id="102"/>
      <w:bookmarkEnd w:id="103"/>
      <w:bookmarkEnd w:id="104"/>
    </w:p>
    <w:p w14:paraId="11FAEB73" w14:textId="4859E9A6" w:rsidR="00012166" w:rsidRDefault="00012166" w:rsidP="00012166">
      <w:r>
        <w:t xml:space="preserve">Records </w:t>
      </w:r>
      <w:r w:rsidR="001F6D24">
        <w:t xml:space="preserve">must </w:t>
      </w:r>
      <w:r>
        <w:t xml:space="preserve">be kept regarding how your uncertainty was determined in a manner compliant with section 22 of the NGER Act.  </w:t>
      </w:r>
    </w:p>
    <w:p w14:paraId="5F27C077" w14:textId="2EE41E3D" w:rsidR="009449A8" w:rsidRPr="00F60EF4" w:rsidRDefault="009449A8" w:rsidP="00A10B7F">
      <w:pPr>
        <w:pStyle w:val="Heading2"/>
        <w:numPr>
          <w:ilvl w:val="1"/>
          <w:numId w:val="35"/>
        </w:numPr>
        <w:spacing w:after="200"/>
        <w:ind w:left="426" w:hanging="426"/>
      </w:pPr>
      <w:bookmarkStart w:id="106" w:name="_Toc198909917"/>
      <w:bookmarkStart w:id="107" w:name="_Toc204852511"/>
      <w:r>
        <w:t>Assessing</w:t>
      </w:r>
      <w:r w:rsidRPr="00F60EF4">
        <w:t xml:space="preserve"> uncertainty</w:t>
      </w:r>
      <w:r>
        <w:t xml:space="preserve"> for</w:t>
      </w:r>
      <w:r w:rsidRPr="00F60EF4">
        <w:t xml:space="preserve"> </w:t>
      </w:r>
      <w:r>
        <w:t>i</w:t>
      </w:r>
      <w:r w:rsidRPr="00F60EF4">
        <w:t xml:space="preserve">ndustrial process sources </w:t>
      </w:r>
      <w:r>
        <w:t>with no default uncertainty levels</w:t>
      </w:r>
      <w:bookmarkEnd w:id="106"/>
      <w:bookmarkEnd w:id="107"/>
    </w:p>
    <w:p w14:paraId="130F8194" w14:textId="1F4C502E" w:rsidR="009449A8" w:rsidRDefault="009449A8" w:rsidP="009449A8">
      <w:r w:rsidRPr="00F60EF4">
        <w:t xml:space="preserve">The table below specifies industrial process sources that do not have default uncertainty </w:t>
      </w:r>
      <w:r>
        <w:t>levels</w:t>
      </w:r>
      <w:r w:rsidRPr="00F60EF4">
        <w:t xml:space="preserve"> in the </w:t>
      </w:r>
      <w:r>
        <w:t>NGER Measurement Determination</w:t>
      </w:r>
      <w:r w:rsidRPr="00F60EF4">
        <w:t xml:space="preserve">. If emissions from these sources involve the combustion of a fuel, then default fuel combustion uncertainty factors may be used for emissions attributable to each fuel. Otherwise, the </w:t>
      </w:r>
      <w:r>
        <w:t xml:space="preserve">auto-calculate </w:t>
      </w:r>
      <w:r w:rsidRPr="00F60EF4">
        <w:t xml:space="preserve">uncertainty </w:t>
      </w:r>
      <w:r>
        <w:t>function will use a default uncertainty value of 10% for the source</w:t>
      </w:r>
      <w:r w:rsidR="00175785">
        <w:t>,</w:t>
      </w:r>
      <w:r>
        <w:t xml:space="preserve"> </w:t>
      </w:r>
      <w:r w:rsidRPr="00F60EF4">
        <w:t xml:space="preserve">in accordance with </w:t>
      </w:r>
      <w:r w:rsidRPr="00767BD4">
        <w:t xml:space="preserve">the </w:t>
      </w:r>
      <w:r w:rsidR="00FF20CF">
        <w:t>downloadable</w:t>
      </w:r>
      <w:r w:rsidR="00F3288E">
        <w:t xml:space="preserve"> </w:t>
      </w:r>
      <w:hyperlink r:id="rId33" w:tooltip="A link to the Measurement and Estimation Uncertainty of GHG Emissions worksheet on the Greenhouse Has Protocol website" w:history="1">
        <w:r w:rsidR="00F3288E" w:rsidRPr="00953E11">
          <w:rPr>
            <w:rStyle w:val="Hyperlink"/>
            <w:rFonts w:asciiTheme="minorHAnsi" w:hAnsiTheme="minorHAnsi"/>
          </w:rPr>
          <w:t>Measurement and Estimation Uncertainty of GHG Emissions</w:t>
        </w:r>
        <w:r w:rsidRPr="00953E11">
          <w:rPr>
            <w:rStyle w:val="Hyperlink"/>
            <w:rFonts w:asciiTheme="minorHAnsi" w:hAnsiTheme="minorHAnsi"/>
          </w:rPr>
          <w:t xml:space="preserve"> ‘worksheet’</w:t>
        </w:r>
      </w:hyperlink>
      <w:r w:rsidR="00775E8A">
        <w:rPr>
          <w:rStyle w:val="FootnoteReference"/>
        </w:rPr>
        <w:footnoteReference w:id="13"/>
      </w:r>
      <w:r>
        <w:t xml:space="preserve"> </w:t>
      </w:r>
      <w:r w:rsidR="00F3288E">
        <w:t>from</w:t>
      </w:r>
      <w:r>
        <w:t xml:space="preserve"> </w:t>
      </w:r>
      <w:r w:rsidRPr="00F60EF4">
        <w:t>the</w:t>
      </w:r>
      <w:r w:rsidR="00F3288E">
        <w:t xml:space="preserve"> Greenhouse Gas Protocol</w:t>
      </w:r>
      <w:r w:rsidR="001D26AA">
        <w:t xml:space="preserve">’s </w:t>
      </w:r>
      <w:hyperlink r:id="rId34" w:history="1">
        <w:r w:rsidR="001D26AA" w:rsidRPr="00FC14FA">
          <w:rPr>
            <w:rStyle w:val="Hyperlink"/>
            <w:rFonts w:asciiTheme="minorHAnsi" w:hAnsiTheme="minorHAnsi"/>
          </w:rPr>
          <w:t>Calculation tools and guidance</w:t>
        </w:r>
      </w:hyperlink>
      <w:r w:rsidR="00FC14FA">
        <w:rPr>
          <w:rStyle w:val="FootnoteReference"/>
        </w:rPr>
        <w:footnoteReference w:id="14"/>
      </w:r>
      <w:r w:rsidR="00F3288E">
        <w:t>.</w:t>
      </w:r>
      <w:r w:rsidR="00D82917">
        <w:t xml:space="preserve"> </w:t>
      </w:r>
    </w:p>
    <w:p w14:paraId="54EAD744" w14:textId="77777777" w:rsidR="009449A8" w:rsidRPr="00BA020C" w:rsidRDefault="009449A8" w:rsidP="009449A8">
      <w:pPr>
        <w:pStyle w:val="Caption"/>
        <w:keepNext/>
      </w:pPr>
      <w:r w:rsidRPr="002B6B52">
        <w:rPr>
          <w:i w:val="0"/>
        </w:rPr>
        <w:t xml:space="preserve">Table </w:t>
      </w:r>
      <w:r w:rsidRPr="002B6B52">
        <w:rPr>
          <w:i w:val="0"/>
        </w:rPr>
        <w:fldChar w:fldCharType="begin"/>
      </w:r>
      <w:r w:rsidRPr="002B6B52">
        <w:rPr>
          <w:i w:val="0"/>
        </w:rPr>
        <w:instrText xml:space="preserve"> SEQ Table \* ARABIC </w:instrText>
      </w:r>
      <w:r w:rsidRPr="002B6B52">
        <w:rPr>
          <w:i w:val="0"/>
        </w:rPr>
        <w:fldChar w:fldCharType="separate"/>
      </w:r>
      <w:r>
        <w:rPr>
          <w:i w:val="0"/>
          <w:noProof/>
        </w:rPr>
        <w:t>1</w:t>
      </w:r>
      <w:r w:rsidRPr="002B6B52">
        <w:rPr>
          <w:i w:val="0"/>
        </w:rPr>
        <w:fldChar w:fldCharType="end"/>
      </w:r>
      <w:r w:rsidRPr="002B6B52">
        <w:rPr>
          <w:i w:val="0"/>
        </w:rPr>
        <w:t xml:space="preserve">: Sources without default uncertainty values in the NGER </w:t>
      </w:r>
      <w:r>
        <w:rPr>
          <w:i w:val="0"/>
        </w:rPr>
        <w:t xml:space="preserve">Measurement </w:t>
      </w:r>
      <w:r w:rsidRPr="002B6B52">
        <w:rPr>
          <w:i w:val="0"/>
        </w:rPr>
        <w:t>Determination</w:t>
      </w:r>
      <w:r>
        <w:rPr>
          <w:i w:val="0"/>
        </w:rPr>
        <w:t>.</w:t>
      </w:r>
    </w:p>
    <w:tbl>
      <w:tblPr>
        <w:tblStyle w:val="CERTable"/>
        <w:tblW w:w="5000" w:type="pct"/>
        <w:tblLook w:val="0420" w:firstRow="1" w:lastRow="0" w:firstColumn="0" w:lastColumn="0" w:noHBand="0" w:noVBand="1"/>
      </w:tblPr>
      <w:tblGrid>
        <w:gridCol w:w="9740"/>
      </w:tblGrid>
      <w:tr w:rsidR="009449A8" w:rsidRPr="00F21247" w14:paraId="56B7D909" w14:textId="77777777" w:rsidTr="00B36674">
        <w:trPr>
          <w:cnfStyle w:val="100000000000" w:firstRow="1" w:lastRow="0" w:firstColumn="0" w:lastColumn="0" w:oddVBand="0" w:evenVBand="0" w:oddHBand="0" w:evenHBand="0" w:firstRowFirstColumn="0" w:firstRowLastColumn="0" w:lastRowFirstColumn="0" w:lastRowLastColumn="0"/>
          <w:tblHeader/>
        </w:trPr>
        <w:tc>
          <w:tcPr>
            <w:tcW w:w="5000" w:type="pct"/>
          </w:tcPr>
          <w:p w14:paraId="50513700" w14:textId="77777777" w:rsidR="009449A8" w:rsidRPr="00635B0D" w:rsidRDefault="009449A8">
            <w:pPr>
              <w:spacing w:after="120"/>
              <w:rPr>
                <w:szCs w:val="22"/>
              </w:rPr>
            </w:pPr>
            <w:r w:rsidRPr="005E4227">
              <w:rPr>
                <w:szCs w:val="22"/>
              </w:rPr>
              <w:t>Source</w:t>
            </w:r>
          </w:p>
        </w:tc>
      </w:tr>
      <w:tr w:rsidR="009449A8" w:rsidRPr="00F21247" w14:paraId="431D8E8F" w14:textId="77777777">
        <w:trPr>
          <w:cnfStyle w:val="000000100000" w:firstRow="0" w:lastRow="0" w:firstColumn="0" w:lastColumn="0" w:oddVBand="0" w:evenVBand="0" w:oddHBand="1" w:evenHBand="0" w:firstRowFirstColumn="0" w:firstRowLastColumn="0" w:lastRowFirstColumn="0" w:lastRowLastColumn="0"/>
        </w:trPr>
        <w:tc>
          <w:tcPr>
            <w:tcW w:w="5000" w:type="pct"/>
          </w:tcPr>
          <w:p w14:paraId="660E0688" w14:textId="77777777" w:rsidR="009449A8" w:rsidRPr="005E4227" w:rsidRDefault="009449A8">
            <w:pPr>
              <w:spacing w:after="120"/>
              <w:rPr>
                <w:b/>
                <w:szCs w:val="22"/>
              </w:rPr>
            </w:pPr>
            <w:r w:rsidRPr="005E4227">
              <w:rPr>
                <w:szCs w:val="22"/>
              </w:rPr>
              <w:t>Sodium cyanide production</w:t>
            </w:r>
          </w:p>
        </w:tc>
      </w:tr>
      <w:tr w:rsidR="009449A8" w:rsidRPr="00F21247" w14:paraId="049AAFE5" w14:textId="77777777">
        <w:trPr>
          <w:cnfStyle w:val="000000010000" w:firstRow="0" w:lastRow="0" w:firstColumn="0" w:lastColumn="0" w:oddVBand="0" w:evenVBand="0" w:oddHBand="0" w:evenHBand="1" w:firstRowFirstColumn="0" w:firstRowLastColumn="0" w:lastRowFirstColumn="0" w:lastRowLastColumn="0"/>
        </w:trPr>
        <w:tc>
          <w:tcPr>
            <w:tcW w:w="5000" w:type="pct"/>
          </w:tcPr>
          <w:p w14:paraId="5FF2E727" w14:textId="77777777" w:rsidR="009449A8" w:rsidRPr="005E4227" w:rsidRDefault="009449A8">
            <w:pPr>
              <w:spacing w:after="120"/>
              <w:rPr>
                <w:b/>
                <w:szCs w:val="22"/>
              </w:rPr>
            </w:pPr>
            <w:r w:rsidRPr="005E4227">
              <w:rPr>
                <w:szCs w:val="22"/>
              </w:rPr>
              <w:t>Soda ash production</w:t>
            </w:r>
          </w:p>
        </w:tc>
      </w:tr>
      <w:tr w:rsidR="009449A8" w:rsidRPr="00F21247" w14:paraId="54F289E4" w14:textId="77777777">
        <w:trPr>
          <w:cnfStyle w:val="000000100000" w:firstRow="0" w:lastRow="0" w:firstColumn="0" w:lastColumn="0" w:oddVBand="0" w:evenVBand="0" w:oddHBand="1" w:evenHBand="0" w:firstRowFirstColumn="0" w:firstRowLastColumn="0" w:lastRowFirstColumn="0" w:lastRowLastColumn="0"/>
        </w:trPr>
        <w:tc>
          <w:tcPr>
            <w:tcW w:w="5000" w:type="pct"/>
          </w:tcPr>
          <w:p w14:paraId="3D5A86CF" w14:textId="77777777" w:rsidR="009449A8" w:rsidRPr="005E4227" w:rsidRDefault="009449A8">
            <w:pPr>
              <w:spacing w:after="120"/>
              <w:rPr>
                <w:b/>
                <w:szCs w:val="22"/>
              </w:rPr>
            </w:pPr>
            <w:r w:rsidRPr="005E4227">
              <w:rPr>
                <w:szCs w:val="22"/>
              </w:rPr>
              <w:t>Ammonia production</w:t>
            </w:r>
          </w:p>
        </w:tc>
      </w:tr>
      <w:tr w:rsidR="009449A8" w:rsidRPr="00F21247" w14:paraId="6F4E4C51" w14:textId="77777777">
        <w:trPr>
          <w:cnfStyle w:val="000000010000" w:firstRow="0" w:lastRow="0" w:firstColumn="0" w:lastColumn="0" w:oddVBand="0" w:evenVBand="0" w:oddHBand="0" w:evenHBand="1" w:firstRowFirstColumn="0" w:firstRowLastColumn="0" w:lastRowFirstColumn="0" w:lastRowLastColumn="0"/>
        </w:trPr>
        <w:tc>
          <w:tcPr>
            <w:tcW w:w="5000" w:type="pct"/>
          </w:tcPr>
          <w:p w14:paraId="77A0CFBC" w14:textId="77777777" w:rsidR="009449A8" w:rsidRPr="005E4227" w:rsidRDefault="009449A8">
            <w:pPr>
              <w:spacing w:after="120"/>
              <w:rPr>
                <w:szCs w:val="22"/>
              </w:rPr>
            </w:pPr>
            <w:r>
              <w:rPr>
                <w:szCs w:val="22"/>
              </w:rPr>
              <w:t>Hydrogen production</w:t>
            </w:r>
          </w:p>
        </w:tc>
      </w:tr>
      <w:tr w:rsidR="009449A8" w:rsidRPr="00F21247" w14:paraId="10F80450" w14:textId="77777777">
        <w:trPr>
          <w:cnfStyle w:val="000000100000" w:firstRow="0" w:lastRow="0" w:firstColumn="0" w:lastColumn="0" w:oddVBand="0" w:evenVBand="0" w:oddHBand="1" w:evenHBand="0" w:firstRowFirstColumn="0" w:firstRowLastColumn="0" w:lastRowFirstColumn="0" w:lastRowLastColumn="0"/>
        </w:trPr>
        <w:tc>
          <w:tcPr>
            <w:tcW w:w="5000" w:type="pct"/>
          </w:tcPr>
          <w:p w14:paraId="29D2A45B" w14:textId="77777777" w:rsidR="009449A8" w:rsidRPr="005E4227" w:rsidRDefault="009449A8">
            <w:pPr>
              <w:spacing w:after="120"/>
              <w:rPr>
                <w:b/>
                <w:szCs w:val="22"/>
              </w:rPr>
            </w:pPr>
            <w:r w:rsidRPr="005E4227">
              <w:rPr>
                <w:szCs w:val="22"/>
              </w:rPr>
              <w:t>Carbide production</w:t>
            </w:r>
          </w:p>
        </w:tc>
      </w:tr>
      <w:tr w:rsidR="009449A8" w:rsidRPr="00F21247" w14:paraId="087821D5" w14:textId="77777777">
        <w:trPr>
          <w:cnfStyle w:val="000000010000" w:firstRow="0" w:lastRow="0" w:firstColumn="0" w:lastColumn="0" w:oddVBand="0" w:evenVBand="0" w:oddHBand="0" w:evenHBand="1" w:firstRowFirstColumn="0" w:firstRowLastColumn="0" w:lastRowFirstColumn="0" w:lastRowLastColumn="0"/>
        </w:trPr>
        <w:tc>
          <w:tcPr>
            <w:tcW w:w="5000" w:type="pct"/>
          </w:tcPr>
          <w:p w14:paraId="15CA2EF5" w14:textId="77777777" w:rsidR="009449A8" w:rsidRPr="005E4227" w:rsidRDefault="009449A8">
            <w:pPr>
              <w:spacing w:after="120"/>
              <w:rPr>
                <w:b/>
                <w:szCs w:val="22"/>
              </w:rPr>
            </w:pPr>
            <w:r w:rsidRPr="005E4227">
              <w:rPr>
                <w:szCs w:val="22"/>
              </w:rPr>
              <w:t>Chemical or mineral production (other than carbide production) using a carbon reductant or carbon anode</w:t>
            </w:r>
          </w:p>
        </w:tc>
      </w:tr>
      <w:tr w:rsidR="009449A8" w:rsidRPr="00F21247" w14:paraId="0FD94E7C" w14:textId="77777777">
        <w:trPr>
          <w:cnfStyle w:val="000000100000" w:firstRow="0" w:lastRow="0" w:firstColumn="0" w:lastColumn="0" w:oddVBand="0" w:evenVBand="0" w:oddHBand="1" w:evenHBand="0" w:firstRowFirstColumn="0" w:firstRowLastColumn="0" w:lastRowFirstColumn="0" w:lastRowLastColumn="0"/>
        </w:trPr>
        <w:tc>
          <w:tcPr>
            <w:tcW w:w="5000" w:type="pct"/>
          </w:tcPr>
          <w:p w14:paraId="03B69E08" w14:textId="77777777" w:rsidR="009449A8" w:rsidRPr="005E4227" w:rsidRDefault="009449A8">
            <w:pPr>
              <w:spacing w:after="120"/>
              <w:rPr>
                <w:b/>
                <w:szCs w:val="22"/>
              </w:rPr>
            </w:pPr>
            <w:r w:rsidRPr="005E4227">
              <w:rPr>
                <w:szCs w:val="22"/>
              </w:rPr>
              <w:t>Iron, steel or other metal production using an integrated metalworks</w:t>
            </w:r>
          </w:p>
        </w:tc>
      </w:tr>
      <w:tr w:rsidR="009449A8" w:rsidRPr="00F21247" w14:paraId="2BA774C2" w14:textId="77777777">
        <w:trPr>
          <w:cnfStyle w:val="000000010000" w:firstRow="0" w:lastRow="0" w:firstColumn="0" w:lastColumn="0" w:oddVBand="0" w:evenVBand="0" w:oddHBand="0" w:evenHBand="1" w:firstRowFirstColumn="0" w:firstRowLastColumn="0" w:lastRowFirstColumn="0" w:lastRowLastColumn="0"/>
        </w:trPr>
        <w:tc>
          <w:tcPr>
            <w:tcW w:w="5000" w:type="pct"/>
          </w:tcPr>
          <w:p w14:paraId="1EA499A8" w14:textId="77777777" w:rsidR="009449A8" w:rsidRPr="005E4227" w:rsidRDefault="009449A8">
            <w:pPr>
              <w:spacing w:after="120"/>
              <w:rPr>
                <w:b/>
                <w:szCs w:val="22"/>
              </w:rPr>
            </w:pPr>
            <w:r w:rsidRPr="005E4227">
              <w:rPr>
                <w:szCs w:val="22"/>
              </w:rPr>
              <w:t>Ferroalloys production</w:t>
            </w:r>
          </w:p>
        </w:tc>
      </w:tr>
      <w:tr w:rsidR="009449A8" w:rsidRPr="00F21247" w14:paraId="254EA70A" w14:textId="77777777">
        <w:trPr>
          <w:cnfStyle w:val="000000100000" w:firstRow="0" w:lastRow="0" w:firstColumn="0" w:lastColumn="0" w:oddVBand="0" w:evenVBand="0" w:oddHBand="1" w:evenHBand="0" w:firstRowFirstColumn="0" w:firstRowLastColumn="0" w:lastRowFirstColumn="0" w:lastRowLastColumn="0"/>
        </w:trPr>
        <w:tc>
          <w:tcPr>
            <w:tcW w:w="5000" w:type="pct"/>
          </w:tcPr>
          <w:p w14:paraId="52370F31" w14:textId="77777777" w:rsidR="009449A8" w:rsidRPr="005E4227" w:rsidRDefault="009449A8">
            <w:pPr>
              <w:spacing w:after="120"/>
              <w:rPr>
                <w:b/>
                <w:szCs w:val="22"/>
              </w:rPr>
            </w:pPr>
            <w:r w:rsidRPr="005E4227">
              <w:rPr>
                <w:szCs w:val="22"/>
              </w:rPr>
              <w:t>Aluminium production (where the activity is the production of baked carbon anodes)</w:t>
            </w:r>
          </w:p>
        </w:tc>
      </w:tr>
      <w:tr w:rsidR="009449A8" w:rsidRPr="00F21247" w14:paraId="034A2225" w14:textId="77777777">
        <w:trPr>
          <w:cnfStyle w:val="000000010000" w:firstRow="0" w:lastRow="0" w:firstColumn="0" w:lastColumn="0" w:oddVBand="0" w:evenVBand="0" w:oddHBand="0" w:evenHBand="1" w:firstRowFirstColumn="0" w:firstRowLastColumn="0" w:lastRowFirstColumn="0" w:lastRowLastColumn="0"/>
        </w:trPr>
        <w:tc>
          <w:tcPr>
            <w:tcW w:w="5000" w:type="pct"/>
          </w:tcPr>
          <w:p w14:paraId="556AF51C" w14:textId="77777777" w:rsidR="009449A8" w:rsidRPr="005E4227" w:rsidRDefault="009449A8">
            <w:pPr>
              <w:spacing w:after="120"/>
              <w:rPr>
                <w:b/>
                <w:szCs w:val="22"/>
              </w:rPr>
            </w:pPr>
            <w:r w:rsidRPr="005E4227">
              <w:rPr>
                <w:szCs w:val="22"/>
              </w:rPr>
              <w:t>Other metals production</w:t>
            </w:r>
          </w:p>
        </w:tc>
      </w:tr>
    </w:tbl>
    <w:p w14:paraId="62275D16" w14:textId="64ECB8B8" w:rsidR="00012166" w:rsidRDefault="00012166" w:rsidP="00012166">
      <w:pPr>
        <w:spacing w:after="0"/>
        <w:rPr>
          <w:rFonts w:eastAsia="Times New Roman"/>
          <w:b/>
          <w:bCs/>
          <w:color w:val="005874"/>
          <w:kern w:val="32"/>
          <w:sz w:val="40"/>
          <w:lang w:val="en-GB"/>
        </w:rPr>
      </w:pPr>
      <w:bookmarkStart w:id="108" w:name="_Toc43486704"/>
      <w:bookmarkStart w:id="109" w:name="_Toc42609454"/>
      <w:bookmarkStart w:id="110" w:name="_Toc106870237"/>
      <w:bookmarkEnd w:id="108"/>
    </w:p>
    <w:p w14:paraId="1B2B0BAE" w14:textId="77777777" w:rsidR="00012166" w:rsidRPr="00E24565" w:rsidRDefault="00012166" w:rsidP="00012166">
      <w:pPr>
        <w:pStyle w:val="Heading1"/>
        <w:keepNext/>
        <w:numPr>
          <w:ilvl w:val="0"/>
          <w:numId w:val="35"/>
        </w:numPr>
        <w:spacing w:before="280" w:after="200"/>
        <w:rPr>
          <w:lang w:val="en-GB"/>
        </w:rPr>
      </w:pPr>
      <w:bookmarkStart w:id="111" w:name="_Toc198909918"/>
      <w:bookmarkStart w:id="112" w:name="_Toc204852512"/>
      <w:r w:rsidRPr="00E24565">
        <w:rPr>
          <w:lang w:val="en-GB"/>
        </w:rPr>
        <w:t>Reporting uncertainty in the Emissions and Energy Reporting System</w:t>
      </w:r>
      <w:bookmarkEnd w:id="105"/>
      <w:bookmarkEnd w:id="109"/>
      <w:bookmarkEnd w:id="110"/>
      <w:bookmarkEnd w:id="111"/>
      <w:bookmarkEnd w:id="112"/>
    </w:p>
    <w:p w14:paraId="34C9D3A1" w14:textId="2464AC04" w:rsidR="00012166" w:rsidRDefault="007E0AD9" w:rsidP="00A10B7F">
      <w:r>
        <w:t>From 1 July 2025</w:t>
      </w:r>
      <w:r w:rsidR="00B01DB6">
        <w:t xml:space="preserve">, </w:t>
      </w:r>
      <w:r w:rsidR="00E55CED">
        <w:t>the way</w:t>
      </w:r>
      <w:r w:rsidR="00462189">
        <w:t xml:space="preserve"> to enter uncer</w:t>
      </w:r>
      <w:r w:rsidR="00EC4959">
        <w:t>tainty in the Emissions and Energy Reporting System</w:t>
      </w:r>
      <w:r w:rsidR="00C254F7">
        <w:t xml:space="preserve"> </w:t>
      </w:r>
      <w:r w:rsidR="00547469">
        <w:t>has changed.</w:t>
      </w:r>
      <w:r w:rsidR="00C254F7">
        <w:t xml:space="preserve"> </w:t>
      </w:r>
      <w:r w:rsidR="00CF71B0">
        <w:t>Go to</w:t>
      </w:r>
      <w:r w:rsidR="00683DC8">
        <w:t xml:space="preserve"> </w:t>
      </w:r>
      <w:r w:rsidR="00633784">
        <w:t xml:space="preserve">the </w:t>
      </w:r>
      <w:hyperlink r:id="rId35" w:tooltip="A link to the EERS navigation guide on the Clean Energy Regulator webpage" w:history="1">
        <w:r w:rsidR="000B73C6" w:rsidRPr="00633784">
          <w:rPr>
            <w:rStyle w:val="Hyperlink"/>
            <w:rFonts w:asciiTheme="minorHAnsi" w:hAnsiTheme="minorHAnsi"/>
          </w:rPr>
          <w:t>EERS Navigation Guide</w:t>
        </w:r>
      </w:hyperlink>
      <w:r w:rsidR="00633784">
        <w:rPr>
          <w:rStyle w:val="FootnoteReference"/>
        </w:rPr>
        <w:footnoteReference w:id="15"/>
      </w:r>
      <w:r w:rsidR="00E6321B">
        <w:t xml:space="preserve"> for more information</w:t>
      </w:r>
      <w:r w:rsidR="000B73C6">
        <w:t>.</w:t>
      </w:r>
    </w:p>
    <w:tbl>
      <w:tblPr>
        <w:tblStyle w:val="CERCallout"/>
        <w:tblW w:w="5000" w:type="pct"/>
        <w:tblLook w:val="0400" w:firstRow="0" w:lastRow="0" w:firstColumn="0" w:lastColumn="0" w:noHBand="0" w:noVBand="1"/>
      </w:tblPr>
      <w:tblGrid>
        <w:gridCol w:w="9710"/>
      </w:tblGrid>
      <w:tr w:rsidR="00012166" w:rsidRPr="00FA7635" w14:paraId="5346D7AE" w14:textId="77777777" w:rsidTr="00181F79">
        <w:tc>
          <w:tcPr>
            <w:tcW w:w="5000" w:type="pct"/>
          </w:tcPr>
          <w:p w14:paraId="3DC8969D" w14:textId="7BF9258F" w:rsidR="00B70286" w:rsidRPr="00FA7635" w:rsidRDefault="00012166" w:rsidP="0088003F">
            <w:r w:rsidRPr="00A6150F">
              <w:rPr>
                <w:bCs/>
              </w:rPr>
              <w:t>Note:</w:t>
            </w:r>
            <w:r>
              <w:t xml:space="preserve"> </w:t>
            </w:r>
            <w:r w:rsidR="00A749C1">
              <w:t xml:space="preserve">In EERS, if any relevant activity data is changed in the data entry </w:t>
            </w:r>
            <w:r w:rsidR="003449B4">
              <w:t>function</w:t>
            </w:r>
            <w:r w:rsidR="00A749C1">
              <w:t xml:space="preserve"> after you report uncertainty, the uncertainty value will clear and will need to be recalculate</w:t>
            </w:r>
            <w:r w:rsidR="00CC48DC">
              <w:t>d</w:t>
            </w:r>
            <w:r w:rsidR="00DC7F70">
              <w:t xml:space="preserve"> prior to submission</w:t>
            </w:r>
            <w:r w:rsidR="00A749C1">
              <w:t>.</w:t>
            </w:r>
          </w:p>
        </w:tc>
      </w:tr>
    </w:tbl>
    <w:p w14:paraId="5FCD1576" w14:textId="4EF3CE3E" w:rsidR="00012166" w:rsidRDefault="00012166" w:rsidP="00012166">
      <w:pPr>
        <w:pStyle w:val="Heading2"/>
        <w:numPr>
          <w:ilvl w:val="1"/>
          <w:numId w:val="35"/>
        </w:numPr>
        <w:spacing w:after="200"/>
        <w:ind w:left="426" w:hanging="426"/>
      </w:pPr>
      <w:bookmarkStart w:id="113" w:name="_NGER_Uncertainty_Calculator"/>
      <w:bookmarkStart w:id="114" w:name="_Toc42609455"/>
      <w:bookmarkStart w:id="115" w:name="_Toc106870238"/>
      <w:bookmarkStart w:id="116" w:name="_Toc198909919"/>
      <w:bookmarkStart w:id="117" w:name="_Toc204852513"/>
      <w:bookmarkStart w:id="118" w:name="_Toc413749904"/>
      <w:bookmarkEnd w:id="113"/>
      <w:r>
        <w:t>NGER Uncertainty Calculator</w:t>
      </w:r>
      <w:bookmarkEnd w:id="114"/>
      <w:bookmarkEnd w:id="115"/>
      <w:bookmarkEnd w:id="116"/>
      <w:bookmarkEnd w:id="117"/>
      <w:r>
        <w:t xml:space="preserve"> </w:t>
      </w:r>
    </w:p>
    <w:p w14:paraId="1D7A6018" w14:textId="5451F670" w:rsidR="0039420F" w:rsidRDefault="00ED711C" w:rsidP="00012166">
      <w:r>
        <w:t xml:space="preserve">The </w:t>
      </w:r>
      <w:r w:rsidR="6ACB12D9">
        <w:t>CER</w:t>
      </w:r>
      <w:r w:rsidR="00012166">
        <w:t xml:space="preserve"> has provided a tool that can help reporters assess uncertainty</w:t>
      </w:r>
      <w:r w:rsidR="007D5560">
        <w:t xml:space="preserve">, called the </w:t>
      </w:r>
      <w:r w:rsidR="000D1264">
        <w:t xml:space="preserve">NGER </w:t>
      </w:r>
      <w:r w:rsidR="007D5560">
        <w:t>Uncertainty Calculator</w:t>
      </w:r>
      <w:r w:rsidR="00012166">
        <w:t xml:space="preserve">. The </w:t>
      </w:r>
      <w:r w:rsidR="000D1264">
        <w:t xml:space="preserve">NGER </w:t>
      </w:r>
      <w:r w:rsidR="00012166" w:rsidRPr="00D41B3B">
        <w:t>Uncertainty Calculator</w:t>
      </w:r>
      <w:r w:rsidR="00012166">
        <w:t xml:space="preserve"> and the </w:t>
      </w:r>
      <w:r w:rsidR="005406FA" w:rsidRPr="001051C9">
        <w:t>NGER Uncertainty Calculator User Guide</w:t>
      </w:r>
      <w:r w:rsidR="00012166" w:rsidRPr="005E4227">
        <w:rPr>
          <w:rStyle w:val="Hyperlink"/>
          <w:rFonts w:asciiTheme="minorHAnsi" w:hAnsiTheme="minorHAnsi"/>
          <w:u w:val="none"/>
        </w:rPr>
        <w:t xml:space="preserve"> </w:t>
      </w:r>
      <w:r w:rsidR="00012166">
        <w:t xml:space="preserve">can be downloaded from the </w:t>
      </w:r>
      <w:hyperlink r:id="rId36" w:tooltip="A link to the Calculators page of the Clean Energy Regulator webpage" w:history="1">
        <w:r w:rsidR="00012166" w:rsidRPr="00F21247">
          <w:rPr>
            <w:rStyle w:val="Hyperlink"/>
            <w:rFonts w:asciiTheme="minorHAnsi" w:hAnsiTheme="minorHAnsi"/>
          </w:rPr>
          <w:t>Calculators</w:t>
        </w:r>
      </w:hyperlink>
      <w:r w:rsidR="00012166">
        <w:rPr>
          <w:rStyle w:val="FootnoteReference"/>
        </w:rPr>
        <w:footnoteReference w:id="16"/>
      </w:r>
      <w:r w:rsidR="00012166">
        <w:t xml:space="preserve"> page of our website. </w:t>
      </w:r>
    </w:p>
    <w:tbl>
      <w:tblPr>
        <w:tblStyle w:val="CERCallout"/>
        <w:tblW w:w="0" w:type="auto"/>
        <w:tblLook w:val="0400" w:firstRow="0" w:lastRow="0" w:firstColumn="0" w:lastColumn="0" w:noHBand="0" w:noVBand="1"/>
      </w:tblPr>
      <w:tblGrid>
        <w:gridCol w:w="9710"/>
      </w:tblGrid>
      <w:tr w:rsidR="00012166" w:rsidRPr="00FA7635" w14:paraId="708BA026" w14:textId="77777777">
        <w:tc>
          <w:tcPr>
            <w:tcW w:w="10415" w:type="dxa"/>
          </w:tcPr>
          <w:p w14:paraId="4AB08282" w14:textId="294015F9" w:rsidR="00012166" w:rsidRPr="00FA7635" w:rsidRDefault="00012166">
            <w:r w:rsidRPr="00A6150F">
              <w:rPr>
                <w:bCs/>
              </w:rPr>
              <w:t>Note:</w:t>
            </w:r>
            <w:r>
              <w:t xml:space="preserve"> It is not compulsory to use the </w:t>
            </w:r>
            <w:r w:rsidR="003320D8">
              <w:t xml:space="preserve">NGER </w:t>
            </w:r>
            <w:r>
              <w:t>Uncertainty Calculator. Reporters may use their own method, in line with the requirements of the NGER Measurement Determination.</w:t>
            </w:r>
          </w:p>
        </w:tc>
      </w:tr>
    </w:tbl>
    <w:p w14:paraId="19245184" w14:textId="16736677" w:rsidR="00012166" w:rsidRDefault="00012166" w:rsidP="00012166">
      <w:pPr>
        <w:pStyle w:val="Heading1"/>
        <w:keepNext/>
        <w:numPr>
          <w:ilvl w:val="0"/>
          <w:numId w:val="35"/>
        </w:numPr>
        <w:spacing w:before="280" w:after="200"/>
      </w:pPr>
      <w:bookmarkStart w:id="119" w:name="_Toc198910536"/>
      <w:bookmarkStart w:id="120" w:name="_Toc198910537"/>
      <w:bookmarkStart w:id="121" w:name="_Toc198910538"/>
      <w:bookmarkStart w:id="122" w:name="_Toc198910540"/>
      <w:bookmarkStart w:id="123" w:name="_Toc198910542"/>
      <w:bookmarkStart w:id="124" w:name="_Toc198910544"/>
      <w:bookmarkStart w:id="125" w:name="_Toc198910546"/>
      <w:bookmarkStart w:id="126" w:name="_Toc198910548"/>
      <w:bookmarkStart w:id="127" w:name="_Toc198910550"/>
      <w:bookmarkStart w:id="128" w:name="_Toc198910552"/>
      <w:bookmarkStart w:id="129" w:name="_Toc198910554"/>
      <w:bookmarkStart w:id="130" w:name="_Toc198910556"/>
      <w:bookmarkStart w:id="131" w:name="_Toc198910558"/>
      <w:bookmarkStart w:id="132" w:name="_Toc198909920"/>
      <w:bookmarkStart w:id="133" w:name="_Toc198910560"/>
      <w:bookmarkStart w:id="134" w:name="_Toc42609457"/>
      <w:bookmarkStart w:id="135" w:name="_Toc106870240"/>
      <w:bookmarkStart w:id="136" w:name="_Toc198909921"/>
      <w:bookmarkStart w:id="137" w:name="_Toc20485251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More information</w:t>
      </w:r>
      <w:bookmarkEnd w:id="134"/>
      <w:r>
        <w:t xml:space="preserve"> and references</w:t>
      </w:r>
      <w:bookmarkEnd w:id="135"/>
      <w:bookmarkEnd w:id="136"/>
      <w:bookmarkEnd w:id="137"/>
    </w:p>
    <w:p w14:paraId="2157F744" w14:textId="5108DAC8" w:rsidR="00012166" w:rsidRDefault="00012166" w:rsidP="00012166">
      <w:pPr>
        <w:spacing w:before="120" w:after="120"/>
        <w:rPr>
          <w:lang w:val="en-GB"/>
        </w:rPr>
      </w:pPr>
      <w:bookmarkStart w:id="138" w:name="_Hlk43906697"/>
      <w:r>
        <w:t xml:space="preserve">This guideline has been provided by </w:t>
      </w:r>
      <w:r w:rsidR="00ED711C">
        <w:t xml:space="preserve">the </w:t>
      </w:r>
      <w:r w:rsidR="21820B6E">
        <w:t>CER</w:t>
      </w:r>
      <w:r>
        <w:t>, to assist in the consistent accounting and reporting of greenhouse gas emissions, energy consumption and energy production using the NGER legislation.</w:t>
      </w:r>
    </w:p>
    <w:p w14:paraId="46B5BC07" w14:textId="77777777" w:rsidR="00012166" w:rsidRDefault="00012166" w:rsidP="00A10B7F">
      <w:pPr>
        <w:pStyle w:val="Heading2"/>
        <w:numPr>
          <w:ilvl w:val="1"/>
          <w:numId w:val="35"/>
        </w:numPr>
        <w:spacing w:after="200"/>
        <w:ind w:left="426" w:hanging="426"/>
      </w:pPr>
      <w:bookmarkStart w:id="139" w:name="_Toc510679827"/>
      <w:bookmarkStart w:id="140" w:name="_Toc75954613"/>
      <w:bookmarkStart w:id="141" w:name="_Toc106870241"/>
      <w:bookmarkStart w:id="142" w:name="_Toc108023405"/>
      <w:bookmarkStart w:id="143" w:name="_Toc198909922"/>
      <w:bookmarkStart w:id="144" w:name="_Toc204852515"/>
      <w:r>
        <w:t>More information</w:t>
      </w:r>
      <w:bookmarkEnd w:id="139"/>
      <w:bookmarkEnd w:id="140"/>
      <w:bookmarkEnd w:id="141"/>
      <w:bookmarkEnd w:id="142"/>
      <w:bookmarkEnd w:id="143"/>
      <w:bookmarkEnd w:id="144"/>
    </w:p>
    <w:p w14:paraId="44FB2798" w14:textId="749F9EAA" w:rsidR="00012166" w:rsidRDefault="00012166" w:rsidP="00012166">
      <w:pPr>
        <w:spacing w:before="120" w:after="120"/>
      </w:pPr>
      <w:r>
        <w:t xml:space="preserve">For more information, please </w:t>
      </w:r>
      <w:r w:rsidR="5623FD68">
        <w:t xml:space="preserve">contact </w:t>
      </w:r>
      <w:r w:rsidR="31A6B7A2">
        <w:t>CER</w:t>
      </w:r>
      <w:r>
        <w:t>:</w:t>
      </w:r>
    </w:p>
    <w:p w14:paraId="722ABDE5" w14:textId="6D67A8AA" w:rsidR="00012166" w:rsidRDefault="00012166" w:rsidP="00012166">
      <w:pPr>
        <w:spacing w:before="120" w:after="120"/>
      </w:pPr>
      <w:r>
        <w:t xml:space="preserve">Email: </w:t>
      </w:r>
      <w:hyperlink r:id="rId37" w:history="1">
        <w:r w:rsidR="00E67ABC">
          <w:rPr>
            <w:rStyle w:val="Hyperlink"/>
            <w:szCs w:val="22"/>
          </w:rPr>
          <w:t>cer-nger-reporting@cer.gov.au</w:t>
        </w:r>
      </w:hyperlink>
    </w:p>
    <w:p w14:paraId="6CC3E590" w14:textId="77777777" w:rsidR="00012166" w:rsidRDefault="00012166" w:rsidP="00012166">
      <w:pPr>
        <w:spacing w:before="120" w:after="120"/>
      </w:pPr>
      <w:r>
        <w:t xml:space="preserve">Phone: </w:t>
      </w:r>
      <w:r w:rsidRPr="00D47E7B">
        <w:rPr>
          <w:bCs/>
        </w:rPr>
        <w:t>1300 553 542</w:t>
      </w:r>
      <w:r>
        <w:rPr>
          <w:b/>
        </w:rPr>
        <w:t xml:space="preserve"> </w:t>
      </w:r>
      <w:r>
        <w:t xml:space="preserve">within Australia </w:t>
      </w:r>
    </w:p>
    <w:p w14:paraId="324AAA64" w14:textId="03CD4FE9" w:rsidR="00012166" w:rsidRDefault="00012166" w:rsidP="00012166">
      <w:pPr>
        <w:spacing w:before="120" w:after="120"/>
      </w:pPr>
      <w:r>
        <w:t xml:space="preserve">Website: </w:t>
      </w:r>
      <w:hyperlink r:id="rId38" w:history="1">
        <w:r w:rsidR="00AD73B2">
          <w:rPr>
            <w:rStyle w:val="Hyperlink"/>
          </w:rPr>
          <w:t>www.cer.gov.au</w:t>
        </w:r>
      </w:hyperlink>
    </w:p>
    <w:p w14:paraId="75779983" w14:textId="2A96CD15" w:rsidR="00012166" w:rsidRDefault="00012166" w:rsidP="00A10B7F">
      <w:pPr>
        <w:pStyle w:val="Heading2"/>
        <w:numPr>
          <w:ilvl w:val="1"/>
          <w:numId w:val="35"/>
        </w:numPr>
        <w:spacing w:after="200"/>
        <w:ind w:left="426" w:hanging="426"/>
      </w:pPr>
      <w:bookmarkStart w:id="145" w:name="_Toc75954614"/>
      <w:bookmarkStart w:id="146" w:name="_Toc106870242"/>
      <w:bookmarkStart w:id="147" w:name="_Toc108023406"/>
      <w:bookmarkStart w:id="148" w:name="_Toc198909923"/>
      <w:bookmarkStart w:id="149" w:name="_Toc204852516"/>
      <w:r>
        <w:t>Guide</w:t>
      </w:r>
      <w:r w:rsidR="000339BE">
        <w:t>line</w:t>
      </w:r>
      <w:r>
        <w:t>s</w:t>
      </w:r>
      <w:bookmarkEnd w:id="145"/>
      <w:bookmarkEnd w:id="146"/>
      <w:bookmarkEnd w:id="147"/>
      <w:bookmarkEnd w:id="148"/>
      <w:bookmarkEnd w:id="149"/>
    </w:p>
    <w:p w14:paraId="084938F8" w14:textId="59EB6652" w:rsidR="00012166" w:rsidRDefault="00012166" w:rsidP="00012166">
      <w:pPr>
        <w:pStyle w:val="CERbullets"/>
        <w:numPr>
          <w:ilvl w:val="0"/>
          <w:numId w:val="0"/>
        </w:numPr>
      </w:pPr>
      <w:r>
        <w:t xml:space="preserve">See our </w:t>
      </w:r>
      <w:hyperlink r:id="rId39" w:tooltip="A link to the NGER reporting guides on the Clean Energy Regulator webpage" w:history="1">
        <w:r w:rsidR="00256D33" w:rsidRPr="00315318">
          <w:rPr>
            <w:rStyle w:val="Hyperlink"/>
            <w:rFonts w:asciiTheme="minorHAnsi" w:hAnsiTheme="minorHAnsi"/>
          </w:rPr>
          <w:t>NGER Reporting Guides</w:t>
        </w:r>
      </w:hyperlink>
      <w:r w:rsidRPr="00315318">
        <w:rPr>
          <w:rStyle w:val="FootnoteReference"/>
          <w:color w:val="005874"/>
        </w:rPr>
        <w:footnoteReference w:id="17"/>
      </w:r>
      <w:r w:rsidRPr="00315318">
        <w:t xml:space="preserve"> for</w:t>
      </w:r>
      <w:r>
        <w:t xml:space="preserve"> guidance on:</w:t>
      </w:r>
    </w:p>
    <w:p w14:paraId="7C1B37AA" w14:textId="77777777" w:rsidR="00012166" w:rsidRDefault="00012166" w:rsidP="00012166">
      <w:pPr>
        <w:numPr>
          <w:ilvl w:val="0"/>
          <w:numId w:val="36"/>
        </w:numPr>
        <w:spacing w:before="120" w:after="120"/>
      </w:pPr>
      <w:r>
        <w:t>defining a facility</w:t>
      </w:r>
    </w:p>
    <w:p w14:paraId="3B337017" w14:textId="77777777" w:rsidR="00012166" w:rsidRDefault="00012166" w:rsidP="00012166">
      <w:pPr>
        <w:numPr>
          <w:ilvl w:val="0"/>
          <w:numId w:val="36"/>
        </w:numPr>
        <w:spacing w:before="120" w:after="120"/>
      </w:pPr>
      <w:r>
        <w:t>measurement criteria</w:t>
      </w:r>
    </w:p>
    <w:p w14:paraId="3F5FFB98" w14:textId="021262D7" w:rsidR="00012166" w:rsidRDefault="00012166" w:rsidP="00012166">
      <w:pPr>
        <w:numPr>
          <w:ilvl w:val="0"/>
          <w:numId w:val="36"/>
        </w:numPr>
        <w:spacing w:before="120" w:after="120"/>
      </w:pPr>
      <w:r>
        <w:t>reporting energy production and consumption</w:t>
      </w:r>
      <w:bookmarkEnd w:id="138"/>
    </w:p>
    <w:p w14:paraId="6043DCDE" w14:textId="77777777" w:rsidR="00012166" w:rsidRDefault="00012166" w:rsidP="00012166">
      <w:pPr>
        <w:numPr>
          <w:ilvl w:val="0"/>
          <w:numId w:val="36"/>
        </w:numPr>
        <w:spacing w:before="120" w:after="120"/>
      </w:pPr>
      <w:r>
        <w:t>estimating emission and energy from coal mining guideline</w:t>
      </w:r>
    </w:p>
    <w:p w14:paraId="40B874F5" w14:textId="18FDF9C0" w:rsidR="00235142" w:rsidRDefault="00012166" w:rsidP="001051C9">
      <w:pPr>
        <w:numPr>
          <w:ilvl w:val="0"/>
          <w:numId w:val="36"/>
        </w:numPr>
        <w:spacing w:before="120" w:after="120"/>
      </w:pPr>
      <w:r>
        <w:t>estimating emission and energy from industrial processes</w:t>
      </w:r>
      <w:r w:rsidR="3333BB38">
        <w:t>.</w:t>
      </w:r>
    </w:p>
    <w:sectPr w:rsidR="00235142" w:rsidSect="00BE759B">
      <w:headerReference w:type="default" r:id="rId40"/>
      <w:footerReference w:type="even" r:id="rId41"/>
      <w:footerReference w:type="default" r:id="rId42"/>
      <w:headerReference w:type="first" r:id="rId43"/>
      <w:footerReference w:type="first" r:id="rId44"/>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6E77" w14:textId="77777777" w:rsidR="007A183B" w:rsidRDefault="007A183B" w:rsidP="00176C28">
      <w:r>
        <w:separator/>
      </w:r>
    </w:p>
    <w:p w14:paraId="0E238E98" w14:textId="77777777" w:rsidR="007A183B" w:rsidRDefault="007A183B"/>
  </w:endnote>
  <w:endnote w:type="continuationSeparator" w:id="0">
    <w:p w14:paraId="08995AD0" w14:textId="77777777" w:rsidR="007A183B" w:rsidRDefault="007A183B" w:rsidP="00176C28">
      <w:r>
        <w:continuationSeparator/>
      </w:r>
    </w:p>
    <w:p w14:paraId="7E3D881E" w14:textId="77777777" w:rsidR="007A183B" w:rsidRDefault="007A183B"/>
  </w:endnote>
  <w:endnote w:type="continuationNotice" w:id="1">
    <w:p w14:paraId="0DFA96D1" w14:textId="77777777" w:rsidR="007A183B" w:rsidRDefault="007A18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1DCE" w14:textId="7B4A3191" w:rsidR="00B6321F" w:rsidRPr="00E613C9" w:rsidRDefault="00B6321F" w:rsidP="00B6321F">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w:t>
    </w:r>
    <w:r w:rsidRPr="002D18F3">
      <w:t>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w:t>
    </w:r>
    <w:r>
      <w:rPr>
        <w:rStyle w:val="PageNumber"/>
      </w:rPr>
      <w:t>e</w:t>
    </w:r>
    <w:r w:rsidRPr="002D18F3">
      <w:rPr>
        <w:rStyle w:val="PageNumber"/>
      </w:rPr>
      <w:t>r.gov.au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7ADBF039" w:rsidR="00F76419" w:rsidRPr="00B6321F" w:rsidRDefault="00B6321F" w:rsidP="00B6321F">
    <w:pPr>
      <w:pStyle w:val="Footer"/>
      <w:spacing w:before="60"/>
      <w:jc w:val="center"/>
      <w:rPr>
        <w:rStyle w:val="Protectivemarker"/>
      </w:rPr>
    </w:pPr>
    <w:r w:rsidRPr="00B6321F">
      <w:rPr>
        <w:rStyle w:val="Protectivemarker"/>
        <w:sz w:val="28"/>
        <w:szCs w:val="26"/>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D67A" w14:textId="77777777" w:rsidR="007A183B" w:rsidRDefault="007A183B" w:rsidP="00176C28">
      <w:r>
        <w:separator/>
      </w:r>
    </w:p>
    <w:p w14:paraId="7373CB2E" w14:textId="77777777" w:rsidR="007A183B" w:rsidRDefault="007A183B"/>
  </w:footnote>
  <w:footnote w:type="continuationSeparator" w:id="0">
    <w:p w14:paraId="789A3CDD" w14:textId="77777777" w:rsidR="007A183B" w:rsidRDefault="007A183B" w:rsidP="00176C28">
      <w:r>
        <w:continuationSeparator/>
      </w:r>
    </w:p>
    <w:p w14:paraId="501DD9C7" w14:textId="77777777" w:rsidR="007A183B" w:rsidRDefault="007A183B"/>
  </w:footnote>
  <w:footnote w:type="continuationNotice" w:id="1">
    <w:p w14:paraId="285CB467" w14:textId="77777777" w:rsidR="007A183B" w:rsidRDefault="007A183B">
      <w:pPr>
        <w:spacing w:after="0"/>
      </w:pPr>
    </w:p>
  </w:footnote>
  <w:footnote w:id="2">
    <w:p w14:paraId="7E04F2E0" w14:textId="160B479D" w:rsidR="00EC1970" w:rsidRPr="008F212C" w:rsidRDefault="00EC1970" w:rsidP="00EC1970">
      <w:pPr>
        <w:pStyle w:val="FootnoteText"/>
        <w:rPr>
          <w:lang w:val="en-AU"/>
        </w:rPr>
      </w:pPr>
      <w:r>
        <w:rPr>
          <w:rStyle w:val="FootnoteReference"/>
        </w:rPr>
        <w:footnoteRef/>
      </w:r>
      <w:r>
        <w:t xml:space="preserve"> </w:t>
      </w:r>
      <w:r w:rsidR="00547E99" w:rsidRPr="001051C9">
        <w:t>https://www.legislation.gov.au/help-and-resources/understanding-legislation/reading-legislation</w:t>
      </w:r>
      <w:r>
        <w:t xml:space="preserve"> </w:t>
      </w:r>
    </w:p>
  </w:footnote>
  <w:footnote w:id="3">
    <w:p w14:paraId="043F898E" w14:textId="0C400C60" w:rsidR="00012166" w:rsidRPr="00F26D6F" w:rsidRDefault="00012166" w:rsidP="00012166">
      <w:pPr>
        <w:pStyle w:val="FootnoteText"/>
      </w:pPr>
      <w:r>
        <w:rPr>
          <w:rStyle w:val="FootnoteReference"/>
        </w:rPr>
        <w:footnoteRef/>
      </w:r>
      <w:r>
        <w:t xml:space="preserve"> </w:t>
      </w:r>
      <w:r w:rsidR="006E3A48" w:rsidRPr="001051C9">
        <w:t>https://www.legislation.gov.au/Series/C2007A00175</w:t>
      </w:r>
      <w:r w:rsidRPr="00F26D6F">
        <w:t xml:space="preserve"> </w:t>
      </w:r>
    </w:p>
  </w:footnote>
  <w:footnote w:id="4">
    <w:p w14:paraId="148CCD8D" w14:textId="2684D80B" w:rsidR="00012166" w:rsidRPr="00F26D6F" w:rsidRDefault="00012166" w:rsidP="00012166">
      <w:pPr>
        <w:pStyle w:val="FootnoteText"/>
      </w:pPr>
      <w:r w:rsidRPr="00F26D6F">
        <w:rPr>
          <w:rStyle w:val="FootnoteReference"/>
        </w:rPr>
        <w:footnoteRef/>
      </w:r>
      <w:r w:rsidRPr="00F26D6F">
        <w:t xml:space="preserve"> </w:t>
      </w:r>
      <w:r w:rsidR="006E3A48" w:rsidRPr="001051C9">
        <w:t>https://www.legislation.gov.au/Series/F2008L0223</w:t>
      </w:r>
    </w:p>
  </w:footnote>
  <w:footnote w:id="5">
    <w:p w14:paraId="78B66034" w14:textId="2C8887AA" w:rsidR="00012166" w:rsidRPr="00F26D6F" w:rsidRDefault="00012166" w:rsidP="00012166">
      <w:pPr>
        <w:pStyle w:val="FootnoteText"/>
      </w:pPr>
      <w:r w:rsidRPr="00F26D6F">
        <w:rPr>
          <w:rStyle w:val="FootnoteReference"/>
        </w:rPr>
        <w:footnoteRef/>
      </w:r>
      <w:r w:rsidRPr="00F26D6F">
        <w:t xml:space="preserve"> </w:t>
      </w:r>
      <w:r w:rsidR="006E3A48" w:rsidRPr="001051C9">
        <w:t>https://www.legislation.gov.au/Series/F2008L02309</w:t>
      </w:r>
      <w:r w:rsidRPr="00F26D6F">
        <w:t xml:space="preserve"> </w:t>
      </w:r>
    </w:p>
  </w:footnote>
  <w:footnote w:id="6">
    <w:p w14:paraId="07959DC2" w14:textId="1B8BBA82" w:rsidR="00012166" w:rsidRPr="00740092" w:rsidRDefault="00012166" w:rsidP="00012166">
      <w:pPr>
        <w:pStyle w:val="FootnoteText"/>
      </w:pPr>
      <w:r w:rsidRPr="00F26D6F">
        <w:rPr>
          <w:rStyle w:val="FootnoteReference"/>
        </w:rPr>
        <w:footnoteRef/>
      </w:r>
      <w:r w:rsidRPr="00F26D6F">
        <w:t xml:space="preserve"> </w:t>
      </w:r>
      <w:r w:rsidR="006E3A48" w:rsidRPr="001051C9">
        <w:t>https://cer.gov.au/schemes/national-greenhouse-and-energy-reporting-scheme</w:t>
      </w:r>
    </w:p>
  </w:footnote>
  <w:footnote w:id="7">
    <w:p w14:paraId="68831057" w14:textId="77D1DD88" w:rsidR="008A4C49" w:rsidRPr="00F0262D" w:rsidRDefault="008A4C49">
      <w:pPr>
        <w:pStyle w:val="FootnoteText"/>
        <w:rPr>
          <w:lang w:val="en-AU"/>
        </w:rPr>
      </w:pPr>
      <w:r>
        <w:rPr>
          <w:rStyle w:val="FootnoteReference"/>
        </w:rPr>
        <w:footnoteRef/>
      </w:r>
      <w:r>
        <w:t xml:space="preserve"> </w:t>
      </w:r>
      <w:r w:rsidR="002B1690" w:rsidRPr="001051C9">
        <w:t>https://cer.gov.au/schemes/national-greenhouse-and-energy-reporting-scheme/report-emissions-and-energy/amendments</w:t>
      </w:r>
      <w:r>
        <w:t xml:space="preserve"> </w:t>
      </w:r>
    </w:p>
  </w:footnote>
  <w:footnote w:id="8">
    <w:p w14:paraId="635E0E25" w14:textId="77777777" w:rsidR="002B1690" w:rsidRPr="005F2000" w:rsidRDefault="002B1690" w:rsidP="002B1690">
      <w:pPr>
        <w:pStyle w:val="FootnoteText"/>
        <w:rPr>
          <w:lang w:val="en-AU"/>
        </w:rPr>
      </w:pPr>
      <w:r>
        <w:rPr>
          <w:rStyle w:val="FootnoteReference"/>
        </w:rPr>
        <w:footnoteRef/>
      </w:r>
      <w:r>
        <w:t xml:space="preserve"> </w:t>
      </w:r>
      <w:r w:rsidRPr="008D5F03">
        <w:t>https://cer.gov.au/document_page/national-greenhouse-energy-reporting-uncertainty-calculator-user-guide</w:t>
      </w:r>
    </w:p>
  </w:footnote>
  <w:footnote w:id="9">
    <w:p w14:paraId="3CDEF0C8" w14:textId="1A071C7C" w:rsidR="00FF558D" w:rsidRPr="001051C9" w:rsidRDefault="00FF558D">
      <w:pPr>
        <w:pStyle w:val="FootnoteText"/>
        <w:rPr>
          <w:lang w:val="en-AU"/>
        </w:rPr>
      </w:pPr>
      <w:r>
        <w:rPr>
          <w:rStyle w:val="FootnoteReference"/>
        </w:rPr>
        <w:footnoteRef/>
      </w:r>
      <w:r>
        <w:t xml:space="preserve"> </w:t>
      </w:r>
      <w:r w:rsidR="001B3D80" w:rsidRPr="001B3D80">
        <w:t>https://www.dcceew.gov.au/</w:t>
      </w:r>
    </w:p>
  </w:footnote>
  <w:footnote w:id="10">
    <w:p w14:paraId="11D1E07D" w14:textId="0EEBB158" w:rsidR="00012166" w:rsidRDefault="00012166" w:rsidP="00012166">
      <w:pPr>
        <w:pStyle w:val="FootnoteText"/>
      </w:pPr>
      <w:r>
        <w:rPr>
          <w:rStyle w:val="FootnoteReference"/>
        </w:rPr>
        <w:footnoteRef/>
      </w:r>
      <w:r>
        <w:t xml:space="preserve"> </w:t>
      </w:r>
      <w:r w:rsidR="00177E1A" w:rsidRPr="001051C9">
        <w:t>https://ghgprotocol.org/sites/default/files/2023-03/ghg-uncertainty.pdf</w:t>
      </w:r>
    </w:p>
  </w:footnote>
  <w:footnote w:id="11">
    <w:p w14:paraId="692CF206" w14:textId="2EAD8BAE" w:rsidR="003455D5" w:rsidRPr="001051C9" w:rsidRDefault="003455D5">
      <w:pPr>
        <w:pStyle w:val="FootnoteText"/>
        <w:rPr>
          <w:lang w:val="en-AU"/>
        </w:rPr>
      </w:pPr>
      <w:r>
        <w:rPr>
          <w:rStyle w:val="FootnoteReference"/>
        </w:rPr>
        <w:footnoteRef/>
      </w:r>
      <w:r>
        <w:t xml:space="preserve"> </w:t>
      </w:r>
      <w:r w:rsidRPr="003455D5">
        <w:t>https://cer.gov.au/document_page/emissions-and-energy-reporting-system-navigation-guide</w:t>
      </w:r>
    </w:p>
  </w:footnote>
  <w:footnote w:id="12">
    <w:p w14:paraId="27B31DFE" w14:textId="72CC66EA" w:rsidR="008D5F03" w:rsidRPr="001051C9" w:rsidRDefault="008D5F03">
      <w:pPr>
        <w:pStyle w:val="FootnoteText"/>
        <w:rPr>
          <w:lang w:val="en-AU"/>
        </w:rPr>
      </w:pPr>
      <w:r>
        <w:rPr>
          <w:rStyle w:val="FootnoteReference"/>
        </w:rPr>
        <w:footnoteRef/>
      </w:r>
      <w:r>
        <w:t xml:space="preserve"> </w:t>
      </w:r>
      <w:r w:rsidRPr="008D5F03">
        <w:t>https://cer.gov.au/document_page/national-greenhouse-energy-reporting-uncertainty-calculator-user-guide</w:t>
      </w:r>
    </w:p>
  </w:footnote>
  <w:footnote w:id="13">
    <w:p w14:paraId="4B2DD92B" w14:textId="75D27F2B" w:rsidR="00775E8A" w:rsidRPr="001051C9" w:rsidRDefault="00775E8A">
      <w:pPr>
        <w:pStyle w:val="FootnoteText"/>
        <w:rPr>
          <w:lang w:val="en-AU"/>
        </w:rPr>
      </w:pPr>
      <w:r>
        <w:rPr>
          <w:rStyle w:val="FootnoteReference"/>
        </w:rPr>
        <w:footnoteRef/>
      </w:r>
      <w:r>
        <w:t xml:space="preserve"> </w:t>
      </w:r>
      <w:r w:rsidR="0060406C" w:rsidRPr="0060406C">
        <w:t>https://ghgprotocol.org/sites/default/files/tools/ghg-uncertainty.xlsx</w:t>
      </w:r>
    </w:p>
  </w:footnote>
  <w:footnote w:id="14">
    <w:p w14:paraId="0C60DB02" w14:textId="3938F6B1" w:rsidR="00FC14FA" w:rsidRPr="001051C9" w:rsidRDefault="00FC14FA">
      <w:pPr>
        <w:pStyle w:val="FootnoteText"/>
        <w:rPr>
          <w:lang w:val="en-AU"/>
        </w:rPr>
      </w:pPr>
      <w:r>
        <w:rPr>
          <w:rStyle w:val="FootnoteReference"/>
        </w:rPr>
        <w:footnoteRef/>
      </w:r>
      <w:r>
        <w:t xml:space="preserve"> </w:t>
      </w:r>
      <w:r w:rsidRPr="00FC14FA">
        <w:t>https://ghgprotocol.org/calculation-tools-and-guidance</w:t>
      </w:r>
    </w:p>
  </w:footnote>
  <w:footnote w:id="15">
    <w:p w14:paraId="415CD75C" w14:textId="329AF887" w:rsidR="00633784" w:rsidRPr="001051C9" w:rsidRDefault="00633784">
      <w:pPr>
        <w:pStyle w:val="FootnoteText"/>
        <w:rPr>
          <w:lang w:val="en-AU"/>
        </w:rPr>
      </w:pPr>
      <w:r>
        <w:rPr>
          <w:rStyle w:val="FootnoteReference"/>
        </w:rPr>
        <w:footnoteRef/>
      </w:r>
      <w:r>
        <w:t xml:space="preserve"> </w:t>
      </w:r>
      <w:r w:rsidR="0001505F" w:rsidRPr="0001505F">
        <w:t>https://cer.gov.au/document_page/emissions-and-energy-reporting-system-navigation-guide</w:t>
      </w:r>
    </w:p>
  </w:footnote>
  <w:footnote w:id="16">
    <w:p w14:paraId="31C2F8DE" w14:textId="3811CB11" w:rsidR="00012166" w:rsidRDefault="00012166" w:rsidP="00012166">
      <w:pPr>
        <w:pStyle w:val="FootnoteText"/>
      </w:pPr>
      <w:r>
        <w:rPr>
          <w:rStyle w:val="FootnoteReference"/>
        </w:rPr>
        <w:footnoteRef/>
      </w:r>
      <w:r>
        <w:t xml:space="preserve"> </w:t>
      </w:r>
      <w:r w:rsidR="00365F65" w:rsidRPr="001051C9">
        <w:t>https://cer.gov.au/schemes/national-greenhouse-and-energy-reporting-scheme/report-emissions-and-energy/nger-calculators</w:t>
      </w:r>
      <w:r>
        <w:t xml:space="preserve"> </w:t>
      </w:r>
    </w:p>
  </w:footnote>
  <w:footnote w:id="17">
    <w:p w14:paraId="1FD235D1" w14:textId="190DC3D1" w:rsidR="00012166" w:rsidRDefault="00012166" w:rsidP="00012166">
      <w:pPr>
        <w:pStyle w:val="FootnoteText"/>
      </w:pPr>
      <w:r>
        <w:rPr>
          <w:rStyle w:val="FootnoteReference"/>
        </w:rPr>
        <w:footnoteRef/>
      </w:r>
      <w:r>
        <w:t xml:space="preserve"> </w:t>
      </w:r>
      <w:r w:rsidR="00365F65" w:rsidRPr="001051C9">
        <w:t>https://cer.gov.au/schemes/national-greenhouse-and-energy-reporting-scheme/report-emissions-and-energy/nger-reporting-guides</w:t>
      </w:r>
      <w:r w:rsidR="00067E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2E03" w14:textId="498EC72D" w:rsidR="00B6321F" w:rsidRDefault="00B6321F" w:rsidP="00B6321F">
    <w:pPr>
      <w:pStyle w:val="Heading5"/>
      <w:tabs>
        <w:tab w:val="center" w:pos="4870"/>
        <w:tab w:val="left" w:pos="8745"/>
      </w:tabs>
      <w:spacing w:before="200" w:after="60"/>
      <w:jc w:val="center"/>
    </w:pPr>
    <w:r w:rsidRPr="00B6321F">
      <w:rPr>
        <w:rStyle w:val="Protectivemarker"/>
        <w:b/>
        <w:sz w:val="28"/>
        <w:szCs w:val="28"/>
      </w:rPr>
      <w:t>OFFICIAL</w:t>
    </w:r>
  </w:p>
  <w:p w14:paraId="1657C533" w14:textId="3F818BBB" w:rsidR="00D81782" w:rsidRPr="00B6321F" w:rsidRDefault="00B6321F" w:rsidP="00B6321F">
    <w:pPr>
      <w:pStyle w:val="LegislativesecrecyACT"/>
    </w:pPr>
    <w:r>
      <w:rPr>
        <w:noProof/>
      </w:rPr>
      <w:drawing>
        <wp:anchor distT="0" distB="0" distL="114300" distR="114300" simplePos="0" relativeHeight="251658240" behindDoc="0" locked="0" layoutInCell="1" allowOverlap="1" wp14:anchorId="249609A6" wp14:editId="2AFCDA21">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081839"/>
    <w:multiLevelType w:val="multilevel"/>
    <w:tmpl w:val="C6BA6032"/>
    <w:lvl w:ilvl="0">
      <w:start w:val="1"/>
      <w:numFmt w:val="decimal"/>
      <w:lvlText w:val="%1."/>
      <w:lvlJc w:val="left"/>
      <w:pPr>
        <w:ind w:left="680" w:hanging="680"/>
      </w:pPr>
      <w:rPr>
        <w:rFonts w:hint="default"/>
      </w:rPr>
    </w:lvl>
    <w:lvl w:ilvl="1">
      <w:start w:val="1"/>
      <w:numFmt w:val="decimal"/>
      <w:lvlText w:val="%1.%2."/>
      <w:lvlJc w:val="left"/>
      <w:pPr>
        <w:ind w:left="720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4"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DF5F38"/>
    <w:multiLevelType w:val="multilevel"/>
    <w:tmpl w:val="69E04C72"/>
    <w:lvl w:ilvl="0">
      <w:start w:val="6"/>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A120414"/>
    <w:multiLevelType w:val="hybridMultilevel"/>
    <w:tmpl w:val="3348C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EC76C9"/>
    <w:multiLevelType w:val="multilevel"/>
    <w:tmpl w:val="A0E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897CC2"/>
    <w:multiLevelType w:val="hybridMultilevel"/>
    <w:tmpl w:val="1D76B96C"/>
    <w:lvl w:ilvl="0" w:tplc="6ABE5874">
      <w:start w:val="1"/>
      <w:numFmt w:val="bullet"/>
      <w:lvlText w:val=""/>
      <w:lvlJc w:val="left"/>
      <w:pPr>
        <w:ind w:left="720" w:hanging="360"/>
      </w:pPr>
      <w:rPr>
        <w:rFonts w:ascii="Symbol" w:hAnsi="Symbol" w:hint="default"/>
        <w:color w:val="006E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CF6876"/>
    <w:multiLevelType w:val="hybridMultilevel"/>
    <w:tmpl w:val="8398F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B16ED"/>
    <w:multiLevelType w:val="multilevel"/>
    <w:tmpl w:val="5A421D8A"/>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7377016">
    <w:abstractNumId w:val="27"/>
  </w:num>
  <w:num w:numId="2" w16cid:durableId="2053188924">
    <w:abstractNumId w:val="19"/>
  </w:num>
  <w:num w:numId="3" w16cid:durableId="297496022">
    <w:abstractNumId w:val="20"/>
  </w:num>
  <w:num w:numId="4" w16cid:durableId="1376924814">
    <w:abstractNumId w:val="14"/>
  </w:num>
  <w:num w:numId="5" w16cid:durableId="1109356106">
    <w:abstractNumId w:val="15"/>
  </w:num>
  <w:num w:numId="6" w16cid:durableId="627516297">
    <w:abstractNumId w:val="22"/>
  </w:num>
  <w:num w:numId="7" w16cid:durableId="1456945155">
    <w:abstractNumId w:val="31"/>
  </w:num>
  <w:num w:numId="8" w16cid:durableId="100806015">
    <w:abstractNumId w:val="15"/>
  </w:num>
  <w:num w:numId="9" w16cid:durableId="1809858459">
    <w:abstractNumId w:val="9"/>
  </w:num>
  <w:num w:numId="10" w16cid:durableId="1478716733">
    <w:abstractNumId w:val="7"/>
  </w:num>
  <w:num w:numId="11" w16cid:durableId="117575995">
    <w:abstractNumId w:val="6"/>
  </w:num>
  <w:num w:numId="12" w16cid:durableId="909385140">
    <w:abstractNumId w:val="5"/>
  </w:num>
  <w:num w:numId="13" w16cid:durableId="406389713">
    <w:abstractNumId w:val="4"/>
  </w:num>
  <w:num w:numId="14" w16cid:durableId="1623540519">
    <w:abstractNumId w:val="8"/>
  </w:num>
  <w:num w:numId="15" w16cid:durableId="1581940604">
    <w:abstractNumId w:val="3"/>
  </w:num>
  <w:num w:numId="16" w16cid:durableId="239949711">
    <w:abstractNumId w:val="2"/>
  </w:num>
  <w:num w:numId="17" w16cid:durableId="666395983">
    <w:abstractNumId w:val="1"/>
  </w:num>
  <w:num w:numId="18" w16cid:durableId="1461192488">
    <w:abstractNumId w:val="0"/>
  </w:num>
  <w:num w:numId="19" w16cid:durableId="1008606214">
    <w:abstractNumId w:val="12"/>
  </w:num>
  <w:num w:numId="20" w16cid:durableId="1555114736">
    <w:abstractNumId w:val="16"/>
  </w:num>
  <w:num w:numId="21" w16cid:durableId="1876846121">
    <w:abstractNumId w:val="36"/>
  </w:num>
  <w:num w:numId="22" w16cid:durableId="1632437022">
    <w:abstractNumId w:val="10"/>
  </w:num>
  <w:num w:numId="23" w16cid:durableId="976881726">
    <w:abstractNumId w:val="37"/>
  </w:num>
  <w:num w:numId="24" w16cid:durableId="1973171127">
    <w:abstractNumId w:val="24"/>
  </w:num>
  <w:num w:numId="25" w16cid:durableId="75245383">
    <w:abstractNumId w:val="21"/>
  </w:num>
  <w:num w:numId="26" w16cid:durableId="126628514">
    <w:abstractNumId w:val="18"/>
  </w:num>
  <w:num w:numId="27" w16cid:durableId="645933391">
    <w:abstractNumId w:val="35"/>
  </w:num>
  <w:num w:numId="28" w16cid:durableId="316493013">
    <w:abstractNumId w:val="30"/>
  </w:num>
  <w:num w:numId="29" w16cid:durableId="87121154">
    <w:abstractNumId w:val="26"/>
  </w:num>
  <w:num w:numId="30" w16cid:durableId="1298221967">
    <w:abstractNumId w:val="32"/>
  </w:num>
  <w:num w:numId="31" w16cid:durableId="1342317335">
    <w:abstractNumId w:val="34"/>
  </w:num>
  <w:num w:numId="32" w16cid:durableId="489759705">
    <w:abstractNumId w:val="11"/>
  </w:num>
  <w:num w:numId="33" w16cid:durableId="1238592071">
    <w:abstractNumId w:val="33"/>
  </w:num>
  <w:num w:numId="34" w16cid:durableId="1510414692">
    <w:abstractNumId w:val="23"/>
  </w:num>
  <w:num w:numId="35" w16cid:durableId="169880997">
    <w:abstractNumId w:val="13"/>
  </w:num>
  <w:num w:numId="36" w16cid:durableId="14318982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9580091">
    <w:abstractNumId w:val="17"/>
  </w:num>
  <w:num w:numId="38" w16cid:durableId="548029720">
    <w:abstractNumId w:val="25"/>
  </w:num>
  <w:num w:numId="39" w16cid:durableId="1712345538">
    <w:abstractNumId w:val="29"/>
  </w:num>
  <w:num w:numId="40" w16cid:durableId="656931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ICey9W3leUEXRMbd4tX4WINpTSfi3XBPZbWER3UPZI8=" w:saltValue="F8wy+qJF5Wa67XCBh9vCC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B2"/>
    <w:rsid w:val="00000D9A"/>
    <w:rsid w:val="00001209"/>
    <w:rsid w:val="00001478"/>
    <w:rsid w:val="00002BB7"/>
    <w:rsid w:val="00005702"/>
    <w:rsid w:val="00007FDA"/>
    <w:rsid w:val="00010B68"/>
    <w:rsid w:val="00010C63"/>
    <w:rsid w:val="00012166"/>
    <w:rsid w:val="00012AD9"/>
    <w:rsid w:val="0001505F"/>
    <w:rsid w:val="0002468B"/>
    <w:rsid w:val="00024AA7"/>
    <w:rsid w:val="00024F86"/>
    <w:rsid w:val="000263A9"/>
    <w:rsid w:val="00026EC6"/>
    <w:rsid w:val="00027971"/>
    <w:rsid w:val="00027F43"/>
    <w:rsid w:val="00031090"/>
    <w:rsid w:val="0003174E"/>
    <w:rsid w:val="0003216A"/>
    <w:rsid w:val="000332B1"/>
    <w:rsid w:val="00033972"/>
    <w:rsid w:val="000339BE"/>
    <w:rsid w:val="000341B7"/>
    <w:rsid w:val="00035321"/>
    <w:rsid w:val="0003582F"/>
    <w:rsid w:val="000378B6"/>
    <w:rsid w:val="00037C0C"/>
    <w:rsid w:val="00043035"/>
    <w:rsid w:val="000442F7"/>
    <w:rsid w:val="00046C0C"/>
    <w:rsid w:val="00047378"/>
    <w:rsid w:val="000508E8"/>
    <w:rsid w:val="00052191"/>
    <w:rsid w:val="00052580"/>
    <w:rsid w:val="00055014"/>
    <w:rsid w:val="000559C7"/>
    <w:rsid w:val="00056FF0"/>
    <w:rsid w:val="000676D5"/>
    <w:rsid w:val="000678AA"/>
    <w:rsid w:val="00067EFB"/>
    <w:rsid w:val="00072F63"/>
    <w:rsid w:val="000738E2"/>
    <w:rsid w:val="00073D9A"/>
    <w:rsid w:val="00075288"/>
    <w:rsid w:val="000757D3"/>
    <w:rsid w:val="00075CE2"/>
    <w:rsid w:val="00077313"/>
    <w:rsid w:val="000801D9"/>
    <w:rsid w:val="00080265"/>
    <w:rsid w:val="00081F15"/>
    <w:rsid w:val="00083DE3"/>
    <w:rsid w:val="00083FFC"/>
    <w:rsid w:val="000850E3"/>
    <w:rsid w:val="0008682C"/>
    <w:rsid w:val="000872EE"/>
    <w:rsid w:val="000873E6"/>
    <w:rsid w:val="000906DE"/>
    <w:rsid w:val="00092476"/>
    <w:rsid w:val="00093059"/>
    <w:rsid w:val="00094751"/>
    <w:rsid w:val="000948D5"/>
    <w:rsid w:val="0009546C"/>
    <w:rsid w:val="0009627C"/>
    <w:rsid w:val="00096878"/>
    <w:rsid w:val="00096A8B"/>
    <w:rsid w:val="00097BC5"/>
    <w:rsid w:val="00097D0B"/>
    <w:rsid w:val="00097DEF"/>
    <w:rsid w:val="000A0DD5"/>
    <w:rsid w:val="000A267B"/>
    <w:rsid w:val="000A348A"/>
    <w:rsid w:val="000A5AD2"/>
    <w:rsid w:val="000A764B"/>
    <w:rsid w:val="000B2225"/>
    <w:rsid w:val="000B35E7"/>
    <w:rsid w:val="000B4057"/>
    <w:rsid w:val="000B4943"/>
    <w:rsid w:val="000B4BA4"/>
    <w:rsid w:val="000B620A"/>
    <w:rsid w:val="000B639E"/>
    <w:rsid w:val="000B73C6"/>
    <w:rsid w:val="000B7474"/>
    <w:rsid w:val="000B7596"/>
    <w:rsid w:val="000B7CE6"/>
    <w:rsid w:val="000C47AE"/>
    <w:rsid w:val="000C6849"/>
    <w:rsid w:val="000C6994"/>
    <w:rsid w:val="000C7DB2"/>
    <w:rsid w:val="000D1093"/>
    <w:rsid w:val="000D1264"/>
    <w:rsid w:val="000D2321"/>
    <w:rsid w:val="000D2DCE"/>
    <w:rsid w:val="000D32E3"/>
    <w:rsid w:val="000D5FF4"/>
    <w:rsid w:val="000D77F3"/>
    <w:rsid w:val="000E07D5"/>
    <w:rsid w:val="000E0EC3"/>
    <w:rsid w:val="000E59C9"/>
    <w:rsid w:val="000E5A13"/>
    <w:rsid w:val="000E6A1E"/>
    <w:rsid w:val="000F392F"/>
    <w:rsid w:val="000F3DDB"/>
    <w:rsid w:val="000F547F"/>
    <w:rsid w:val="000F6B44"/>
    <w:rsid w:val="00102722"/>
    <w:rsid w:val="001051C9"/>
    <w:rsid w:val="001115C2"/>
    <w:rsid w:val="00112E29"/>
    <w:rsid w:val="00114E2F"/>
    <w:rsid w:val="00115671"/>
    <w:rsid w:val="00123963"/>
    <w:rsid w:val="001241DD"/>
    <w:rsid w:val="001261DB"/>
    <w:rsid w:val="001275D7"/>
    <w:rsid w:val="001276AA"/>
    <w:rsid w:val="001307B8"/>
    <w:rsid w:val="0013356F"/>
    <w:rsid w:val="00140939"/>
    <w:rsid w:val="00141064"/>
    <w:rsid w:val="00142D09"/>
    <w:rsid w:val="001462BD"/>
    <w:rsid w:val="00146371"/>
    <w:rsid w:val="00146FC8"/>
    <w:rsid w:val="001478F7"/>
    <w:rsid w:val="001512C0"/>
    <w:rsid w:val="001525AA"/>
    <w:rsid w:val="00157175"/>
    <w:rsid w:val="001605AF"/>
    <w:rsid w:val="00161B3F"/>
    <w:rsid w:val="0016244E"/>
    <w:rsid w:val="001632DD"/>
    <w:rsid w:val="00163902"/>
    <w:rsid w:val="0016390C"/>
    <w:rsid w:val="001651F7"/>
    <w:rsid w:val="00166FC1"/>
    <w:rsid w:val="001710BA"/>
    <w:rsid w:val="00171E8C"/>
    <w:rsid w:val="00172AFF"/>
    <w:rsid w:val="00172F37"/>
    <w:rsid w:val="00173B8C"/>
    <w:rsid w:val="00175785"/>
    <w:rsid w:val="00176871"/>
    <w:rsid w:val="00176C28"/>
    <w:rsid w:val="00177E1A"/>
    <w:rsid w:val="0018051A"/>
    <w:rsid w:val="001813DE"/>
    <w:rsid w:val="00181BD5"/>
    <w:rsid w:val="00181F79"/>
    <w:rsid w:val="0018216D"/>
    <w:rsid w:val="00182489"/>
    <w:rsid w:val="00190365"/>
    <w:rsid w:val="00191B2E"/>
    <w:rsid w:val="00193A6C"/>
    <w:rsid w:val="001947EB"/>
    <w:rsid w:val="0019616B"/>
    <w:rsid w:val="00197461"/>
    <w:rsid w:val="00197F43"/>
    <w:rsid w:val="001A0C32"/>
    <w:rsid w:val="001A4409"/>
    <w:rsid w:val="001B3D80"/>
    <w:rsid w:val="001B5B56"/>
    <w:rsid w:val="001B610D"/>
    <w:rsid w:val="001B66AA"/>
    <w:rsid w:val="001C191F"/>
    <w:rsid w:val="001C4674"/>
    <w:rsid w:val="001C4B7A"/>
    <w:rsid w:val="001C5C2C"/>
    <w:rsid w:val="001C5D96"/>
    <w:rsid w:val="001D1E01"/>
    <w:rsid w:val="001D26AA"/>
    <w:rsid w:val="001D2DB3"/>
    <w:rsid w:val="001D2E09"/>
    <w:rsid w:val="001D5E01"/>
    <w:rsid w:val="001D6F2B"/>
    <w:rsid w:val="001D7B37"/>
    <w:rsid w:val="001E2A65"/>
    <w:rsid w:val="001E356D"/>
    <w:rsid w:val="001E369B"/>
    <w:rsid w:val="001E7098"/>
    <w:rsid w:val="001F1D18"/>
    <w:rsid w:val="001F3864"/>
    <w:rsid w:val="001F41A3"/>
    <w:rsid w:val="001F52C6"/>
    <w:rsid w:val="001F6CE6"/>
    <w:rsid w:val="001F6D24"/>
    <w:rsid w:val="001F6DEB"/>
    <w:rsid w:val="00200A16"/>
    <w:rsid w:val="00201DA5"/>
    <w:rsid w:val="002051CC"/>
    <w:rsid w:val="002052AD"/>
    <w:rsid w:val="00206886"/>
    <w:rsid w:val="00207AE5"/>
    <w:rsid w:val="002118E5"/>
    <w:rsid w:val="00213FB3"/>
    <w:rsid w:val="002153A9"/>
    <w:rsid w:val="002153D2"/>
    <w:rsid w:val="00216E5D"/>
    <w:rsid w:val="0021782A"/>
    <w:rsid w:val="00217B5E"/>
    <w:rsid w:val="0022022C"/>
    <w:rsid w:val="002211E2"/>
    <w:rsid w:val="002215DB"/>
    <w:rsid w:val="00223676"/>
    <w:rsid w:val="00223F79"/>
    <w:rsid w:val="0022436C"/>
    <w:rsid w:val="00226D66"/>
    <w:rsid w:val="002313B8"/>
    <w:rsid w:val="0023218C"/>
    <w:rsid w:val="0023231B"/>
    <w:rsid w:val="00232458"/>
    <w:rsid w:val="00233EE9"/>
    <w:rsid w:val="00235142"/>
    <w:rsid w:val="00235B98"/>
    <w:rsid w:val="002370DB"/>
    <w:rsid w:val="002373BB"/>
    <w:rsid w:val="00243C3A"/>
    <w:rsid w:val="00246011"/>
    <w:rsid w:val="00247808"/>
    <w:rsid w:val="00250DA5"/>
    <w:rsid w:val="002537CF"/>
    <w:rsid w:val="00253FFC"/>
    <w:rsid w:val="00256D33"/>
    <w:rsid w:val="0025766C"/>
    <w:rsid w:val="00261B84"/>
    <w:rsid w:val="002622E9"/>
    <w:rsid w:val="0026264D"/>
    <w:rsid w:val="002647E8"/>
    <w:rsid w:val="002653BC"/>
    <w:rsid w:val="00266775"/>
    <w:rsid w:val="00270902"/>
    <w:rsid w:val="0027204E"/>
    <w:rsid w:val="00272C5F"/>
    <w:rsid w:val="00275E7A"/>
    <w:rsid w:val="00281BEC"/>
    <w:rsid w:val="00281F6A"/>
    <w:rsid w:val="002821A4"/>
    <w:rsid w:val="002865C1"/>
    <w:rsid w:val="00290E3D"/>
    <w:rsid w:val="0029262D"/>
    <w:rsid w:val="002934F6"/>
    <w:rsid w:val="0029350C"/>
    <w:rsid w:val="0029374D"/>
    <w:rsid w:val="002A1161"/>
    <w:rsid w:val="002A3018"/>
    <w:rsid w:val="002A305D"/>
    <w:rsid w:val="002A3A73"/>
    <w:rsid w:val="002A59BA"/>
    <w:rsid w:val="002A60C0"/>
    <w:rsid w:val="002A676F"/>
    <w:rsid w:val="002A69FE"/>
    <w:rsid w:val="002A7EA6"/>
    <w:rsid w:val="002B0A2A"/>
    <w:rsid w:val="002B0D9B"/>
    <w:rsid w:val="002B1690"/>
    <w:rsid w:val="002B17AB"/>
    <w:rsid w:val="002B1832"/>
    <w:rsid w:val="002B2096"/>
    <w:rsid w:val="002B25F6"/>
    <w:rsid w:val="002B6902"/>
    <w:rsid w:val="002C0954"/>
    <w:rsid w:val="002C19F9"/>
    <w:rsid w:val="002C427B"/>
    <w:rsid w:val="002C49CA"/>
    <w:rsid w:val="002C60F3"/>
    <w:rsid w:val="002C702A"/>
    <w:rsid w:val="002D0860"/>
    <w:rsid w:val="002D18F3"/>
    <w:rsid w:val="002D2226"/>
    <w:rsid w:val="002D2C23"/>
    <w:rsid w:val="002D30B2"/>
    <w:rsid w:val="002D4154"/>
    <w:rsid w:val="002D4279"/>
    <w:rsid w:val="002D60A5"/>
    <w:rsid w:val="002D65B4"/>
    <w:rsid w:val="002D66A1"/>
    <w:rsid w:val="002E0B51"/>
    <w:rsid w:val="002E3804"/>
    <w:rsid w:val="002E5878"/>
    <w:rsid w:val="002E6F3B"/>
    <w:rsid w:val="002F0905"/>
    <w:rsid w:val="002F180F"/>
    <w:rsid w:val="002F1986"/>
    <w:rsid w:val="002F2ABB"/>
    <w:rsid w:val="0030136D"/>
    <w:rsid w:val="00303251"/>
    <w:rsid w:val="00303336"/>
    <w:rsid w:val="00304FA2"/>
    <w:rsid w:val="00307146"/>
    <w:rsid w:val="00307E54"/>
    <w:rsid w:val="00310188"/>
    <w:rsid w:val="00315318"/>
    <w:rsid w:val="003153A9"/>
    <w:rsid w:val="00315B7D"/>
    <w:rsid w:val="00315BCE"/>
    <w:rsid w:val="00316F5A"/>
    <w:rsid w:val="0031745B"/>
    <w:rsid w:val="00321094"/>
    <w:rsid w:val="00322BB7"/>
    <w:rsid w:val="003231A8"/>
    <w:rsid w:val="00326EEE"/>
    <w:rsid w:val="003277A1"/>
    <w:rsid w:val="00331529"/>
    <w:rsid w:val="003320D8"/>
    <w:rsid w:val="00332AE8"/>
    <w:rsid w:val="00332CC6"/>
    <w:rsid w:val="00332D27"/>
    <w:rsid w:val="00335E46"/>
    <w:rsid w:val="00335E76"/>
    <w:rsid w:val="00337CCB"/>
    <w:rsid w:val="00341ED1"/>
    <w:rsid w:val="0034260E"/>
    <w:rsid w:val="003432B3"/>
    <w:rsid w:val="00344079"/>
    <w:rsid w:val="003449B4"/>
    <w:rsid w:val="00344B6F"/>
    <w:rsid w:val="00344C10"/>
    <w:rsid w:val="003455D5"/>
    <w:rsid w:val="003456B2"/>
    <w:rsid w:val="00346476"/>
    <w:rsid w:val="00346AEF"/>
    <w:rsid w:val="00351DA7"/>
    <w:rsid w:val="00352297"/>
    <w:rsid w:val="00352556"/>
    <w:rsid w:val="003555F6"/>
    <w:rsid w:val="00356E56"/>
    <w:rsid w:val="00364D9F"/>
    <w:rsid w:val="00365CD3"/>
    <w:rsid w:val="00365F65"/>
    <w:rsid w:val="003664ED"/>
    <w:rsid w:val="0036774D"/>
    <w:rsid w:val="0036795F"/>
    <w:rsid w:val="00370CE8"/>
    <w:rsid w:val="00371059"/>
    <w:rsid w:val="00371274"/>
    <w:rsid w:val="00372513"/>
    <w:rsid w:val="003726B9"/>
    <w:rsid w:val="00380076"/>
    <w:rsid w:val="00380CA2"/>
    <w:rsid w:val="00381350"/>
    <w:rsid w:val="003813D8"/>
    <w:rsid w:val="0038176B"/>
    <w:rsid w:val="00382EA7"/>
    <w:rsid w:val="00383838"/>
    <w:rsid w:val="0038405E"/>
    <w:rsid w:val="00384236"/>
    <w:rsid w:val="00384265"/>
    <w:rsid w:val="00385027"/>
    <w:rsid w:val="003912A0"/>
    <w:rsid w:val="00392A7B"/>
    <w:rsid w:val="0039420F"/>
    <w:rsid w:val="00395C4C"/>
    <w:rsid w:val="003960FF"/>
    <w:rsid w:val="00397A3E"/>
    <w:rsid w:val="00397D48"/>
    <w:rsid w:val="00397E4B"/>
    <w:rsid w:val="003A0D22"/>
    <w:rsid w:val="003A28B3"/>
    <w:rsid w:val="003A2DD5"/>
    <w:rsid w:val="003A2F19"/>
    <w:rsid w:val="003A4B41"/>
    <w:rsid w:val="003A5739"/>
    <w:rsid w:val="003A6A69"/>
    <w:rsid w:val="003A760B"/>
    <w:rsid w:val="003B0668"/>
    <w:rsid w:val="003B3C56"/>
    <w:rsid w:val="003B79C8"/>
    <w:rsid w:val="003C179D"/>
    <w:rsid w:val="003C59D1"/>
    <w:rsid w:val="003C5D8C"/>
    <w:rsid w:val="003C6C16"/>
    <w:rsid w:val="003D077F"/>
    <w:rsid w:val="003D3FEE"/>
    <w:rsid w:val="003D58D4"/>
    <w:rsid w:val="003D5C96"/>
    <w:rsid w:val="003D66DD"/>
    <w:rsid w:val="003E0AD3"/>
    <w:rsid w:val="003E13C5"/>
    <w:rsid w:val="003E1DF8"/>
    <w:rsid w:val="003E255B"/>
    <w:rsid w:val="003E5DED"/>
    <w:rsid w:val="003F1AEC"/>
    <w:rsid w:val="003F2C25"/>
    <w:rsid w:val="003F4535"/>
    <w:rsid w:val="003F5E9D"/>
    <w:rsid w:val="003F688E"/>
    <w:rsid w:val="003F696F"/>
    <w:rsid w:val="00400ADB"/>
    <w:rsid w:val="00400BA0"/>
    <w:rsid w:val="00400D4D"/>
    <w:rsid w:val="00402DB7"/>
    <w:rsid w:val="00404940"/>
    <w:rsid w:val="00407544"/>
    <w:rsid w:val="00407A97"/>
    <w:rsid w:val="00410AE2"/>
    <w:rsid w:val="00411B62"/>
    <w:rsid w:val="00412099"/>
    <w:rsid w:val="00414F26"/>
    <w:rsid w:val="00415EB0"/>
    <w:rsid w:val="004207DC"/>
    <w:rsid w:val="00420BF6"/>
    <w:rsid w:val="00422185"/>
    <w:rsid w:val="00423E15"/>
    <w:rsid w:val="00424CC6"/>
    <w:rsid w:val="00425F64"/>
    <w:rsid w:val="00426275"/>
    <w:rsid w:val="004265B8"/>
    <w:rsid w:val="00431FF2"/>
    <w:rsid w:val="0043292E"/>
    <w:rsid w:val="0043334D"/>
    <w:rsid w:val="00434909"/>
    <w:rsid w:val="0044050F"/>
    <w:rsid w:val="00440B56"/>
    <w:rsid w:val="00440C19"/>
    <w:rsid w:val="004425C8"/>
    <w:rsid w:val="00443DC9"/>
    <w:rsid w:val="004440D9"/>
    <w:rsid w:val="004447CF"/>
    <w:rsid w:val="004458B4"/>
    <w:rsid w:val="00445CB7"/>
    <w:rsid w:val="004507C1"/>
    <w:rsid w:val="00453433"/>
    <w:rsid w:val="00455455"/>
    <w:rsid w:val="004559EF"/>
    <w:rsid w:val="00455A67"/>
    <w:rsid w:val="004562E1"/>
    <w:rsid w:val="00456D9B"/>
    <w:rsid w:val="00456F6A"/>
    <w:rsid w:val="00460C0A"/>
    <w:rsid w:val="00462189"/>
    <w:rsid w:val="0046360B"/>
    <w:rsid w:val="00465287"/>
    <w:rsid w:val="00466808"/>
    <w:rsid w:val="00467568"/>
    <w:rsid w:val="00470687"/>
    <w:rsid w:val="004709B0"/>
    <w:rsid w:val="00471682"/>
    <w:rsid w:val="004731DB"/>
    <w:rsid w:val="004751A6"/>
    <w:rsid w:val="004764DE"/>
    <w:rsid w:val="00476E04"/>
    <w:rsid w:val="00477149"/>
    <w:rsid w:val="00480154"/>
    <w:rsid w:val="0048085B"/>
    <w:rsid w:val="00481C4E"/>
    <w:rsid w:val="00481DDE"/>
    <w:rsid w:val="00482E54"/>
    <w:rsid w:val="004833A4"/>
    <w:rsid w:val="00485FEE"/>
    <w:rsid w:val="00490F08"/>
    <w:rsid w:val="00492601"/>
    <w:rsid w:val="004936A3"/>
    <w:rsid w:val="0049377A"/>
    <w:rsid w:val="00493A97"/>
    <w:rsid w:val="00493BD1"/>
    <w:rsid w:val="0049401E"/>
    <w:rsid w:val="00494357"/>
    <w:rsid w:val="00494F07"/>
    <w:rsid w:val="0049512E"/>
    <w:rsid w:val="00497AF9"/>
    <w:rsid w:val="004A3DBE"/>
    <w:rsid w:val="004A4923"/>
    <w:rsid w:val="004A581F"/>
    <w:rsid w:val="004A5F95"/>
    <w:rsid w:val="004B6AF5"/>
    <w:rsid w:val="004C2C57"/>
    <w:rsid w:val="004C575B"/>
    <w:rsid w:val="004C6DF4"/>
    <w:rsid w:val="004C6F2A"/>
    <w:rsid w:val="004D0162"/>
    <w:rsid w:val="004D3F8B"/>
    <w:rsid w:val="004D50A5"/>
    <w:rsid w:val="004D677E"/>
    <w:rsid w:val="004D70CF"/>
    <w:rsid w:val="004E3528"/>
    <w:rsid w:val="004E4829"/>
    <w:rsid w:val="004F1FE4"/>
    <w:rsid w:val="004F4672"/>
    <w:rsid w:val="004F5180"/>
    <w:rsid w:val="004F684E"/>
    <w:rsid w:val="004F6E75"/>
    <w:rsid w:val="004F7281"/>
    <w:rsid w:val="00501323"/>
    <w:rsid w:val="00502C0F"/>
    <w:rsid w:val="005052E6"/>
    <w:rsid w:val="00511DF3"/>
    <w:rsid w:val="00512634"/>
    <w:rsid w:val="00512934"/>
    <w:rsid w:val="00516089"/>
    <w:rsid w:val="005164E1"/>
    <w:rsid w:val="0051792B"/>
    <w:rsid w:val="00520DDC"/>
    <w:rsid w:val="00521016"/>
    <w:rsid w:val="0052109C"/>
    <w:rsid w:val="005226EC"/>
    <w:rsid w:val="005230BD"/>
    <w:rsid w:val="005234BA"/>
    <w:rsid w:val="0052457E"/>
    <w:rsid w:val="00527F57"/>
    <w:rsid w:val="00530CE1"/>
    <w:rsid w:val="00531F3B"/>
    <w:rsid w:val="00531FAF"/>
    <w:rsid w:val="00534099"/>
    <w:rsid w:val="005355BE"/>
    <w:rsid w:val="005406FA"/>
    <w:rsid w:val="00540B89"/>
    <w:rsid w:val="005414C1"/>
    <w:rsid w:val="0054199F"/>
    <w:rsid w:val="00542274"/>
    <w:rsid w:val="005430A4"/>
    <w:rsid w:val="00543FC9"/>
    <w:rsid w:val="0054695E"/>
    <w:rsid w:val="00547469"/>
    <w:rsid w:val="00547E99"/>
    <w:rsid w:val="00550264"/>
    <w:rsid w:val="00551188"/>
    <w:rsid w:val="00552CC0"/>
    <w:rsid w:val="005548E8"/>
    <w:rsid w:val="00556040"/>
    <w:rsid w:val="00556612"/>
    <w:rsid w:val="0056152F"/>
    <w:rsid w:val="005626E0"/>
    <w:rsid w:val="005640E0"/>
    <w:rsid w:val="00564F24"/>
    <w:rsid w:val="005654F9"/>
    <w:rsid w:val="00565531"/>
    <w:rsid w:val="0056771E"/>
    <w:rsid w:val="00572379"/>
    <w:rsid w:val="00573EC5"/>
    <w:rsid w:val="005744E0"/>
    <w:rsid w:val="00575166"/>
    <w:rsid w:val="00576917"/>
    <w:rsid w:val="005800E5"/>
    <w:rsid w:val="00584233"/>
    <w:rsid w:val="00585D42"/>
    <w:rsid w:val="00585EFD"/>
    <w:rsid w:val="00586062"/>
    <w:rsid w:val="005914BF"/>
    <w:rsid w:val="00592A42"/>
    <w:rsid w:val="005961BA"/>
    <w:rsid w:val="00597158"/>
    <w:rsid w:val="00597453"/>
    <w:rsid w:val="005A266D"/>
    <w:rsid w:val="005A5C9C"/>
    <w:rsid w:val="005A61A0"/>
    <w:rsid w:val="005B1F72"/>
    <w:rsid w:val="005B2609"/>
    <w:rsid w:val="005B2FC9"/>
    <w:rsid w:val="005B533F"/>
    <w:rsid w:val="005B5812"/>
    <w:rsid w:val="005B65AE"/>
    <w:rsid w:val="005B6688"/>
    <w:rsid w:val="005B6DC6"/>
    <w:rsid w:val="005B7014"/>
    <w:rsid w:val="005B7BFB"/>
    <w:rsid w:val="005C0863"/>
    <w:rsid w:val="005C0A94"/>
    <w:rsid w:val="005C2693"/>
    <w:rsid w:val="005C2D7A"/>
    <w:rsid w:val="005C31D0"/>
    <w:rsid w:val="005C63C3"/>
    <w:rsid w:val="005C7717"/>
    <w:rsid w:val="005D07C7"/>
    <w:rsid w:val="005D1826"/>
    <w:rsid w:val="005D42CA"/>
    <w:rsid w:val="005D4D95"/>
    <w:rsid w:val="005D5A11"/>
    <w:rsid w:val="005E09B4"/>
    <w:rsid w:val="005E33ED"/>
    <w:rsid w:val="005E35E3"/>
    <w:rsid w:val="005F0AD2"/>
    <w:rsid w:val="005F132D"/>
    <w:rsid w:val="005F3569"/>
    <w:rsid w:val="005F4BE4"/>
    <w:rsid w:val="0060005A"/>
    <w:rsid w:val="006026FF"/>
    <w:rsid w:val="00602E93"/>
    <w:rsid w:val="0060406C"/>
    <w:rsid w:val="0060469B"/>
    <w:rsid w:val="00605F76"/>
    <w:rsid w:val="00606369"/>
    <w:rsid w:val="00607EE7"/>
    <w:rsid w:val="0061010A"/>
    <w:rsid w:val="0061191A"/>
    <w:rsid w:val="0061272E"/>
    <w:rsid w:val="00612F4E"/>
    <w:rsid w:val="006143C5"/>
    <w:rsid w:val="00616159"/>
    <w:rsid w:val="00616C78"/>
    <w:rsid w:val="00620659"/>
    <w:rsid w:val="0062080A"/>
    <w:rsid w:val="00620943"/>
    <w:rsid w:val="00621EA1"/>
    <w:rsid w:val="00622DA5"/>
    <w:rsid w:val="00624142"/>
    <w:rsid w:val="00624E16"/>
    <w:rsid w:val="006253B7"/>
    <w:rsid w:val="00625B32"/>
    <w:rsid w:val="00626183"/>
    <w:rsid w:val="006277AC"/>
    <w:rsid w:val="00632E89"/>
    <w:rsid w:val="00633784"/>
    <w:rsid w:val="00634B5B"/>
    <w:rsid w:val="00637867"/>
    <w:rsid w:val="006423DF"/>
    <w:rsid w:val="00643FD9"/>
    <w:rsid w:val="006453E0"/>
    <w:rsid w:val="00645814"/>
    <w:rsid w:val="00650308"/>
    <w:rsid w:val="00650A21"/>
    <w:rsid w:val="00650B65"/>
    <w:rsid w:val="00652F9D"/>
    <w:rsid w:val="006530B0"/>
    <w:rsid w:val="0065527D"/>
    <w:rsid w:val="006559FD"/>
    <w:rsid w:val="006570F6"/>
    <w:rsid w:val="0065750A"/>
    <w:rsid w:val="006617EC"/>
    <w:rsid w:val="006626C4"/>
    <w:rsid w:val="00662D24"/>
    <w:rsid w:val="00662ED8"/>
    <w:rsid w:val="006631FB"/>
    <w:rsid w:val="00665187"/>
    <w:rsid w:val="00666DD5"/>
    <w:rsid w:val="00670977"/>
    <w:rsid w:val="00671797"/>
    <w:rsid w:val="00672CCF"/>
    <w:rsid w:val="00673CC1"/>
    <w:rsid w:val="00674932"/>
    <w:rsid w:val="00680B5A"/>
    <w:rsid w:val="006832B2"/>
    <w:rsid w:val="00683DC8"/>
    <w:rsid w:val="0068486A"/>
    <w:rsid w:val="00684EB2"/>
    <w:rsid w:val="00690B85"/>
    <w:rsid w:val="006929FC"/>
    <w:rsid w:val="00693147"/>
    <w:rsid w:val="0069441C"/>
    <w:rsid w:val="00695156"/>
    <w:rsid w:val="0069737B"/>
    <w:rsid w:val="00697603"/>
    <w:rsid w:val="00697F5C"/>
    <w:rsid w:val="006A0F9E"/>
    <w:rsid w:val="006A1906"/>
    <w:rsid w:val="006A22BD"/>
    <w:rsid w:val="006A2704"/>
    <w:rsid w:val="006A37D7"/>
    <w:rsid w:val="006A3A8A"/>
    <w:rsid w:val="006A4E1D"/>
    <w:rsid w:val="006A62FF"/>
    <w:rsid w:val="006A6C64"/>
    <w:rsid w:val="006A7A4E"/>
    <w:rsid w:val="006B24E4"/>
    <w:rsid w:val="006B74EC"/>
    <w:rsid w:val="006B7A7A"/>
    <w:rsid w:val="006B7FBA"/>
    <w:rsid w:val="006C121A"/>
    <w:rsid w:val="006C250C"/>
    <w:rsid w:val="006C4486"/>
    <w:rsid w:val="006C58B9"/>
    <w:rsid w:val="006C5EDD"/>
    <w:rsid w:val="006C60F9"/>
    <w:rsid w:val="006C673D"/>
    <w:rsid w:val="006C7FC0"/>
    <w:rsid w:val="006D08C6"/>
    <w:rsid w:val="006D2690"/>
    <w:rsid w:val="006D3182"/>
    <w:rsid w:val="006D623F"/>
    <w:rsid w:val="006E1698"/>
    <w:rsid w:val="006E1DFB"/>
    <w:rsid w:val="006E20EA"/>
    <w:rsid w:val="006E2DA1"/>
    <w:rsid w:val="006E3A48"/>
    <w:rsid w:val="006E3CA9"/>
    <w:rsid w:val="006E43AC"/>
    <w:rsid w:val="006F560B"/>
    <w:rsid w:val="006F6865"/>
    <w:rsid w:val="00700315"/>
    <w:rsid w:val="00701109"/>
    <w:rsid w:val="00701565"/>
    <w:rsid w:val="00702D68"/>
    <w:rsid w:val="0070421E"/>
    <w:rsid w:val="00706C46"/>
    <w:rsid w:val="0071208D"/>
    <w:rsid w:val="007176DD"/>
    <w:rsid w:val="00723ACE"/>
    <w:rsid w:val="00724B10"/>
    <w:rsid w:val="00726D00"/>
    <w:rsid w:val="007270A5"/>
    <w:rsid w:val="00733C45"/>
    <w:rsid w:val="007343A3"/>
    <w:rsid w:val="007408D4"/>
    <w:rsid w:val="0074382B"/>
    <w:rsid w:val="00745C7E"/>
    <w:rsid w:val="00747D71"/>
    <w:rsid w:val="00755C88"/>
    <w:rsid w:val="0075688B"/>
    <w:rsid w:val="00760183"/>
    <w:rsid w:val="007611D5"/>
    <w:rsid w:val="007624EE"/>
    <w:rsid w:val="0076397A"/>
    <w:rsid w:val="0076408E"/>
    <w:rsid w:val="007655DA"/>
    <w:rsid w:val="007668B4"/>
    <w:rsid w:val="00767FAB"/>
    <w:rsid w:val="00772037"/>
    <w:rsid w:val="007744DA"/>
    <w:rsid w:val="00775E7F"/>
    <w:rsid w:val="00775E8A"/>
    <w:rsid w:val="0077643D"/>
    <w:rsid w:val="007773D1"/>
    <w:rsid w:val="007775D1"/>
    <w:rsid w:val="007813EC"/>
    <w:rsid w:val="007819CA"/>
    <w:rsid w:val="00785143"/>
    <w:rsid w:val="00786C3A"/>
    <w:rsid w:val="00786E16"/>
    <w:rsid w:val="00787E85"/>
    <w:rsid w:val="0079046B"/>
    <w:rsid w:val="00790E79"/>
    <w:rsid w:val="0079340D"/>
    <w:rsid w:val="007A078A"/>
    <w:rsid w:val="007A15BA"/>
    <w:rsid w:val="007A183B"/>
    <w:rsid w:val="007A39A1"/>
    <w:rsid w:val="007A45CA"/>
    <w:rsid w:val="007A5CF8"/>
    <w:rsid w:val="007A66CA"/>
    <w:rsid w:val="007B0960"/>
    <w:rsid w:val="007B170D"/>
    <w:rsid w:val="007B19D8"/>
    <w:rsid w:val="007B2652"/>
    <w:rsid w:val="007B31E7"/>
    <w:rsid w:val="007B4A52"/>
    <w:rsid w:val="007B685F"/>
    <w:rsid w:val="007B6EED"/>
    <w:rsid w:val="007B7794"/>
    <w:rsid w:val="007C10DB"/>
    <w:rsid w:val="007C2C08"/>
    <w:rsid w:val="007C310C"/>
    <w:rsid w:val="007C3211"/>
    <w:rsid w:val="007C55DE"/>
    <w:rsid w:val="007C5EB4"/>
    <w:rsid w:val="007C694B"/>
    <w:rsid w:val="007C7046"/>
    <w:rsid w:val="007C717B"/>
    <w:rsid w:val="007C7459"/>
    <w:rsid w:val="007D16F9"/>
    <w:rsid w:val="007D171C"/>
    <w:rsid w:val="007D176E"/>
    <w:rsid w:val="007D32AD"/>
    <w:rsid w:val="007D40F4"/>
    <w:rsid w:val="007D5302"/>
    <w:rsid w:val="007D5560"/>
    <w:rsid w:val="007E0AD9"/>
    <w:rsid w:val="007E3677"/>
    <w:rsid w:val="007E73B8"/>
    <w:rsid w:val="007F12CF"/>
    <w:rsid w:val="007F2131"/>
    <w:rsid w:val="007F3928"/>
    <w:rsid w:val="007F4E97"/>
    <w:rsid w:val="007F5E8A"/>
    <w:rsid w:val="00800146"/>
    <w:rsid w:val="00800A1B"/>
    <w:rsid w:val="00801134"/>
    <w:rsid w:val="00801EDE"/>
    <w:rsid w:val="00804481"/>
    <w:rsid w:val="00805956"/>
    <w:rsid w:val="008102AA"/>
    <w:rsid w:val="00810770"/>
    <w:rsid w:val="00811422"/>
    <w:rsid w:val="0081348C"/>
    <w:rsid w:val="0081395D"/>
    <w:rsid w:val="0081591A"/>
    <w:rsid w:val="0081629F"/>
    <w:rsid w:val="008164E1"/>
    <w:rsid w:val="0081673D"/>
    <w:rsid w:val="00816D8B"/>
    <w:rsid w:val="00817934"/>
    <w:rsid w:val="00820C29"/>
    <w:rsid w:val="00820C2F"/>
    <w:rsid w:val="00821670"/>
    <w:rsid w:val="008218EE"/>
    <w:rsid w:val="00821976"/>
    <w:rsid w:val="00822901"/>
    <w:rsid w:val="00826A84"/>
    <w:rsid w:val="00832497"/>
    <w:rsid w:val="00833AE6"/>
    <w:rsid w:val="00834ADA"/>
    <w:rsid w:val="00834B9D"/>
    <w:rsid w:val="008352D1"/>
    <w:rsid w:val="0083796D"/>
    <w:rsid w:val="008408AF"/>
    <w:rsid w:val="00840A80"/>
    <w:rsid w:val="00842D81"/>
    <w:rsid w:val="008444A8"/>
    <w:rsid w:val="00847C6C"/>
    <w:rsid w:val="008548E7"/>
    <w:rsid w:val="008554CE"/>
    <w:rsid w:val="0085603D"/>
    <w:rsid w:val="00860039"/>
    <w:rsid w:val="00862D08"/>
    <w:rsid w:val="00864D55"/>
    <w:rsid w:val="008709C8"/>
    <w:rsid w:val="00871E2C"/>
    <w:rsid w:val="0088003F"/>
    <w:rsid w:val="00885AB6"/>
    <w:rsid w:val="008901A4"/>
    <w:rsid w:val="00890472"/>
    <w:rsid w:val="00892ADE"/>
    <w:rsid w:val="0089425E"/>
    <w:rsid w:val="00894425"/>
    <w:rsid w:val="00895E88"/>
    <w:rsid w:val="0089633D"/>
    <w:rsid w:val="008973F2"/>
    <w:rsid w:val="008A25A3"/>
    <w:rsid w:val="008A43C4"/>
    <w:rsid w:val="008A4C49"/>
    <w:rsid w:val="008A4F2A"/>
    <w:rsid w:val="008B0D79"/>
    <w:rsid w:val="008B0D7F"/>
    <w:rsid w:val="008B1E45"/>
    <w:rsid w:val="008B31D5"/>
    <w:rsid w:val="008B3B6B"/>
    <w:rsid w:val="008B434A"/>
    <w:rsid w:val="008B6590"/>
    <w:rsid w:val="008B721B"/>
    <w:rsid w:val="008C11AB"/>
    <w:rsid w:val="008C1EF1"/>
    <w:rsid w:val="008C5097"/>
    <w:rsid w:val="008C63A1"/>
    <w:rsid w:val="008C750A"/>
    <w:rsid w:val="008C7FED"/>
    <w:rsid w:val="008D3D03"/>
    <w:rsid w:val="008D5F03"/>
    <w:rsid w:val="008D70E8"/>
    <w:rsid w:val="008D76D1"/>
    <w:rsid w:val="008E15DF"/>
    <w:rsid w:val="008E1775"/>
    <w:rsid w:val="008E3FB7"/>
    <w:rsid w:val="008E6CBA"/>
    <w:rsid w:val="008E6CE0"/>
    <w:rsid w:val="008F1149"/>
    <w:rsid w:val="008F160A"/>
    <w:rsid w:val="008F4E9A"/>
    <w:rsid w:val="008F548E"/>
    <w:rsid w:val="008F590A"/>
    <w:rsid w:val="008F592A"/>
    <w:rsid w:val="008F6BA7"/>
    <w:rsid w:val="008F7761"/>
    <w:rsid w:val="0090002A"/>
    <w:rsid w:val="00903087"/>
    <w:rsid w:val="009037A9"/>
    <w:rsid w:val="00903D75"/>
    <w:rsid w:val="009053CE"/>
    <w:rsid w:val="00906DED"/>
    <w:rsid w:val="00907A7E"/>
    <w:rsid w:val="009106CA"/>
    <w:rsid w:val="00915D19"/>
    <w:rsid w:val="00916456"/>
    <w:rsid w:val="00916E6B"/>
    <w:rsid w:val="00920B76"/>
    <w:rsid w:val="0092568B"/>
    <w:rsid w:val="00926288"/>
    <w:rsid w:val="00927C74"/>
    <w:rsid w:val="00927CA7"/>
    <w:rsid w:val="00930521"/>
    <w:rsid w:val="00930D2E"/>
    <w:rsid w:val="0093162B"/>
    <w:rsid w:val="00931767"/>
    <w:rsid w:val="00931B9A"/>
    <w:rsid w:val="0093226C"/>
    <w:rsid w:val="00932AAD"/>
    <w:rsid w:val="00933856"/>
    <w:rsid w:val="00936BE4"/>
    <w:rsid w:val="0094050A"/>
    <w:rsid w:val="00940C03"/>
    <w:rsid w:val="0094289A"/>
    <w:rsid w:val="00942A5E"/>
    <w:rsid w:val="00943125"/>
    <w:rsid w:val="009449A8"/>
    <w:rsid w:val="00947A8C"/>
    <w:rsid w:val="00950F80"/>
    <w:rsid w:val="00951B13"/>
    <w:rsid w:val="00952BE3"/>
    <w:rsid w:val="00953B71"/>
    <w:rsid w:val="00953E11"/>
    <w:rsid w:val="009541E4"/>
    <w:rsid w:val="009552C8"/>
    <w:rsid w:val="00955B74"/>
    <w:rsid w:val="009633DE"/>
    <w:rsid w:val="00966273"/>
    <w:rsid w:val="00971B78"/>
    <w:rsid w:val="00973BC5"/>
    <w:rsid w:val="009757EB"/>
    <w:rsid w:val="00976A61"/>
    <w:rsid w:val="00977234"/>
    <w:rsid w:val="009801E4"/>
    <w:rsid w:val="00980CD3"/>
    <w:rsid w:val="009829AC"/>
    <w:rsid w:val="00982B38"/>
    <w:rsid w:val="009830D7"/>
    <w:rsid w:val="00990C52"/>
    <w:rsid w:val="009965E4"/>
    <w:rsid w:val="00996C87"/>
    <w:rsid w:val="009A0124"/>
    <w:rsid w:val="009A2199"/>
    <w:rsid w:val="009A2E7F"/>
    <w:rsid w:val="009A4114"/>
    <w:rsid w:val="009B1A33"/>
    <w:rsid w:val="009B2207"/>
    <w:rsid w:val="009B4B1E"/>
    <w:rsid w:val="009B7B6F"/>
    <w:rsid w:val="009B7C94"/>
    <w:rsid w:val="009C094A"/>
    <w:rsid w:val="009C2305"/>
    <w:rsid w:val="009C2B8D"/>
    <w:rsid w:val="009C30B4"/>
    <w:rsid w:val="009C3BDF"/>
    <w:rsid w:val="009C4711"/>
    <w:rsid w:val="009C75A1"/>
    <w:rsid w:val="009D01EB"/>
    <w:rsid w:val="009D2FC0"/>
    <w:rsid w:val="009D4D75"/>
    <w:rsid w:val="009D568A"/>
    <w:rsid w:val="009D75CC"/>
    <w:rsid w:val="009E1FAF"/>
    <w:rsid w:val="009F1E83"/>
    <w:rsid w:val="009F2A5C"/>
    <w:rsid w:val="009F4AB1"/>
    <w:rsid w:val="00A00988"/>
    <w:rsid w:val="00A02703"/>
    <w:rsid w:val="00A06AF4"/>
    <w:rsid w:val="00A0778F"/>
    <w:rsid w:val="00A10B7F"/>
    <w:rsid w:val="00A114F2"/>
    <w:rsid w:val="00A12BF5"/>
    <w:rsid w:val="00A12E06"/>
    <w:rsid w:val="00A16C5C"/>
    <w:rsid w:val="00A172B5"/>
    <w:rsid w:val="00A1789F"/>
    <w:rsid w:val="00A224B9"/>
    <w:rsid w:val="00A23311"/>
    <w:rsid w:val="00A23C1D"/>
    <w:rsid w:val="00A2438F"/>
    <w:rsid w:val="00A246AC"/>
    <w:rsid w:val="00A2481E"/>
    <w:rsid w:val="00A30870"/>
    <w:rsid w:val="00A329C1"/>
    <w:rsid w:val="00A33021"/>
    <w:rsid w:val="00A3413B"/>
    <w:rsid w:val="00A347C5"/>
    <w:rsid w:val="00A41A11"/>
    <w:rsid w:val="00A42D13"/>
    <w:rsid w:val="00A44C0C"/>
    <w:rsid w:val="00A45DB8"/>
    <w:rsid w:val="00A50A9D"/>
    <w:rsid w:val="00A528EE"/>
    <w:rsid w:val="00A52C5F"/>
    <w:rsid w:val="00A52DC1"/>
    <w:rsid w:val="00A54E89"/>
    <w:rsid w:val="00A555A0"/>
    <w:rsid w:val="00A55B87"/>
    <w:rsid w:val="00A56B47"/>
    <w:rsid w:val="00A57E79"/>
    <w:rsid w:val="00A61E98"/>
    <w:rsid w:val="00A74140"/>
    <w:rsid w:val="00A749C1"/>
    <w:rsid w:val="00A80002"/>
    <w:rsid w:val="00A811A9"/>
    <w:rsid w:val="00A817C0"/>
    <w:rsid w:val="00A818CC"/>
    <w:rsid w:val="00A82CC6"/>
    <w:rsid w:val="00A82D4D"/>
    <w:rsid w:val="00A83994"/>
    <w:rsid w:val="00A86BA4"/>
    <w:rsid w:val="00A930ED"/>
    <w:rsid w:val="00A95D74"/>
    <w:rsid w:val="00AA1838"/>
    <w:rsid w:val="00AA2792"/>
    <w:rsid w:val="00AA3D89"/>
    <w:rsid w:val="00AA574B"/>
    <w:rsid w:val="00AA5C67"/>
    <w:rsid w:val="00AA705A"/>
    <w:rsid w:val="00AA7484"/>
    <w:rsid w:val="00AB030E"/>
    <w:rsid w:val="00AB04A4"/>
    <w:rsid w:val="00AB1D66"/>
    <w:rsid w:val="00AB2C07"/>
    <w:rsid w:val="00AB50BF"/>
    <w:rsid w:val="00AB50D6"/>
    <w:rsid w:val="00AC2F10"/>
    <w:rsid w:val="00AC772A"/>
    <w:rsid w:val="00AD1541"/>
    <w:rsid w:val="00AD1F79"/>
    <w:rsid w:val="00AD3999"/>
    <w:rsid w:val="00AD3DF4"/>
    <w:rsid w:val="00AD649E"/>
    <w:rsid w:val="00AD6DB7"/>
    <w:rsid w:val="00AD73B2"/>
    <w:rsid w:val="00AE075F"/>
    <w:rsid w:val="00AE3EDF"/>
    <w:rsid w:val="00AE4F23"/>
    <w:rsid w:val="00AE5F64"/>
    <w:rsid w:val="00AF0BB6"/>
    <w:rsid w:val="00AF298E"/>
    <w:rsid w:val="00AF37EA"/>
    <w:rsid w:val="00AF4C72"/>
    <w:rsid w:val="00AF5F77"/>
    <w:rsid w:val="00AF775E"/>
    <w:rsid w:val="00B01DB6"/>
    <w:rsid w:val="00B036C7"/>
    <w:rsid w:val="00B061DD"/>
    <w:rsid w:val="00B10F34"/>
    <w:rsid w:val="00B12FA8"/>
    <w:rsid w:val="00B139A1"/>
    <w:rsid w:val="00B1540A"/>
    <w:rsid w:val="00B16252"/>
    <w:rsid w:val="00B16D30"/>
    <w:rsid w:val="00B1709B"/>
    <w:rsid w:val="00B21042"/>
    <w:rsid w:val="00B231C1"/>
    <w:rsid w:val="00B257CD"/>
    <w:rsid w:val="00B30723"/>
    <w:rsid w:val="00B316C9"/>
    <w:rsid w:val="00B32548"/>
    <w:rsid w:val="00B32D14"/>
    <w:rsid w:val="00B33E2B"/>
    <w:rsid w:val="00B34E9D"/>
    <w:rsid w:val="00B36674"/>
    <w:rsid w:val="00B4052B"/>
    <w:rsid w:val="00B42777"/>
    <w:rsid w:val="00B44479"/>
    <w:rsid w:val="00B44B44"/>
    <w:rsid w:val="00B4589B"/>
    <w:rsid w:val="00B45921"/>
    <w:rsid w:val="00B4617C"/>
    <w:rsid w:val="00B46848"/>
    <w:rsid w:val="00B50709"/>
    <w:rsid w:val="00B50ACE"/>
    <w:rsid w:val="00B51A6E"/>
    <w:rsid w:val="00B531D4"/>
    <w:rsid w:val="00B53EE3"/>
    <w:rsid w:val="00B55D6E"/>
    <w:rsid w:val="00B56F95"/>
    <w:rsid w:val="00B57F7F"/>
    <w:rsid w:val="00B6321F"/>
    <w:rsid w:val="00B63606"/>
    <w:rsid w:val="00B70286"/>
    <w:rsid w:val="00B71A11"/>
    <w:rsid w:val="00B74155"/>
    <w:rsid w:val="00B74AF9"/>
    <w:rsid w:val="00B80950"/>
    <w:rsid w:val="00B80E3C"/>
    <w:rsid w:val="00B81512"/>
    <w:rsid w:val="00B827BD"/>
    <w:rsid w:val="00B832A4"/>
    <w:rsid w:val="00B840E4"/>
    <w:rsid w:val="00B84920"/>
    <w:rsid w:val="00B84A12"/>
    <w:rsid w:val="00B85823"/>
    <w:rsid w:val="00B868E9"/>
    <w:rsid w:val="00B87C43"/>
    <w:rsid w:val="00B90A04"/>
    <w:rsid w:val="00B9184F"/>
    <w:rsid w:val="00B93BC7"/>
    <w:rsid w:val="00B96B18"/>
    <w:rsid w:val="00BA1750"/>
    <w:rsid w:val="00BA3D6B"/>
    <w:rsid w:val="00BA4A5C"/>
    <w:rsid w:val="00BA63C6"/>
    <w:rsid w:val="00BA73D1"/>
    <w:rsid w:val="00BB1C32"/>
    <w:rsid w:val="00BB22D4"/>
    <w:rsid w:val="00BB2D9B"/>
    <w:rsid w:val="00BB4152"/>
    <w:rsid w:val="00BB472C"/>
    <w:rsid w:val="00BB57CE"/>
    <w:rsid w:val="00BB69AD"/>
    <w:rsid w:val="00BB7DF0"/>
    <w:rsid w:val="00BD1014"/>
    <w:rsid w:val="00BD1C00"/>
    <w:rsid w:val="00BD313D"/>
    <w:rsid w:val="00BD379B"/>
    <w:rsid w:val="00BD3A60"/>
    <w:rsid w:val="00BD5ED5"/>
    <w:rsid w:val="00BD63C3"/>
    <w:rsid w:val="00BD7F7C"/>
    <w:rsid w:val="00BE09E2"/>
    <w:rsid w:val="00BE5216"/>
    <w:rsid w:val="00BE6CA1"/>
    <w:rsid w:val="00BE759B"/>
    <w:rsid w:val="00BF011A"/>
    <w:rsid w:val="00BF0DFF"/>
    <w:rsid w:val="00BF1C07"/>
    <w:rsid w:val="00BF6457"/>
    <w:rsid w:val="00C00B89"/>
    <w:rsid w:val="00C01469"/>
    <w:rsid w:val="00C033D8"/>
    <w:rsid w:val="00C067A3"/>
    <w:rsid w:val="00C06FDE"/>
    <w:rsid w:val="00C07A99"/>
    <w:rsid w:val="00C10A38"/>
    <w:rsid w:val="00C131B7"/>
    <w:rsid w:val="00C13A44"/>
    <w:rsid w:val="00C1691A"/>
    <w:rsid w:val="00C17E24"/>
    <w:rsid w:val="00C2068D"/>
    <w:rsid w:val="00C254F7"/>
    <w:rsid w:val="00C257F5"/>
    <w:rsid w:val="00C27341"/>
    <w:rsid w:val="00C3122E"/>
    <w:rsid w:val="00C33116"/>
    <w:rsid w:val="00C33420"/>
    <w:rsid w:val="00C35925"/>
    <w:rsid w:val="00C35B31"/>
    <w:rsid w:val="00C364E9"/>
    <w:rsid w:val="00C371E3"/>
    <w:rsid w:val="00C40CF0"/>
    <w:rsid w:val="00C413F4"/>
    <w:rsid w:val="00C414C4"/>
    <w:rsid w:val="00C41716"/>
    <w:rsid w:val="00C437DD"/>
    <w:rsid w:val="00C45615"/>
    <w:rsid w:val="00C47609"/>
    <w:rsid w:val="00C516A3"/>
    <w:rsid w:val="00C5679B"/>
    <w:rsid w:val="00C57C78"/>
    <w:rsid w:val="00C60C4A"/>
    <w:rsid w:val="00C61758"/>
    <w:rsid w:val="00C648D7"/>
    <w:rsid w:val="00C66A88"/>
    <w:rsid w:val="00C70D3D"/>
    <w:rsid w:val="00C72911"/>
    <w:rsid w:val="00C72AC2"/>
    <w:rsid w:val="00C73199"/>
    <w:rsid w:val="00C75083"/>
    <w:rsid w:val="00C76633"/>
    <w:rsid w:val="00C76E66"/>
    <w:rsid w:val="00C76EDB"/>
    <w:rsid w:val="00C779F3"/>
    <w:rsid w:val="00C77EA2"/>
    <w:rsid w:val="00C80564"/>
    <w:rsid w:val="00C85D88"/>
    <w:rsid w:val="00C86B48"/>
    <w:rsid w:val="00C91C04"/>
    <w:rsid w:val="00C95C2D"/>
    <w:rsid w:val="00C95C34"/>
    <w:rsid w:val="00C95EFD"/>
    <w:rsid w:val="00C96015"/>
    <w:rsid w:val="00C973A5"/>
    <w:rsid w:val="00CA0525"/>
    <w:rsid w:val="00CA2954"/>
    <w:rsid w:val="00CA3DBC"/>
    <w:rsid w:val="00CA4F8E"/>
    <w:rsid w:val="00CA63D2"/>
    <w:rsid w:val="00CA7BA8"/>
    <w:rsid w:val="00CB055C"/>
    <w:rsid w:val="00CB1864"/>
    <w:rsid w:val="00CB1EEF"/>
    <w:rsid w:val="00CB405F"/>
    <w:rsid w:val="00CB7ED6"/>
    <w:rsid w:val="00CC48DC"/>
    <w:rsid w:val="00CC625C"/>
    <w:rsid w:val="00CC6422"/>
    <w:rsid w:val="00CD0B3C"/>
    <w:rsid w:val="00CD1133"/>
    <w:rsid w:val="00CD75B8"/>
    <w:rsid w:val="00CE0136"/>
    <w:rsid w:val="00CE1CED"/>
    <w:rsid w:val="00CE30FA"/>
    <w:rsid w:val="00CE317A"/>
    <w:rsid w:val="00CE3E30"/>
    <w:rsid w:val="00CE4282"/>
    <w:rsid w:val="00CE4580"/>
    <w:rsid w:val="00CE7D0D"/>
    <w:rsid w:val="00CF18F4"/>
    <w:rsid w:val="00CF1EA5"/>
    <w:rsid w:val="00CF22EB"/>
    <w:rsid w:val="00CF71B0"/>
    <w:rsid w:val="00D000F4"/>
    <w:rsid w:val="00D0082D"/>
    <w:rsid w:val="00D04FD9"/>
    <w:rsid w:val="00D07937"/>
    <w:rsid w:val="00D102D0"/>
    <w:rsid w:val="00D11246"/>
    <w:rsid w:val="00D114BC"/>
    <w:rsid w:val="00D17336"/>
    <w:rsid w:val="00D2170D"/>
    <w:rsid w:val="00D22103"/>
    <w:rsid w:val="00D23A6A"/>
    <w:rsid w:val="00D24392"/>
    <w:rsid w:val="00D25CBB"/>
    <w:rsid w:val="00D3000C"/>
    <w:rsid w:val="00D31EA6"/>
    <w:rsid w:val="00D32B32"/>
    <w:rsid w:val="00D36576"/>
    <w:rsid w:val="00D40706"/>
    <w:rsid w:val="00D42F35"/>
    <w:rsid w:val="00D434A9"/>
    <w:rsid w:val="00D435BB"/>
    <w:rsid w:val="00D43C65"/>
    <w:rsid w:val="00D447A8"/>
    <w:rsid w:val="00D46901"/>
    <w:rsid w:val="00D47FFE"/>
    <w:rsid w:val="00D5130D"/>
    <w:rsid w:val="00D5414C"/>
    <w:rsid w:val="00D54238"/>
    <w:rsid w:val="00D617A2"/>
    <w:rsid w:val="00D61B2B"/>
    <w:rsid w:val="00D625EB"/>
    <w:rsid w:val="00D66C85"/>
    <w:rsid w:val="00D66D3E"/>
    <w:rsid w:val="00D722FC"/>
    <w:rsid w:val="00D75072"/>
    <w:rsid w:val="00D76E76"/>
    <w:rsid w:val="00D770E2"/>
    <w:rsid w:val="00D81782"/>
    <w:rsid w:val="00D82917"/>
    <w:rsid w:val="00D83BE6"/>
    <w:rsid w:val="00D83BF6"/>
    <w:rsid w:val="00D83F25"/>
    <w:rsid w:val="00D87541"/>
    <w:rsid w:val="00D87A38"/>
    <w:rsid w:val="00D906B5"/>
    <w:rsid w:val="00D917A9"/>
    <w:rsid w:val="00D9451E"/>
    <w:rsid w:val="00D954BA"/>
    <w:rsid w:val="00D9649C"/>
    <w:rsid w:val="00DA0EEC"/>
    <w:rsid w:val="00DB09E8"/>
    <w:rsid w:val="00DB15E9"/>
    <w:rsid w:val="00DB16FB"/>
    <w:rsid w:val="00DB597B"/>
    <w:rsid w:val="00DB64B0"/>
    <w:rsid w:val="00DB6D20"/>
    <w:rsid w:val="00DB782C"/>
    <w:rsid w:val="00DC2D9E"/>
    <w:rsid w:val="00DC3A30"/>
    <w:rsid w:val="00DC4797"/>
    <w:rsid w:val="00DC5F9B"/>
    <w:rsid w:val="00DC7F70"/>
    <w:rsid w:val="00DD2418"/>
    <w:rsid w:val="00DD36E5"/>
    <w:rsid w:val="00DD5CA9"/>
    <w:rsid w:val="00DD61F7"/>
    <w:rsid w:val="00DD7D34"/>
    <w:rsid w:val="00DE0243"/>
    <w:rsid w:val="00DE0730"/>
    <w:rsid w:val="00DE2E29"/>
    <w:rsid w:val="00DE5C43"/>
    <w:rsid w:val="00DF0F4C"/>
    <w:rsid w:val="00DF1A0A"/>
    <w:rsid w:val="00DF4814"/>
    <w:rsid w:val="00DF5A7F"/>
    <w:rsid w:val="00DF6D37"/>
    <w:rsid w:val="00DF6E21"/>
    <w:rsid w:val="00E02A5D"/>
    <w:rsid w:val="00E042FE"/>
    <w:rsid w:val="00E05B45"/>
    <w:rsid w:val="00E12286"/>
    <w:rsid w:val="00E132DD"/>
    <w:rsid w:val="00E144BC"/>
    <w:rsid w:val="00E15B46"/>
    <w:rsid w:val="00E1640F"/>
    <w:rsid w:val="00E1757C"/>
    <w:rsid w:val="00E17A35"/>
    <w:rsid w:val="00E211F5"/>
    <w:rsid w:val="00E2653A"/>
    <w:rsid w:val="00E27C85"/>
    <w:rsid w:val="00E334FE"/>
    <w:rsid w:val="00E349EF"/>
    <w:rsid w:val="00E350D0"/>
    <w:rsid w:val="00E371CE"/>
    <w:rsid w:val="00E40566"/>
    <w:rsid w:val="00E41892"/>
    <w:rsid w:val="00E424AA"/>
    <w:rsid w:val="00E43EB2"/>
    <w:rsid w:val="00E44D68"/>
    <w:rsid w:val="00E460AB"/>
    <w:rsid w:val="00E503AA"/>
    <w:rsid w:val="00E538CF"/>
    <w:rsid w:val="00E54C9C"/>
    <w:rsid w:val="00E55254"/>
    <w:rsid w:val="00E55CED"/>
    <w:rsid w:val="00E570A3"/>
    <w:rsid w:val="00E60F70"/>
    <w:rsid w:val="00E62043"/>
    <w:rsid w:val="00E621C1"/>
    <w:rsid w:val="00E6321B"/>
    <w:rsid w:val="00E6587E"/>
    <w:rsid w:val="00E6628E"/>
    <w:rsid w:val="00E67117"/>
    <w:rsid w:val="00E67ABC"/>
    <w:rsid w:val="00E71022"/>
    <w:rsid w:val="00E7102A"/>
    <w:rsid w:val="00E71BAE"/>
    <w:rsid w:val="00E7268B"/>
    <w:rsid w:val="00E72772"/>
    <w:rsid w:val="00E74350"/>
    <w:rsid w:val="00E74C30"/>
    <w:rsid w:val="00E7660F"/>
    <w:rsid w:val="00E770EC"/>
    <w:rsid w:val="00E84054"/>
    <w:rsid w:val="00E856AC"/>
    <w:rsid w:val="00E85BF6"/>
    <w:rsid w:val="00E864C8"/>
    <w:rsid w:val="00E86970"/>
    <w:rsid w:val="00E86CD9"/>
    <w:rsid w:val="00E876B4"/>
    <w:rsid w:val="00E907BA"/>
    <w:rsid w:val="00E9206D"/>
    <w:rsid w:val="00E93807"/>
    <w:rsid w:val="00E9385C"/>
    <w:rsid w:val="00E94FFF"/>
    <w:rsid w:val="00E9524A"/>
    <w:rsid w:val="00E956A9"/>
    <w:rsid w:val="00E96685"/>
    <w:rsid w:val="00E97C2B"/>
    <w:rsid w:val="00EA27FF"/>
    <w:rsid w:val="00EA4445"/>
    <w:rsid w:val="00EA600B"/>
    <w:rsid w:val="00EA727D"/>
    <w:rsid w:val="00EA7A28"/>
    <w:rsid w:val="00EA7B96"/>
    <w:rsid w:val="00EB0A89"/>
    <w:rsid w:val="00EB1E6A"/>
    <w:rsid w:val="00EB28AD"/>
    <w:rsid w:val="00EB3F15"/>
    <w:rsid w:val="00EB6661"/>
    <w:rsid w:val="00EB72C9"/>
    <w:rsid w:val="00EB73C5"/>
    <w:rsid w:val="00EB74B3"/>
    <w:rsid w:val="00EB79B7"/>
    <w:rsid w:val="00EB79C8"/>
    <w:rsid w:val="00EB7F5F"/>
    <w:rsid w:val="00EC0146"/>
    <w:rsid w:val="00EC0480"/>
    <w:rsid w:val="00EC099F"/>
    <w:rsid w:val="00EC1970"/>
    <w:rsid w:val="00EC4959"/>
    <w:rsid w:val="00EC5B24"/>
    <w:rsid w:val="00EC605E"/>
    <w:rsid w:val="00EC7144"/>
    <w:rsid w:val="00EC741F"/>
    <w:rsid w:val="00EC743F"/>
    <w:rsid w:val="00EC7B45"/>
    <w:rsid w:val="00ED0636"/>
    <w:rsid w:val="00ED1669"/>
    <w:rsid w:val="00ED20ED"/>
    <w:rsid w:val="00ED2B13"/>
    <w:rsid w:val="00ED2EDD"/>
    <w:rsid w:val="00ED51B8"/>
    <w:rsid w:val="00ED6A37"/>
    <w:rsid w:val="00ED711C"/>
    <w:rsid w:val="00ED7334"/>
    <w:rsid w:val="00EE1211"/>
    <w:rsid w:val="00EE1302"/>
    <w:rsid w:val="00EE2A57"/>
    <w:rsid w:val="00EE2B91"/>
    <w:rsid w:val="00EE4469"/>
    <w:rsid w:val="00EE4728"/>
    <w:rsid w:val="00EE51B9"/>
    <w:rsid w:val="00EE652E"/>
    <w:rsid w:val="00EF0E55"/>
    <w:rsid w:val="00EF20D9"/>
    <w:rsid w:val="00EF6AAB"/>
    <w:rsid w:val="00EF7452"/>
    <w:rsid w:val="00F01B60"/>
    <w:rsid w:val="00F0262D"/>
    <w:rsid w:val="00F02FFF"/>
    <w:rsid w:val="00F061DB"/>
    <w:rsid w:val="00F0670B"/>
    <w:rsid w:val="00F07DE1"/>
    <w:rsid w:val="00F1084B"/>
    <w:rsid w:val="00F13B2A"/>
    <w:rsid w:val="00F163AE"/>
    <w:rsid w:val="00F17F5D"/>
    <w:rsid w:val="00F20364"/>
    <w:rsid w:val="00F21C9D"/>
    <w:rsid w:val="00F220E4"/>
    <w:rsid w:val="00F230E4"/>
    <w:rsid w:val="00F258B5"/>
    <w:rsid w:val="00F25B3D"/>
    <w:rsid w:val="00F26B17"/>
    <w:rsid w:val="00F2767A"/>
    <w:rsid w:val="00F31346"/>
    <w:rsid w:val="00F32404"/>
    <w:rsid w:val="00F3288E"/>
    <w:rsid w:val="00F32ED2"/>
    <w:rsid w:val="00F3522B"/>
    <w:rsid w:val="00F353EB"/>
    <w:rsid w:val="00F3611E"/>
    <w:rsid w:val="00F36D8D"/>
    <w:rsid w:val="00F400E5"/>
    <w:rsid w:val="00F45AF1"/>
    <w:rsid w:val="00F464C1"/>
    <w:rsid w:val="00F47F9F"/>
    <w:rsid w:val="00F54E7D"/>
    <w:rsid w:val="00F577BA"/>
    <w:rsid w:val="00F60DE7"/>
    <w:rsid w:val="00F6101A"/>
    <w:rsid w:val="00F6279B"/>
    <w:rsid w:val="00F64EDC"/>
    <w:rsid w:val="00F65873"/>
    <w:rsid w:val="00F66340"/>
    <w:rsid w:val="00F66F42"/>
    <w:rsid w:val="00F671CD"/>
    <w:rsid w:val="00F67B28"/>
    <w:rsid w:val="00F67F4E"/>
    <w:rsid w:val="00F70B17"/>
    <w:rsid w:val="00F71D97"/>
    <w:rsid w:val="00F73D06"/>
    <w:rsid w:val="00F76419"/>
    <w:rsid w:val="00F77067"/>
    <w:rsid w:val="00F77800"/>
    <w:rsid w:val="00F8070C"/>
    <w:rsid w:val="00F80FBD"/>
    <w:rsid w:val="00F81F93"/>
    <w:rsid w:val="00F828D5"/>
    <w:rsid w:val="00F831A1"/>
    <w:rsid w:val="00F8649A"/>
    <w:rsid w:val="00F87194"/>
    <w:rsid w:val="00F90F3A"/>
    <w:rsid w:val="00F9175E"/>
    <w:rsid w:val="00F94571"/>
    <w:rsid w:val="00F94937"/>
    <w:rsid w:val="00F94A50"/>
    <w:rsid w:val="00F956FA"/>
    <w:rsid w:val="00FA042A"/>
    <w:rsid w:val="00FA1873"/>
    <w:rsid w:val="00FA3DE6"/>
    <w:rsid w:val="00FA46B6"/>
    <w:rsid w:val="00FA4E42"/>
    <w:rsid w:val="00FA6835"/>
    <w:rsid w:val="00FA7635"/>
    <w:rsid w:val="00FB0D81"/>
    <w:rsid w:val="00FB26CE"/>
    <w:rsid w:val="00FB4404"/>
    <w:rsid w:val="00FB4E60"/>
    <w:rsid w:val="00FB68B7"/>
    <w:rsid w:val="00FB6E7F"/>
    <w:rsid w:val="00FB73B0"/>
    <w:rsid w:val="00FB7D79"/>
    <w:rsid w:val="00FC0CE2"/>
    <w:rsid w:val="00FC14FA"/>
    <w:rsid w:val="00FC20CB"/>
    <w:rsid w:val="00FC22D1"/>
    <w:rsid w:val="00FC3696"/>
    <w:rsid w:val="00FC3CD6"/>
    <w:rsid w:val="00FC5CAA"/>
    <w:rsid w:val="00FD2149"/>
    <w:rsid w:val="00FD2635"/>
    <w:rsid w:val="00FE07BB"/>
    <w:rsid w:val="00FE08CE"/>
    <w:rsid w:val="00FE1360"/>
    <w:rsid w:val="00FE19B6"/>
    <w:rsid w:val="00FE2F68"/>
    <w:rsid w:val="00FE6303"/>
    <w:rsid w:val="00FE6403"/>
    <w:rsid w:val="00FE645C"/>
    <w:rsid w:val="00FE7033"/>
    <w:rsid w:val="00FE7DCA"/>
    <w:rsid w:val="00FF201A"/>
    <w:rsid w:val="00FF20CF"/>
    <w:rsid w:val="00FF365D"/>
    <w:rsid w:val="00FF46DF"/>
    <w:rsid w:val="00FF558D"/>
    <w:rsid w:val="00FF7070"/>
    <w:rsid w:val="00FF73AD"/>
    <w:rsid w:val="0149034F"/>
    <w:rsid w:val="044914CD"/>
    <w:rsid w:val="04C9749E"/>
    <w:rsid w:val="04F2FFEB"/>
    <w:rsid w:val="04F7249E"/>
    <w:rsid w:val="1691B3F5"/>
    <w:rsid w:val="1FBB249D"/>
    <w:rsid w:val="21820B6E"/>
    <w:rsid w:val="219D4F63"/>
    <w:rsid w:val="21AB6370"/>
    <w:rsid w:val="2843C931"/>
    <w:rsid w:val="29117F28"/>
    <w:rsid w:val="29B1BB5D"/>
    <w:rsid w:val="2B20FA33"/>
    <w:rsid w:val="2B86FD2C"/>
    <w:rsid w:val="2B964144"/>
    <w:rsid w:val="31A6B7A2"/>
    <w:rsid w:val="32837AE1"/>
    <w:rsid w:val="3333BB38"/>
    <w:rsid w:val="3658EB37"/>
    <w:rsid w:val="36831959"/>
    <w:rsid w:val="38872C90"/>
    <w:rsid w:val="399B5171"/>
    <w:rsid w:val="3C2A6C54"/>
    <w:rsid w:val="3CE22CD5"/>
    <w:rsid w:val="3E8A9084"/>
    <w:rsid w:val="420BFD17"/>
    <w:rsid w:val="422F98D5"/>
    <w:rsid w:val="42760738"/>
    <w:rsid w:val="474AE8EF"/>
    <w:rsid w:val="4BA684FB"/>
    <w:rsid w:val="5438462C"/>
    <w:rsid w:val="54ACBE9A"/>
    <w:rsid w:val="5512D4B1"/>
    <w:rsid w:val="559CFCFB"/>
    <w:rsid w:val="55EE6B66"/>
    <w:rsid w:val="5623FD68"/>
    <w:rsid w:val="56AEA512"/>
    <w:rsid w:val="5EBE8469"/>
    <w:rsid w:val="64633984"/>
    <w:rsid w:val="6493516E"/>
    <w:rsid w:val="67A6B2E9"/>
    <w:rsid w:val="68D2E498"/>
    <w:rsid w:val="6ACB12D9"/>
    <w:rsid w:val="6C075D8C"/>
    <w:rsid w:val="6DFA8EFE"/>
    <w:rsid w:val="6F6F3A92"/>
    <w:rsid w:val="6FAEA51E"/>
    <w:rsid w:val="70018A88"/>
    <w:rsid w:val="738F1B3E"/>
    <w:rsid w:val="75F5E601"/>
    <w:rsid w:val="781FFA41"/>
    <w:rsid w:val="78EA5DBB"/>
    <w:rsid w:val="7AC4B56D"/>
    <w:rsid w:val="7F5FF9B3"/>
    <w:rsid w:val="7F6F2F2C"/>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DC2D9E"/>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321094"/>
    <w:pPr>
      <w:tabs>
        <w:tab w:val="left" w:pos="440"/>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character" w:styleId="Mention">
    <w:name w:val="Mention"/>
    <w:basedOn w:val="DefaultParagraphFont"/>
    <w:uiPriority w:val="99"/>
    <w:unhideWhenUsed/>
    <w:rsid w:val="0001216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FB4404"/>
    <w:rPr>
      <w:b/>
      <w:bCs/>
      <w:lang w:val="en-AU"/>
    </w:rPr>
  </w:style>
  <w:style w:type="character" w:customStyle="1" w:styleId="CommentSubjectChar">
    <w:name w:val="Comment Subject Char"/>
    <w:basedOn w:val="CommentTextChar"/>
    <w:link w:val="CommentSubject"/>
    <w:uiPriority w:val="99"/>
    <w:semiHidden/>
    <w:rsid w:val="00FB4404"/>
    <w:rPr>
      <w:rFonts w:asciiTheme="minorHAnsi" w:hAnsiTheme="minorHAnsi" w:cstheme="minorHAnsi"/>
      <w:b/>
      <w:bCs/>
      <w:color w:val="000000" w:themeColor="text1"/>
      <w:lang w:val="en-GB" w:eastAsia="en-US"/>
    </w:rPr>
  </w:style>
  <w:style w:type="character" w:styleId="UnresolvedMention">
    <w:name w:val="Unresolved Mention"/>
    <w:basedOn w:val="DefaultParagraphFont"/>
    <w:uiPriority w:val="99"/>
    <w:semiHidden/>
    <w:unhideWhenUsed/>
    <w:rsid w:val="001D7B37"/>
    <w:rPr>
      <w:color w:val="605E5C"/>
      <w:shd w:val="clear" w:color="auto" w:fill="E1DFDD"/>
    </w:rPr>
  </w:style>
  <w:style w:type="paragraph" w:styleId="Revision">
    <w:name w:val="Revision"/>
    <w:hidden/>
    <w:semiHidden/>
    <w:rsid w:val="0022436C"/>
    <w:rPr>
      <w:rFonts w:asciiTheme="minorHAnsi" w:hAnsiTheme="minorHAnsi" w:cstheme="minorHAnsi"/>
      <w:color w:val="000000" w:themeColor="text1"/>
      <w:sz w:val="22"/>
      <w:szCs w:val="24"/>
      <w:lang w:eastAsia="en-US"/>
    </w:rPr>
  </w:style>
  <w:style w:type="character" w:customStyle="1" w:styleId="ui-provider">
    <w:name w:val="ui-provider"/>
    <w:basedOn w:val="DefaultParagraphFont"/>
    <w:rsid w:val="00B139A1"/>
  </w:style>
  <w:style w:type="paragraph" w:customStyle="1" w:styleId="paragraph">
    <w:name w:val="paragraph"/>
    <w:basedOn w:val="Normal"/>
    <w:rsid w:val="00D31EA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D31EA6"/>
  </w:style>
  <w:style w:type="character" w:customStyle="1" w:styleId="eop">
    <w:name w:val="eop"/>
    <w:basedOn w:val="DefaultParagraphFont"/>
    <w:rsid w:val="00D31EA6"/>
  </w:style>
  <w:style w:type="character" w:customStyle="1" w:styleId="scxw209785220">
    <w:name w:val="scxw209785220"/>
    <w:basedOn w:val="DefaultParagraphFont"/>
    <w:rsid w:val="00D3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06004">
      <w:bodyDiv w:val="1"/>
      <w:marLeft w:val="0"/>
      <w:marRight w:val="0"/>
      <w:marTop w:val="0"/>
      <w:marBottom w:val="0"/>
      <w:divBdr>
        <w:top w:val="none" w:sz="0" w:space="0" w:color="auto"/>
        <w:left w:val="none" w:sz="0" w:space="0" w:color="auto"/>
        <w:bottom w:val="none" w:sz="0" w:space="0" w:color="auto"/>
        <w:right w:val="none" w:sz="0" w:space="0" w:color="auto"/>
      </w:divBdr>
      <w:divsChild>
        <w:div w:id="496917151">
          <w:marLeft w:val="0"/>
          <w:marRight w:val="0"/>
          <w:marTop w:val="0"/>
          <w:marBottom w:val="0"/>
          <w:divBdr>
            <w:top w:val="none" w:sz="0" w:space="0" w:color="auto"/>
            <w:left w:val="none" w:sz="0" w:space="0" w:color="auto"/>
            <w:bottom w:val="none" w:sz="0" w:space="0" w:color="auto"/>
            <w:right w:val="none" w:sz="0" w:space="0" w:color="auto"/>
          </w:divBdr>
        </w:div>
        <w:div w:id="991983903">
          <w:marLeft w:val="0"/>
          <w:marRight w:val="0"/>
          <w:marTop w:val="0"/>
          <w:marBottom w:val="0"/>
          <w:divBdr>
            <w:top w:val="none" w:sz="0" w:space="0" w:color="auto"/>
            <w:left w:val="none" w:sz="0" w:space="0" w:color="auto"/>
            <w:bottom w:val="none" w:sz="0" w:space="0" w:color="auto"/>
            <w:right w:val="none" w:sz="0" w:space="0" w:color="auto"/>
          </w:divBdr>
        </w:div>
        <w:div w:id="2011525035">
          <w:marLeft w:val="0"/>
          <w:marRight w:val="0"/>
          <w:marTop w:val="0"/>
          <w:marBottom w:val="0"/>
          <w:divBdr>
            <w:top w:val="none" w:sz="0" w:space="0" w:color="auto"/>
            <w:left w:val="none" w:sz="0" w:space="0" w:color="auto"/>
            <w:bottom w:val="none" w:sz="0" w:space="0" w:color="auto"/>
            <w:right w:val="none" w:sz="0" w:space="0" w:color="auto"/>
          </w:divBdr>
        </w:div>
      </w:divsChild>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 TargetMode="External"/><Relationship Id="rId39" Type="http://schemas.openxmlformats.org/officeDocument/2006/relationships/hyperlink" Target="https://cer.gov.au/schemes/national-greenhouse-and-energy-reporting-scheme/report-emissions-and-energy/nger-reporting-guides" TargetMode="External"/><Relationship Id="rId21" Type="http://schemas.openxmlformats.org/officeDocument/2006/relationships/image" Target="media/image12.png"/><Relationship Id="rId34" Type="http://schemas.openxmlformats.org/officeDocument/2006/relationships/hyperlink" Target="https://ghgprotocol.org/calculation-tools-and-guidance"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9" Type="http://schemas.openxmlformats.org/officeDocument/2006/relationships/hyperlink" Target="https://www.dccee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Series/F2008L02230" TargetMode="External"/><Relationship Id="rId32" Type="http://schemas.openxmlformats.org/officeDocument/2006/relationships/hyperlink" Target="https://cer.gov.au/document_page/national-greenhouse-energy-reporting-uncertainty-calculator-user-guide" TargetMode="External"/><Relationship Id="rId37" Type="http://schemas.openxmlformats.org/officeDocument/2006/relationships/hyperlink" Target="mailto:cer-nger-reporting@cer.gov.au"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Series/C2007A00175" TargetMode="External"/><Relationship Id="rId28" Type="http://schemas.openxmlformats.org/officeDocument/2006/relationships/hyperlink" Target="https://cer.gov.au/document_page/national-greenhouse-energy-reporting-uncertainty-calculator-user-guide" TargetMode="External"/><Relationship Id="rId36" Type="http://schemas.openxmlformats.org/officeDocument/2006/relationships/hyperlink" Target="https://cer.gov.au/schemes/national-greenhouse-and-energy-reporting-scheme/report-emissions-and-energy/nger-calculators" TargetMode="Externa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document_page/emissions-and-energy-reporting-system-navigation-guide" TargetMode="External"/><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help-and-resources/understanding-legislation/reading-legislation" TargetMode="External"/><Relationship Id="rId27" Type="http://schemas.openxmlformats.org/officeDocument/2006/relationships/hyperlink" Target="https://cer.gov.au/schemes/national-greenhouse-and-energy-reporting-scheme/report-emissions-and-energy/amendments" TargetMode="External"/><Relationship Id="rId30" Type="http://schemas.openxmlformats.org/officeDocument/2006/relationships/hyperlink" Target="https://ghgprotocol.org/sites/default/files/2023-03/ghg-uncertainty.pdf" TargetMode="External"/><Relationship Id="rId35" Type="http://schemas.openxmlformats.org/officeDocument/2006/relationships/hyperlink" Target="https://cer.gov.au/document_page/emissions-and-energy-reporting-system-navigation-guide" TargetMode="External"/><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www.legislation.gov.au/Series/F2008L02309" TargetMode="External"/><Relationship Id="rId33" Type="http://schemas.openxmlformats.org/officeDocument/2006/relationships/hyperlink" Target="https://ghgprotocol.org/sites/default/files/tools/ghg-uncertainty.xlsx" TargetMode="External"/><Relationship Id="rId38" Type="http://schemas.openxmlformats.org/officeDocument/2006/relationships/hyperlink" Target="http://www.cer.gov.au/" TargetMode="External"/><Relationship Id="rId46" Type="http://schemas.openxmlformats.org/officeDocument/2006/relationships/theme" Target="theme/theme1.xml"/><Relationship Id="rId20" Type="http://schemas.openxmlformats.org/officeDocument/2006/relationships/image" Target="media/image11.svg"/><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8F7EDD-2274-4DA9-AB86-F9E7260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14856</Characters>
  <Application>Microsoft Office Word</Application>
  <DocSecurity>8</DocSecurity>
  <Lines>297</Lines>
  <Paragraphs>202</Paragraphs>
  <ScaleCrop>false</ScaleCrop>
  <HeadingPairs>
    <vt:vector size="2" baseType="variant">
      <vt:variant>
        <vt:lpstr>Title</vt:lpstr>
      </vt:variant>
      <vt:variant>
        <vt:i4>1</vt:i4>
      </vt:variant>
    </vt:vector>
  </HeadingPairs>
  <TitlesOfParts>
    <vt:vector size="1" baseType="lpstr">
      <vt:lpstr>Reporting uncertainty guideline</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uncertainty guideline</dc:title>
  <dc:subject/>
  <dc:creator/>
  <cp:keywords/>
  <cp:lastModifiedBy/>
  <cp:revision>1</cp:revision>
  <dcterms:created xsi:type="dcterms:W3CDTF">2025-08-03T23:58:00Z</dcterms:created>
  <dcterms:modified xsi:type="dcterms:W3CDTF">2025-08-04T00:36:00Z</dcterms:modified>
  <cp:contentStatus/>
</cp:coreProperties>
</file>