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7E1F1" w14:textId="16561F00" w:rsidR="00525B9C" w:rsidRPr="00531F3B" w:rsidRDefault="00C24974" w:rsidP="00525B9C">
      <w:r>
        <w:rPr>
          <w:noProof/>
        </w:rPr>
        <mc:AlternateContent>
          <mc:Choice Requires="wps">
            <w:drawing>
              <wp:anchor distT="45720" distB="45720" distL="114300" distR="114300" simplePos="0" relativeHeight="251658245" behindDoc="0" locked="0" layoutInCell="1" allowOverlap="1" wp14:anchorId="108CC566" wp14:editId="7B302256">
                <wp:simplePos x="0" y="0"/>
                <wp:positionH relativeFrom="margin">
                  <wp:posOffset>3290570</wp:posOffset>
                </wp:positionH>
                <wp:positionV relativeFrom="paragraph">
                  <wp:posOffset>1287145</wp:posOffset>
                </wp:positionV>
                <wp:extent cx="2785745" cy="15786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578610"/>
                        </a:xfrm>
                        <a:prstGeom prst="rect">
                          <a:avLst/>
                        </a:prstGeom>
                        <a:solidFill>
                          <a:srgbClr val="FFFFFF"/>
                        </a:solidFill>
                        <a:ln w="9525">
                          <a:noFill/>
                          <a:miter lim="800000"/>
                          <a:headEnd/>
                          <a:tailEnd/>
                        </a:ln>
                      </wps:spPr>
                      <wps:txbx>
                        <w:txbxContent>
                          <w:p w14:paraId="0ACA1DD7" w14:textId="322F6D7E" w:rsidR="00C24974" w:rsidRDefault="00C24974" w:rsidP="00C24974">
                            <w:pPr>
                              <w:pStyle w:val="Heading1"/>
                              <w:rPr>
                                <w:sz w:val="48"/>
                                <w:szCs w:val="48"/>
                              </w:rPr>
                            </w:pPr>
                            <w:r w:rsidRPr="00C24974">
                              <w:rPr>
                                <w:sz w:val="48"/>
                                <w:szCs w:val="48"/>
                              </w:rPr>
                              <w:t xml:space="preserve">Reporting </w:t>
                            </w:r>
                            <w:r w:rsidR="00754693">
                              <w:rPr>
                                <w:sz w:val="48"/>
                                <w:szCs w:val="48"/>
                              </w:rPr>
                              <w:t>t</w:t>
                            </w:r>
                            <w:r w:rsidRPr="00C24974">
                              <w:rPr>
                                <w:sz w:val="48"/>
                                <w:szCs w:val="48"/>
                              </w:rPr>
                              <w:t xml:space="preserve">ransfer </w:t>
                            </w:r>
                            <w:r w:rsidR="00754693">
                              <w:rPr>
                                <w:sz w:val="48"/>
                                <w:szCs w:val="48"/>
                              </w:rPr>
                              <w:t>c</w:t>
                            </w:r>
                            <w:r w:rsidRPr="00C24974">
                              <w:rPr>
                                <w:sz w:val="48"/>
                                <w:szCs w:val="48"/>
                              </w:rPr>
                              <w:t xml:space="preserve">ertificate </w:t>
                            </w:r>
                            <w:r w:rsidR="00754693">
                              <w:rPr>
                                <w:sz w:val="48"/>
                                <w:szCs w:val="48"/>
                              </w:rPr>
                              <w:t>g</w:t>
                            </w:r>
                            <w:r w:rsidRPr="00C24974">
                              <w:rPr>
                                <w:sz w:val="48"/>
                                <w:szCs w:val="48"/>
                              </w:rPr>
                              <w:t>uideline</w:t>
                            </w:r>
                          </w:p>
                          <w:p w14:paraId="5BB4CBF7" w14:textId="400A030A" w:rsidR="00F501F5" w:rsidRPr="00F501F5" w:rsidRDefault="009D5973" w:rsidP="009D5973">
                            <w:pPr>
                              <w:pStyle w:val="BodyText1"/>
                            </w:pPr>
                            <w:r>
                              <w:t xml:space="preserve">Version </w:t>
                            </w:r>
                            <w:r w:rsidR="00F6456F">
                              <w:t>2</w:t>
                            </w:r>
                            <w:r>
                              <w:t xml:space="preserve">.0 – 27 </w:t>
                            </w:r>
                            <w:r w:rsidR="00F501F5">
                              <w:t>November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CC566" id="_x0000_t202" coordsize="21600,21600" o:spt="202" path="m,l,21600r21600,l21600,xe">
                <v:stroke joinstyle="miter"/>
                <v:path gradientshapeok="t" o:connecttype="rect"/>
              </v:shapetype>
              <v:shape id="Text Box 2" o:spid="_x0000_s1026" type="#_x0000_t202" style="position:absolute;margin-left:259.1pt;margin-top:101.35pt;width:219.35pt;height:124.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" stroked="f">
                <v:textbox>
                  <w:txbxContent>
                    <w:p w14:paraId="0ACA1DD7" w14:textId="322F6D7E" w:rsidR="00C24974" w:rsidRDefault="00C24974" w:rsidP="00C24974">
                      <w:pPr>
                        <w:pStyle w:val="Heading1"/>
                        <w:rPr>
                          <w:sz w:val="48"/>
                          <w:szCs w:val="48"/>
                        </w:rPr>
                      </w:pPr>
                      <w:r w:rsidRPr="00C24974">
                        <w:rPr>
                          <w:sz w:val="48"/>
                          <w:szCs w:val="48"/>
                        </w:rPr>
                        <w:t xml:space="preserve">Reporting </w:t>
                      </w:r>
                      <w:r w:rsidR="00754693">
                        <w:rPr>
                          <w:sz w:val="48"/>
                          <w:szCs w:val="48"/>
                        </w:rPr>
                        <w:t>t</w:t>
                      </w:r>
                      <w:r w:rsidRPr="00C24974">
                        <w:rPr>
                          <w:sz w:val="48"/>
                          <w:szCs w:val="48"/>
                        </w:rPr>
                        <w:t xml:space="preserve">ransfer </w:t>
                      </w:r>
                      <w:r w:rsidR="00754693">
                        <w:rPr>
                          <w:sz w:val="48"/>
                          <w:szCs w:val="48"/>
                        </w:rPr>
                        <w:t>c</w:t>
                      </w:r>
                      <w:r w:rsidRPr="00C24974">
                        <w:rPr>
                          <w:sz w:val="48"/>
                          <w:szCs w:val="48"/>
                        </w:rPr>
                        <w:t xml:space="preserve">ertificate </w:t>
                      </w:r>
                      <w:r w:rsidR="00754693">
                        <w:rPr>
                          <w:sz w:val="48"/>
                          <w:szCs w:val="48"/>
                        </w:rPr>
                        <w:t>g</w:t>
                      </w:r>
                      <w:r w:rsidRPr="00C24974">
                        <w:rPr>
                          <w:sz w:val="48"/>
                          <w:szCs w:val="48"/>
                        </w:rPr>
                        <w:t>uideline</w:t>
                      </w:r>
                    </w:p>
                    <w:p w14:paraId="5BB4CBF7" w14:textId="400A030A" w:rsidR="00F501F5" w:rsidRPr="00F501F5" w:rsidRDefault="009D5973" w:rsidP="009D5973">
                      <w:pPr>
                        <w:pStyle w:val="BodyText1"/>
                      </w:pPr>
                      <w:r>
                        <w:t xml:space="preserve">Version </w:t>
                      </w:r>
                      <w:r w:rsidR="00F6456F">
                        <w:t>2</w:t>
                      </w:r>
                      <w:r>
                        <w:t xml:space="preserve">.0 – 27 </w:t>
                      </w:r>
                      <w:r w:rsidR="00F501F5">
                        <w:t>November 2024</w:t>
                      </w:r>
                    </w:p>
                  </w:txbxContent>
                </v:textbox>
                <w10:wrap type="square" anchorx="margin"/>
              </v:shape>
            </w:pict>
          </mc:Fallback>
        </mc:AlternateContent>
      </w:r>
      <w:r w:rsidR="00C54048">
        <w:rPr>
          <w:noProof/>
        </w:rPr>
        <w:drawing>
          <wp:anchor distT="0" distB="0" distL="114300" distR="114300" simplePos="0" relativeHeight="251658244" behindDoc="1" locked="0" layoutInCell="1" allowOverlap="1" wp14:anchorId="0B488A5C" wp14:editId="11E08BB6">
            <wp:simplePos x="0" y="0"/>
            <wp:positionH relativeFrom="margin">
              <wp:posOffset>-470283</wp:posOffset>
            </wp:positionH>
            <wp:positionV relativeFrom="page">
              <wp:align>center</wp:align>
            </wp:positionV>
            <wp:extent cx="7256780" cy="6254115"/>
            <wp:effectExtent l="0" t="0" r="0" b="0"/>
            <wp:wrapTight wrapText="bothSides">
              <wp:wrapPolygon edited="0">
                <wp:start x="1985" y="132"/>
                <wp:lineTo x="1814" y="526"/>
                <wp:lineTo x="1758" y="15659"/>
                <wp:lineTo x="3516" y="16054"/>
                <wp:lineTo x="6181" y="16054"/>
                <wp:lineTo x="6181" y="20264"/>
                <wp:lineTo x="6351" y="20791"/>
                <wp:lineTo x="6407" y="20922"/>
                <wp:lineTo x="19506" y="20922"/>
                <wp:lineTo x="19562" y="20791"/>
                <wp:lineTo x="19733" y="20264"/>
                <wp:lineTo x="19789" y="10593"/>
                <wp:lineTo x="10774" y="9737"/>
                <wp:lineTo x="10717" y="526"/>
                <wp:lineTo x="10490" y="132"/>
                <wp:lineTo x="1985" y="132"/>
              </wp:wrapPolygon>
            </wp:wrapTight>
            <wp:docPr id="670816186"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16186" name="Picture 2" descr="A screenshot of a computer&#10;&#10;Description automatically generated"/>
                    <pic:cNvPicPr/>
                  </pic:nvPicPr>
                  <pic:blipFill rotWithShape="1">
                    <a:blip r:embed="rId9"/>
                    <a:srcRect t="19313" b="19791"/>
                    <a:stretch/>
                  </pic:blipFill>
                  <pic:spPr bwMode="auto">
                    <a:xfrm>
                      <a:off x="0" y="0"/>
                      <a:ext cx="7256780" cy="6254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182406681"/>
      <w:bookmarkEnd w:id="0"/>
      <w:r w:rsidR="00525B9C" w:rsidRPr="00531F3B">
        <w:br w:type="page"/>
      </w:r>
    </w:p>
    <w:p w14:paraId="6238DC23" w14:textId="77777777" w:rsidR="007F0288" w:rsidRDefault="002C702A" w:rsidP="00297690">
      <w:pPr>
        <w:pStyle w:val="Heading1"/>
        <w:spacing w:after="240"/>
        <w:rPr>
          <w:noProof/>
        </w:rPr>
      </w:pPr>
      <w:bookmarkStart w:id="1" w:name="_Toc181713266"/>
      <w:r w:rsidRPr="00521016">
        <w:lastRenderedPageBreak/>
        <w:t>Contents</w:t>
      </w:r>
      <w:bookmarkEnd w:id="1"/>
      <w:r w:rsidR="00EB7F5F">
        <w:rPr>
          <w:rFonts w:eastAsia="Cambria"/>
        </w:rPr>
        <w:fldChar w:fldCharType="begin"/>
      </w:r>
      <w:r w:rsidR="00EB7F5F" w:rsidRPr="00521016">
        <w:rPr>
          <w:rFonts w:eastAsia="Cambria"/>
        </w:rPr>
        <w:instrText xml:space="preserve"> TOC \o "1-3" \h \z \u </w:instrText>
      </w:r>
      <w:r w:rsidR="00EB7F5F">
        <w:rPr>
          <w:rFonts w:eastAsia="Cambria"/>
        </w:rPr>
        <w:fldChar w:fldCharType="separate"/>
      </w:r>
    </w:p>
    <w:p w14:paraId="3A621B55" w14:textId="2B5703D4" w:rsidR="007F0288" w:rsidRDefault="007F0288">
      <w:pPr>
        <w:pStyle w:val="TOC1"/>
        <w:rPr>
          <w:rFonts w:eastAsiaTheme="minorEastAsia" w:cstheme="minorBidi"/>
          <w:b w:val="0"/>
          <w:noProof/>
          <w:color w:val="auto"/>
          <w:kern w:val="2"/>
          <w:sz w:val="24"/>
          <w:lang w:eastAsia="en-AU"/>
          <w14:ligatures w14:val="standardContextual"/>
        </w:rPr>
      </w:pPr>
      <w:hyperlink w:anchor="_Toc181713266" w:history="1">
        <w:r w:rsidRPr="007A6928">
          <w:rPr>
            <w:rStyle w:val="Hyperlink"/>
            <w:noProof/>
          </w:rPr>
          <w:t>Contents</w:t>
        </w:r>
        <w:r>
          <w:rPr>
            <w:noProof/>
            <w:webHidden/>
          </w:rPr>
          <w:tab/>
        </w:r>
        <w:r>
          <w:rPr>
            <w:noProof/>
            <w:webHidden/>
          </w:rPr>
          <w:fldChar w:fldCharType="begin"/>
        </w:r>
        <w:r>
          <w:rPr>
            <w:noProof/>
            <w:webHidden/>
          </w:rPr>
          <w:instrText xml:space="preserve"> PAGEREF _Toc181713266 \h </w:instrText>
        </w:r>
        <w:r>
          <w:rPr>
            <w:noProof/>
            <w:webHidden/>
          </w:rPr>
        </w:r>
        <w:r>
          <w:rPr>
            <w:noProof/>
            <w:webHidden/>
          </w:rPr>
          <w:fldChar w:fldCharType="separate"/>
        </w:r>
        <w:r w:rsidR="00F9621F">
          <w:rPr>
            <w:noProof/>
            <w:webHidden/>
          </w:rPr>
          <w:t>2</w:t>
        </w:r>
        <w:r>
          <w:rPr>
            <w:noProof/>
            <w:webHidden/>
          </w:rPr>
          <w:fldChar w:fldCharType="end"/>
        </w:r>
      </w:hyperlink>
    </w:p>
    <w:p w14:paraId="60BF65F1" w14:textId="17E16C74"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67" w:history="1">
        <w:r w:rsidRPr="007A6928">
          <w:rPr>
            <w:rStyle w:val="Hyperlink"/>
            <w:noProof/>
          </w:rPr>
          <w:t>1. Disclaimer</w:t>
        </w:r>
        <w:r>
          <w:rPr>
            <w:noProof/>
            <w:webHidden/>
          </w:rPr>
          <w:tab/>
        </w:r>
        <w:r>
          <w:rPr>
            <w:noProof/>
            <w:webHidden/>
          </w:rPr>
          <w:fldChar w:fldCharType="begin"/>
        </w:r>
        <w:r>
          <w:rPr>
            <w:noProof/>
            <w:webHidden/>
          </w:rPr>
          <w:instrText xml:space="preserve"> PAGEREF _Toc181713267 \h </w:instrText>
        </w:r>
        <w:r>
          <w:rPr>
            <w:noProof/>
            <w:webHidden/>
          </w:rPr>
        </w:r>
        <w:r>
          <w:rPr>
            <w:noProof/>
            <w:webHidden/>
          </w:rPr>
          <w:fldChar w:fldCharType="separate"/>
        </w:r>
        <w:r w:rsidR="00F9621F">
          <w:rPr>
            <w:noProof/>
            <w:webHidden/>
          </w:rPr>
          <w:t>3</w:t>
        </w:r>
        <w:r>
          <w:rPr>
            <w:noProof/>
            <w:webHidden/>
          </w:rPr>
          <w:fldChar w:fldCharType="end"/>
        </w:r>
      </w:hyperlink>
    </w:p>
    <w:p w14:paraId="29B6B521" w14:textId="2F3171D2"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68" w:history="1">
        <w:r w:rsidRPr="007A6928">
          <w:rPr>
            <w:rStyle w:val="Hyperlink"/>
            <w:noProof/>
          </w:rPr>
          <w:t>2. Introduction</w:t>
        </w:r>
        <w:r>
          <w:rPr>
            <w:noProof/>
            <w:webHidden/>
          </w:rPr>
          <w:tab/>
        </w:r>
        <w:r>
          <w:rPr>
            <w:noProof/>
            <w:webHidden/>
          </w:rPr>
          <w:fldChar w:fldCharType="begin"/>
        </w:r>
        <w:r>
          <w:rPr>
            <w:noProof/>
            <w:webHidden/>
          </w:rPr>
          <w:instrText xml:space="preserve"> PAGEREF _Toc181713268 \h </w:instrText>
        </w:r>
        <w:r>
          <w:rPr>
            <w:noProof/>
            <w:webHidden/>
          </w:rPr>
        </w:r>
        <w:r>
          <w:rPr>
            <w:noProof/>
            <w:webHidden/>
          </w:rPr>
          <w:fldChar w:fldCharType="separate"/>
        </w:r>
        <w:r w:rsidR="00F9621F">
          <w:rPr>
            <w:noProof/>
            <w:webHidden/>
          </w:rPr>
          <w:t>4</w:t>
        </w:r>
        <w:r>
          <w:rPr>
            <w:noProof/>
            <w:webHidden/>
          </w:rPr>
          <w:fldChar w:fldCharType="end"/>
        </w:r>
      </w:hyperlink>
    </w:p>
    <w:p w14:paraId="614F8003" w14:textId="66E1DCD8"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69" w:history="1">
        <w:r w:rsidRPr="007A6928">
          <w:rPr>
            <w:rStyle w:val="Hyperlink"/>
            <w:noProof/>
          </w:rPr>
          <w:t>3. Criteria that must be met before an RTC can be issued</w:t>
        </w:r>
        <w:r>
          <w:rPr>
            <w:noProof/>
            <w:webHidden/>
          </w:rPr>
          <w:tab/>
        </w:r>
        <w:r>
          <w:rPr>
            <w:noProof/>
            <w:webHidden/>
          </w:rPr>
          <w:fldChar w:fldCharType="begin"/>
        </w:r>
        <w:r>
          <w:rPr>
            <w:noProof/>
            <w:webHidden/>
          </w:rPr>
          <w:instrText xml:space="preserve"> PAGEREF _Toc181713269 \h </w:instrText>
        </w:r>
        <w:r>
          <w:rPr>
            <w:noProof/>
            <w:webHidden/>
          </w:rPr>
        </w:r>
        <w:r>
          <w:rPr>
            <w:noProof/>
            <w:webHidden/>
          </w:rPr>
          <w:fldChar w:fldCharType="separate"/>
        </w:r>
        <w:r w:rsidR="00F9621F">
          <w:rPr>
            <w:noProof/>
            <w:webHidden/>
          </w:rPr>
          <w:t>4</w:t>
        </w:r>
        <w:r>
          <w:rPr>
            <w:noProof/>
            <w:webHidden/>
          </w:rPr>
          <w:fldChar w:fldCharType="end"/>
        </w:r>
      </w:hyperlink>
    </w:p>
    <w:p w14:paraId="41EEE8CD" w14:textId="61549A49" w:rsidR="007F0288" w:rsidRDefault="007F0288">
      <w:pPr>
        <w:pStyle w:val="TOC3"/>
        <w:rPr>
          <w:rFonts w:eastAsiaTheme="minorEastAsia" w:cstheme="minorBidi"/>
          <w:noProof/>
          <w:color w:val="auto"/>
          <w:kern w:val="2"/>
          <w:sz w:val="24"/>
          <w:lang w:eastAsia="en-AU"/>
          <w14:ligatures w14:val="standardContextual"/>
        </w:rPr>
      </w:pPr>
      <w:hyperlink w:anchor="_Toc181713270" w:history="1">
        <w:r w:rsidRPr="007A6928">
          <w:rPr>
            <w:rStyle w:val="Hyperlink"/>
            <w:noProof/>
          </w:rPr>
          <w:t>3.1 The reporting transfer test</w:t>
        </w:r>
        <w:r>
          <w:rPr>
            <w:noProof/>
            <w:webHidden/>
          </w:rPr>
          <w:tab/>
        </w:r>
        <w:r>
          <w:rPr>
            <w:noProof/>
            <w:webHidden/>
          </w:rPr>
          <w:fldChar w:fldCharType="begin"/>
        </w:r>
        <w:r>
          <w:rPr>
            <w:noProof/>
            <w:webHidden/>
          </w:rPr>
          <w:instrText xml:space="preserve"> PAGEREF _Toc181713270 \h </w:instrText>
        </w:r>
        <w:r>
          <w:rPr>
            <w:noProof/>
            <w:webHidden/>
          </w:rPr>
        </w:r>
        <w:r>
          <w:rPr>
            <w:noProof/>
            <w:webHidden/>
          </w:rPr>
          <w:fldChar w:fldCharType="separate"/>
        </w:r>
        <w:r w:rsidR="00F9621F">
          <w:rPr>
            <w:noProof/>
            <w:webHidden/>
          </w:rPr>
          <w:t>4</w:t>
        </w:r>
        <w:r>
          <w:rPr>
            <w:noProof/>
            <w:webHidden/>
          </w:rPr>
          <w:fldChar w:fldCharType="end"/>
        </w:r>
      </w:hyperlink>
    </w:p>
    <w:p w14:paraId="0565E807" w14:textId="4266D7C3" w:rsidR="007F0288" w:rsidRDefault="007F0288">
      <w:pPr>
        <w:pStyle w:val="TOC3"/>
        <w:rPr>
          <w:rFonts w:eastAsiaTheme="minorEastAsia" w:cstheme="minorBidi"/>
          <w:noProof/>
          <w:color w:val="auto"/>
          <w:kern w:val="2"/>
          <w:sz w:val="24"/>
          <w:lang w:eastAsia="en-AU"/>
          <w14:ligatures w14:val="standardContextual"/>
        </w:rPr>
      </w:pPr>
      <w:hyperlink w:anchor="_Toc181713271" w:history="1">
        <w:r w:rsidRPr="007A6928">
          <w:rPr>
            <w:rStyle w:val="Hyperlink"/>
            <w:noProof/>
          </w:rPr>
          <w:t>3.2 Establishing that the applicant has financial control over a facility</w:t>
        </w:r>
        <w:r>
          <w:rPr>
            <w:noProof/>
            <w:webHidden/>
          </w:rPr>
          <w:tab/>
        </w:r>
        <w:r>
          <w:rPr>
            <w:noProof/>
            <w:webHidden/>
          </w:rPr>
          <w:fldChar w:fldCharType="begin"/>
        </w:r>
        <w:r>
          <w:rPr>
            <w:noProof/>
            <w:webHidden/>
          </w:rPr>
          <w:instrText xml:space="preserve"> PAGEREF _Toc181713271 \h </w:instrText>
        </w:r>
        <w:r>
          <w:rPr>
            <w:noProof/>
            <w:webHidden/>
          </w:rPr>
        </w:r>
        <w:r>
          <w:rPr>
            <w:noProof/>
            <w:webHidden/>
          </w:rPr>
          <w:fldChar w:fldCharType="separate"/>
        </w:r>
        <w:r w:rsidR="00F9621F">
          <w:rPr>
            <w:noProof/>
            <w:webHidden/>
          </w:rPr>
          <w:t>4</w:t>
        </w:r>
        <w:r>
          <w:rPr>
            <w:noProof/>
            <w:webHidden/>
          </w:rPr>
          <w:fldChar w:fldCharType="end"/>
        </w:r>
      </w:hyperlink>
    </w:p>
    <w:p w14:paraId="31830912" w14:textId="2DA41FC5" w:rsidR="007F0288" w:rsidRDefault="007F0288">
      <w:pPr>
        <w:pStyle w:val="TOC3"/>
        <w:rPr>
          <w:rFonts w:eastAsiaTheme="minorEastAsia" w:cstheme="minorBidi"/>
          <w:noProof/>
          <w:color w:val="auto"/>
          <w:kern w:val="2"/>
          <w:sz w:val="24"/>
          <w:lang w:eastAsia="en-AU"/>
          <w14:ligatures w14:val="standardContextual"/>
        </w:rPr>
      </w:pPr>
      <w:hyperlink w:anchor="_Toc181713272" w:history="1">
        <w:r w:rsidRPr="007A6928">
          <w:rPr>
            <w:rStyle w:val="Hyperlink"/>
            <w:noProof/>
            <w:lang w:eastAsia="en-AU"/>
          </w:rPr>
          <w:t>3.3 Other criteria</w:t>
        </w:r>
        <w:r>
          <w:rPr>
            <w:noProof/>
            <w:webHidden/>
          </w:rPr>
          <w:tab/>
        </w:r>
        <w:r>
          <w:rPr>
            <w:noProof/>
            <w:webHidden/>
          </w:rPr>
          <w:fldChar w:fldCharType="begin"/>
        </w:r>
        <w:r>
          <w:rPr>
            <w:noProof/>
            <w:webHidden/>
          </w:rPr>
          <w:instrText xml:space="preserve"> PAGEREF _Toc181713272 \h </w:instrText>
        </w:r>
        <w:r>
          <w:rPr>
            <w:noProof/>
            <w:webHidden/>
          </w:rPr>
        </w:r>
        <w:r>
          <w:rPr>
            <w:noProof/>
            <w:webHidden/>
          </w:rPr>
          <w:fldChar w:fldCharType="separate"/>
        </w:r>
        <w:r w:rsidR="00F9621F">
          <w:rPr>
            <w:noProof/>
            <w:webHidden/>
          </w:rPr>
          <w:t>5</w:t>
        </w:r>
        <w:r>
          <w:rPr>
            <w:noProof/>
            <w:webHidden/>
          </w:rPr>
          <w:fldChar w:fldCharType="end"/>
        </w:r>
      </w:hyperlink>
    </w:p>
    <w:p w14:paraId="0AFFB7AE" w14:textId="605DFADF"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73" w:history="1">
        <w:r w:rsidRPr="007A6928">
          <w:rPr>
            <w:rStyle w:val="Hyperlink"/>
            <w:noProof/>
            <w:lang w:eastAsia="en-AU"/>
          </w:rPr>
          <w:t>4. Applying for an RTC</w:t>
        </w:r>
        <w:r>
          <w:rPr>
            <w:noProof/>
            <w:webHidden/>
          </w:rPr>
          <w:tab/>
        </w:r>
        <w:r>
          <w:rPr>
            <w:noProof/>
            <w:webHidden/>
          </w:rPr>
          <w:fldChar w:fldCharType="begin"/>
        </w:r>
        <w:r>
          <w:rPr>
            <w:noProof/>
            <w:webHidden/>
          </w:rPr>
          <w:instrText xml:space="preserve"> PAGEREF _Toc181713273 \h </w:instrText>
        </w:r>
        <w:r>
          <w:rPr>
            <w:noProof/>
            <w:webHidden/>
          </w:rPr>
        </w:r>
        <w:r>
          <w:rPr>
            <w:noProof/>
            <w:webHidden/>
          </w:rPr>
          <w:fldChar w:fldCharType="separate"/>
        </w:r>
        <w:r w:rsidR="00F9621F">
          <w:rPr>
            <w:noProof/>
            <w:webHidden/>
          </w:rPr>
          <w:t>5</w:t>
        </w:r>
        <w:r>
          <w:rPr>
            <w:noProof/>
            <w:webHidden/>
          </w:rPr>
          <w:fldChar w:fldCharType="end"/>
        </w:r>
      </w:hyperlink>
    </w:p>
    <w:p w14:paraId="0F365446" w14:textId="6E5D8D9A" w:rsidR="007F0288" w:rsidRDefault="007F0288">
      <w:pPr>
        <w:pStyle w:val="TOC3"/>
        <w:rPr>
          <w:rFonts w:eastAsiaTheme="minorEastAsia" w:cstheme="minorBidi"/>
          <w:noProof/>
          <w:color w:val="auto"/>
          <w:kern w:val="2"/>
          <w:sz w:val="24"/>
          <w:lang w:eastAsia="en-AU"/>
          <w14:ligatures w14:val="standardContextual"/>
        </w:rPr>
      </w:pPr>
      <w:hyperlink w:anchor="_Toc181713274" w:history="1">
        <w:r w:rsidRPr="007A6928">
          <w:rPr>
            <w:rStyle w:val="Hyperlink"/>
            <w:noProof/>
            <w:lang w:eastAsia="en-AU"/>
          </w:rPr>
          <w:t>4.1 Consents and statements</w:t>
        </w:r>
        <w:r>
          <w:rPr>
            <w:noProof/>
            <w:webHidden/>
          </w:rPr>
          <w:tab/>
        </w:r>
        <w:r>
          <w:rPr>
            <w:noProof/>
            <w:webHidden/>
          </w:rPr>
          <w:fldChar w:fldCharType="begin"/>
        </w:r>
        <w:r>
          <w:rPr>
            <w:noProof/>
            <w:webHidden/>
          </w:rPr>
          <w:instrText xml:space="preserve"> PAGEREF _Toc181713274 \h </w:instrText>
        </w:r>
        <w:r>
          <w:rPr>
            <w:noProof/>
            <w:webHidden/>
          </w:rPr>
        </w:r>
        <w:r>
          <w:rPr>
            <w:noProof/>
            <w:webHidden/>
          </w:rPr>
          <w:fldChar w:fldCharType="separate"/>
        </w:r>
        <w:r w:rsidR="00F9621F">
          <w:rPr>
            <w:noProof/>
            <w:webHidden/>
          </w:rPr>
          <w:t>5</w:t>
        </w:r>
        <w:r>
          <w:rPr>
            <w:noProof/>
            <w:webHidden/>
          </w:rPr>
          <w:fldChar w:fldCharType="end"/>
        </w:r>
      </w:hyperlink>
    </w:p>
    <w:p w14:paraId="324BAE8A" w14:textId="3A31A4E7" w:rsidR="007F0288" w:rsidRDefault="007F0288">
      <w:pPr>
        <w:pStyle w:val="TOC3"/>
        <w:rPr>
          <w:rFonts w:eastAsiaTheme="minorEastAsia" w:cstheme="minorBidi"/>
          <w:noProof/>
          <w:color w:val="auto"/>
          <w:kern w:val="2"/>
          <w:sz w:val="24"/>
          <w:lang w:eastAsia="en-AU"/>
          <w14:ligatures w14:val="standardContextual"/>
        </w:rPr>
      </w:pPr>
      <w:hyperlink w:anchor="_Toc181713275" w:history="1">
        <w:r w:rsidRPr="007A6928">
          <w:rPr>
            <w:rStyle w:val="Hyperlink"/>
            <w:noProof/>
          </w:rPr>
          <w:t>4.2 Shared responsibility</w:t>
        </w:r>
        <w:r>
          <w:rPr>
            <w:noProof/>
            <w:webHidden/>
          </w:rPr>
          <w:tab/>
        </w:r>
        <w:r>
          <w:rPr>
            <w:noProof/>
            <w:webHidden/>
          </w:rPr>
          <w:fldChar w:fldCharType="begin"/>
        </w:r>
        <w:r>
          <w:rPr>
            <w:noProof/>
            <w:webHidden/>
          </w:rPr>
          <w:instrText xml:space="preserve"> PAGEREF _Toc181713275 \h </w:instrText>
        </w:r>
        <w:r>
          <w:rPr>
            <w:noProof/>
            <w:webHidden/>
          </w:rPr>
        </w:r>
        <w:r>
          <w:rPr>
            <w:noProof/>
            <w:webHidden/>
          </w:rPr>
          <w:fldChar w:fldCharType="separate"/>
        </w:r>
        <w:r w:rsidR="00F9621F">
          <w:rPr>
            <w:noProof/>
            <w:webHidden/>
          </w:rPr>
          <w:t>6</w:t>
        </w:r>
        <w:r>
          <w:rPr>
            <w:noProof/>
            <w:webHidden/>
          </w:rPr>
          <w:fldChar w:fldCharType="end"/>
        </w:r>
      </w:hyperlink>
    </w:p>
    <w:p w14:paraId="1C73A4F3" w14:textId="385117F8" w:rsidR="007F0288" w:rsidRDefault="007F0288">
      <w:pPr>
        <w:pStyle w:val="TOC3"/>
        <w:rPr>
          <w:rFonts w:eastAsiaTheme="minorEastAsia" w:cstheme="minorBidi"/>
          <w:noProof/>
          <w:color w:val="auto"/>
          <w:kern w:val="2"/>
          <w:sz w:val="24"/>
          <w:lang w:eastAsia="en-AU"/>
          <w14:ligatures w14:val="standardContextual"/>
        </w:rPr>
      </w:pPr>
      <w:hyperlink w:anchor="_Toc181713276" w:history="1">
        <w:r w:rsidRPr="007A6928">
          <w:rPr>
            <w:rStyle w:val="Hyperlink"/>
            <w:noProof/>
            <w:lang w:eastAsia="en-AU"/>
          </w:rPr>
          <w:t>4.3 External administration</w:t>
        </w:r>
        <w:r>
          <w:rPr>
            <w:noProof/>
            <w:webHidden/>
          </w:rPr>
          <w:tab/>
        </w:r>
        <w:r>
          <w:rPr>
            <w:noProof/>
            <w:webHidden/>
          </w:rPr>
          <w:fldChar w:fldCharType="begin"/>
        </w:r>
        <w:r>
          <w:rPr>
            <w:noProof/>
            <w:webHidden/>
          </w:rPr>
          <w:instrText xml:space="preserve"> PAGEREF _Toc181713276 \h </w:instrText>
        </w:r>
        <w:r>
          <w:rPr>
            <w:noProof/>
            <w:webHidden/>
          </w:rPr>
        </w:r>
        <w:r>
          <w:rPr>
            <w:noProof/>
            <w:webHidden/>
          </w:rPr>
          <w:fldChar w:fldCharType="separate"/>
        </w:r>
        <w:r w:rsidR="00F9621F">
          <w:rPr>
            <w:noProof/>
            <w:webHidden/>
          </w:rPr>
          <w:t>6</w:t>
        </w:r>
        <w:r>
          <w:rPr>
            <w:noProof/>
            <w:webHidden/>
          </w:rPr>
          <w:fldChar w:fldCharType="end"/>
        </w:r>
      </w:hyperlink>
    </w:p>
    <w:p w14:paraId="1B8BB654" w14:textId="291495BF" w:rsidR="007F0288" w:rsidRDefault="007F0288">
      <w:pPr>
        <w:pStyle w:val="TOC3"/>
        <w:rPr>
          <w:rFonts w:eastAsiaTheme="minorEastAsia" w:cstheme="minorBidi"/>
          <w:noProof/>
          <w:color w:val="auto"/>
          <w:kern w:val="2"/>
          <w:sz w:val="24"/>
          <w:lang w:eastAsia="en-AU"/>
          <w14:ligatures w14:val="standardContextual"/>
        </w:rPr>
      </w:pPr>
      <w:hyperlink w:anchor="_Toc181713277" w:history="1">
        <w:r w:rsidRPr="007A6928">
          <w:rPr>
            <w:rStyle w:val="Hyperlink"/>
            <w:noProof/>
          </w:rPr>
          <w:t>4.4 Timeframes for granting an RTC</w:t>
        </w:r>
        <w:r>
          <w:rPr>
            <w:noProof/>
            <w:webHidden/>
          </w:rPr>
          <w:tab/>
        </w:r>
        <w:r>
          <w:rPr>
            <w:noProof/>
            <w:webHidden/>
          </w:rPr>
          <w:fldChar w:fldCharType="begin"/>
        </w:r>
        <w:r>
          <w:rPr>
            <w:noProof/>
            <w:webHidden/>
          </w:rPr>
          <w:instrText xml:space="preserve"> PAGEREF _Toc181713277 \h </w:instrText>
        </w:r>
        <w:r>
          <w:rPr>
            <w:noProof/>
            <w:webHidden/>
          </w:rPr>
        </w:r>
        <w:r>
          <w:rPr>
            <w:noProof/>
            <w:webHidden/>
          </w:rPr>
          <w:fldChar w:fldCharType="separate"/>
        </w:r>
        <w:r w:rsidR="00F9621F">
          <w:rPr>
            <w:noProof/>
            <w:webHidden/>
          </w:rPr>
          <w:t>6</w:t>
        </w:r>
        <w:r>
          <w:rPr>
            <w:noProof/>
            <w:webHidden/>
          </w:rPr>
          <w:fldChar w:fldCharType="end"/>
        </w:r>
      </w:hyperlink>
    </w:p>
    <w:p w14:paraId="59DE62E5" w14:textId="3BE53BAB" w:rsidR="007F0288" w:rsidRDefault="007F0288">
      <w:pPr>
        <w:pStyle w:val="TOC3"/>
        <w:rPr>
          <w:rFonts w:eastAsiaTheme="minorEastAsia" w:cstheme="minorBidi"/>
          <w:noProof/>
          <w:color w:val="auto"/>
          <w:kern w:val="2"/>
          <w:sz w:val="24"/>
          <w:lang w:eastAsia="en-AU"/>
          <w14:ligatures w14:val="standardContextual"/>
        </w:rPr>
      </w:pPr>
      <w:hyperlink w:anchor="_Toc181713278" w:history="1">
        <w:r w:rsidRPr="007A6928">
          <w:rPr>
            <w:rStyle w:val="Hyperlink"/>
            <w:noProof/>
          </w:rPr>
          <w:t>4.5 Refusal of applications</w:t>
        </w:r>
        <w:r>
          <w:rPr>
            <w:noProof/>
            <w:webHidden/>
          </w:rPr>
          <w:tab/>
        </w:r>
        <w:r>
          <w:rPr>
            <w:noProof/>
            <w:webHidden/>
          </w:rPr>
          <w:fldChar w:fldCharType="begin"/>
        </w:r>
        <w:r>
          <w:rPr>
            <w:noProof/>
            <w:webHidden/>
          </w:rPr>
          <w:instrText xml:space="preserve"> PAGEREF _Toc181713278 \h </w:instrText>
        </w:r>
        <w:r>
          <w:rPr>
            <w:noProof/>
            <w:webHidden/>
          </w:rPr>
        </w:r>
        <w:r>
          <w:rPr>
            <w:noProof/>
            <w:webHidden/>
          </w:rPr>
          <w:fldChar w:fldCharType="separate"/>
        </w:r>
        <w:r w:rsidR="00F9621F">
          <w:rPr>
            <w:noProof/>
            <w:webHidden/>
          </w:rPr>
          <w:t>6</w:t>
        </w:r>
        <w:r>
          <w:rPr>
            <w:noProof/>
            <w:webHidden/>
          </w:rPr>
          <w:fldChar w:fldCharType="end"/>
        </w:r>
      </w:hyperlink>
    </w:p>
    <w:p w14:paraId="4384D5BD" w14:textId="788641B2"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79" w:history="1">
        <w:r w:rsidRPr="007A6928">
          <w:rPr>
            <w:rStyle w:val="Hyperlink"/>
            <w:noProof/>
            <w:lang w:eastAsia="en-AU"/>
          </w:rPr>
          <w:t>5. When an RTC is issued</w:t>
        </w:r>
        <w:r>
          <w:rPr>
            <w:noProof/>
            <w:webHidden/>
          </w:rPr>
          <w:tab/>
        </w:r>
        <w:r>
          <w:rPr>
            <w:noProof/>
            <w:webHidden/>
          </w:rPr>
          <w:fldChar w:fldCharType="begin"/>
        </w:r>
        <w:r>
          <w:rPr>
            <w:noProof/>
            <w:webHidden/>
          </w:rPr>
          <w:instrText xml:space="preserve"> PAGEREF _Toc181713279 \h </w:instrText>
        </w:r>
        <w:r>
          <w:rPr>
            <w:noProof/>
            <w:webHidden/>
          </w:rPr>
        </w:r>
        <w:r>
          <w:rPr>
            <w:noProof/>
            <w:webHidden/>
          </w:rPr>
          <w:fldChar w:fldCharType="separate"/>
        </w:r>
        <w:r w:rsidR="00F9621F">
          <w:rPr>
            <w:noProof/>
            <w:webHidden/>
          </w:rPr>
          <w:t>7</w:t>
        </w:r>
        <w:r>
          <w:rPr>
            <w:noProof/>
            <w:webHidden/>
          </w:rPr>
          <w:fldChar w:fldCharType="end"/>
        </w:r>
      </w:hyperlink>
    </w:p>
    <w:p w14:paraId="5A0898BD" w14:textId="1C09AA03" w:rsidR="007F0288" w:rsidRDefault="007F0288">
      <w:pPr>
        <w:pStyle w:val="TOC3"/>
        <w:rPr>
          <w:rFonts w:eastAsiaTheme="minorEastAsia" w:cstheme="minorBidi"/>
          <w:noProof/>
          <w:color w:val="auto"/>
          <w:kern w:val="2"/>
          <w:sz w:val="24"/>
          <w:lang w:eastAsia="en-AU"/>
          <w14:ligatures w14:val="standardContextual"/>
        </w:rPr>
      </w:pPr>
      <w:hyperlink w:anchor="_Toc181713280" w:history="1">
        <w:r w:rsidRPr="007A6928">
          <w:rPr>
            <w:rStyle w:val="Hyperlink"/>
            <w:noProof/>
            <w:lang w:eastAsia="en-AU"/>
          </w:rPr>
          <w:t>5.1 Start date of an RTC</w:t>
        </w:r>
        <w:r>
          <w:rPr>
            <w:noProof/>
            <w:webHidden/>
          </w:rPr>
          <w:tab/>
        </w:r>
        <w:r>
          <w:rPr>
            <w:noProof/>
            <w:webHidden/>
          </w:rPr>
          <w:fldChar w:fldCharType="begin"/>
        </w:r>
        <w:r>
          <w:rPr>
            <w:noProof/>
            <w:webHidden/>
          </w:rPr>
          <w:instrText xml:space="preserve"> PAGEREF _Toc181713280 \h </w:instrText>
        </w:r>
        <w:r>
          <w:rPr>
            <w:noProof/>
            <w:webHidden/>
          </w:rPr>
        </w:r>
        <w:r>
          <w:rPr>
            <w:noProof/>
            <w:webHidden/>
          </w:rPr>
          <w:fldChar w:fldCharType="separate"/>
        </w:r>
        <w:r w:rsidR="00F9621F">
          <w:rPr>
            <w:noProof/>
            <w:webHidden/>
          </w:rPr>
          <w:t>7</w:t>
        </w:r>
        <w:r>
          <w:rPr>
            <w:noProof/>
            <w:webHidden/>
          </w:rPr>
          <w:fldChar w:fldCharType="end"/>
        </w:r>
      </w:hyperlink>
    </w:p>
    <w:p w14:paraId="16D865C7" w14:textId="63883C17" w:rsidR="007F0288" w:rsidRDefault="007F0288">
      <w:pPr>
        <w:pStyle w:val="TOC3"/>
        <w:rPr>
          <w:rFonts w:eastAsiaTheme="minorEastAsia" w:cstheme="minorBidi"/>
          <w:noProof/>
          <w:color w:val="auto"/>
          <w:kern w:val="2"/>
          <w:sz w:val="24"/>
          <w:lang w:eastAsia="en-AU"/>
          <w14:ligatures w14:val="standardContextual"/>
        </w:rPr>
      </w:pPr>
      <w:hyperlink w:anchor="_Toc181713281" w:history="1">
        <w:r w:rsidRPr="007A6928">
          <w:rPr>
            <w:rStyle w:val="Hyperlink"/>
            <w:noProof/>
            <w:lang w:eastAsia="en-AU"/>
          </w:rPr>
          <w:t>5.2 Start date</w:t>
        </w:r>
        <w:r>
          <w:rPr>
            <w:noProof/>
            <w:webHidden/>
          </w:rPr>
          <w:tab/>
        </w:r>
        <w:r>
          <w:rPr>
            <w:noProof/>
            <w:webHidden/>
          </w:rPr>
          <w:fldChar w:fldCharType="begin"/>
        </w:r>
        <w:r>
          <w:rPr>
            <w:noProof/>
            <w:webHidden/>
          </w:rPr>
          <w:instrText xml:space="preserve"> PAGEREF _Toc181713281 \h </w:instrText>
        </w:r>
        <w:r>
          <w:rPr>
            <w:noProof/>
            <w:webHidden/>
          </w:rPr>
        </w:r>
        <w:r>
          <w:rPr>
            <w:noProof/>
            <w:webHidden/>
          </w:rPr>
          <w:fldChar w:fldCharType="separate"/>
        </w:r>
        <w:r w:rsidR="00F9621F">
          <w:rPr>
            <w:noProof/>
            <w:webHidden/>
          </w:rPr>
          <w:t>7</w:t>
        </w:r>
        <w:r>
          <w:rPr>
            <w:noProof/>
            <w:webHidden/>
          </w:rPr>
          <w:fldChar w:fldCharType="end"/>
        </w:r>
      </w:hyperlink>
    </w:p>
    <w:p w14:paraId="06C531FA" w14:textId="5B0956A2" w:rsidR="007F0288" w:rsidRDefault="007F0288">
      <w:pPr>
        <w:pStyle w:val="TOC3"/>
        <w:rPr>
          <w:rFonts w:eastAsiaTheme="minorEastAsia" w:cstheme="minorBidi"/>
          <w:noProof/>
          <w:color w:val="auto"/>
          <w:kern w:val="2"/>
          <w:sz w:val="24"/>
          <w:lang w:eastAsia="en-AU"/>
          <w14:ligatures w14:val="standardContextual"/>
        </w:rPr>
      </w:pPr>
      <w:hyperlink w:anchor="_Toc181713282" w:history="1">
        <w:r w:rsidRPr="007A6928">
          <w:rPr>
            <w:rStyle w:val="Hyperlink"/>
            <w:noProof/>
            <w:lang w:eastAsia="en-AU"/>
          </w:rPr>
          <w:t>5.3 Validity of RTCs</w:t>
        </w:r>
        <w:r>
          <w:rPr>
            <w:noProof/>
            <w:webHidden/>
          </w:rPr>
          <w:tab/>
        </w:r>
        <w:r>
          <w:rPr>
            <w:noProof/>
            <w:webHidden/>
          </w:rPr>
          <w:fldChar w:fldCharType="begin"/>
        </w:r>
        <w:r>
          <w:rPr>
            <w:noProof/>
            <w:webHidden/>
          </w:rPr>
          <w:instrText xml:space="preserve"> PAGEREF _Toc181713282 \h </w:instrText>
        </w:r>
        <w:r>
          <w:rPr>
            <w:noProof/>
            <w:webHidden/>
          </w:rPr>
        </w:r>
        <w:r>
          <w:rPr>
            <w:noProof/>
            <w:webHidden/>
          </w:rPr>
          <w:fldChar w:fldCharType="separate"/>
        </w:r>
        <w:r w:rsidR="00F9621F">
          <w:rPr>
            <w:noProof/>
            <w:webHidden/>
          </w:rPr>
          <w:t>7</w:t>
        </w:r>
        <w:r>
          <w:rPr>
            <w:noProof/>
            <w:webHidden/>
          </w:rPr>
          <w:fldChar w:fldCharType="end"/>
        </w:r>
      </w:hyperlink>
    </w:p>
    <w:p w14:paraId="561AFD84" w14:textId="07414F6B" w:rsidR="007F0288" w:rsidRDefault="007F0288">
      <w:pPr>
        <w:pStyle w:val="TOC3"/>
        <w:rPr>
          <w:rFonts w:eastAsiaTheme="minorEastAsia" w:cstheme="minorBidi"/>
          <w:noProof/>
          <w:color w:val="auto"/>
          <w:kern w:val="2"/>
          <w:sz w:val="24"/>
          <w:lang w:eastAsia="en-AU"/>
          <w14:ligatures w14:val="standardContextual"/>
        </w:rPr>
      </w:pPr>
      <w:hyperlink w:anchor="_Toc181713283" w:history="1">
        <w:r w:rsidRPr="007A6928">
          <w:rPr>
            <w:rStyle w:val="Hyperlink"/>
            <w:noProof/>
            <w:lang w:eastAsia="en-AU"/>
          </w:rPr>
          <w:t>5.4 Registration of an RTC holder</w:t>
        </w:r>
        <w:r>
          <w:rPr>
            <w:noProof/>
            <w:webHidden/>
          </w:rPr>
          <w:tab/>
        </w:r>
        <w:r>
          <w:rPr>
            <w:noProof/>
            <w:webHidden/>
          </w:rPr>
          <w:fldChar w:fldCharType="begin"/>
        </w:r>
        <w:r>
          <w:rPr>
            <w:noProof/>
            <w:webHidden/>
          </w:rPr>
          <w:instrText xml:space="preserve"> PAGEREF _Toc181713283 \h </w:instrText>
        </w:r>
        <w:r>
          <w:rPr>
            <w:noProof/>
            <w:webHidden/>
          </w:rPr>
        </w:r>
        <w:r>
          <w:rPr>
            <w:noProof/>
            <w:webHidden/>
          </w:rPr>
          <w:fldChar w:fldCharType="separate"/>
        </w:r>
        <w:r w:rsidR="00F9621F">
          <w:rPr>
            <w:noProof/>
            <w:webHidden/>
          </w:rPr>
          <w:t>7</w:t>
        </w:r>
        <w:r>
          <w:rPr>
            <w:noProof/>
            <w:webHidden/>
          </w:rPr>
          <w:fldChar w:fldCharType="end"/>
        </w:r>
      </w:hyperlink>
    </w:p>
    <w:p w14:paraId="647C858C" w14:textId="14DE260E"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84" w:history="1">
        <w:r w:rsidRPr="007A6928">
          <w:rPr>
            <w:rStyle w:val="Hyperlink"/>
            <w:noProof/>
            <w:lang w:eastAsia="en-AU"/>
          </w:rPr>
          <w:t>6. Reporting obligations for RTC holders</w:t>
        </w:r>
        <w:r>
          <w:rPr>
            <w:noProof/>
            <w:webHidden/>
          </w:rPr>
          <w:tab/>
        </w:r>
        <w:r>
          <w:rPr>
            <w:noProof/>
            <w:webHidden/>
          </w:rPr>
          <w:fldChar w:fldCharType="begin"/>
        </w:r>
        <w:r>
          <w:rPr>
            <w:noProof/>
            <w:webHidden/>
          </w:rPr>
          <w:instrText xml:space="preserve"> PAGEREF _Toc181713284 \h </w:instrText>
        </w:r>
        <w:r>
          <w:rPr>
            <w:noProof/>
            <w:webHidden/>
          </w:rPr>
        </w:r>
        <w:r>
          <w:rPr>
            <w:noProof/>
            <w:webHidden/>
          </w:rPr>
          <w:fldChar w:fldCharType="separate"/>
        </w:r>
        <w:r w:rsidR="00F9621F">
          <w:rPr>
            <w:noProof/>
            <w:webHidden/>
          </w:rPr>
          <w:t>7</w:t>
        </w:r>
        <w:r>
          <w:rPr>
            <w:noProof/>
            <w:webHidden/>
          </w:rPr>
          <w:fldChar w:fldCharType="end"/>
        </w:r>
      </w:hyperlink>
    </w:p>
    <w:p w14:paraId="6F993B7C" w14:textId="63A2B12F"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89" w:history="1">
        <w:r w:rsidRPr="007A6928">
          <w:rPr>
            <w:rStyle w:val="Hyperlink"/>
            <w:noProof/>
          </w:rPr>
          <w:t>7. Record keeping</w:t>
        </w:r>
        <w:r>
          <w:rPr>
            <w:noProof/>
            <w:webHidden/>
          </w:rPr>
          <w:tab/>
        </w:r>
        <w:r>
          <w:rPr>
            <w:noProof/>
            <w:webHidden/>
          </w:rPr>
          <w:fldChar w:fldCharType="begin"/>
        </w:r>
        <w:r>
          <w:rPr>
            <w:noProof/>
            <w:webHidden/>
          </w:rPr>
          <w:instrText xml:space="preserve"> PAGEREF _Toc181713289 \h </w:instrText>
        </w:r>
        <w:r>
          <w:rPr>
            <w:noProof/>
            <w:webHidden/>
          </w:rPr>
        </w:r>
        <w:r>
          <w:rPr>
            <w:noProof/>
            <w:webHidden/>
          </w:rPr>
          <w:fldChar w:fldCharType="separate"/>
        </w:r>
        <w:r w:rsidR="00F9621F">
          <w:rPr>
            <w:noProof/>
            <w:webHidden/>
          </w:rPr>
          <w:t>14</w:t>
        </w:r>
        <w:r>
          <w:rPr>
            <w:noProof/>
            <w:webHidden/>
          </w:rPr>
          <w:fldChar w:fldCharType="end"/>
        </w:r>
      </w:hyperlink>
    </w:p>
    <w:p w14:paraId="648BFB42" w14:textId="500CBD3E"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90" w:history="1">
        <w:r w:rsidRPr="007A6928">
          <w:rPr>
            <w:rStyle w:val="Hyperlink"/>
            <w:noProof/>
            <w:lang w:eastAsia="en-AU"/>
          </w:rPr>
          <w:t>8. Surrendering or cancelling an RTC</w:t>
        </w:r>
        <w:r>
          <w:rPr>
            <w:noProof/>
            <w:webHidden/>
          </w:rPr>
          <w:tab/>
        </w:r>
        <w:r>
          <w:rPr>
            <w:noProof/>
            <w:webHidden/>
          </w:rPr>
          <w:fldChar w:fldCharType="begin"/>
        </w:r>
        <w:r>
          <w:rPr>
            <w:noProof/>
            <w:webHidden/>
          </w:rPr>
          <w:instrText xml:space="preserve"> PAGEREF _Toc181713290 \h </w:instrText>
        </w:r>
        <w:r>
          <w:rPr>
            <w:noProof/>
            <w:webHidden/>
          </w:rPr>
        </w:r>
        <w:r>
          <w:rPr>
            <w:noProof/>
            <w:webHidden/>
          </w:rPr>
          <w:fldChar w:fldCharType="separate"/>
        </w:r>
        <w:r w:rsidR="00F9621F">
          <w:rPr>
            <w:noProof/>
            <w:webHidden/>
          </w:rPr>
          <w:t>14</w:t>
        </w:r>
        <w:r>
          <w:rPr>
            <w:noProof/>
            <w:webHidden/>
          </w:rPr>
          <w:fldChar w:fldCharType="end"/>
        </w:r>
      </w:hyperlink>
    </w:p>
    <w:p w14:paraId="6932EC84" w14:textId="00913441" w:rsidR="007F0288" w:rsidRDefault="007F0288">
      <w:pPr>
        <w:pStyle w:val="TOC3"/>
        <w:rPr>
          <w:rFonts w:eastAsiaTheme="minorEastAsia" w:cstheme="minorBidi"/>
          <w:noProof/>
          <w:color w:val="auto"/>
          <w:kern w:val="2"/>
          <w:sz w:val="24"/>
          <w:lang w:eastAsia="en-AU"/>
          <w14:ligatures w14:val="standardContextual"/>
        </w:rPr>
      </w:pPr>
      <w:hyperlink w:anchor="_Toc181713291" w:history="1">
        <w:r w:rsidRPr="007A6928">
          <w:rPr>
            <w:rStyle w:val="Hyperlink"/>
            <w:noProof/>
            <w:lang w:eastAsia="en-AU"/>
          </w:rPr>
          <w:t>8.1 Surrendering an RTC</w:t>
        </w:r>
        <w:r>
          <w:rPr>
            <w:noProof/>
            <w:webHidden/>
          </w:rPr>
          <w:tab/>
        </w:r>
        <w:r>
          <w:rPr>
            <w:noProof/>
            <w:webHidden/>
          </w:rPr>
          <w:fldChar w:fldCharType="begin"/>
        </w:r>
        <w:r>
          <w:rPr>
            <w:noProof/>
            <w:webHidden/>
          </w:rPr>
          <w:instrText xml:space="preserve"> PAGEREF _Toc181713291 \h </w:instrText>
        </w:r>
        <w:r>
          <w:rPr>
            <w:noProof/>
            <w:webHidden/>
          </w:rPr>
        </w:r>
        <w:r>
          <w:rPr>
            <w:noProof/>
            <w:webHidden/>
          </w:rPr>
          <w:fldChar w:fldCharType="separate"/>
        </w:r>
        <w:r w:rsidR="00F9621F">
          <w:rPr>
            <w:noProof/>
            <w:webHidden/>
          </w:rPr>
          <w:t>14</w:t>
        </w:r>
        <w:r>
          <w:rPr>
            <w:noProof/>
            <w:webHidden/>
          </w:rPr>
          <w:fldChar w:fldCharType="end"/>
        </w:r>
      </w:hyperlink>
    </w:p>
    <w:p w14:paraId="61A8601D" w14:textId="376BF027" w:rsidR="007F0288" w:rsidRDefault="007F0288">
      <w:pPr>
        <w:pStyle w:val="TOC3"/>
        <w:rPr>
          <w:rFonts w:eastAsiaTheme="minorEastAsia" w:cstheme="minorBidi"/>
          <w:noProof/>
          <w:color w:val="auto"/>
          <w:kern w:val="2"/>
          <w:sz w:val="24"/>
          <w:lang w:eastAsia="en-AU"/>
          <w14:ligatures w14:val="standardContextual"/>
        </w:rPr>
      </w:pPr>
      <w:hyperlink w:anchor="_Toc181713292" w:history="1">
        <w:r w:rsidRPr="007A6928">
          <w:rPr>
            <w:rStyle w:val="Hyperlink"/>
            <w:noProof/>
            <w:lang w:eastAsia="en-AU"/>
          </w:rPr>
          <w:t>8.2 Cancelling an RTC</w:t>
        </w:r>
        <w:r>
          <w:rPr>
            <w:noProof/>
            <w:webHidden/>
          </w:rPr>
          <w:tab/>
        </w:r>
        <w:r>
          <w:rPr>
            <w:noProof/>
            <w:webHidden/>
          </w:rPr>
          <w:fldChar w:fldCharType="begin"/>
        </w:r>
        <w:r>
          <w:rPr>
            <w:noProof/>
            <w:webHidden/>
          </w:rPr>
          <w:instrText xml:space="preserve"> PAGEREF _Toc181713292 \h </w:instrText>
        </w:r>
        <w:r>
          <w:rPr>
            <w:noProof/>
            <w:webHidden/>
          </w:rPr>
        </w:r>
        <w:r>
          <w:rPr>
            <w:noProof/>
            <w:webHidden/>
          </w:rPr>
          <w:fldChar w:fldCharType="separate"/>
        </w:r>
        <w:r w:rsidR="00F9621F">
          <w:rPr>
            <w:noProof/>
            <w:webHidden/>
          </w:rPr>
          <w:t>14</w:t>
        </w:r>
        <w:r>
          <w:rPr>
            <w:noProof/>
            <w:webHidden/>
          </w:rPr>
          <w:fldChar w:fldCharType="end"/>
        </w:r>
      </w:hyperlink>
    </w:p>
    <w:p w14:paraId="137C2269" w14:textId="7878B7D2" w:rsidR="007F0288" w:rsidRDefault="007F0288">
      <w:pPr>
        <w:pStyle w:val="TOC2"/>
        <w:rPr>
          <w:rFonts w:eastAsiaTheme="minorEastAsia" w:cstheme="minorBidi"/>
          <w:b w:val="0"/>
          <w:bCs w:val="0"/>
          <w:noProof/>
          <w:color w:val="auto"/>
          <w:kern w:val="2"/>
          <w:sz w:val="24"/>
          <w:lang w:eastAsia="en-AU"/>
          <w14:ligatures w14:val="standardContextual"/>
        </w:rPr>
      </w:pPr>
      <w:hyperlink w:anchor="_Toc181713293" w:history="1">
        <w:r w:rsidRPr="007A6928">
          <w:rPr>
            <w:rStyle w:val="Hyperlink"/>
            <w:noProof/>
          </w:rPr>
          <w:t>9. Further information</w:t>
        </w:r>
        <w:r>
          <w:rPr>
            <w:noProof/>
            <w:webHidden/>
          </w:rPr>
          <w:tab/>
        </w:r>
        <w:r>
          <w:rPr>
            <w:noProof/>
            <w:webHidden/>
          </w:rPr>
          <w:fldChar w:fldCharType="begin"/>
        </w:r>
        <w:r>
          <w:rPr>
            <w:noProof/>
            <w:webHidden/>
          </w:rPr>
          <w:instrText xml:space="preserve"> PAGEREF _Toc181713293 \h </w:instrText>
        </w:r>
        <w:r>
          <w:rPr>
            <w:noProof/>
            <w:webHidden/>
          </w:rPr>
        </w:r>
        <w:r>
          <w:rPr>
            <w:noProof/>
            <w:webHidden/>
          </w:rPr>
          <w:fldChar w:fldCharType="separate"/>
        </w:r>
        <w:r w:rsidR="00F9621F">
          <w:rPr>
            <w:noProof/>
            <w:webHidden/>
          </w:rPr>
          <w:t>15</w:t>
        </w:r>
        <w:r>
          <w:rPr>
            <w:noProof/>
            <w:webHidden/>
          </w:rPr>
          <w:fldChar w:fldCharType="end"/>
        </w:r>
      </w:hyperlink>
    </w:p>
    <w:p w14:paraId="6CFE47E9" w14:textId="77777777" w:rsidR="00E12286" w:rsidRDefault="00EB7F5F" w:rsidP="00297690">
      <w:pPr>
        <w:spacing w:after="240"/>
      </w:pPr>
      <w:r>
        <w:fldChar w:fldCharType="end"/>
      </w:r>
    </w:p>
    <w:p w14:paraId="7219AF53" w14:textId="77777777" w:rsidR="002C702A" w:rsidRPr="00E12286" w:rsidRDefault="002C702A" w:rsidP="002C702A">
      <w:r w:rsidRPr="00E12286">
        <w:br w:type="page"/>
      </w:r>
    </w:p>
    <w:p w14:paraId="743AF725" w14:textId="2E9F8BF4" w:rsidR="0083291B" w:rsidRPr="0083291B" w:rsidRDefault="0083291B" w:rsidP="004039CF">
      <w:pPr>
        <w:pStyle w:val="Heading1"/>
      </w:pPr>
      <w:bookmarkStart w:id="2" w:name="_Toc181713267"/>
      <w:r w:rsidRPr="0083291B">
        <w:lastRenderedPageBreak/>
        <w:t xml:space="preserve">1. </w:t>
      </w:r>
      <w:r w:rsidR="00C17726">
        <w:t>Disclaimer</w:t>
      </w:r>
      <w:bookmarkEnd w:id="2"/>
    </w:p>
    <w:p w14:paraId="64C87E62" w14:textId="1DCB9427" w:rsidR="001A1D85" w:rsidRPr="00EB4841" w:rsidRDefault="001A1D85" w:rsidP="001A1D85">
      <w:pPr>
        <w:spacing w:before="240"/>
        <w:rPr>
          <w:szCs w:val="22"/>
        </w:rPr>
      </w:pPr>
      <w:r w:rsidRPr="00EB4841">
        <w:rPr>
          <w:szCs w:val="22"/>
        </w:rPr>
        <w:t>This</w:t>
      </w:r>
      <w:r w:rsidRPr="00EB4841">
        <w:rPr>
          <w:i/>
          <w:szCs w:val="22"/>
        </w:rPr>
        <w:t xml:space="preserve"> </w:t>
      </w:r>
      <w:r w:rsidRPr="00EB4841">
        <w:rPr>
          <w:szCs w:val="22"/>
        </w:rPr>
        <w:t xml:space="preserve">guideline has been developed by the Clean Energy Regulator (CER) to assist entities to comply with their reporting obligations under the </w:t>
      </w:r>
      <w:hyperlink r:id="rId10" w:history="1">
        <w:r w:rsidRPr="00EB4841">
          <w:rPr>
            <w:rStyle w:val="Hyperlink"/>
            <w:i/>
            <w:szCs w:val="22"/>
          </w:rPr>
          <w:t>National Greenhouse and Energy Reporting Act 2007</w:t>
        </w:r>
      </w:hyperlink>
      <w:bookmarkStart w:id="3" w:name="_Ref105748531"/>
      <w:r w:rsidRPr="00EB4841">
        <w:rPr>
          <w:rStyle w:val="FootnoteReference"/>
          <w:color w:val="000000"/>
          <w:szCs w:val="22"/>
        </w:rPr>
        <w:footnoteReference w:id="2"/>
      </w:r>
      <w:bookmarkEnd w:id="3"/>
      <w:r w:rsidRPr="00EB4841">
        <w:rPr>
          <w:i/>
          <w:szCs w:val="22"/>
        </w:rPr>
        <w:t xml:space="preserve"> </w:t>
      </w:r>
      <w:r w:rsidRPr="00EB4841">
        <w:rPr>
          <w:szCs w:val="22"/>
        </w:rPr>
        <w:t>(NGER Act)</w:t>
      </w:r>
      <w:r w:rsidRPr="00EB4841">
        <w:rPr>
          <w:i/>
          <w:szCs w:val="22"/>
        </w:rPr>
        <w:t xml:space="preserve"> </w:t>
      </w:r>
      <w:r w:rsidRPr="00EB4841">
        <w:rPr>
          <w:szCs w:val="22"/>
        </w:rPr>
        <w:t>and associated legislation.</w:t>
      </w:r>
    </w:p>
    <w:p w14:paraId="7AA553C8" w14:textId="4D8990B2" w:rsidR="001A1D85" w:rsidRPr="00EB4841" w:rsidRDefault="001A1D85" w:rsidP="001A1D85">
      <w:pPr>
        <w:rPr>
          <w:szCs w:val="22"/>
        </w:rPr>
      </w:pPr>
      <w:r w:rsidRPr="00EB4841">
        <w:rPr>
          <w:szCs w:val="22"/>
        </w:rPr>
        <w:t xml:space="preserve">This guideline should be read in conjunction with the NGER Act, </w:t>
      </w:r>
      <w:hyperlink r:id="rId11" w:history="1">
        <w:r w:rsidRPr="00EB4841">
          <w:rPr>
            <w:rStyle w:val="Hyperlink"/>
            <w:szCs w:val="22"/>
          </w:rPr>
          <w:t>National Greenhouse and Energy Regulations 2008</w:t>
        </w:r>
      </w:hyperlink>
      <w:r w:rsidRPr="00EB4841">
        <w:rPr>
          <w:rStyle w:val="FootnoteReference"/>
          <w:color w:val="000000"/>
          <w:szCs w:val="22"/>
        </w:rPr>
        <w:footnoteReference w:id="3"/>
      </w:r>
      <w:r w:rsidRPr="00EB4841">
        <w:rPr>
          <w:color w:val="000000"/>
          <w:szCs w:val="22"/>
        </w:rPr>
        <w:t xml:space="preserve"> (</w:t>
      </w:r>
      <w:r w:rsidRPr="00EB4841">
        <w:rPr>
          <w:szCs w:val="22"/>
        </w:rPr>
        <w:t xml:space="preserve">NGER Regulations), and </w:t>
      </w:r>
      <w:hyperlink r:id="rId12" w:history="1">
        <w:r w:rsidRPr="00EB4841">
          <w:rPr>
            <w:rStyle w:val="Hyperlink"/>
            <w:szCs w:val="22"/>
          </w:rPr>
          <w:t>National Greenhouse and Energy Reporting (Measurement) Determination 2008</w:t>
        </w:r>
      </w:hyperlink>
      <w:r w:rsidRPr="00EB4841">
        <w:rPr>
          <w:rStyle w:val="FootnoteReference"/>
          <w:color w:val="000000"/>
          <w:szCs w:val="22"/>
        </w:rPr>
        <w:footnoteReference w:id="4"/>
      </w:r>
      <w:r w:rsidRPr="00EB4841">
        <w:rPr>
          <w:szCs w:val="22"/>
        </w:rPr>
        <w:t xml:space="preserve"> (NGER Measurement Determination), </w:t>
      </w:r>
      <w:r w:rsidRPr="00B439D2">
        <w:rPr>
          <w:szCs w:val="22"/>
        </w:rPr>
        <w:t>as in force for this reporting period.</w:t>
      </w:r>
      <w:r w:rsidRPr="008A49C8">
        <w:rPr>
          <w:szCs w:val="22"/>
        </w:rPr>
        <w:t xml:space="preserve"> These</w:t>
      </w:r>
      <w:r w:rsidRPr="00EB4841">
        <w:rPr>
          <w:szCs w:val="22"/>
        </w:rPr>
        <w:t xml:space="preserve"> laws and their interpretation are subject to change, which may affect the accuracy of the information contained in the guideline.</w:t>
      </w:r>
    </w:p>
    <w:p w14:paraId="338C2C39" w14:textId="0E717148" w:rsidR="001A1D85" w:rsidRPr="00EB4841" w:rsidRDefault="001A1D85" w:rsidP="001A1D85">
      <w:pPr>
        <w:rPr>
          <w:szCs w:val="22"/>
        </w:rPr>
      </w:pPr>
      <w:r w:rsidRPr="00EB4841">
        <w:rPr>
          <w:szCs w:val="22"/>
        </w:rPr>
        <w:t xml:space="preserve">The guidance provided in this document is not exhaustive, nor does it consider all circumstances applicable to all entities. This guidance is not intended to comprehensively deal with its subject area, and it is not a substitute for independent legal advice. Although entities are not bound to follow the guidance provided in this document, they must ensure they meet their obligations under the </w:t>
      </w:r>
      <w:hyperlink r:id="rId13" w:history="1">
        <w:r w:rsidRPr="00EB4841">
          <w:rPr>
            <w:rStyle w:val="Hyperlink"/>
            <w:szCs w:val="22"/>
          </w:rPr>
          <w:t>National Greenhouse and Energy Reporting (NGER) scheme</w:t>
        </w:r>
      </w:hyperlink>
      <w:r w:rsidR="00FB3722">
        <w:rPr>
          <w:rStyle w:val="FootnoteReference"/>
          <w:rFonts w:ascii="Calibri" w:hAnsi="Calibri"/>
          <w:color w:val="006C93" w:themeColor="accent3"/>
          <w:szCs w:val="22"/>
          <w:u w:val="single"/>
        </w:rPr>
        <w:footnoteReference w:id="5"/>
      </w:r>
      <w:r w:rsidRPr="00EB4841">
        <w:rPr>
          <w:szCs w:val="22"/>
        </w:rPr>
        <w:t xml:space="preserve"> at all times. The CER encourages all users of this guidance to seek independent legal advice before taking any action or decision </w:t>
      </w:r>
      <w:proofErr w:type="gramStart"/>
      <w:r w:rsidRPr="00EB4841">
        <w:rPr>
          <w:szCs w:val="22"/>
        </w:rPr>
        <w:t>on the basis of</w:t>
      </w:r>
      <w:proofErr w:type="gramEnd"/>
      <w:r w:rsidRPr="00EB4841">
        <w:rPr>
          <w:szCs w:val="22"/>
        </w:rPr>
        <w:t xml:space="preserve"> this guidance.</w:t>
      </w:r>
    </w:p>
    <w:p w14:paraId="23895742" w14:textId="77777777" w:rsidR="001A1D85" w:rsidRPr="00EB4841" w:rsidRDefault="001A1D85" w:rsidP="001A1D85">
      <w:pPr>
        <w:rPr>
          <w:szCs w:val="22"/>
        </w:rPr>
      </w:pPr>
      <w:r w:rsidRPr="00EB4841">
        <w:rPr>
          <w:szCs w:val="22"/>
        </w:rPr>
        <w:t>The CER and the Australian Government will not be liable for any loss or damage from any cause (including negligence) whether arising directly, incidentally or as consequential loss, out of or in connection with, any use of this guideline or reliance on it, for any purpose.</w:t>
      </w:r>
    </w:p>
    <w:p w14:paraId="66E53C91" w14:textId="77777777" w:rsidR="001A1D85" w:rsidRPr="00EB4841" w:rsidRDefault="001A1D85" w:rsidP="001A1D85">
      <w:pPr>
        <w:rPr>
          <w:szCs w:val="22"/>
        </w:rPr>
      </w:pPr>
      <w:r w:rsidRPr="00EB4841">
        <w:rPr>
          <w:szCs w:val="22"/>
        </w:rPr>
        <w:t>If an entity chooses to meet their obligations under the NGER scheme in a manner that is inconsistent with the guidance provided in this document, the CER,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03516C5C" w14:textId="77777777" w:rsidR="001A1D85" w:rsidRDefault="001A1D85" w:rsidP="001A1D85">
      <w:pPr>
        <w:spacing w:after="0"/>
        <w:rPr>
          <w:rFonts w:eastAsia="Times New Roman"/>
          <w:b/>
          <w:bCs/>
          <w:color w:val="005874"/>
          <w:kern w:val="32"/>
          <w:sz w:val="40"/>
        </w:rPr>
      </w:pPr>
      <w:r>
        <w:br w:type="page"/>
      </w:r>
    </w:p>
    <w:p w14:paraId="098FC5FA" w14:textId="7349E6F4" w:rsidR="002F39AA" w:rsidRPr="0039598D" w:rsidRDefault="0083291B" w:rsidP="0039598D">
      <w:pPr>
        <w:pStyle w:val="Heading1"/>
      </w:pPr>
      <w:bookmarkStart w:id="4" w:name="_Toc181713268"/>
      <w:r>
        <w:lastRenderedPageBreak/>
        <w:t xml:space="preserve">2. </w:t>
      </w:r>
      <w:r w:rsidR="001A1D85">
        <w:t>Introduction</w:t>
      </w:r>
      <w:bookmarkEnd w:id="4"/>
    </w:p>
    <w:p w14:paraId="005968AB" w14:textId="36B73044" w:rsidR="0083291B" w:rsidRPr="0083291B" w:rsidRDefault="0083291B" w:rsidP="0083291B">
      <w:pPr>
        <w:rPr>
          <w:rFonts w:ascii="Calibri" w:hAnsi="Calibri" w:cs="Calibri"/>
          <w:color w:val="000000"/>
        </w:rPr>
      </w:pPr>
      <w:r w:rsidRPr="0083291B">
        <w:rPr>
          <w:rFonts w:ascii="Calibri" w:hAnsi="Calibri" w:cs="Calibri"/>
          <w:color w:val="000000"/>
        </w:rPr>
        <w:t>Reporting Transfer Certificates (RTCs) allow a corporation with operational control over</w:t>
      </w:r>
      <w:r w:rsidR="00946CA4">
        <w:rPr>
          <w:rFonts w:ascii="Calibri" w:hAnsi="Calibri" w:cs="Calibri"/>
          <w:color w:val="000000"/>
        </w:rPr>
        <w:t xml:space="preserve"> a</w:t>
      </w:r>
      <w:r w:rsidRPr="0083291B">
        <w:rPr>
          <w:rFonts w:ascii="Calibri" w:hAnsi="Calibri" w:cs="Calibri"/>
          <w:color w:val="000000"/>
        </w:rPr>
        <w:t xml:space="preserve"> facility </w:t>
      </w:r>
      <w:r w:rsidR="00946CA4" w:rsidRPr="0083291B">
        <w:rPr>
          <w:rFonts w:ascii="Calibri" w:hAnsi="Calibri" w:cs="Calibri"/>
          <w:color w:val="000000"/>
        </w:rPr>
        <w:t xml:space="preserve">to transfer NGER reporting obligations </w:t>
      </w:r>
      <w:r w:rsidRPr="0083291B">
        <w:rPr>
          <w:rFonts w:ascii="Calibri" w:hAnsi="Calibri" w:cs="Calibri"/>
          <w:color w:val="000000"/>
        </w:rPr>
        <w:t xml:space="preserve">to the corporation that has financial control over the facility. </w:t>
      </w:r>
    </w:p>
    <w:p w14:paraId="01112B7C" w14:textId="6BDE17CE" w:rsidR="0083291B" w:rsidRDefault="0083291B" w:rsidP="0083291B">
      <w:pPr>
        <w:rPr>
          <w:rFonts w:ascii="Calibri" w:hAnsi="Calibri" w:cs="Calibri"/>
          <w:color w:val="000000"/>
        </w:rPr>
      </w:pPr>
      <w:r w:rsidRPr="0083291B">
        <w:rPr>
          <w:rFonts w:ascii="Calibri" w:hAnsi="Calibri" w:cs="Calibri"/>
          <w:color w:val="000000"/>
        </w:rPr>
        <w:t xml:space="preserve">RTCs relate to a specific facility. </w:t>
      </w:r>
      <w:r w:rsidR="00BA7A82">
        <w:rPr>
          <w:rFonts w:ascii="Calibri" w:hAnsi="Calibri" w:cs="Calibri"/>
          <w:color w:val="000000"/>
        </w:rPr>
        <w:t>If</w:t>
      </w:r>
      <w:r w:rsidRPr="0083291B">
        <w:rPr>
          <w:rFonts w:ascii="Calibri" w:hAnsi="Calibri" w:cs="Calibri"/>
          <w:color w:val="000000"/>
        </w:rPr>
        <w:t xml:space="preserve"> a corporation wishes to take on reporting obligations for </w:t>
      </w:r>
      <w:proofErr w:type="gramStart"/>
      <w:r w:rsidRPr="0083291B">
        <w:rPr>
          <w:rFonts w:ascii="Calibri" w:hAnsi="Calibri" w:cs="Calibri"/>
          <w:color w:val="000000"/>
        </w:rPr>
        <w:t>a number of</w:t>
      </w:r>
      <w:proofErr w:type="gramEnd"/>
      <w:r w:rsidRPr="0083291B">
        <w:rPr>
          <w:rFonts w:ascii="Calibri" w:hAnsi="Calibri" w:cs="Calibri"/>
          <w:color w:val="000000"/>
        </w:rPr>
        <w:t xml:space="preserve"> facilities over which it has financial control, it w</w:t>
      </w:r>
      <w:r w:rsidR="00060381">
        <w:rPr>
          <w:rFonts w:ascii="Calibri" w:hAnsi="Calibri" w:cs="Calibri"/>
          <w:color w:val="000000"/>
        </w:rPr>
        <w:t>ill</w:t>
      </w:r>
      <w:r w:rsidRPr="0083291B">
        <w:rPr>
          <w:rFonts w:ascii="Calibri" w:hAnsi="Calibri" w:cs="Calibri"/>
          <w:color w:val="000000"/>
        </w:rPr>
        <w:t xml:space="preserve"> need to obtain an RTC for each facility.</w:t>
      </w:r>
    </w:p>
    <w:p w14:paraId="3E5FF913" w14:textId="33073201" w:rsidR="002F39AA" w:rsidRPr="0074084F" w:rsidRDefault="00F45C43" w:rsidP="0074084F">
      <w:pPr>
        <w:rPr>
          <w:rFonts w:ascii="Arial Bold" w:eastAsia="Times New Roman" w:hAnsi="Arial Bold" w:cs="Calibri"/>
          <w:bCs/>
          <w:color w:val="90002D"/>
          <w:kern w:val="32"/>
          <w:sz w:val="46"/>
        </w:rPr>
      </w:pPr>
      <w:r>
        <w:rPr>
          <w:rFonts w:ascii="Calibri" w:hAnsi="Calibri" w:cs="Calibri"/>
          <w:color w:val="000000"/>
        </w:rPr>
        <w:t xml:space="preserve">The corporation with financial control must apply for the RTC using the </w:t>
      </w:r>
      <w:r w:rsidR="0074084F">
        <w:rPr>
          <w:rFonts w:ascii="Calibri" w:hAnsi="Calibri" w:cs="Calibri"/>
          <w:color w:val="000000"/>
        </w:rPr>
        <w:t>a</w:t>
      </w:r>
      <w:r w:rsidR="00000933">
        <w:rPr>
          <w:rFonts w:ascii="Calibri" w:hAnsi="Calibri" w:cs="Calibri"/>
          <w:color w:val="000000"/>
        </w:rPr>
        <w:t xml:space="preserve">pplication for a </w:t>
      </w:r>
      <w:r w:rsidR="0074084F">
        <w:rPr>
          <w:rFonts w:ascii="Calibri" w:hAnsi="Calibri" w:cs="Calibri"/>
          <w:color w:val="000000"/>
        </w:rPr>
        <w:t>r</w:t>
      </w:r>
      <w:r w:rsidR="00000933">
        <w:rPr>
          <w:rFonts w:ascii="Calibri" w:hAnsi="Calibri" w:cs="Calibri"/>
          <w:color w:val="000000"/>
        </w:rPr>
        <w:t xml:space="preserve">eporting </w:t>
      </w:r>
      <w:r w:rsidR="0074084F">
        <w:rPr>
          <w:rFonts w:ascii="Calibri" w:hAnsi="Calibri" w:cs="Calibri"/>
          <w:color w:val="000000"/>
        </w:rPr>
        <w:t>t</w:t>
      </w:r>
      <w:r w:rsidR="00000933">
        <w:rPr>
          <w:rFonts w:ascii="Calibri" w:hAnsi="Calibri" w:cs="Calibri"/>
          <w:color w:val="000000"/>
        </w:rPr>
        <w:t xml:space="preserve">ransfer </w:t>
      </w:r>
      <w:r w:rsidR="0074084F">
        <w:rPr>
          <w:rFonts w:ascii="Calibri" w:hAnsi="Calibri" w:cs="Calibri"/>
          <w:color w:val="000000"/>
        </w:rPr>
        <w:t>c</w:t>
      </w:r>
      <w:r w:rsidR="00000933">
        <w:rPr>
          <w:rFonts w:ascii="Calibri" w:hAnsi="Calibri" w:cs="Calibri"/>
          <w:color w:val="000000"/>
        </w:rPr>
        <w:t>ertificate form</w:t>
      </w:r>
      <w:r w:rsidR="00132D0B">
        <w:rPr>
          <w:rFonts w:ascii="Calibri" w:hAnsi="Calibri" w:cs="Calibri"/>
          <w:color w:val="000000"/>
        </w:rPr>
        <w:t>.</w:t>
      </w:r>
      <w:bookmarkStart w:id="5" w:name="_Toc181713269"/>
    </w:p>
    <w:p w14:paraId="12B5DAD7" w14:textId="04B8BE0F" w:rsidR="00297690" w:rsidRDefault="00297690" w:rsidP="00297690">
      <w:pPr>
        <w:pStyle w:val="Heading2"/>
        <w:spacing w:after="240"/>
      </w:pPr>
      <w:r>
        <w:t xml:space="preserve">3. </w:t>
      </w:r>
      <w:r w:rsidRPr="00297690">
        <w:t>Criteria that must be met before an RTC can be issued</w:t>
      </w:r>
      <w:bookmarkEnd w:id="5"/>
    </w:p>
    <w:p w14:paraId="343E6725" w14:textId="0D1BAFB6" w:rsidR="00297690" w:rsidRDefault="00297690" w:rsidP="00297690">
      <w:pPr>
        <w:pStyle w:val="Heading3"/>
        <w:spacing w:after="240"/>
      </w:pPr>
      <w:bookmarkStart w:id="6" w:name="_Toc181713270"/>
      <w:r>
        <w:t>3.1 The reporting transfer test</w:t>
      </w:r>
      <w:bookmarkEnd w:id="6"/>
    </w:p>
    <w:p w14:paraId="732E40B7" w14:textId="1BF8F332" w:rsidR="00297690" w:rsidRPr="00F855F4" w:rsidRDefault="00297690" w:rsidP="00297690">
      <w:pPr>
        <w:spacing w:before="120" w:after="100" w:afterAutospacing="1"/>
        <w:rPr>
          <w:lang w:eastAsia="en-AU"/>
        </w:rPr>
      </w:pPr>
      <w:r w:rsidRPr="00F855F4">
        <w:t>To be eligible for an RTC</w:t>
      </w:r>
      <w:r w:rsidR="001E6BD6">
        <w:t>, the corporation with financial control over a facility, or applicant</w:t>
      </w:r>
      <w:r w:rsidR="00315874">
        <w:t xml:space="preserve">, </w:t>
      </w:r>
      <w:r w:rsidRPr="00F855F4">
        <w:t xml:space="preserve">must first pass the reporting transfer test </w:t>
      </w:r>
      <w:r w:rsidR="00151B02">
        <w:t>set out in</w:t>
      </w:r>
      <w:r>
        <w:t xml:space="preserve"> Section 22J</w:t>
      </w:r>
      <w:r w:rsidRPr="003B611C">
        <w:t xml:space="preserve"> of the NGER Act</w:t>
      </w:r>
      <w:r w:rsidR="00151B02">
        <w:t>:</w:t>
      </w:r>
      <w:r w:rsidRPr="003B611C">
        <w:t xml:space="preserve"> </w:t>
      </w:r>
    </w:p>
    <w:p w14:paraId="507594C8" w14:textId="4D6241A6" w:rsidR="00297690" w:rsidRPr="00F855F4" w:rsidRDefault="0017295A" w:rsidP="00297690">
      <w:pPr>
        <w:pStyle w:val="CERbullets"/>
        <w:ind w:left="360" w:hanging="360"/>
        <w:rPr>
          <w:lang w:eastAsia="en-AU"/>
        </w:rPr>
      </w:pPr>
      <w:r>
        <w:rPr>
          <w:lang w:eastAsia="en-AU"/>
        </w:rPr>
        <w:t xml:space="preserve">the </w:t>
      </w:r>
      <w:r w:rsidR="00297690" w:rsidRPr="00F855F4">
        <w:rPr>
          <w:lang w:eastAsia="en-AU"/>
        </w:rPr>
        <w:t>facility must be under the operational control of another corporation</w:t>
      </w:r>
    </w:p>
    <w:p w14:paraId="49D99080" w14:textId="4CB1845E" w:rsidR="00297690" w:rsidRPr="00F855F4" w:rsidRDefault="0017295A" w:rsidP="00297690">
      <w:pPr>
        <w:pStyle w:val="CERbullets"/>
        <w:ind w:left="360" w:hanging="360"/>
        <w:rPr>
          <w:lang w:eastAsia="en-AU"/>
        </w:rPr>
      </w:pPr>
      <w:r>
        <w:rPr>
          <w:lang w:eastAsia="en-AU"/>
        </w:rPr>
        <w:t xml:space="preserve">the </w:t>
      </w:r>
      <w:r w:rsidR="00297690" w:rsidRPr="00F855F4">
        <w:rPr>
          <w:lang w:eastAsia="en-AU"/>
        </w:rPr>
        <w:t>applicant must have financial control over the facility</w:t>
      </w:r>
    </w:p>
    <w:p w14:paraId="3A896228" w14:textId="12F19E17" w:rsidR="00297690" w:rsidRPr="00F855F4" w:rsidRDefault="0017295A" w:rsidP="00297690">
      <w:pPr>
        <w:pStyle w:val="CERbullets"/>
        <w:ind w:left="360" w:hanging="360"/>
        <w:rPr>
          <w:lang w:eastAsia="en-AU"/>
        </w:rPr>
      </w:pPr>
      <w:r>
        <w:rPr>
          <w:lang w:eastAsia="en-AU"/>
        </w:rPr>
        <w:t xml:space="preserve">the </w:t>
      </w:r>
      <w:r w:rsidR="00297690" w:rsidRPr="00F855F4">
        <w:rPr>
          <w:lang w:eastAsia="en-AU"/>
        </w:rPr>
        <w:t xml:space="preserve">applicant must be a company registered under Part 2A.2 of the </w:t>
      </w:r>
      <w:r w:rsidR="00297690" w:rsidRPr="00F855F4">
        <w:rPr>
          <w:i/>
          <w:lang w:eastAsia="en-AU"/>
        </w:rPr>
        <w:t>Corporations Act</w:t>
      </w:r>
      <w:r w:rsidR="00297690">
        <w:rPr>
          <w:i/>
          <w:lang w:eastAsia="en-AU"/>
        </w:rPr>
        <w:t> </w:t>
      </w:r>
      <w:r w:rsidR="00297690" w:rsidRPr="00F855F4">
        <w:rPr>
          <w:i/>
          <w:lang w:eastAsia="en-AU"/>
        </w:rPr>
        <w:t>2001</w:t>
      </w:r>
    </w:p>
    <w:p w14:paraId="43876256" w14:textId="2D31A8A0" w:rsidR="00297690" w:rsidRPr="00F855F4" w:rsidRDefault="0017295A" w:rsidP="00297690">
      <w:pPr>
        <w:pStyle w:val="CERbullets"/>
        <w:ind w:left="360" w:hanging="360"/>
        <w:rPr>
          <w:lang w:eastAsia="en-AU"/>
        </w:rPr>
      </w:pPr>
      <w:r>
        <w:rPr>
          <w:lang w:eastAsia="en-AU"/>
        </w:rPr>
        <w:t xml:space="preserve">the </w:t>
      </w:r>
      <w:r w:rsidR="00297690" w:rsidRPr="00F855F4">
        <w:rPr>
          <w:lang w:eastAsia="en-AU"/>
        </w:rPr>
        <w:t>applicant must be a constitutional corporation</w:t>
      </w:r>
    </w:p>
    <w:p w14:paraId="3BD453DC" w14:textId="082203D0" w:rsidR="00297690" w:rsidRPr="00F855F4" w:rsidRDefault="0017295A" w:rsidP="00297690">
      <w:pPr>
        <w:pStyle w:val="CERbullets"/>
        <w:ind w:left="360" w:hanging="360"/>
        <w:rPr>
          <w:lang w:eastAsia="en-AU"/>
        </w:rPr>
      </w:pPr>
      <w:r>
        <w:rPr>
          <w:lang w:eastAsia="en-AU"/>
        </w:rPr>
        <w:t xml:space="preserve">the </w:t>
      </w:r>
      <w:r w:rsidR="00297690" w:rsidRPr="00F855F4">
        <w:rPr>
          <w:lang w:eastAsia="en-AU"/>
        </w:rPr>
        <w:t>corporation with operational control over the facility must</w:t>
      </w:r>
      <w:r w:rsidR="00003DC5">
        <w:rPr>
          <w:lang w:eastAsia="en-AU"/>
        </w:rPr>
        <w:t xml:space="preserve"> be a member of a controlling corporation’s group, but </w:t>
      </w:r>
      <w:r w:rsidR="00003DC5" w:rsidRPr="004039CF">
        <w:rPr>
          <w:b/>
          <w:bCs/>
          <w:lang w:eastAsia="en-AU"/>
        </w:rPr>
        <w:t>not</w:t>
      </w:r>
      <w:r w:rsidR="00A8773E" w:rsidRPr="004039CF">
        <w:rPr>
          <w:b/>
          <w:bCs/>
          <w:lang w:eastAsia="en-AU"/>
        </w:rPr>
        <w:t xml:space="preserve"> </w:t>
      </w:r>
      <w:r w:rsidR="00A8773E">
        <w:rPr>
          <w:lang w:eastAsia="en-AU"/>
        </w:rPr>
        <w:t xml:space="preserve">the </w:t>
      </w:r>
      <w:r w:rsidR="00297690" w:rsidRPr="00F855F4">
        <w:rPr>
          <w:lang w:eastAsia="en-AU"/>
        </w:rPr>
        <w:t>applicant’s corporate group</w:t>
      </w:r>
      <w:r w:rsidR="008A1C9A">
        <w:rPr>
          <w:lang w:eastAsia="en-AU"/>
        </w:rPr>
        <w:t xml:space="preserve"> </w:t>
      </w:r>
    </w:p>
    <w:p w14:paraId="2652D4D7" w14:textId="77777777" w:rsidR="00297690" w:rsidRPr="00297690" w:rsidRDefault="00297690" w:rsidP="00297690">
      <w:pPr>
        <w:pStyle w:val="Heading3"/>
        <w:spacing w:after="240"/>
      </w:pPr>
      <w:bookmarkStart w:id="7" w:name="_Toc181713271"/>
      <w:r w:rsidRPr="00297690">
        <w:t>3.2 Establishing that the applicant has financial control over a facility</w:t>
      </w:r>
      <w:bookmarkEnd w:id="7"/>
    </w:p>
    <w:p w14:paraId="36822B4D" w14:textId="277BE05F" w:rsidR="00297690" w:rsidRPr="00E23BB5" w:rsidRDefault="00297690" w:rsidP="00E23BB5">
      <w:pPr>
        <w:spacing w:before="240"/>
        <w:rPr>
          <w:bCs/>
          <w:lang w:eastAsia="en-AU"/>
        </w:rPr>
      </w:pPr>
      <w:r>
        <w:t xml:space="preserve">The applicant must have financial control over a facility </w:t>
      </w:r>
      <w:r w:rsidR="00246D67">
        <w:t>to</w:t>
      </w:r>
      <w:r>
        <w:t xml:space="preserve"> receive an RTC for it.</w:t>
      </w:r>
      <w:r w:rsidR="00A70F36">
        <w:t xml:space="preserve"> </w:t>
      </w:r>
      <w:r w:rsidR="007C6044">
        <w:t xml:space="preserve">In the application, evidence must be provided to show how the applicant </w:t>
      </w:r>
      <w:r w:rsidR="00FA64AC">
        <w:t xml:space="preserve">fulfills at least </w:t>
      </w:r>
      <w:r w:rsidR="00FA64AC">
        <w:rPr>
          <w:b/>
          <w:bCs/>
        </w:rPr>
        <w:t xml:space="preserve">one </w:t>
      </w:r>
      <w:r w:rsidR="0079144B">
        <w:t xml:space="preserve">situation </w:t>
      </w:r>
      <w:r w:rsidR="00CE3A86">
        <w:t>of having financial control</w:t>
      </w:r>
      <w:r w:rsidR="0079144B">
        <w:t xml:space="preserve"> of the facility</w:t>
      </w:r>
      <w:r w:rsidR="00CE3A86">
        <w:t xml:space="preserve">, as </w:t>
      </w:r>
      <w:r w:rsidR="009E77DD">
        <w:t>set out in</w:t>
      </w:r>
      <w:r>
        <w:t xml:space="preserve"> </w:t>
      </w:r>
      <w:r w:rsidRPr="00F855F4">
        <w:t>Section 22R of the NGER Act</w:t>
      </w:r>
      <w:r w:rsidR="00755060">
        <w:t>. The applicant</w:t>
      </w:r>
      <w:r w:rsidR="00E74C46">
        <w:t xml:space="preserve"> is</w:t>
      </w:r>
      <w:r w:rsidR="009E77DD">
        <w:t>:</w:t>
      </w:r>
      <w:r w:rsidRPr="00F855F4">
        <w:t xml:space="preserve"> </w:t>
      </w:r>
    </w:p>
    <w:p w14:paraId="3AC3F15B" w14:textId="520AF2A7" w:rsidR="00297690" w:rsidRPr="00F855F4" w:rsidRDefault="00297690" w:rsidP="00297690">
      <w:pPr>
        <w:pStyle w:val="CERbullets"/>
        <w:ind w:left="360" w:hanging="360"/>
        <w:rPr>
          <w:lang w:eastAsia="en-AU"/>
        </w:rPr>
      </w:pPr>
      <w:r w:rsidRPr="00F855F4">
        <w:rPr>
          <w:lang w:eastAsia="en-AU"/>
        </w:rPr>
        <w:t>by itself or together with one or more other</w:t>
      </w:r>
      <w:r>
        <w:rPr>
          <w:lang w:eastAsia="en-AU"/>
        </w:rPr>
        <w:t xml:space="preserve"> corporations</w:t>
      </w:r>
      <w:r w:rsidR="002E3C0B">
        <w:rPr>
          <w:lang w:eastAsia="en-AU"/>
        </w:rPr>
        <w:t>,</w:t>
      </w:r>
      <w:r>
        <w:rPr>
          <w:lang w:eastAsia="en-AU"/>
        </w:rPr>
        <w:t xml:space="preserve"> and the corporation with operational control </w:t>
      </w:r>
      <w:r w:rsidR="00B56AA9">
        <w:rPr>
          <w:lang w:eastAsia="en-AU"/>
        </w:rPr>
        <w:t xml:space="preserve">of </w:t>
      </w:r>
      <w:r>
        <w:rPr>
          <w:lang w:eastAsia="en-AU"/>
        </w:rPr>
        <w:t xml:space="preserve">the facility are parties to a contract which specifies that </w:t>
      </w:r>
      <w:r w:rsidRPr="00F855F4">
        <w:rPr>
          <w:lang w:eastAsia="en-AU"/>
        </w:rPr>
        <w:t xml:space="preserve">the corporation with operational control operates the facility on behalf of the applicant (and the other </w:t>
      </w:r>
      <w:r>
        <w:rPr>
          <w:lang w:eastAsia="en-AU"/>
        </w:rPr>
        <w:t xml:space="preserve">party or </w:t>
      </w:r>
      <w:r w:rsidRPr="00F855F4">
        <w:rPr>
          <w:lang w:eastAsia="en-AU"/>
        </w:rPr>
        <w:t>parties to the contract, where applicable)</w:t>
      </w:r>
      <w:r>
        <w:rPr>
          <w:lang w:eastAsia="en-AU"/>
        </w:rPr>
        <w:t>.</w:t>
      </w:r>
    </w:p>
    <w:p w14:paraId="0A0EF55F" w14:textId="762BD731" w:rsidR="00297690" w:rsidRPr="00F855F4" w:rsidRDefault="00297690" w:rsidP="00297690">
      <w:pPr>
        <w:pStyle w:val="CERbullets"/>
        <w:ind w:left="360" w:hanging="360"/>
        <w:rPr>
          <w:lang w:eastAsia="en-AU"/>
        </w:rPr>
      </w:pPr>
      <w:r w:rsidRPr="00F855F4">
        <w:rPr>
          <w:lang w:eastAsia="en-AU"/>
        </w:rPr>
        <w:t xml:space="preserve"> able to control the trading or financial relationships of the corporation with operational control</w:t>
      </w:r>
      <w:r w:rsidR="00B56AA9">
        <w:rPr>
          <w:lang w:eastAsia="en-AU"/>
        </w:rPr>
        <w:t xml:space="preserve"> of </w:t>
      </w:r>
      <w:r w:rsidRPr="00F855F4">
        <w:rPr>
          <w:lang w:eastAsia="en-AU"/>
        </w:rPr>
        <w:t>the facility</w:t>
      </w:r>
    </w:p>
    <w:p w14:paraId="7AE7F1A9" w14:textId="073A7454" w:rsidR="00297690" w:rsidRPr="00F855F4" w:rsidRDefault="00297690" w:rsidP="00297690">
      <w:pPr>
        <w:pStyle w:val="CERbullets"/>
        <w:ind w:left="360" w:hanging="360"/>
        <w:rPr>
          <w:lang w:eastAsia="en-AU"/>
        </w:rPr>
      </w:pPr>
      <w:r w:rsidRPr="00F855F4">
        <w:rPr>
          <w:lang w:eastAsia="en-AU"/>
        </w:rPr>
        <w:t>the economic benefi</w:t>
      </w:r>
      <w:r w:rsidR="00E74C46">
        <w:rPr>
          <w:lang w:eastAsia="en-AU"/>
        </w:rPr>
        <w:t>ciary</w:t>
      </w:r>
      <w:r w:rsidRPr="00F855F4">
        <w:rPr>
          <w:lang w:eastAsia="en-AU"/>
        </w:rPr>
        <w:t xml:space="preserve"> from the facility</w:t>
      </w:r>
    </w:p>
    <w:p w14:paraId="2F2ECA6B" w14:textId="0902831A" w:rsidR="00297690" w:rsidRPr="00F855F4" w:rsidRDefault="00297690" w:rsidP="00297690">
      <w:pPr>
        <w:pStyle w:val="CERbullets"/>
        <w:ind w:left="360" w:hanging="360"/>
        <w:rPr>
          <w:lang w:eastAsia="en-AU"/>
        </w:rPr>
      </w:pPr>
      <w:r w:rsidRPr="00F855F4">
        <w:rPr>
          <w:lang w:eastAsia="en-AU"/>
        </w:rPr>
        <w:t>a participant in a joint venture with one other participant</w:t>
      </w:r>
      <w:r w:rsidR="00A506CE">
        <w:rPr>
          <w:lang w:eastAsia="en-AU"/>
        </w:rPr>
        <w:t xml:space="preserve"> where</w:t>
      </w:r>
      <w:r w:rsidRPr="00F855F4">
        <w:rPr>
          <w:lang w:eastAsia="en-AU"/>
        </w:rPr>
        <w:t>:</w:t>
      </w:r>
    </w:p>
    <w:p w14:paraId="3118459C" w14:textId="406C36D1" w:rsidR="00297690" w:rsidRPr="00F855F4" w:rsidRDefault="00297690" w:rsidP="00297690">
      <w:pPr>
        <w:pStyle w:val="CERbullets"/>
        <w:numPr>
          <w:ilvl w:val="1"/>
          <w:numId w:val="21"/>
        </w:numPr>
      </w:pPr>
      <w:r w:rsidRPr="00F855F4">
        <w:t>the participants share the economic benefits from the facility</w:t>
      </w:r>
    </w:p>
    <w:p w14:paraId="0B334A3E" w14:textId="77777777" w:rsidR="00297690" w:rsidRPr="00F855F4" w:rsidRDefault="00297690" w:rsidP="00297690">
      <w:pPr>
        <w:pStyle w:val="CERbullets"/>
        <w:numPr>
          <w:ilvl w:val="1"/>
          <w:numId w:val="21"/>
        </w:numPr>
      </w:pPr>
      <w:r w:rsidRPr="00F855F4">
        <w:t>the applicant’s share equals or exceeds the other participant’s share</w:t>
      </w:r>
      <w:r>
        <w:t>.</w:t>
      </w:r>
    </w:p>
    <w:p w14:paraId="49B3D476" w14:textId="5CAB5DDD" w:rsidR="00297690" w:rsidRPr="00B7057F" w:rsidRDefault="00297690" w:rsidP="00297690">
      <w:pPr>
        <w:pStyle w:val="CERbullets"/>
        <w:ind w:left="360" w:hanging="360"/>
      </w:pPr>
      <w:r w:rsidRPr="00B7057F">
        <w:t>a participant in a joint venture with two or more other participants</w:t>
      </w:r>
      <w:r w:rsidR="00310AF1">
        <w:t xml:space="preserve"> where</w:t>
      </w:r>
      <w:r w:rsidRPr="00B7057F">
        <w:t>:</w:t>
      </w:r>
    </w:p>
    <w:p w14:paraId="12EA8597" w14:textId="353CC851" w:rsidR="00297690" w:rsidRPr="00F855F4" w:rsidRDefault="00297690" w:rsidP="00297690">
      <w:pPr>
        <w:pStyle w:val="CERbullets"/>
        <w:numPr>
          <w:ilvl w:val="1"/>
          <w:numId w:val="21"/>
        </w:numPr>
      </w:pPr>
      <w:r w:rsidRPr="00F855F4">
        <w:t>the participants share the economic benefits from the facility</w:t>
      </w:r>
    </w:p>
    <w:p w14:paraId="4A13B9B6" w14:textId="77777777" w:rsidR="00297690" w:rsidRPr="00F855F4" w:rsidRDefault="00297690" w:rsidP="00297690">
      <w:pPr>
        <w:pStyle w:val="CERbullets"/>
        <w:numPr>
          <w:ilvl w:val="1"/>
          <w:numId w:val="21"/>
        </w:numPr>
      </w:pPr>
      <w:r w:rsidRPr="00F855F4">
        <w:t>no other participant’s share exceeds the applicant’s share</w:t>
      </w:r>
      <w:r>
        <w:t>.</w:t>
      </w:r>
    </w:p>
    <w:p w14:paraId="71C85C5F" w14:textId="38F57D1E" w:rsidR="00297690" w:rsidRPr="00B7057F" w:rsidRDefault="00297690" w:rsidP="00297690">
      <w:pPr>
        <w:pStyle w:val="CERbullets"/>
        <w:ind w:left="360" w:hanging="360"/>
      </w:pPr>
      <w:r w:rsidRPr="00B7057F">
        <w:t>in a partnership with one other partner</w:t>
      </w:r>
      <w:r w:rsidR="00B52875">
        <w:t xml:space="preserve"> where</w:t>
      </w:r>
      <w:r w:rsidRPr="00B7057F">
        <w:t>:</w:t>
      </w:r>
    </w:p>
    <w:p w14:paraId="2E8C9FE0" w14:textId="3CCDC08A" w:rsidR="00297690" w:rsidRPr="00F855F4" w:rsidRDefault="00297690" w:rsidP="00297690">
      <w:pPr>
        <w:pStyle w:val="CERbullets"/>
        <w:numPr>
          <w:ilvl w:val="1"/>
          <w:numId w:val="21"/>
        </w:numPr>
      </w:pPr>
      <w:r w:rsidRPr="00F855F4">
        <w:lastRenderedPageBreak/>
        <w:t>the partners share the economic benefits from the facility</w:t>
      </w:r>
    </w:p>
    <w:p w14:paraId="63DE157C" w14:textId="77777777" w:rsidR="00297690" w:rsidRPr="00F855F4" w:rsidRDefault="00297690" w:rsidP="00297690">
      <w:pPr>
        <w:pStyle w:val="CERbullets"/>
        <w:numPr>
          <w:ilvl w:val="1"/>
          <w:numId w:val="21"/>
        </w:numPr>
      </w:pPr>
      <w:r w:rsidRPr="00F855F4">
        <w:t>the applicant’s share equals or exceeds the other partner’s share</w:t>
      </w:r>
      <w:r>
        <w:t>.</w:t>
      </w:r>
    </w:p>
    <w:p w14:paraId="59EB3054" w14:textId="71550F18" w:rsidR="00297690" w:rsidRPr="00B7057F" w:rsidRDefault="00297690" w:rsidP="00297690">
      <w:pPr>
        <w:pStyle w:val="CERbullets"/>
        <w:ind w:left="360" w:hanging="360"/>
      </w:pPr>
      <w:r w:rsidRPr="00B7057F">
        <w:t xml:space="preserve"> in a partnership with two or more other partners</w:t>
      </w:r>
      <w:r w:rsidR="00B52875">
        <w:t xml:space="preserve"> where</w:t>
      </w:r>
      <w:r w:rsidRPr="00B7057F">
        <w:t>:</w:t>
      </w:r>
    </w:p>
    <w:p w14:paraId="2EA9F124" w14:textId="6730EE79" w:rsidR="00297690" w:rsidRPr="00F855F4" w:rsidRDefault="00297690" w:rsidP="00297690">
      <w:pPr>
        <w:pStyle w:val="CERbullets"/>
        <w:numPr>
          <w:ilvl w:val="1"/>
          <w:numId w:val="21"/>
        </w:numPr>
      </w:pPr>
      <w:r w:rsidRPr="00F855F4">
        <w:t>the partners share the economic benefits from the facility</w:t>
      </w:r>
    </w:p>
    <w:p w14:paraId="4894B7C3" w14:textId="4150FA97" w:rsidR="00297690" w:rsidRPr="00F855F4" w:rsidRDefault="00297690" w:rsidP="00297690">
      <w:pPr>
        <w:pStyle w:val="CERbullets"/>
        <w:numPr>
          <w:ilvl w:val="1"/>
          <w:numId w:val="21"/>
        </w:numPr>
      </w:pPr>
      <w:r w:rsidRPr="00F855F4">
        <w:t>no other partner’s share exceeds the applicant’s share</w:t>
      </w:r>
    </w:p>
    <w:p w14:paraId="0C5A8AD6" w14:textId="0858FEC3" w:rsidR="00297690" w:rsidRPr="00B7057F" w:rsidRDefault="00297690" w:rsidP="00297690">
      <w:pPr>
        <w:pStyle w:val="CERbullets"/>
        <w:ind w:left="360" w:hanging="360"/>
      </w:pPr>
      <w:r w:rsidRPr="00B7057F">
        <w:t>able to direct or sell the output of the facility.</w:t>
      </w:r>
    </w:p>
    <w:p w14:paraId="3688F160" w14:textId="593246FF" w:rsidR="00E23BB5" w:rsidRDefault="00E23BB5" w:rsidP="00297690">
      <w:pPr>
        <w:rPr>
          <w:lang w:eastAsia="en-AU"/>
        </w:rPr>
      </w:pPr>
      <w:r w:rsidRPr="00EF5867">
        <w:rPr>
          <w:lang w:eastAsia="en-AU"/>
        </w:rPr>
        <w:t>In</w:t>
      </w:r>
      <w:r>
        <w:rPr>
          <w:lang w:eastAsia="en-AU"/>
        </w:rPr>
        <w:t xml:space="preserve"> some</w:t>
      </w:r>
      <w:r w:rsidRPr="00EF5867">
        <w:rPr>
          <w:lang w:eastAsia="en-AU"/>
        </w:rPr>
        <w:t xml:space="preserve"> cases, there will be more than one </w:t>
      </w:r>
      <w:r>
        <w:rPr>
          <w:lang w:eastAsia="en-AU"/>
        </w:rPr>
        <w:t xml:space="preserve">corporation that could </w:t>
      </w:r>
      <w:r w:rsidRPr="00EF5867">
        <w:rPr>
          <w:lang w:eastAsia="en-AU"/>
        </w:rPr>
        <w:t>meet</w:t>
      </w:r>
      <w:r>
        <w:rPr>
          <w:lang w:eastAsia="en-AU"/>
        </w:rPr>
        <w:t xml:space="preserve"> one or more</w:t>
      </w:r>
      <w:r w:rsidRPr="00EF5867">
        <w:rPr>
          <w:lang w:eastAsia="en-AU"/>
        </w:rPr>
        <w:t xml:space="preserve"> of the </w:t>
      </w:r>
      <w:r w:rsidRPr="00EF5867">
        <w:rPr>
          <w:bCs/>
          <w:lang w:eastAsia="en-AU"/>
        </w:rPr>
        <w:t>above</w:t>
      </w:r>
      <w:r w:rsidRPr="00EF5867">
        <w:rPr>
          <w:b/>
          <w:bCs/>
          <w:lang w:eastAsia="en-AU"/>
        </w:rPr>
        <w:t xml:space="preserve"> </w:t>
      </w:r>
      <w:r w:rsidRPr="00EF5867">
        <w:rPr>
          <w:lang w:eastAsia="en-AU"/>
        </w:rPr>
        <w:t>criteria</w:t>
      </w:r>
      <w:r>
        <w:rPr>
          <w:lang w:eastAsia="en-AU"/>
        </w:rPr>
        <w:t xml:space="preserve"> </w:t>
      </w:r>
      <w:r w:rsidR="00437291">
        <w:rPr>
          <w:lang w:eastAsia="en-AU"/>
        </w:rPr>
        <w:t>for</w:t>
      </w:r>
      <w:r>
        <w:rPr>
          <w:lang w:eastAsia="en-AU"/>
        </w:rPr>
        <w:t xml:space="preserve"> the same facility</w:t>
      </w:r>
      <w:r w:rsidRPr="00EF5867">
        <w:rPr>
          <w:lang w:eastAsia="en-AU"/>
        </w:rPr>
        <w:t xml:space="preserve">, and the applicant itself may meet more than one of the criteria. </w:t>
      </w:r>
    </w:p>
    <w:p w14:paraId="43B8084B" w14:textId="41689BFE" w:rsidR="00297690" w:rsidRPr="009F6E4E" w:rsidRDefault="00297690" w:rsidP="00297690">
      <w:pPr>
        <w:rPr>
          <w:bCs/>
          <w:lang w:eastAsia="en-AU"/>
        </w:rPr>
      </w:pPr>
      <w:r w:rsidRPr="009F6E4E">
        <w:rPr>
          <w:bCs/>
          <w:lang w:eastAsia="en-AU"/>
        </w:rPr>
        <w:t xml:space="preserve">Financial control for the purposes </w:t>
      </w:r>
      <w:r>
        <w:rPr>
          <w:bCs/>
          <w:lang w:eastAsia="en-AU"/>
        </w:rPr>
        <w:t>of the NGER Act</w:t>
      </w:r>
      <w:r w:rsidRPr="009F6E4E">
        <w:rPr>
          <w:bCs/>
          <w:lang w:eastAsia="en-AU"/>
        </w:rPr>
        <w:t xml:space="preserve"> </w:t>
      </w:r>
      <w:r w:rsidR="000C2EFC">
        <w:rPr>
          <w:bCs/>
          <w:lang w:eastAsia="en-AU"/>
        </w:rPr>
        <w:t>means</w:t>
      </w:r>
      <w:r w:rsidRPr="009F6E4E">
        <w:rPr>
          <w:bCs/>
          <w:lang w:eastAsia="en-AU"/>
        </w:rPr>
        <w:t xml:space="preserve"> a corporation has significant</w:t>
      </w:r>
      <w:r>
        <w:rPr>
          <w:bCs/>
          <w:lang w:eastAsia="en-AU"/>
        </w:rPr>
        <w:t xml:space="preserve"> </w:t>
      </w:r>
      <w:r w:rsidRPr="009F6E4E">
        <w:rPr>
          <w:bCs/>
          <w:lang w:eastAsia="en-AU"/>
        </w:rPr>
        <w:t>ability to control a facility through financial means only</w:t>
      </w:r>
      <w:r w:rsidR="00696E3D">
        <w:rPr>
          <w:bCs/>
          <w:lang w:eastAsia="en-AU"/>
        </w:rPr>
        <w:t>,</w:t>
      </w:r>
      <w:r w:rsidRPr="009F6E4E">
        <w:rPr>
          <w:bCs/>
          <w:lang w:eastAsia="en-AU"/>
        </w:rPr>
        <w:t xml:space="preserve"> and therefore </w:t>
      </w:r>
      <w:r w:rsidR="009D4B6C">
        <w:rPr>
          <w:bCs/>
          <w:lang w:eastAsia="en-AU"/>
        </w:rPr>
        <w:t xml:space="preserve">make possible </w:t>
      </w:r>
      <w:r w:rsidRPr="009F6E4E">
        <w:rPr>
          <w:bCs/>
          <w:lang w:eastAsia="en-AU"/>
        </w:rPr>
        <w:t>decisions relating to greenhouse gas</w:t>
      </w:r>
      <w:r>
        <w:rPr>
          <w:bCs/>
          <w:lang w:eastAsia="en-AU"/>
        </w:rPr>
        <w:t xml:space="preserve"> </w:t>
      </w:r>
      <w:r w:rsidRPr="009F6E4E">
        <w:rPr>
          <w:bCs/>
          <w:lang w:eastAsia="en-AU"/>
        </w:rPr>
        <w:t>emissions reductions.</w:t>
      </w:r>
    </w:p>
    <w:p w14:paraId="0AA42CBF" w14:textId="0D0ECBBC" w:rsidR="00297690" w:rsidRPr="009F6E4E" w:rsidRDefault="00297690" w:rsidP="00297690">
      <w:pPr>
        <w:pStyle w:val="Heading3"/>
        <w:spacing w:after="240"/>
        <w:rPr>
          <w:lang w:eastAsia="en-AU"/>
        </w:rPr>
      </w:pPr>
      <w:bookmarkStart w:id="8" w:name="_Toc181713272"/>
      <w:r>
        <w:rPr>
          <w:lang w:eastAsia="en-AU"/>
        </w:rPr>
        <w:t>3.3 Other criteria</w:t>
      </w:r>
      <w:bookmarkEnd w:id="8"/>
      <w:r>
        <w:rPr>
          <w:lang w:eastAsia="en-AU"/>
        </w:rPr>
        <w:t xml:space="preserve"> </w:t>
      </w:r>
    </w:p>
    <w:p w14:paraId="57555AC7" w14:textId="660BEB63" w:rsidR="00297690" w:rsidRPr="00F855F4" w:rsidRDefault="00297690" w:rsidP="00297690">
      <w:pPr>
        <w:rPr>
          <w:lang w:eastAsia="en-AU"/>
        </w:rPr>
      </w:pPr>
      <w:r w:rsidRPr="00F855F4">
        <w:rPr>
          <w:lang w:eastAsia="en-AU"/>
        </w:rPr>
        <w:t>In addition to establishing that an applicant passes the reporting transfer test</w:t>
      </w:r>
      <w:r w:rsidR="004C2A71">
        <w:rPr>
          <w:lang w:eastAsia="en-AU"/>
        </w:rPr>
        <w:t xml:space="preserve">, </w:t>
      </w:r>
      <w:r w:rsidRPr="00F855F4">
        <w:rPr>
          <w:lang w:eastAsia="en-AU"/>
        </w:rPr>
        <w:t>the Clean Energy Regulator must also be satisfied that</w:t>
      </w:r>
      <w:r w:rsidR="00E97A53">
        <w:rPr>
          <w:lang w:eastAsia="en-AU"/>
        </w:rPr>
        <w:t xml:space="preserve"> both of </w:t>
      </w:r>
      <w:r w:rsidR="0071059E">
        <w:rPr>
          <w:lang w:eastAsia="en-AU"/>
        </w:rPr>
        <w:t>the following are true</w:t>
      </w:r>
      <w:r w:rsidRPr="00F855F4">
        <w:rPr>
          <w:lang w:eastAsia="en-AU"/>
        </w:rPr>
        <w:t>:</w:t>
      </w:r>
    </w:p>
    <w:p w14:paraId="00885FC6" w14:textId="347EF7C3" w:rsidR="00297690" w:rsidRDefault="00297690" w:rsidP="00297690">
      <w:pPr>
        <w:pStyle w:val="CERbullets"/>
        <w:ind w:left="360" w:hanging="360"/>
        <w:rPr>
          <w:lang w:eastAsia="en-AU"/>
        </w:rPr>
      </w:pPr>
      <w:r w:rsidRPr="00B7057F">
        <w:t xml:space="preserve">the applicant </w:t>
      </w:r>
      <w:r w:rsidR="00151B4F">
        <w:t>is able</w:t>
      </w:r>
      <w:r w:rsidRPr="00B7057F">
        <w:t xml:space="preserve">, and is likely to continue </w:t>
      </w:r>
      <w:r w:rsidR="00151B4F">
        <w:t xml:space="preserve">to be able to </w:t>
      </w:r>
      <w:r w:rsidRPr="001218B2">
        <w:rPr>
          <w:lang w:eastAsia="en-AU"/>
        </w:rPr>
        <w:t xml:space="preserve">comply with </w:t>
      </w:r>
      <w:r>
        <w:rPr>
          <w:lang w:eastAsia="en-AU"/>
        </w:rPr>
        <w:t>its obligations under the</w:t>
      </w:r>
      <w:r w:rsidRPr="001218B2">
        <w:rPr>
          <w:lang w:eastAsia="en-AU"/>
        </w:rPr>
        <w:t xml:space="preserve"> NGER Act </w:t>
      </w:r>
      <w:r w:rsidR="00B96CB3">
        <w:rPr>
          <w:lang w:eastAsia="en-AU"/>
        </w:rPr>
        <w:t>for</w:t>
      </w:r>
      <w:r>
        <w:rPr>
          <w:lang w:eastAsia="en-AU"/>
        </w:rPr>
        <w:t xml:space="preserve"> the facility </w:t>
      </w:r>
      <w:r w:rsidR="00B96CB3">
        <w:rPr>
          <w:lang w:eastAsia="en-AU"/>
        </w:rPr>
        <w:t>it will hold a RTC for</w:t>
      </w:r>
      <w:r w:rsidR="001E489C">
        <w:rPr>
          <w:lang w:eastAsia="en-AU"/>
        </w:rPr>
        <w:t>,</w:t>
      </w:r>
      <w:r w:rsidR="00D92DE7">
        <w:rPr>
          <w:lang w:eastAsia="en-AU"/>
        </w:rPr>
        <w:t xml:space="preserve"> by</w:t>
      </w:r>
      <w:r w:rsidR="00B161CB">
        <w:rPr>
          <w:lang w:eastAsia="en-AU"/>
        </w:rPr>
        <w:t xml:space="preserve"> having</w:t>
      </w:r>
      <w:r w:rsidR="00D92DE7">
        <w:rPr>
          <w:lang w:eastAsia="en-AU"/>
        </w:rPr>
        <w:t>:</w:t>
      </w:r>
    </w:p>
    <w:p w14:paraId="6F79EF35" w14:textId="39703DDF" w:rsidR="00D92DE7" w:rsidRDefault="00D92DE7" w:rsidP="00D92DE7">
      <w:pPr>
        <w:pStyle w:val="CERbullets"/>
        <w:numPr>
          <w:ilvl w:val="1"/>
          <w:numId w:val="21"/>
        </w:numPr>
        <w:rPr>
          <w:lang w:eastAsia="en-AU"/>
        </w:rPr>
      </w:pPr>
      <w:r w:rsidRPr="00F855F4">
        <w:t>capacity</w:t>
      </w:r>
      <w:r>
        <w:t xml:space="preserve"> </w:t>
      </w:r>
    </w:p>
    <w:p w14:paraId="12315845" w14:textId="349AB4F4" w:rsidR="00D92DE7" w:rsidRDefault="00D92DE7" w:rsidP="004039CF">
      <w:pPr>
        <w:pStyle w:val="CERbullets"/>
        <w:numPr>
          <w:ilvl w:val="1"/>
          <w:numId w:val="21"/>
        </w:numPr>
        <w:rPr>
          <w:lang w:eastAsia="en-AU"/>
        </w:rPr>
      </w:pPr>
      <w:r w:rsidRPr="00F855F4">
        <w:t xml:space="preserve">access to </w:t>
      </w:r>
      <w:r>
        <w:t xml:space="preserve">necessary </w:t>
      </w:r>
      <w:r w:rsidRPr="00F855F4">
        <w:t>information</w:t>
      </w:r>
      <w:r w:rsidR="00B161CB">
        <w:t>.</w:t>
      </w:r>
    </w:p>
    <w:p w14:paraId="0ACEF12B" w14:textId="05F3BE8C" w:rsidR="00297690" w:rsidRPr="001B5C34" w:rsidRDefault="00297690" w:rsidP="00297690">
      <w:pPr>
        <w:pStyle w:val="CERbullets"/>
        <w:ind w:left="360" w:hanging="360"/>
      </w:pPr>
      <w:r w:rsidRPr="001B5C34">
        <w:t xml:space="preserve">the operation of the facility </w:t>
      </w:r>
      <w:r w:rsidR="00D11172" w:rsidRPr="001B5C34">
        <w:t>during a financial year</w:t>
      </w:r>
      <w:r w:rsidR="00D11172">
        <w:t xml:space="preserve"> </w:t>
      </w:r>
      <w:r w:rsidRPr="001B5C34">
        <w:t xml:space="preserve">has </w:t>
      </w:r>
      <w:r>
        <w:t>caused</w:t>
      </w:r>
      <w:r w:rsidR="002148A6">
        <w:t>,</w:t>
      </w:r>
      <w:r>
        <w:t xml:space="preserve"> </w:t>
      </w:r>
      <w:r w:rsidRPr="001B5C34">
        <w:t>or is likely to cause</w:t>
      </w:r>
      <w:r w:rsidR="002148A6">
        <w:t>, one of the following</w:t>
      </w:r>
      <w:r w:rsidRPr="001B5C34">
        <w:t>:</w:t>
      </w:r>
    </w:p>
    <w:p w14:paraId="4006C7FA" w14:textId="0BAAB5DB" w:rsidR="00297690" w:rsidRPr="00F855F4" w:rsidRDefault="00297690" w:rsidP="00297690">
      <w:pPr>
        <w:pStyle w:val="CERbullets"/>
        <w:numPr>
          <w:ilvl w:val="1"/>
          <w:numId w:val="21"/>
        </w:numPr>
      </w:pPr>
      <w:r w:rsidRPr="00F855F4">
        <w:t>greenhouse gas emissions with a carbon dioxide equivalence of 25 kilotonnes or more</w:t>
      </w:r>
    </w:p>
    <w:p w14:paraId="5F32A07E" w14:textId="72E1B801" w:rsidR="00297690" w:rsidRPr="00F855F4" w:rsidRDefault="00297690" w:rsidP="00297690">
      <w:pPr>
        <w:pStyle w:val="CERbullets"/>
        <w:numPr>
          <w:ilvl w:val="1"/>
          <w:numId w:val="21"/>
        </w:numPr>
      </w:pPr>
      <w:r w:rsidRPr="00F855F4">
        <w:t>production of energy of 100 terajoules or more</w:t>
      </w:r>
    </w:p>
    <w:p w14:paraId="34210E4C" w14:textId="3ADE9362" w:rsidR="00297690" w:rsidRPr="00297690" w:rsidRDefault="00297690" w:rsidP="00297690">
      <w:pPr>
        <w:pStyle w:val="CERbullets"/>
        <w:numPr>
          <w:ilvl w:val="1"/>
          <w:numId w:val="21"/>
        </w:numPr>
        <w:rPr>
          <w:lang w:eastAsia="en-AU"/>
        </w:rPr>
      </w:pPr>
      <w:r w:rsidRPr="00F855F4">
        <w:t>consumption of energy of 100 terajoules or more.</w:t>
      </w:r>
    </w:p>
    <w:p w14:paraId="7FFC649C" w14:textId="6940B467" w:rsidR="00EF1FDF" w:rsidRDefault="00D5769A" w:rsidP="00EF1FDF">
      <w:pPr>
        <w:pStyle w:val="Heading2"/>
        <w:spacing w:after="240"/>
        <w:rPr>
          <w:lang w:eastAsia="en-AU"/>
        </w:rPr>
      </w:pPr>
      <w:bookmarkStart w:id="9" w:name="_Toc423619654"/>
      <w:bookmarkStart w:id="10" w:name="_Toc181713273"/>
      <w:r>
        <w:rPr>
          <w:lang w:eastAsia="en-AU"/>
        </w:rPr>
        <w:t xml:space="preserve">4. </w:t>
      </w:r>
      <w:r w:rsidR="00EF1FDF">
        <w:rPr>
          <w:lang w:eastAsia="en-AU"/>
        </w:rPr>
        <w:t>Applying for an RTC</w:t>
      </w:r>
      <w:bookmarkEnd w:id="9"/>
      <w:bookmarkEnd w:id="10"/>
    </w:p>
    <w:p w14:paraId="3132B0BF" w14:textId="35F92B16" w:rsidR="00EF1FDF" w:rsidRDefault="00EF1FDF" w:rsidP="00EF1FDF">
      <w:pPr>
        <w:rPr>
          <w:lang w:eastAsia="en-AU"/>
        </w:rPr>
      </w:pPr>
      <w:r w:rsidRPr="00F855F4">
        <w:rPr>
          <w:lang w:eastAsia="en-AU"/>
        </w:rPr>
        <w:t xml:space="preserve">The RTC application form and information on how to complete </w:t>
      </w:r>
      <w:r>
        <w:rPr>
          <w:lang w:eastAsia="en-AU"/>
        </w:rPr>
        <w:t xml:space="preserve">it is available in the </w:t>
      </w:r>
      <w:hyperlink r:id="rId14" w:history="1">
        <w:r w:rsidR="00FE40BD" w:rsidRPr="00951BB2">
          <w:rPr>
            <w:rStyle w:val="Hyperlink"/>
            <w:rFonts w:asciiTheme="minorHAnsi" w:hAnsiTheme="minorHAnsi"/>
            <w:lang w:eastAsia="en-AU"/>
          </w:rPr>
          <w:t xml:space="preserve">Report emissions and </w:t>
        </w:r>
        <w:r w:rsidR="0012385C" w:rsidRPr="00951BB2">
          <w:rPr>
            <w:rStyle w:val="Hyperlink"/>
            <w:rFonts w:asciiTheme="minorHAnsi" w:hAnsiTheme="minorHAnsi"/>
            <w:lang w:eastAsia="en-AU"/>
          </w:rPr>
          <w:t>energy</w:t>
        </w:r>
        <w:r w:rsidRPr="00951BB2">
          <w:rPr>
            <w:rStyle w:val="Hyperlink"/>
            <w:rFonts w:asciiTheme="minorHAnsi" w:hAnsiTheme="minorHAnsi"/>
            <w:vertAlign w:val="superscript"/>
            <w:lang w:eastAsia="en-AU"/>
          </w:rPr>
          <w:footnoteReference w:id="6"/>
        </w:r>
      </w:hyperlink>
      <w:r>
        <w:rPr>
          <w:lang w:eastAsia="en-AU"/>
        </w:rPr>
        <w:t xml:space="preserve"> section of the Clean Energy Regulator website.</w:t>
      </w:r>
    </w:p>
    <w:p w14:paraId="0FA4BF38" w14:textId="60F24BB6" w:rsidR="00D5769A" w:rsidRDefault="00D5769A" w:rsidP="00D5769A">
      <w:pPr>
        <w:pStyle w:val="Heading3"/>
        <w:spacing w:after="240"/>
        <w:rPr>
          <w:lang w:eastAsia="en-AU"/>
        </w:rPr>
      </w:pPr>
      <w:bookmarkStart w:id="11" w:name="_Toc423619655"/>
      <w:bookmarkStart w:id="12" w:name="_Toc181713274"/>
      <w:r>
        <w:rPr>
          <w:lang w:eastAsia="en-AU"/>
        </w:rPr>
        <w:t>4.1 Consents and statements</w:t>
      </w:r>
      <w:bookmarkEnd w:id="11"/>
      <w:bookmarkEnd w:id="12"/>
    </w:p>
    <w:p w14:paraId="023AA367" w14:textId="32F6C5E2" w:rsidR="00392453" w:rsidRDefault="00D5769A" w:rsidP="00392453">
      <w:pPr>
        <w:rPr>
          <w:lang w:eastAsia="en-AU"/>
        </w:rPr>
      </w:pPr>
      <w:r>
        <w:rPr>
          <w:lang w:eastAsia="en-AU"/>
        </w:rPr>
        <w:t xml:space="preserve">An RTC </w:t>
      </w:r>
      <w:r w:rsidRPr="001218B2">
        <w:rPr>
          <w:lang w:eastAsia="en-AU"/>
        </w:rPr>
        <w:t xml:space="preserve">application must be accompanied by </w:t>
      </w:r>
      <w:r>
        <w:rPr>
          <w:lang w:eastAsia="en-AU"/>
        </w:rPr>
        <w:t>written consent</w:t>
      </w:r>
      <w:r w:rsidR="00906999">
        <w:rPr>
          <w:lang w:eastAsia="en-AU"/>
        </w:rPr>
        <w:t>s</w:t>
      </w:r>
      <w:r w:rsidR="004E6198">
        <w:rPr>
          <w:lang w:eastAsia="en-AU"/>
        </w:rPr>
        <w:t xml:space="preserve"> </w:t>
      </w:r>
      <w:r w:rsidR="00392453" w:rsidRPr="001F0ED4">
        <w:rPr>
          <w:lang w:eastAsia="en-AU"/>
        </w:rPr>
        <w:t xml:space="preserve">signed by an executive officer of the corporation </w:t>
      </w:r>
      <w:r w:rsidR="00693A3B">
        <w:rPr>
          <w:lang w:eastAsia="en-AU"/>
        </w:rPr>
        <w:t>giving consent</w:t>
      </w:r>
      <w:r w:rsidR="00392453">
        <w:rPr>
          <w:lang w:eastAsia="en-AU"/>
        </w:rPr>
        <w:t xml:space="preserve">. </w:t>
      </w:r>
    </w:p>
    <w:p w14:paraId="485F1865" w14:textId="180988B5" w:rsidR="00D5769A" w:rsidRDefault="002D3C6D" w:rsidP="0023333F">
      <w:pPr>
        <w:rPr>
          <w:lang w:eastAsia="en-AU"/>
        </w:rPr>
      </w:pPr>
      <w:r>
        <w:rPr>
          <w:lang w:eastAsia="en-AU"/>
        </w:rPr>
        <w:t>Written consent must be received from</w:t>
      </w:r>
      <w:r w:rsidR="009650BD">
        <w:rPr>
          <w:lang w:eastAsia="en-AU"/>
        </w:rPr>
        <w:t xml:space="preserve"> </w:t>
      </w:r>
      <w:r w:rsidR="00D5769A" w:rsidRPr="001B5C34">
        <w:rPr>
          <w:lang w:eastAsia="en-AU"/>
        </w:rPr>
        <w:t xml:space="preserve">the </w:t>
      </w:r>
      <w:r w:rsidR="00D5769A" w:rsidRPr="001B5C34">
        <w:rPr>
          <w:b/>
          <w:lang w:eastAsia="en-AU"/>
        </w:rPr>
        <w:t>applicant’s controlling corporation</w:t>
      </w:r>
      <w:r w:rsidR="00C079D1">
        <w:rPr>
          <w:lang w:eastAsia="en-AU"/>
        </w:rPr>
        <w:t>,</w:t>
      </w:r>
      <w:r w:rsidR="00CD4B24">
        <w:rPr>
          <w:lang w:eastAsia="en-AU"/>
        </w:rPr>
        <w:t xml:space="preserve"> </w:t>
      </w:r>
      <w:r w:rsidR="00D5769A" w:rsidRPr="001B5C34">
        <w:rPr>
          <w:lang w:eastAsia="en-AU"/>
        </w:rPr>
        <w:t>unless the applicant is the controlling corporation of its corporate group</w:t>
      </w:r>
      <w:r w:rsidR="00CD4B24">
        <w:rPr>
          <w:lang w:eastAsia="en-AU"/>
        </w:rPr>
        <w:t>.</w:t>
      </w:r>
    </w:p>
    <w:p w14:paraId="5065F484" w14:textId="7AA8759B" w:rsidR="00127FED" w:rsidRPr="001B5C34" w:rsidRDefault="004B3CC9" w:rsidP="004039CF">
      <w:pPr>
        <w:rPr>
          <w:lang w:eastAsia="en-AU"/>
        </w:rPr>
      </w:pPr>
      <w:r>
        <w:rPr>
          <w:lang w:eastAsia="en-AU"/>
        </w:rPr>
        <w:t>W</w:t>
      </w:r>
      <w:r w:rsidR="00286D36">
        <w:rPr>
          <w:lang w:eastAsia="en-AU"/>
        </w:rPr>
        <w:t xml:space="preserve">ritten consent </w:t>
      </w:r>
      <w:r>
        <w:rPr>
          <w:lang w:eastAsia="en-AU"/>
        </w:rPr>
        <w:t>must also be provided by</w:t>
      </w:r>
      <w:r w:rsidR="00286D36">
        <w:rPr>
          <w:lang w:eastAsia="en-AU"/>
        </w:rPr>
        <w:t xml:space="preserve"> </w:t>
      </w:r>
      <w:r w:rsidR="00127FED" w:rsidRPr="004039CF">
        <w:rPr>
          <w:b/>
          <w:bCs/>
          <w:lang w:eastAsia="en-AU"/>
        </w:rPr>
        <w:t>one</w:t>
      </w:r>
      <w:r w:rsidR="00127FED">
        <w:rPr>
          <w:lang w:eastAsia="en-AU"/>
        </w:rPr>
        <w:t xml:space="preserve"> of the following</w:t>
      </w:r>
      <w:r w:rsidR="00286D36">
        <w:rPr>
          <w:lang w:eastAsia="en-AU"/>
        </w:rPr>
        <w:t>:</w:t>
      </w:r>
    </w:p>
    <w:p w14:paraId="0337C578" w14:textId="1349641F" w:rsidR="00D5769A" w:rsidRPr="001B5C34" w:rsidRDefault="00D5769A" w:rsidP="00D5769A">
      <w:pPr>
        <w:pStyle w:val="CERbullets"/>
        <w:ind w:left="360" w:hanging="360"/>
        <w:rPr>
          <w:lang w:eastAsia="en-AU"/>
        </w:rPr>
      </w:pPr>
      <w:r w:rsidRPr="005E7302">
        <w:rPr>
          <w:lang w:eastAsia="en-AU"/>
        </w:rPr>
        <w:lastRenderedPageBreak/>
        <w:t xml:space="preserve">the </w:t>
      </w:r>
      <w:r>
        <w:rPr>
          <w:b/>
          <w:lang w:eastAsia="en-AU"/>
        </w:rPr>
        <w:t xml:space="preserve">controlling corporation </w:t>
      </w:r>
      <w:r w:rsidRPr="004039CF">
        <w:rPr>
          <w:bCs/>
          <w:lang w:eastAsia="en-AU"/>
        </w:rPr>
        <w:t>of the corporation with operational control</w:t>
      </w:r>
    </w:p>
    <w:p w14:paraId="0D9F39DB" w14:textId="0192B848" w:rsidR="00D5769A" w:rsidRDefault="00D5769A" w:rsidP="00D5769A">
      <w:pPr>
        <w:pStyle w:val="CERbullets"/>
        <w:ind w:left="360" w:hanging="360"/>
        <w:rPr>
          <w:lang w:eastAsia="en-AU"/>
        </w:rPr>
      </w:pPr>
      <w:r w:rsidRPr="003137AC">
        <w:rPr>
          <w:lang w:eastAsia="en-AU"/>
        </w:rPr>
        <w:t xml:space="preserve">the </w:t>
      </w:r>
      <w:r>
        <w:rPr>
          <w:b/>
          <w:lang w:eastAsia="en-AU"/>
        </w:rPr>
        <w:t>corporation</w:t>
      </w:r>
      <w:r w:rsidRPr="003137AC">
        <w:rPr>
          <w:b/>
          <w:lang w:eastAsia="en-AU"/>
        </w:rPr>
        <w:t xml:space="preserve"> with operational control</w:t>
      </w:r>
      <w:r>
        <w:rPr>
          <w:lang w:eastAsia="en-AU"/>
        </w:rPr>
        <w:t>,</w:t>
      </w:r>
      <w:r w:rsidRPr="006D5A91">
        <w:rPr>
          <w:lang w:eastAsia="en-AU"/>
        </w:rPr>
        <w:t xml:space="preserve"> </w:t>
      </w:r>
      <w:r w:rsidR="006F3E2E">
        <w:rPr>
          <w:lang w:eastAsia="en-AU"/>
        </w:rPr>
        <w:t>when it</w:t>
      </w:r>
      <w:r w:rsidRPr="001B5C34">
        <w:rPr>
          <w:lang w:eastAsia="en-AU"/>
        </w:rPr>
        <w:t xml:space="preserve"> is the controlling corporation of its corporate group.</w:t>
      </w:r>
    </w:p>
    <w:p w14:paraId="00C4E717" w14:textId="5D895B8B" w:rsidR="00D5769A" w:rsidRDefault="00BE7C52" w:rsidP="00D5769A">
      <w:pPr>
        <w:rPr>
          <w:lang w:eastAsia="en-AU"/>
        </w:rPr>
      </w:pPr>
      <w:r>
        <w:rPr>
          <w:lang w:eastAsia="en-AU"/>
        </w:rPr>
        <w:t xml:space="preserve">A written statement </w:t>
      </w:r>
      <w:r w:rsidR="007B75FD">
        <w:rPr>
          <w:lang w:eastAsia="en-AU"/>
        </w:rPr>
        <w:t xml:space="preserve">from the corporation with operational control must also be signed by an </w:t>
      </w:r>
      <w:r w:rsidR="00AF6CC7">
        <w:rPr>
          <w:lang w:eastAsia="en-AU"/>
        </w:rPr>
        <w:t>e</w:t>
      </w:r>
      <w:r w:rsidR="007B75FD">
        <w:rPr>
          <w:lang w:eastAsia="en-AU"/>
        </w:rPr>
        <w:t xml:space="preserve">xecutive </w:t>
      </w:r>
      <w:r w:rsidR="00AF6CC7">
        <w:rPr>
          <w:lang w:eastAsia="en-AU"/>
        </w:rPr>
        <w:t>o</w:t>
      </w:r>
      <w:r w:rsidR="007B75FD">
        <w:rPr>
          <w:lang w:eastAsia="en-AU"/>
        </w:rPr>
        <w:t xml:space="preserve">fficer and submitted with the application.  </w:t>
      </w:r>
      <w:r w:rsidR="00940E65">
        <w:rPr>
          <w:spacing w:val="-4"/>
          <w:szCs w:val="22"/>
        </w:rPr>
        <w:t xml:space="preserve">This will </w:t>
      </w:r>
      <w:r w:rsidR="00940E65">
        <w:rPr>
          <w:szCs w:val="22"/>
        </w:rPr>
        <w:t>state</w:t>
      </w:r>
      <w:r w:rsidR="00940E65" w:rsidRPr="00753A8B">
        <w:rPr>
          <w:szCs w:val="22"/>
        </w:rPr>
        <w:t xml:space="preserve"> the corporation has agreed to give the applicant </w:t>
      </w:r>
      <w:r w:rsidR="00940E65">
        <w:rPr>
          <w:szCs w:val="22"/>
        </w:rPr>
        <w:t>all</w:t>
      </w:r>
      <w:r w:rsidR="00940E65" w:rsidRPr="00753A8B">
        <w:rPr>
          <w:szCs w:val="22"/>
        </w:rPr>
        <w:t xml:space="preserve"> information necessary to comply with obligations that will be imposed on it by the NGER Act if the RTC is issued</w:t>
      </w:r>
      <w:r w:rsidR="00940E65">
        <w:rPr>
          <w:szCs w:val="22"/>
        </w:rPr>
        <w:t>.</w:t>
      </w:r>
    </w:p>
    <w:p w14:paraId="1CE2036C" w14:textId="77777777" w:rsidR="00D5769A" w:rsidRPr="00F855F4" w:rsidRDefault="00D5769A" w:rsidP="00D5769A">
      <w:pPr>
        <w:rPr>
          <w:lang w:eastAsia="en-AU"/>
        </w:rPr>
      </w:pPr>
      <w:r w:rsidRPr="00F855F4">
        <w:rPr>
          <w:lang w:eastAsia="en-AU"/>
        </w:rPr>
        <w:t xml:space="preserve">Executive officer, in relation to a </w:t>
      </w:r>
      <w:r>
        <w:rPr>
          <w:lang w:eastAsia="en-AU"/>
        </w:rPr>
        <w:t>corporation means</w:t>
      </w:r>
      <w:r w:rsidRPr="00F855F4">
        <w:rPr>
          <w:lang w:eastAsia="en-AU"/>
        </w:rPr>
        <w:t>:</w:t>
      </w:r>
    </w:p>
    <w:p w14:paraId="25AA0434" w14:textId="77777777" w:rsidR="00D5769A" w:rsidRPr="00A2074B" w:rsidRDefault="00D5769A" w:rsidP="00D5769A">
      <w:pPr>
        <w:pStyle w:val="CERbullets"/>
        <w:ind w:left="360" w:hanging="360"/>
      </w:pPr>
      <w:r w:rsidRPr="00A2074B">
        <w:t>a director of the body corporate</w:t>
      </w:r>
    </w:p>
    <w:p w14:paraId="06700630" w14:textId="77777777" w:rsidR="00D5769A" w:rsidRPr="00A2074B" w:rsidRDefault="00D5769A" w:rsidP="00D5769A">
      <w:pPr>
        <w:pStyle w:val="CERbullets"/>
        <w:ind w:left="360" w:hanging="360"/>
      </w:pPr>
      <w:r w:rsidRPr="00A2074B">
        <w:t xml:space="preserve">the chief executive officer (however described) of the body corporate </w:t>
      </w:r>
    </w:p>
    <w:p w14:paraId="12AA1F9E" w14:textId="34AFD83A" w:rsidR="00D5769A" w:rsidRPr="00A2074B" w:rsidRDefault="00D5769A" w:rsidP="00D5769A">
      <w:pPr>
        <w:pStyle w:val="CERbullets"/>
        <w:ind w:left="360" w:hanging="360"/>
      </w:pPr>
      <w:r w:rsidRPr="00A2074B">
        <w:t>the chief financial officer (however described) of the body corporate</w:t>
      </w:r>
    </w:p>
    <w:p w14:paraId="238BA6C3" w14:textId="77777777" w:rsidR="00D5769A" w:rsidRPr="00A2074B" w:rsidRDefault="00D5769A" w:rsidP="00D5769A">
      <w:pPr>
        <w:pStyle w:val="CERbullets"/>
        <w:ind w:left="360" w:hanging="360"/>
      </w:pPr>
      <w:r w:rsidRPr="00A2074B">
        <w:t>the secretary of the body corporate.</w:t>
      </w:r>
    </w:p>
    <w:p w14:paraId="5E5F4B6B" w14:textId="4B8EC8EE" w:rsidR="00D5769A" w:rsidRPr="00D5769A" w:rsidRDefault="00D5769A" w:rsidP="00D5769A">
      <w:pPr>
        <w:pStyle w:val="Heading3"/>
        <w:spacing w:after="240"/>
      </w:pPr>
      <w:bookmarkStart w:id="13" w:name="_Toc423619656"/>
      <w:bookmarkStart w:id="14" w:name="_Toc181713275"/>
      <w:r>
        <w:t xml:space="preserve">4.2 </w:t>
      </w:r>
      <w:r w:rsidRPr="00D5769A">
        <w:t>Shared responsibility</w:t>
      </w:r>
      <w:bookmarkEnd w:id="13"/>
      <w:bookmarkEnd w:id="14"/>
    </w:p>
    <w:p w14:paraId="08DD2862" w14:textId="5906E6BC" w:rsidR="00D5769A" w:rsidRPr="00F855F4" w:rsidRDefault="00D5769A" w:rsidP="00D5769A">
      <w:pPr>
        <w:rPr>
          <w:lang w:eastAsia="en-AU"/>
        </w:rPr>
      </w:pPr>
      <w:r w:rsidRPr="00F855F4">
        <w:rPr>
          <w:lang w:eastAsia="en-AU"/>
        </w:rPr>
        <w:t>Where more than one executive fits this category, the corporation should identify the person who has primary responsibility for the discharge of the relevant function under the NGER Act.</w:t>
      </w:r>
    </w:p>
    <w:p w14:paraId="2762E948" w14:textId="1E39624E" w:rsidR="00D5769A" w:rsidRPr="00F855F4" w:rsidRDefault="00D5769A" w:rsidP="00D5769A">
      <w:pPr>
        <w:pStyle w:val="Heading3"/>
        <w:spacing w:after="240"/>
        <w:rPr>
          <w:lang w:eastAsia="en-AU"/>
        </w:rPr>
      </w:pPr>
      <w:bookmarkStart w:id="15" w:name="_Toc423619657"/>
      <w:bookmarkStart w:id="16" w:name="_Toc181713276"/>
      <w:r>
        <w:rPr>
          <w:lang w:eastAsia="en-AU"/>
        </w:rPr>
        <w:t xml:space="preserve">4.3 </w:t>
      </w:r>
      <w:r w:rsidRPr="00F855F4">
        <w:rPr>
          <w:lang w:eastAsia="en-AU"/>
        </w:rPr>
        <w:t xml:space="preserve">External </w:t>
      </w:r>
      <w:r>
        <w:rPr>
          <w:lang w:eastAsia="en-AU"/>
        </w:rPr>
        <w:t>a</w:t>
      </w:r>
      <w:r w:rsidRPr="00F855F4">
        <w:rPr>
          <w:lang w:eastAsia="en-AU"/>
        </w:rPr>
        <w:t>dministration</w:t>
      </w:r>
      <w:bookmarkEnd w:id="15"/>
      <w:bookmarkEnd w:id="16"/>
    </w:p>
    <w:p w14:paraId="189C330B" w14:textId="77777777" w:rsidR="00D5769A" w:rsidRPr="00F855F4" w:rsidRDefault="00D5769A" w:rsidP="00D5769A">
      <w:pPr>
        <w:rPr>
          <w:lang w:eastAsia="en-AU"/>
        </w:rPr>
      </w:pPr>
      <w:r w:rsidRPr="00F855F4">
        <w:rPr>
          <w:lang w:eastAsia="en-AU"/>
        </w:rPr>
        <w:t xml:space="preserve">Where a corporation is under external administration within the meaning of the </w:t>
      </w:r>
      <w:r w:rsidRPr="00F855F4">
        <w:rPr>
          <w:i/>
          <w:lang w:eastAsia="en-AU"/>
        </w:rPr>
        <w:t>Corporations Act 2001</w:t>
      </w:r>
      <w:r w:rsidRPr="00F855F4">
        <w:rPr>
          <w:lang w:eastAsia="en-AU"/>
        </w:rPr>
        <w:t>, the chief executive officer or equivalent may be the most senior administrator.</w:t>
      </w:r>
    </w:p>
    <w:p w14:paraId="3B5EF634" w14:textId="27524356" w:rsidR="00D5769A" w:rsidRPr="00155037" w:rsidRDefault="00D5769A" w:rsidP="00D5769A">
      <w:pPr>
        <w:pStyle w:val="Heading3"/>
        <w:spacing w:after="240"/>
      </w:pPr>
      <w:bookmarkStart w:id="17" w:name="_Toc423619658"/>
      <w:bookmarkStart w:id="18" w:name="_Toc332098894"/>
      <w:bookmarkStart w:id="19" w:name="_Toc345932410"/>
      <w:bookmarkStart w:id="20" w:name="_Toc181713277"/>
      <w:r>
        <w:t>4.4 Timeframes for granting an RTC</w:t>
      </w:r>
      <w:bookmarkEnd w:id="17"/>
      <w:bookmarkEnd w:id="18"/>
      <w:bookmarkEnd w:id="19"/>
      <w:bookmarkEnd w:id="20"/>
    </w:p>
    <w:p w14:paraId="4517EE20" w14:textId="78CEA6F1" w:rsidR="00D5769A" w:rsidRPr="00F855F4" w:rsidRDefault="00D5769A" w:rsidP="00D5769A">
      <w:pPr>
        <w:rPr>
          <w:lang w:eastAsia="en-AU"/>
        </w:rPr>
      </w:pPr>
      <w:r w:rsidRPr="00F855F4">
        <w:rPr>
          <w:lang w:eastAsia="en-AU"/>
        </w:rPr>
        <w:t xml:space="preserve">The Clean Energy Regulator must take all reasonable steps to ensure a decision is made on an RTC application within 90 days of receiving </w:t>
      </w:r>
      <w:r>
        <w:rPr>
          <w:lang w:eastAsia="en-AU"/>
        </w:rPr>
        <w:t>the</w:t>
      </w:r>
      <w:r w:rsidRPr="00F855F4">
        <w:rPr>
          <w:lang w:eastAsia="en-AU"/>
        </w:rPr>
        <w:t xml:space="preserve"> application.</w:t>
      </w:r>
    </w:p>
    <w:p w14:paraId="4217152C" w14:textId="5E842DCD" w:rsidR="00D5769A" w:rsidRPr="00F855F4" w:rsidRDefault="00D5769A" w:rsidP="00D5769A">
      <w:pPr>
        <w:rPr>
          <w:lang w:eastAsia="en-AU"/>
        </w:rPr>
      </w:pPr>
      <w:r w:rsidRPr="00F855F4">
        <w:rPr>
          <w:lang w:eastAsia="en-AU"/>
        </w:rPr>
        <w:t xml:space="preserve">To assist the Clean Energy Regulator’s decision making, </w:t>
      </w:r>
      <w:r>
        <w:rPr>
          <w:lang w:eastAsia="en-AU"/>
        </w:rPr>
        <w:t>we</w:t>
      </w:r>
      <w:r w:rsidRPr="00F855F4">
        <w:rPr>
          <w:lang w:eastAsia="en-AU"/>
        </w:rPr>
        <w:t xml:space="preserve"> may, by written notice, request </w:t>
      </w:r>
      <w:r w:rsidRPr="00A2074B">
        <w:rPr>
          <w:lang w:eastAsia="en-AU"/>
        </w:rPr>
        <w:t xml:space="preserve">an applicant to provide </w:t>
      </w:r>
      <w:r w:rsidR="009D4746">
        <w:rPr>
          <w:lang w:eastAsia="en-AU"/>
        </w:rPr>
        <w:t xml:space="preserve">additional </w:t>
      </w:r>
      <w:r w:rsidRPr="00F855F4">
        <w:rPr>
          <w:lang w:eastAsia="en-AU"/>
        </w:rPr>
        <w:t>information within a period specified in the notice. If the applicant does not provide the information in the time required</w:t>
      </w:r>
      <w:r w:rsidR="00AB43F0">
        <w:rPr>
          <w:lang w:eastAsia="en-AU"/>
        </w:rPr>
        <w:t>,</w:t>
      </w:r>
      <w:r w:rsidRPr="00F855F4">
        <w:rPr>
          <w:lang w:eastAsia="en-AU"/>
        </w:rPr>
        <w:t xml:space="preserve"> the Clean Energy Regulator may refuse to consider the application or refuse to take any action, or any further action, concerning the application.</w:t>
      </w:r>
    </w:p>
    <w:p w14:paraId="0A9400C5" w14:textId="504B65B7" w:rsidR="00D5769A" w:rsidRPr="00F855F4" w:rsidRDefault="00D5769A" w:rsidP="00D5769A">
      <w:pPr>
        <w:rPr>
          <w:lang w:eastAsia="en-AU"/>
        </w:rPr>
      </w:pPr>
      <w:r w:rsidRPr="00F855F4">
        <w:rPr>
          <w:lang w:eastAsia="en-AU"/>
        </w:rPr>
        <w:t xml:space="preserve">In the case where </w:t>
      </w:r>
      <w:r w:rsidR="00277B31">
        <w:rPr>
          <w:lang w:eastAsia="en-AU"/>
        </w:rPr>
        <w:t>additional</w:t>
      </w:r>
      <w:r w:rsidR="00277B31" w:rsidRPr="00F855F4">
        <w:rPr>
          <w:lang w:eastAsia="en-AU"/>
        </w:rPr>
        <w:t xml:space="preserve"> </w:t>
      </w:r>
      <w:r w:rsidRPr="00F855F4">
        <w:rPr>
          <w:lang w:eastAsia="en-AU"/>
        </w:rPr>
        <w:t xml:space="preserve">information is requested, the Clean Energy Regulator must take all reasonable steps to ensure that a decision is made within 90 days of being provided with </w:t>
      </w:r>
      <w:r w:rsidR="00277B31">
        <w:rPr>
          <w:lang w:eastAsia="en-AU"/>
        </w:rPr>
        <w:t xml:space="preserve">the additional </w:t>
      </w:r>
      <w:r w:rsidRPr="00F855F4">
        <w:rPr>
          <w:lang w:eastAsia="en-AU"/>
        </w:rPr>
        <w:t>information.</w:t>
      </w:r>
    </w:p>
    <w:p w14:paraId="6AEE397D" w14:textId="13352F80" w:rsidR="00D5769A" w:rsidRPr="00155037" w:rsidRDefault="00D5769A" w:rsidP="00D5769A">
      <w:pPr>
        <w:pStyle w:val="Heading3"/>
        <w:spacing w:after="240"/>
      </w:pPr>
      <w:bookmarkStart w:id="21" w:name="_Toc423619659"/>
      <w:bookmarkStart w:id="22" w:name="_Toc332098895"/>
      <w:bookmarkStart w:id="23" w:name="_Toc345932411"/>
      <w:bookmarkStart w:id="24" w:name="_Toc181713278"/>
      <w:r>
        <w:t>4.5 Refusal of applications</w:t>
      </w:r>
      <w:bookmarkEnd w:id="21"/>
      <w:bookmarkEnd w:id="22"/>
      <w:bookmarkEnd w:id="23"/>
      <w:bookmarkEnd w:id="24"/>
    </w:p>
    <w:p w14:paraId="50206BE4" w14:textId="77777777" w:rsidR="00D5769A" w:rsidRDefault="00D5769A" w:rsidP="00D5769A">
      <w:pPr>
        <w:rPr>
          <w:lang w:eastAsia="en-AU"/>
        </w:rPr>
      </w:pPr>
      <w:r w:rsidRPr="00F855F4">
        <w:rPr>
          <w:lang w:eastAsia="en-AU"/>
        </w:rPr>
        <w:t xml:space="preserve">The Clean Energy Regulator must not issue an RTC unless satisfied that the applicant meets the relevant criteria. </w:t>
      </w:r>
    </w:p>
    <w:p w14:paraId="30032FE2" w14:textId="77777777" w:rsidR="002F39AA" w:rsidRPr="00F855F4" w:rsidRDefault="002F39AA" w:rsidP="00D5769A">
      <w:pPr>
        <w:rPr>
          <w:lang w:eastAsia="en-AU"/>
        </w:rPr>
      </w:pPr>
    </w:p>
    <w:p w14:paraId="3ED3387F" w14:textId="7293A77B" w:rsidR="00D5769A" w:rsidRDefault="00D5769A" w:rsidP="00D5769A">
      <w:pPr>
        <w:pStyle w:val="Heading2"/>
        <w:rPr>
          <w:lang w:eastAsia="en-AU"/>
        </w:rPr>
      </w:pPr>
      <w:bookmarkStart w:id="25" w:name="_Toc423619660"/>
      <w:bookmarkStart w:id="26" w:name="_Toc181713279"/>
      <w:bookmarkStart w:id="27" w:name="_Toc345932412"/>
      <w:r>
        <w:rPr>
          <w:lang w:eastAsia="en-AU"/>
        </w:rPr>
        <w:lastRenderedPageBreak/>
        <w:t>5. When an RTC is issued</w:t>
      </w:r>
      <w:bookmarkEnd w:id="25"/>
      <w:bookmarkEnd w:id="26"/>
    </w:p>
    <w:p w14:paraId="482B3614" w14:textId="76281C02" w:rsidR="00D5769A" w:rsidRPr="00FB5AF7" w:rsidRDefault="00D5769A" w:rsidP="00D5769A">
      <w:pPr>
        <w:pStyle w:val="Heading3"/>
        <w:spacing w:after="240"/>
        <w:rPr>
          <w:lang w:eastAsia="en-AU"/>
        </w:rPr>
      </w:pPr>
      <w:bookmarkStart w:id="28" w:name="_Toc423619661"/>
      <w:bookmarkStart w:id="29" w:name="_Toc181713280"/>
      <w:r>
        <w:rPr>
          <w:lang w:eastAsia="en-AU"/>
        </w:rPr>
        <w:t>5.1 Start date of an RTC</w:t>
      </w:r>
      <w:bookmarkEnd w:id="27"/>
      <w:bookmarkEnd w:id="28"/>
      <w:bookmarkEnd w:id="29"/>
    </w:p>
    <w:p w14:paraId="4CFED01C" w14:textId="04C4C0BD" w:rsidR="00D5769A" w:rsidRPr="00F855F4" w:rsidRDefault="00D5769A" w:rsidP="00D5769A">
      <w:pPr>
        <w:rPr>
          <w:lang w:eastAsia="en-AU"/>
        </w:rPr>
      </w:pPr>
      <w:r w:rsidRPr="00F855F4">
        <w:rPr>
          <w:lang w:eastAsia="en-AU"/>
        </w:rPr>
        <w:t>When an application for an RTC is approved by the Clean Energy Regulator, the applicant will be issued with an RTC. The RTC will take effect on the day specified on the certificate</w:t>
      </w:r>
      <w:r w:rsidR="00BF3DD5">
        <w:rPr>
          <w:lang w:eastAsia="en-AU"/>
        </w:rPr>
        <w:t xml:space="preserve">, </w:t>
      </w:r>
      <w:r w:rsidR="00BF3DD5" w:rsidRPr="00F855F4">
        <w:rPr>
          <w:lang w:eastAsia="en-AU"/>
        </w:rPr>
        <w:t>unless the application nominates an alternative start date.</w:t>
      </w:r>
    </w:p>
    <w:p w14:paraId="6682A380" w14:textId="33D3606B" w:rsidR="00D5769A" w:rsidRPr="00F855F4" w:rsidDel="00D07A75" w:rsidRDefault="00D5769A" w:rsidP="00D5769A">
      <w:pPr>
        <w:rPr>
          <w:lang w:eastAsia="en-AU"/>
        </w:rPr>
      </w:pPr>
      <w:r>
        <w:rPr>
          <w:lang w:eastAsia="en-AU"/>
        </w:rPr>
        <w:t xml:space="preserve">Where an RTC </w:t>
      </w:r>
      <w:r w:rsidRPr="00F855F4" w:rsidDel="00D07A75">
        <w:rPr>
          <w:lang w:eastAsia="en-AU"/>
        </w:rPr>
        <w:t xml:space="preserve">is issued </w:t>
      </w:r>
      <w:r>
        <w:rPr>
          <w:lang w:eastAsia="en-AU"/>
        </w:rPr>
        <w:t>part-way</w:t>
      </w:r>
      <w:r w:rsidRPr="00F855F4" w:rsidDel="00D07A75">
        <w:rPr>
          <w:lang w:eastAsia="en-AU"/>
        </w:rPr>
        <w:t xml:space="preserve"> through a financial </w:t>
      </w:r>
      <w:r w:rsidR="003275AB" w:rsidRPr="00F855F4" w:rsidDel="00D07A75">
        <w:rPr>
          <w:lang w:eastAsia="en-AU"/>
        </w:rPr>
        <w:t>yea</w:t>
      </w:r>
      <w:r w:rsidR="003275AB">
        <w:rPr>
          <w:lang w:eastAsia="en-AU"/>
        </w:rPr>
        <w:t>r,</w:t>
      </w:r>
      <w:r>
        <w:rPr>
          <w:lang w:eastAsia="en-AU"/>
        </w:rPr>
        <w:t xml:space="preserve"> part</w:t>
      </w:r>
      <w:r w:rsidR="004707CB">
        <w:rPr>
          <w:lang w:eastAsia="en-AU"/>
        </w:rPr>
        <w:t>-</w:t>
      </w:r>
      <w:r>
        <w:rPr>
          <w:lang w:eastAsia="en-AU"/>
        </w:rPr>
        <w:t>year reporting obligations will apply. These obligations arise regardless of whether a start date is or is not provided. This means that the corporation with operational control over the facility will be required to report on the facility for the period before the RTC was issued and the RTC holder will report on the facility for the period when they held the RTC.</w:t>
      </w:r>
    </w:p>
    <w:p w14:paraId="31049067" w14:textId="0FFA6758" w:rsidR="0083763C" w:rsidRPr="00ED776F" w:rsidRDefault="00D5769A" w:rsidP="00ED776F">
      <w:pPr>
        <w:pStyle w:val="Heading3"/>
        <w:spacing w:after="240"/>
        <w:rPr>
          <w:rFonts w:asciiTheme="minorHAnsi" w:eastAsia="Cambria" w:hAnsiTheme="minorHAnsi" w:cstheme="minorHAnsi"/>
          <w:b w:val="0"/>
          <w:bCs w:val="0"/>
          <w:sz w:val="22"/>
          <w:szCs w:val="24"/>
          <w:lang w:eastAsia="en-AU"/>
        </w:rPr>
      </w:pPr>
      <w:r w:rsidRPr="004039CF">
        <w:rPr>
          <w:rFonts w:asciiTheme="minorHAnsi" w:eastAsia="Cambria" w:hAnsiTheme="minorHAnsi" w:cstheme="minorHAnsi"/>
          <w:b w:val="0"/>
          <w:bCs w:val="0"/>
          <w:sz w:val="22"/>
          <w:szCs w:val="24"/>
          <w:lang w:eastAsia="en-AU"/>
        </w:rPr>
        <w:t xml:space="preserve">Where a start date is nominated, the application must also include written consent </w:t>
      </w:r>
      <w:r w:rsidR="00D0690A" w:rsidRPr="004039CF">
        <w:rPr>
          <w:rFonts w:asciiTheme="minorHAnsi" w:eastAsia="Cambria" w:hAnsiTheme="minorHAnsi" w:cstheme="minorHAnsi"/>
          <w:b w:val="0"/>
          <w:bCs w:val="0"/>
          <w:sz w:val="22"/>
          <w:szCs w:val="24"/>
          <w:lang w:eastAsia="en-AU"/>
        </w:rPr>
        <w:t>regarding the start day</w:t>
      </w:r>
      <w:r w:rsidR="00946705" w:rsidRPr="004039CF">
        <w:rPr>
          <w:rFonts w:asciiTheme="minorHAnsi" w:eastAsia="Cambria" w:hAnsiTheme="minorHAnsi" w:cstheme="minorHAnsi"/>
          <w:b w:val="0"/>
          <w:bCs w:val="0"/>
          <w:sz w:val="22"/>
          <w:szCs w:val="24"/>
          <w:lang w:eastAsia="en-AU"/>
        </w:rPr>
        <w:t xml:space="preserve">, from the </w:t>
      </w:r>
      <w:r w:rsidR="00070554" w:rsidRPr="004039CF">
        <w:rPr>
          <w:rFonts w:asciiTheme="minorHAnsi" w:eastAsia="Cambria" w:hAnsiTheme="minorHAnsi" w:cstheme="minorHAnsi"/>
          <w:b w:val="0"/>
          <w:bCs w:val="0"/>
          <w:sz w:val="22"/>
          <w:szCs w:val="24"/>
          <w:lang w:eastAsia="en-AU"/>
        </w:rPr>
        <w:t xml:space="preserve">same </w:t>
      </w:r>
      <w:r w:rsidR="00946705" w:rsidRPr="004039CF">
        <w:rPr>
          <w:rFonts w:asciiTheme="minorHAnsi" w:eastAsia="Cambria" w:hAnsiTheme="minorHAnsi" w:cstheme="minorHAnsi"/>
          <w:b w:val="0"/>
          <w:bCs w:val="0"/>
          <w:sz w:val="22"/>
          <w:szCs w:val="24"/>
          <w:lang w:eastAsia="en-AU"/>
        </w:rPr>
        <w:t>corporation</w:t>
      </w:r>
      <w:r w:rsidR="00070554" w:rsidRPr="004039CF">
        <w:rPr>
          <w:rFonts w:asciiTheme="minorHAnsi" w:eastAsia="Cambria" w:hAnsiTheme="minorHAnsi" w:cstheme="minorHAnsi"/>
          <w:b w:val="0"/>
          <w:bCs w:val="0"/>
          <w:sz w:val="22"/>
          <w:szCs w:val="24"/>
          <w:lang w:eastAsia="en-AU"/>
        </w:rPr>
        <w:t>s outlined in</w:t>
      </w:r>
      <w:r w:rsidR="00D813FE">
        <w:rPr>
          <w:rFonts w:asciiTheme="minorHAnsi" w:eastAsia="Cambria" w:hAnsiTheme="minorHAnsi" w:cstheme="minorHAnsi"/>
          <w:b w:val="0"/>
          <w:bCs w:val="0"/>
          <w:sz w:val="22"/>
          <w:szCs w:val="24"/>
          <w:lang w:eastAsia="en-AU"/>
        </w:rPr>
        <w:t xml:space="preserve"> section</w:t>
      </w:r>
      <w:r w:rsidR="00070554" w:rsidRPr="004039CF">
        <w:rPr>
          <w:rFonts w:asciiTheme="minorHAnsi" w:eastAsia="Cambria" w:hAnsiTheme="minorHAnsi" w:cstheme="minorHAnsi"/>
          <w:b w:val="0"/>
          <w:bCs w:val="0"/>
          <w:sz w:val="22"/>
          <w:szCs w:val="24"/>
          <w:lang w:eastAsia="en-AU"/>
        </w:rPr>
        <w:t xml:space="preserve"> 4.1 Consents and statements</w:t>
      </w:r>
      <w:r w:rsidR="00D813FE">
        <w:rPr>
          <w:rFonts w:asciiTheme="minorHAnsi" w:eastAsia="Cambria" w:hAnsiTheme="minorHAnsi" w:cstheme="minorHAnsi"/>
          <w:b w:val="0"/>
          <w:bCs w:val="0"/>
          <w:sz w:val="22"/>
          <w:szCs w:val="24"/>
          <w:lang w:eastAsia="en-AU"/>
        </w:rPr>
        <w:t>.</w:t>
      </w:r>
    </w:p>
    <w:p w14:paraId="539CF59E" w14:textId="4F6FBEDF" w:rsidR="00A83B5A" w:rsidRPr="00A83B5A" w:rsidRDefault="00433579" w:rsidP="004039CF">
      <w:pPr>
        <w:pStyle w:val="Heading3"/>
        <w:spacing w:after="240"/>
        <w:rPr>
          <w:lang w:eastAsia="en-AU"/>
        </w:rPr>
      </w:pPr>
      <w:bookmarkStart w:id="30" w:name="_Toc423619662"/>
      <w:bookmarkStart w:id="31" w:name="_Toc181713281"/>
      <w:bookmarkStart w:id="32" w:name="_Toc345932413"/>
      <w:r>
        <w:rPr>
          <w:lang w:eastAsia="en-AU"/>
        </w:rPr>
        <w:t xml:space="preserve">5.2 </w:t>
      </w:r>
      <w:r w:rsidR="00D5769A" w:rsidRPr="00264BEA">
        <w:rPr>
          <w:lang w:eastAsia="en-AU"/>
        </w:rPr>
        <w:t>Start date</w:t>
      </w:r>
      <w:bookmarkEnd w:id="30"/>
      <w:bookmarkEnd w:id="31"/>
      <w:r w:rsidR="00D5769A" w:rsidRPr="00264BEA">
        <w:rPr>
          <w:lang w:eastAsia="en-AU"/>
        </w:rPr>
        <w:t xml:space="preserve"> </w:t>
      </w:r>
      <w:bookmarkEnd w:id="32"/>
    </w:p>
    <w:p w14:paraId="6CC9DB92" w14:textId="4F01DAE0" w:rsidR="00D5769A" w:rsidRPr="00E44AB5" w:rsidRDefault="00D5769A" w:rsidP="00D5769A">
      <w:pPr>
        <w:rPr>
          <w:lang w:eastAsia="en-AU"/>
        </w:rPr>
      </w:pPr>
      <w:r w:rsidRPr="00E44AB5">
        <w:rPr>
          <w:lang w:eastAsia="en-AU"/>
        </w:rPr>
        <w:t xml:space="preserve">The </w:t>
      </w:r>
      <w:r>
        <w:rPr>
          <w:lang w:eastAsia="en-AU"/>
        </w:rPr>
        <w:t xml:space="preserve">nominated </w:t>
      </w:r>
      <w:r w:rsidRPr="00E44AB5">
        <w:rPr>
          <w:lang w:eastAsia="en-AU"/>
        </w:rPr>
        <w:t>start date of an RTC may be earlier than the day on which the RTC is issued, provided that the start date occurs in</w:t>
      </w:r>
      <w:r w:rsidR="004E1D12">
        <w:rPr>
          <w:lang w:eastAsia="en-AU"/>
        </w:rPr>
        <w:t xml:space="preserve"> either</w:t>
      </w:r>
      <w:r w:rsidRPr="00E44AB5">
        <w:rPr>
          <w:lang w:eastAsia="en-AU"/>
        </w:rPr>
        <w:t>:</w:t>
      </w:r>
    </w:p>
    <w:p w14:paraId="16F9696D" w14:textId="39195AF3" w:rsidR="00D5769A" w:rsidRPr="00EB7827" w:rsidRDefault="00D5769A" w:rsidP="00D5769A">
      <w:pPr>
        <w:pStyle w:val="CERbullets"/>
        <w:ind w:left="360" w:hanging="360"/>
      </w:pPr>
      <w:r w:rsidRPr="00EB7827">
        <w:t xml:space="preserve">the same financial year as the day on which the </w:t>
      </w:r>
      <w:r>
        <w:t>RTC</w:t>
      </w:r>
      <w:r w:rsidRPr="00EB7827">
        <w:t xml:space="preserve"> is issued</w:t>
      </w:r>
    </w:p>
    <w:p w14:paraId="794E37F6" w14:textId="77777777" w:rsidR="00D5769A" w:rsidRPr="00EB7827" w:rsidRDefault="00D5769A" w:rsidP="00D5769A">
      <w:pPr>
        <w:pStyle w:val="CERbullets"/>
        <w:ind w:left="360" w:hanging="360"/>
      </w:pPr>
      <w:r w:rsidRPr="00EB7827">
        <w:t>the financial year immediately preceding the financial year in which the RTC is issued.</w:t>
      </w:r>
    </w:p>
    <w:p w14:paraId="48C5CF81" w14:textId="6A34555E" w:rsidR="00D5769A" w:rsidRDefault="00D5769A" w:rsidP="00D5769A">
      <w:pPr>
        <w:rPr>
          <w:lang w:eastAsia="en-AU"/>
        </w:rPr>
      </w:pPr>
      <w:r>
        <w:rPr>
          <w:lang w:eastAsia="en-AU"/>
        </w:rPr>
        <w:t>The nominated start date may be later than the day on which the RTC is issued, provided that the start date occurs in</w:t>
      </w:r>
      <w:r w:rsidR="004E1D12">
        <w:rPr>
          <w:lang w:eastAsia="en-AU"/>
        </w:rPr>
        <w:t xml:space="preserve"> either</w:t>
      </w:r>
      <w:r>
        <w:rPr>
          <w:lang w:eastAsia="en-AU"/>
        </w:rPr>
        <w:t>:</w:t>
      </w:r>
    </w:p>
    <w:p w14:paraId="67B65A82" w14:textId="1CC2F033" w:rsidR="00D5769A" w:rsidRDefault="00D5769A" w:rsidP="00D5769A">
      <w:pPr>
        <w:pStyle w:val="CERbullets"/>
        <w:ind w:left="360" w:hanging="360"/>
        <w:rPr>
          <w:lang w:eastAsia="en-AU"/>
        </w:rPr>
      </w:pPr>
      <w:r>
        <w:rPr>
          <w:lang w:eastAsia="en-AU"/>
        </w:rPr>
        <w:t>the same financial year as the day on which the RTC is issued</w:t>
      </w:r>
    </w:p>
    <w:p w14:paraId="59BB147A" w14:textId="77777777" w:rsidR="00D5769A" w:rsidRDefault="00D5769A" w:rsidP="00D5769A">
      <w:pPr>
        <w:pStyle w:val="CERbullets"/>
        <w:ind w:left="360" w:hanging="360"/>
        <w:rPr>
          <w:lang w:eastAsia="en-AU"/>
        </w:rPr>
      </w:pPr>
      <w:r>
        <w:rPr>
          <w:lang w:eastAsia="en-AU"/>
        </w:rPr>
        <w:t>the next financial year.</w:t>
      </w:r>
    </w:p>
    <w:p w14:paraId="790D71B2" w14:textId="01E33B1A" w:rsidR="00D5769A" w:rsidRPr="00264BEA" w:rsidRDefault="00433579" w:rsidP="004039CF">
      <w:pPr>
        <w:pStyle w:val="Heading3"/>
        <w:spacing w:after="240"/>
        <w:rPr>
          <w:lang w:eastAsia="en-AU"/>
        </w:rPr>
      </w:pPr>
      <w:bookmarkStart w:id="33" w:name="_Toc423619663"/>
      <w:bookmarkStart w:id="34" w:name="_Toc181713282"/>
      <w:r>
        <w:rPr>
          <w:lang w:eastAsia="en-AU"/>
        </w:rPr>
        <w:t xml:space="preserve">5.3 </w:t>
      </w:r>
      <w:r w:rsidR="00D5769A">
        <w:rPr>
          <w:lang w:eastAsia="en-AU"/>
        </w:rPr>
        <w:t>Validity of RTCs</w:t>
      </w:r>
      <w:bookmarkEnd w:id="33"/>
      <w:bookmarkEnd w:id="34"/>
    </w:p>
    <w:p w14:paraId="13CFB0A7" w14:textId="77777777" w:rsidR="00D5769A" w:rsidRPr="00E44AB5" w:rsidRDefault="00D5769A" w:rsidP="00D5769A">
      <w:pPr>
        <w:keepNext/>
        <w:rPr>
          <w:lang w:eastAsia="en-AU"/>
        </w:rPr>
      </w:pPr>
      <w:r w:rsidRPr="00E44AB5">
        <w:rPr>
          <w:lang w:eastAsia="en-AU"/>
        </w:rPr>
        <w:t xml:space="preserve">An RTC remains in force indefinitely, unless surrendered </w:t>
      </w:r>
      <w:r>
        <w:rPr>
          <w:lang w:eastAsia="en-AU"/>
        </w:rPr>
        <w:t xml:space="preserve">by the holder of the RTC </w:t>
      </w:r>
      <w:r w:rsidRPr="00E44AB5">
        <w:rPr>
          <w:lang w:eastAsia="en-AU"/>
        </w:rPr>
        <w:t>or cancelled</w:t>
      </w:r>
      <w:r>
        <w:rPr>
          <w:lang w:eastAsia="en-AU"/>
        </w:rPr>
        <w:t xml:space="preserve"> by the Clean Energy Regulator</w:t>
      </w:r>
      <w:r w:rsidRPr="00E44AB5">
        <w:rPr>
          <w:lang w:eastAsia="en-AU"/>
        </w:rPr>
        <w:t>.</w:t>
      </w:r>
    </w:p>
    <w:p w14:paraId="21B8BB3B" w14:textId="77777777" w:rsidR="00D5769A" w:rsidRPr="00E44AB5" w:rsidRDefault="00D5769A" w:rsidP="00D5769A">
      <w:pPr>
        <w:rPr>
          <w:lang w:eastAsia="en-AU"/>
        </w:rPr>
      </w:pPr>
      <w:r w:rsidRPr="00E44AB5">
        <w:rPr>
          <w:lang w:eastAsia="en-AU"/>
        </w:rPr>
        <w:t>RTCs cannot be transferred to other parties.</w:t>
      </w:r>
    </w:p>
    <w:p w14:paraId="46F381A0" w14:textId="7499F2EC" w:rsidR="00D5769A" w:rsidRDefault="00433579" w:rsidP="004039CF">
      <w:pPr>
        <w:pStyle w:val="Heading3"/>
        <w:spacing w:after="240"/>
        <w:rPr>
          <w:lang w:eastAsia="en-AU"/>
        </w:rPr>
      </w:pPr>
      <w:bookmarkStart w:id="35" w:name="_Toc345932397"/>
      <w:bookmarkStart w:id="36" w:name="_Toc423619664"/>
      <w:bookmarkStart w:id="37" w:name="_Toc181713283"/>
      <w:r>
        <w:rPr>
          <w:lang w:eastAsia="en-AU"/>
        </w:rPr>
        <w:t xml:space="preserve">5.4 </w:t>
      </w:r>
      <w:r w:rsidR="00D5769A">
        <w:rPr>
          <w:lang w:eastAsia="en-AU"/>
        </w:rPr>
        <w:t>Registration of an RTC holder</w:t>
      </w:r>
      <w:bookmarkEnd w:id="35"/>
      <w:bookmarkEnd w:id="36"/>
      <w:bookmarkEnd w:id="37"/>
    </w:p>
    <w:p w14:paraId="06C0C400" w14:textId="77777777" w:rsidR="00D5769A" w:rsidRDefault="00D5769A" w:rsidP="00D5769A">
      <w:r>
        <w:t xml:space="preserve">If an RTC holder is not already registered under the NGER Act, </w:t>
      </w:r>
      <w:r w:rsidRPr="009F5651">
        <w:t>the Clean Energy Regulator will register the RTC holder</w:t>
      </w:r>
      <w:r>
        <w:t xml:space="preserve"> </w:t>
      </w:r>
      <w:r w:rsidRPr="009F5651">
        <w:t>and will enter</w:t>
      </w:r>
      <w:r>
        <w:t xml:space="preserve"> its name</w:t>
      </w:r>
      <w:r w:rsidRPr="009F5651">
        <w:t xml:space="preserve"> on the National Greenhouse and Energy Register</w:t>
      </w:r>
      <w:r>
        <w:t xml:space="preserve"> when the RTC is issued</w:t>
      </w:r>
      <w:r w:rsidRPr="009F5651">
        <w:t>. The RTC holder does not have to separately apply for registration under the NGER Act.</w:t>
      </w:r>
    </w:p>
    <w:p w14:paraId="619495E8" w14:textId="6BC9B971" w:rsidR="002F39AA" w:rsidRDefault="00D5769A" w:rsidP="00EF1FDF">
      <w:r>
        <w:t>Once registered, the RTC holder must provide annual emissions and energy reports to the Clean Energy Regulator.</w:t>
      </w:r>
    </w:p>
    <w:p w14:paraId="42997794" w14:textId="07567928" w:rsidR="002F39AA" w:rsidRPr="002F39AA" w:rsidRDefault="00433579" w:rsidP="00826E1F">
      <w:pPr>
        <w:pStyle w:val="Heading2"/>
        <w:rPr>
          <w:lang w:eastAsia="en-AU"/>
        </w:rPr>
      </w:pPr>
      <w:bookmarkStart w:id="38" w:name="_Toc423619665"/>
      <w:bookmarkStart w:id="39" w:name="_Toc181713284"/>
      <w:r>
        <w:rPr>
          <w:lang w:eastAsia="en-AU"/>
        </w:rPr>
        <w:t>6. Reporting obligations for RTC holders</w:t>
      </w:r>
      <w:bookmarkEnd w:id="38"/>
      <w:bookmarkEnd w:id="39"/>
    </w:p>
    <w:p w14:paraId="3D11B7F1" w14:textId="4979197B" w:rsidR="00433579" w:rsidRDefault="00433579" w:rsidP="00826E1F">
      <w:pPr>
        <w:pStyle w:val="BodyText1"/>
      </w:pPr>
      <w:r>
        <w:t>An</w:t>
      </w:r>
      <w:r w:rsidRPr="009F5651">
        <w:t xml:space="preserve"> RTC holder </w:t>
      </w:r>
      <w:r>
        <w:t>is</w:t>
      </w:r>
      <w:r w:rsidRPr="009F5651">
        <w:t xml:space="preserve"> required to report </w:t>
      </w:r>
      <w:r>
        <w:t xml:space="preserve">on the facility </w:t>
      </w:r>
      <w:r w:rsidRPr="009F5651">
        <w:t xml:space="preserve">under section 22G of the NGER Act. </w:t>
      </w:r>
      <w:r w:rsidR="00DF1EE7">
        <w:t>This relates to</w:t>
      </w:r>
      <w:r w:rsidRPr="009F5651">
        <w:t xml:space="preserve"> scope 1 </w:t>
      </w:r>
      <w:r>
        <w:t>and</w:t>
      </w:r>
      <w:r w:rsidRPr="009F5651">
        <w:t xml:space="preserve"> scope 2 </w:t>
      </w:r>
      <w:r>
        <w:t xml:space="preserve">greenhouse gas </w:t>
      </w:r>
      <w:r w:rsidRPr="009F5651">
        <w:t>emissions</w:t>
      </w:r>
      <w:r>
        <w:t xml:space="preserve">, </w:t>
      </w:r>
      <w:r w:rsidRPr="009F5651">
        <w:t xml:space="preserve">energy production and energy consumption from the operation of the facility during the </w:t>
      </w:r>
      <w:r w:rsidR="004E1D12" w:rsidRPr="009F5651">
        <w:t>period</w:t>
      </w:r>
      <w:r w:rsidRPr="009F5651">
        <w:t xml:space="preserve"> the RTC </w:t>
      </w:r>
      <w:r>
        <w:t>is</w:t>
      </w:r>
      <w:r w:rsidRPr="009F5651">
        <w:t xml:space="preserve"> in place</w:t>
      </w:r>
      <w:r>
        <w:t xml:space="preserve"> in a financial year</w:t>
      </w:r>
      <w:r w:rsidRPr="009F5651">
        <w:t>.</w:t>
      </w:r>
      <w:r>
        <w:t xml:space="preserve"> </w:t>
      </w:r>
      <w:r w:rsidRPr="009F5651">
        <w:t xml:space="preserve">This report is due by 31 October following the end of each financial year, or part of a financial year, in which the RTC </w:t>
      </w:r>
      <w:r>
        <w:t>is</w:t>
      </w:r>
      <w:r w:rsidRPr="009F5651">
        <w:t xml:space="preserve"> in place.</w:t>
      </w:r>
    </w:p>
    <w:p w14:paraId="6BCA5BC2" w14:textId="45D366D0" w:rsidR="00433579" w:rsidRPr="009F5651" w:rsidRDefault="00433579" w:rsidP="00433579">
      <w:r>
        <w:lastRenderedPageBreak/>
        <w:t xml:space="preserve">An RTC holder must provide the required data for an RTC facility, regardless of whether that facility reached any of the facility thresholds set out in section 13 of the NGER Act. However, data </w:t>
      </w:r>
      <w:r w:rsidR="006A4F1F">
        <w:t xml:space="preserve">totals </w:t>
      </w:r>
      <w:r>
        <w:t>will only be published by the Clean Energy Regulator if the facility reaches a section 13 facility threshold.</w:t>
      </w:r>
    </w:p>
    <w:p w14:paraId="4D2F1F0E" w14:textId="77777777" w:rsidR="00433579" w:rsidRDefault="00433579" w:rsidP="00433579">
      <w:r>
        <w:t>Greenhouse gas e</w:t>
      </w:r>
      <w:r w:rsidRPr="009F5651">
        <w:t>missions</w:t>
      </w:r>
      <w:r>
        <w:t>,</w:t>
      </w:r>
      <w:r w:rsidRPr="009F5651">
        <w:t xml:space="preserve"> energy production and </w:t>
      </w:r>
      <w:r>
        <w:t xml:space="preserve">energy </w:t>
      </w:r>
      <w:r w:rsidRPr="009F5651">
        <w:t>consumption from the operation of the facility do not count towards the NGER Act section 13 threshold assessments and section 19 reporting obligations of</w:t>
      </w:r>
      <w:r>
        <w:t>:</w:t>
      </w:r>
    </w:p>
    <w:p w14:paraId="2541D5D1" w14:textId="5A1C1F50" w:rsidR="00B6501E" w:rsidRDefault="00433579" w:rsidP="00433579">
      <w:pPr>
        <w:pStyle w:val="CERbullets"/>
        <w:ind w:left="360" w:hanging="360"/>
      </w:pPr>
      <w:r w:rsidRPr="005E2F92">
        <w:t xml:space="preserve">the controlling corporation of the RTC holder </w:t>
      </w:r>
    </w:p>
    <w:p w14:paraId="23C74669" w14:textId="4AC7985C" w:rsidR="00433579" w:rsidRPr="005E2F92" w:rsidRDefault="00433579" w:rsidP="00433579">
      <w:pPr>
        <w:pStyle w:val="CERbullets"/>
        <w:ind w:left="360" w:hanging="360"/>
      </w:pPr>
      <w:r w:rsidRPr="005E2F92">
        <w:t>the RTC holder itself if it is a controlling corporation</w:t>
      </w:r>
    </w:p>
    <w:p w14:paraId="5CEF58A6" w14:textId="29C330DC" w:rsidR="00EE774A" w:rsidRDefault="00433579" w:rsidP="004039CF">
      <w:pPr>
        <w:pStyle w:val="CERbullets"/>
        <w:ind w:left="360" w:hanging="360"/>
        <w:rPr>
          <w:lang w:eastAsia="en-AU"/>
        </w:rPr>
      </w:pPr>
      <w:r w:rsidRPr="005E2F92">
        <w:t xml:space="preserve">the controlling corporation of the corporation with operational control over the facility, for the days that the RTC is in place. </w:t>
      </w:r>
    </w:p>
    <w:p w14:paraId="6C2582D9" w14:textId="77777777" w:rsidR="00826E1F" w:rsidRDefault="00826E1F" w:rsidP="00826E1F">
      <w:pPr>
        <w:pStyle w:val="BodyText1"/>
        <w:rPr>
          <w:lang w:eastAsia="en-AU"/>
        </w:rPr>
      </w:pPr>
    </w:p>
    <w:tbl>
      <w:tblPr>
        <w:tblStyle w:val="CERCallout"/>
        <w:tblW w:w="5000" w:type="pct"/>
        <w:tblLook w:val="0480" w:firstRow="0" w:lastRow="0" w:firstColumn="1" w:lastColumn="0" w:noHBand="0" w:noVBand="1"/>
        <w:tblCaption w:val="test"/>
        <w:tblDescription w:val="tesst"/>
      </w:tblPr>
      <w:tblGrid>
        <w:gridCol w:w="9710"/>
      </w:tblGrid>
      <w:tr w:rsidR="00EE774A" w14:paraId="7544651F" w14:textId="77777777" w:rsidTr="00F945A0">
        <w:tc>
          <w:tcPr>
            <w:tcW w:w="5000" w:type="pct"/>
          </w:tcPr>
          <w:p w14:paraId="3F1BF391" w14:textId="77777777" w:rsidR="00EE774A" w:rsidRPr="003B11FC" w:rsidRDefault="00EE774A" w:rsidP="00EE774A">
            <w:pPr>
              <w:pStyle w:val="Heading5"/>
            </w:pPr>
            <w:bookmarkStart w:id="40" w:name="_Toc345932399"/>
            <w:r w:rsidRPr="003B11FC">
              <w:lastRenderedPageBreak/>
              <w:t>Example 1— Before the issue of an RTC</w:t>
            </w:r>
            <w:bookmarkEnd w:id="40"/>
          </w:p>
          <w:p w14:paraId="2E5BD393" w14:textId="61D317D2" w:rsidR="00EE774A" w:rsidRPr="009F5651" w:rsidRDefault="00EE774A" w:rsidP="00EE774A">
            <w:r w:rsidRPr="009F5651">
              <w:t xml:space="preserve">Group </w:t>
            </w:r>
            <w:r>
              <w:t>M</w:t>
            </w:r>
            <w:r w:rsidRPr="009F5651">
              <w:t xml:space="preserve">embers 1 and 2 are members of different corporate groups. Group </w:t>
            </w:r>
            <w:r>
              <w:t>M</w:t>
            </w:r>
            <w:r w:rsidRPr="009F5651">
              <w:t xml:space="preserve">ember 1 is contracted by </w:t>
            </w:r>
            <w:r>
              <w:t>G</w:t>
            </w:r>
            <w:r w:rsidRPr="009F5651">
              <w:t xml:space="preserve">roup </w:t>
            </w:r>
            <w:r>
              <w:t>M</w:t>
            </w:r>
            <w:r w:rsidRPr="009F5651">
              <w:t xml:space="preserve">ember 2 to operate </w:t>
            </w:r>
            <w:r w:rsidR="006A4F1F">
              <w:t>F</w:t>
            </w:r>
            <w:r w:rsidRPr="009F5651">
              <w:t xml:space="preserve">acility 1. Due to the terms of the contract, </w:t>
            </w:r>
            <w:r>
              <w:t>G</w:t>
            </w:r>
            <w:r w:rsidRPr="009F5651">
              <w:t xml:space="preserve">roup </w:t>
            </w:r>
            <w:r>
              <w:t>M</w:t>
            </w:r>
            <w:r w:rsidRPr="009F5651">
              <w:t xml:space="preserve">ember 1 has operational control over </w:t>
            </w:r>
            <w:r>
              <w:t>F</w:t>
            </w:r>
            <w:r w:rsidRPr="009F5651">
              <w:t xml:space="preserve">acility 1. </w:t>
            </w:r>
          </w:p>
          <w:p w14:paraId="13D07656" w14:textId="77777777" w:rsidR="00EE774A" w:rsidRPr="009F5651" w:rsidRDefault="00EE774A" w:rsidP="00EE774A">
            <w:r w:rsidRPr="009F5651">
              <w:t xml:space="preserve">Controlling </w:t>
            </w:r>
            <w:r>
              <w:t>C</w:t>
            </w:r>
            <w:r w:rsidRPr="009F5651">
              <w:t xml:space="preserve">orporation A would include </w:t>
            </w:r>
            <w:r>
              <w:t>F</w:t>
            </w:r>
            <w:r w:rsidRPr="009F5651">
              <w:t xml:space="preserve">acility 1’s total emissions, energy production and energy consumption in its NGER Act </w:t>
            </w:r>
            <w:r>
              <w:t>S</w:t>
            </w:r>
            <w:r w:rsidRPr="009F5651">
              <w:t xml:space="preserve">ection 19 report. This is because a member of its corporate group has operational control over the facility. </w:t>
            </w:r>
          </w:p>
          <w:p w14:paraId="5DD952A5" w14:textId="3F58831B" w:rsidR="00EE774A" w:rsidRPr="0092568B" w:rsidRDefault="00EE774A" w:rsidP="00EE774A">
            <w:pPr>
              <w:spacing w:after="120"/>
            </w:pPr>
            <w:r w:rsidRPr="009F5651">
              <w:t xml:space="preserve">Controlling </w:t>
            </w:r>
            <w:r>
              <w:t>C</w:t>
            </w:r>
            <w:r w:rsidRPr="009F5651">
              <w:t xml:space="preserve">orporation B and </w:t>
            </w:r>
            <w:r>
              <w:t>G</w:t>
            </w:r>
            <w:r w:rsidRPr="009F5651">
              <w:t xml:space="preserve">roup </w:t>
            </w:r>
            <w:r>
              <w:t>M</w:t>
            </w:r>
            <w:r w:rsidRPr="009F5651">
              <w:t>ember 2 have no reporting obligations in relation the facility.</w:t>
            </w:r>
          </w:p>
        </w:tc>
      </w:tr>
    </w:tbl>
    <w:p w14:paraId="771D4051" w14:textId="100CF23D" w:rsidR="00EE774A" w:rsidRPr="001856BD" w:rsidRDefault="00C03C67" w:rsidP="00EE774A">
      <w:pPr>
        <w:pStyle w:val="CERbullets"/>
        <w:numPr>
          <w:ilvl w:val="0"/>
          <w:numId w:val="0"/>
        </w:numPr>
        <w:rPr>
          <w:lang w:eastAsia="en-AU"/>
        </w:rPr>
      </w:pPr>
      <w:r>
        <w:rPr>
          <w:noProof/>
          <w:lang w:eastAsia="en-AU"/>
        </w:rPr>
        <w:drawing>
          <wp:anchor distT="0" distB="0" distL="114300" distR="114300" simplePos="0" relativeHeight="251658240" behindDoc="1" locked="0" layoutInCell="1" allowOverlap="1" wp14:anchorId="6BBD6316" wp14:editId="61844CE8">
            <wp:simplePos x="0" y="0"/>
            <wp:positionH relativeFrom="margin">
              <wp:align>right</wp:align>
            </wp:positionH>
            <wp:positionV relativeFrom="paragraph">
              <wp:posOffset>323850</wp:posOffset>
            </wp:positionV>
            <wp:extent cx="6146165" cy="3691890"/>
            <wp:effectExtent l="0" t="0" r="0" b="0"/>
            <wp:wrapTight wrapText="bothSides">
              <wp:wrapPolygon edited="0">
                <wp:start x="1138" y="2118"/>
                <wp:lineTo x="937" y="2786"/>
                <wp:lineTo x="803" y="3455"/>
                <wp:lineTo x="803" y="8136"/>
                <wp:lineTo x="937" y="9808"/>
                <wp:lineTo x="5892" y="11257"/>
                <wp:lineTo x="6829" y="11257"/>
                <wp:lineTo x="6829" y="12149"/>
                <wp:lineTo x="8302" y="13040"/>
                <wp:lineTo x="9708" y="13040"/>
                <wp:lineTo x="7097" y="14824"/>
                <wp:lineTo x="6896" y="15158"/>
                <wp:lineTo x="6829" y="18836"/>
                <wp:lineTo x="7097" y="19728"/>
                <wp:lineTo x="7230" y="19950"/>
                <wp:lineTo x="12586" y="19950"/>
                <wp:lineTo x="12787" y="19728"/>
                <wp:lineTo x="13122" y="18836"/>
                <wp:lineTo x="13122" y="16272"/>
                <wp:lineTo x="12921" y="15269"/>
                <wp:lineTo x="12720" y="14824"/>
                <wp:lineTo x="10109" y="13040"/>
                <wp:lineTo x="16336" y="13040"/>
                <wp:lineTo x="20486" y="12372"/>
                <wp:lineTo x="20553" y="8916"/>
                <wp:lineTo x="19884" y="8471"/>
                <wp:lineTo x="17675" y="7690"/>
                <wp:lineTo x="20353" y="5907"/>
                <wp:lineTo x="20353" y="2898"/>
                <wp:lineTo x="20085" y="2118"/>
                <wp:lineTo x="1138" y="2118"/>
              </wp:wrapPolygon>
            </wp:wrapTight>
            <wp:docPr id="1163077223" name="Picture 7" descr="As discussed in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77223" name="Picture 7" descr="As discussed in example 1"/>
                    <pic:cNvPicPr/>
                  </pic:nvPicPr>
                  <pic:blipFill rotWithShape="1">
                    <a:blip r:embed="rId15"/>
                    <a:srcRect l="1534" r="21610" b="17885"/>
                    <a:stretch/>
                  </pic:blipFill>
                  <pic:spPr bwMode="auto">
                    <a:xfrm>
                      <a:off x="0" y="0"/>
                      <a:ext cx="6146165" cy="3691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6016B8" w14:textId="734C9D66" w:rsidR="0083291B" w:rsidRDefault="0083291B" w:rsidP="0039598D"/>
    <w:p w14:paraId="26175B88" w14:textId="77777777" w:rsidR="0083291B" w:rsidRDefault="0083291B" w:rsidP="0039598D"/>
    <w:p w14:paraId="22AF5919" w14:textId="77777777" w:rsidR="0083291B" w:rsidRDefault="0083291B" w:rsidP="0039598D"/>
    <w:tbl>
      <w:tblPr>
        <w:tblStyle w:val="CERCallout"/>
        <w:tblW w:w="5000" w:type="pct"/>
        <w:tblLook w:val="0480" w:firstRow="0" w:lastRow="0" w:firstColumn="1" w:lastColumn="0" w:noHBand="0" w:noVBand="1"/>
        <w:tblCaption w:val="test"/>
        <w:tblDescription w:val="tesst"/>
      </w:tblPr>
      <w:tblGrid>
        <w:gridCol w:w="9710"/>
      </w:tblGrid>
      <w:tr w:rsidR="00EE774A" w14:paraId="1BD2045B" w14:textId="77777777" w:rsidTr="00F945A0">
        <w:tc>
          <w:tcPr>
            <w:tcW w:w="5000" w:type="pct"/>
          </w:tcPr>
          <w:p w14:paraId="43764B93" w14:textId="77777777" w:rsidR="00EE774A" w:rsidRPr="00615481" w:rsidRDefault="00EE774A" w:rsidP="00EE774A">
            <w:pPr>
              <w:pStyle w:val="Heading5"/>
            </w:pPr>
            <w:bookmarkStart w:id="41" w:name="_Toc345932400"/>
            <w:r>
              <w:lastRenderedPageBreak/>
              <w:t>Example 2</w:t>
            </w:r>
            <w:r w:rsidRPr="00C50DAA">
              <w:t>—</w:t>
            </w:r>
            <w:r>
              <w:t xml:space="preserve"> </w:t>
            </w:r>
            <w:r w:rsidRPr="00615481">
              <w:t>After the issue of an RTC</w:t>
            </w:r>
            <w:bookmarkEnd w:id="41"/>
          </w:p>
          <w:p w14:paraId="2C3E1DC5" w14:textId="5A5A67E5" w:rsidR="00EE774A" w:rsidRPr="009F5651" w:rsidRDefault="00EE774A" w:rsidP="00EE774A">
            <w:r w:rsidRPr="009F5651">
              <w:t xml:space="preserve">The same circumstances outlined in </w:t>
            </w:r>
            <w:r>
              <w:t>e</w:t>
            </w:r>
            <w:r w:rsidRPr="009F5651">
              <w:t xml:space="preserve">xample 1 exist here. However in this example, </w:t>
            </w:r>
            <w:r>
              <w:t>G</w:t>
            </w:r>
            <w:r w:rsidRPr="009F5651">
              <w:t xml:space="preserve">roup </w:t>
            </w:r>
            <w:r>
              <w:t>M</w:t>
            </w:r>
            <w:r w:rsidRPr="009F5651">
              <w:t xml:space="preserve">ember 2 has applied to the Clean Energy Regulator for an RTC </w:t>
            </w:r>
            <w:r>
              <w:t>for</w:t>
            </w:r>
            <w:r w:rsidRPr="009F5651">
              <w:t xml:space="preserve"> </w:t>
            </w:r>
            <w:r>
              <w:t>F</w:t>
            </w:r>
            <w:r w:rsidRPr="009F5651">
              <w:t xml:space="preserve">acility </w:t>
            </w:r>
            <w:proofErr w:type="gramStart"/>
            <w:r w:rsidRPr="009F5651">
              <w:t>1</w:t>
            </w:r>
            <w:r w:rsidR="003C7CE3">
              <w:t>.I</w:t>
            </w:r>
            <w:r w:rsidRPr="009F5651">
              <w:t>t</w:t>
            </w:r>
            <w:proofErr w:type="gramEnd"/>
            <w:r w:rsidRPr="009F5651">
              <w:t xml:space="preserve"> has financial control over the facility and is in a separate corporate group from the corporation with operational control over the facility. The RTC has been issued.</w:t>
            </w:r>
          </w:p>
          <w:p w14:paraId="6608E076" w14:textId="77777777" w:rsidR="00EE774A" w:rsidRPr="009F5651" w:rsidRDefault="00EE774A" w:rsidP="00EE774A">
            <w:r w:rsidRPr="009F5651">
              <w:t xml:space="preserve">As a result of the RTC </w:t>
            </w:r>
            <w:r>
              <w:t>issuance</w:t>
            </w:r>
            <w:r w:rsidRPr="009F5651">
              <w:t xml:space="preserve">, </w:t>
            </w:r>
            <w:r>
              <w:t>G</w:t>
            </w:r>
            <w:r w:rsidRPr="009F5651">
              <w:t xml:space="preserve">roup </w:t>
            </w:r>
            <w:r>
              <w:t>M</w:t>
            </w:r>
            <w:r w:rsidRPr="009F5651">
              <w:t xml:space="preserve">ember 2 will provide a report under </w:t>
            </w:r>
            <w:r>
              <w:t>S</w:t>
            </w:r>
            <w:r w:rsidRPr="009F5651">
              <w:t xml:space="preserve">ection 22G of the NGER Act which will include </w:t>
            </w:r>
            <w:r>
              <w:t>F</w:t>
            </w:r>
            <w:r w:rsidRPr="009F5651">
              <w:t>acility 1’s total emissions, energy production and energy consumption.</w:t>
            </w:r>
          </w:p>
          <w:p w14:paraId="2D7FD318" w14:textId="2AAAE47A" w:rsidR="00EE774A" w:rsidRPr="0092568B" w:rsidRDefault="00EE774A" w:rsidP="00EE774A">
            <w:pPr>
              <w:spacing w:after="120"/>
            </w:pPr>
            <w:r w:rsidRPr="009F5651">
              <w:t xml:space="preserve">Controlling </w:t>
            </w:r>
            <w:r>
              <w:t>C</w:t>
            </w:r>
            <w:r w:rsidRPr="009F5651">
              <w:t xml:space="preserve">orporation A, </w:t>
            </w:r>
            <w:r>
              <w:t>C</w:t>
            </w:r>
            <w:r w:rsidRPr="009F5651">
              <w:t xml:space="preserve">ontrolling </w:t>
            </w:r>
            <w:r>
              <w:t>C</w:t>
            </w:r>
            <w:r w:rsidRPr="009F5651">
              <w:t>orporation B</w:t>
            </w:r>
            <w:r w:rsidR="003C7CE3">
              <w:t>,</w:t>
            </w:r>
            <w:r w:rsidRPr="009F5651">
              <w:t xml:space="preserve"> and </w:t>
            </w:r>
            <w:r>
              <w:t>G</w:t>
            </w:r>
            <w:r w:rsidRPr="009F5651">
              <w:t xml:space="preserve">roup </w:t>
            </w:r>
            <w:r>
              <w:t>M</w:t>
            </w:r>
            <w:r w:rsidRPr="009F5651">
              <w:t xml:space="preserve">ember 1 have no reporting obligations in relation to </w:t>
            </w:r>
            <w:r>
              <w:t>F</w:t>
            </w:r>
            <w:r w:rsidRPr="009F5651">
              <w:t>acility 1.</w:t>
            </w:r>
          </w:p>
        </w:tc>
      </w:tr>
    </w:tbl>
    <w:p w14:paraId="7488EC7C" w14:textId="5950A11E" w:rsidR="00EE774A" w:rsidRPr="00EE774A" w:rsidRDefault="006A1078" w:rsidP="0039598D">
      <w:bookmarkStart w:id="42" w:name="_Toc180507250"/>
      <w:bookmarkStart w:id="43" w:name="_Toc180507403"/>
      <w:bookmarkStart w:id="44" w:name="_Toc181713286"/>
      <w:r>
        <w:rPr>
          <w:noProof/>
          <w:lang w:eastAsia="en-AU"/>
        </w:rPr>
        <w:drawing>
          <wp:anchor distT="0" distB="0" distL="114300" distR="114300" simplePos="0" relativeHeight="251658241" behindDoc="1" locked="0" layoutInCell="1" allowOverlap="1" wp14:anchorId="105C11DC" wp14:editId="44C9EDC7">
            <wp:simplePos x="0" y="0"/>
            <wp:positionH relativeFrom="margin">
              <wp:align>left</wp:align>
            </wp:positionH>
            <wp:positionV relativeFrom="paragraph">
              <wp:posOffset>174625</wp:posOffset>
            </wp:positionV>
            <wp:extent cx="6229350" cy="3803650"/>
            <wp:effectExtent l="0" t="0" r="0" b="0"/>
            <wp:wrapTight wrapText="bothSides">
              <wp:wrapPolygon edited="0">
                <wp:start x="14664" y="2164"/>
                <wp:lineTo x="1519" y="2380"/>
                <wp:lineTo x="594" y="2488"/>
                <wp:lineTo x="661" y="6058"/>
                <wp:lineTo x="3237" y="7573"/>
                <wp:lineTo x="3567" y="7573"/>
                <wp:lineTo x="1453" y="8438"/>
                <wp:lineTo x="661" y="8871"/>
                <wp:lineTo x="594" y="12441"/>
                <wp:lineTo x="2246" y="12765"/>
                <wp:lineTo x="8191" y="12765"/>
                <wp:lineTo x="8191" y="15253"/>
                <wp:lineTo x="8389" y="16227"/>
                <wp:lineTo x="14136" y="17958"/>
                <wp:lineTo x="14466" y="19689"/>
                <wp:lineTo x="14730" y="20122"/>
                <wp:lineTo x="20279" y="20122"/>
                <wp:lineTo x="20543" y="19689"/>
                <wp:lineTo x="20675" y="18391"/>
                <wp:lineTo x="20807" y="15253"/>
                <wp:lineTo x="20147" y="14821"/>
                <wp:lineTo x="17769" y="14496"/>
                <wp:lineTo x="17769" y="13090"/>
                <wp:lineTo x="19750" y="12765"/>
                <wp:lineTo x="20741" y="12224"/>
                <wp:lineTo x="20741" y="8979"/>
                <wp:lineTo x="20015" y="8546"/>
                <wp:lineTo x="17703" y="7573"/>
                <wp:lineTo x="18033" y="7573"/>
                <wp:lineTo x="20543" y="6058"/>
                <wp:lineTo x="20675" y="4111"/>
                <wp:lineTo x="20609" y="3029"/>
                <wp:lineTo x="20279" y="2164"/>
                <wp:lineTo x="14664" y="2164"/>
              </wp:wrapPolygon>
            </wp:wrapTight>
            <wp:docPr id="1765771456" name="Picture 9" descr="As discussed in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71456" name="Picture 9" descr="As discussed in example 2"/>
                    <pic:cNvPicPr/>
                  </pic:nvPicPr>
                  <pic:blipFill rotWithShape="1">
                    <a:blip r:embed="rId16"/>
                    <a:srcRect l="2511" r="22588" b="18629"/>
                    <a:stretch/>
                  </pic:blipFill>
                  <pic:spPr bwMode="auto">
                    <a:xfrm>
                      <a:off x="0" y="0"/>
                      <a:ext cx="6229350" cy="3803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42"/>
      <w:bookmarkEnd w:id="43"/>
      <w:bookmarkEnd w:id="44"/>
    </w:p>
    <w:p w14:paraId="7D601175" w14:textId="2602ECB8" w:rsidR="0083291B" w:rsidRDefault="0083291B" w:rsidP="0039598D"/>
    <w:p w14:paraId="06955318" w14:textId="77777777" w:rsidR="0083291B" w:rsidRDefault="0083291B" w:rsidP="0039598D"/>
    <w:p w14:paraId="3F8A77C9" w14:textId="77777777" w:rsidR="0083291B" w:rsidRDefault="0083291B" w:rsidP="0039598D"/>
    <w:tbl>
      <w:tblPr>
        <w:tblStyle w:val="CERCallout"/>
        <w:tblW w:w="5000" w:type="pct"/>
        <w:tblLook w:val="0480" w:firstRow="0" w:lastRow="0" w:firstColumn="1" w:lastColumn="0" w:noHBand="0" w:noVBand="1"/>
        <w:tblCaption w:val="test"/>
        <w:tblDescription w:val="tesst"/>
      </w:tblPr>
      <w:tblGrid>
        <w:gridCol w:w="9710"/>
      </w:tblGrid>
      <w:tr w:rsidR="00EE774A" w14:paraId="7E971CC5" w14:textId="77777777" w:rsidTr="00F945A0">
        <w:tc>
          <w:tcPr>
            <w:tcW w:w="5000" w:type="pct"/>
          </w:tcPr>
          <w:p w14:paraId="04C570F8" w14:textId="427A110C" w:rsidR="00EE774A" w:rsidRPr="00615481" w:rsidRDefault="00EE774A" w:rsidP="00EE774A">
            <w:pPr>
              <w:pStyle w:val="Heading5"/>
            </w:pPr>
            <w:bookmarkStart w:id="45" w:name="_Toc345932401"/>
            <w:r>
              <w:lastRenderedPageBreak/>
              <w:t>Example 3</w:t>
            </w:r>
            <w:r w:rsidR="0012597C">
              <w:t xml:space="preserve"> – </w:t>
            </w:r>
            <w:r w:rsidRPr="00615481">
              <w:t>Before the issue of an RTC</w:t>
            </w:r>
            <w:bookmarkEnd w:id="45"/>
            <w:r>
              <w:t xml:space="preserve">: </w:t>
            </w:r>
            <w:r w:rsidRPr="00615481">
              <w:t>a more complex scenario</w:t>
            </w:r>
          </w:p>
          <w:p w14:paraId="258B8F85" w14:textId="77777777" w:rsidR="00EE774A" w:rsidRPr="009F5651" w:rsidRDefault="00EE774A" w:rsidP="00EE774A">
            <w:r w:rsidRPr="009F5651">
              <w:t xml:space="preserve">Group </w:t>
            </w:r>
            <w:r>
              <w:t>M</w:t>
            </w:r>
            <w:r w:rsidRPr="009F5651">
              <w:t xml:space="preserve">ember 1, a member of </w:t>
            </w:r>
            <w:r>
              <w:t>C</w:t>
            </w:r>
            <w:r w:rsidRPr="009F5651">
              <w:t xml:space="preserve">ontrolling </w:t>
            </w:r>
            <w:r>
              <w:t>C</w:t>
            </w:r>
            <w:r w:rsidRPr="009F5651">
              <w:t xml:space="preserve">orporation A’s corporate group, has operational control over </w:t>
            </w:r>
            <w:r>
              <w:t>F</w:t>
            </w:r>
            <w:r w:rsidRPr="009F5651">
              <w:t xml:space="preserve">acility 1. Facility 1 has total </w:t>
            </w:r>
            <w:r>
              <w:t>s</w:t>
            </w:r>
            <w:r w:rsidRPr="009F5651">
              <w:t xml:space="preserve">cope 1 and </w:t>
            </w:r>
            <w:r>
              <w:t>s</w:t>
            </w:r>
            <w:r w:rsidRPr="009F5651">
              <w:t xml:space="preserve">cope 2 emissions of 26 kilotonnes and total energy consumption of 90 terajoules. It does not produce energy. Therefore, </w:t>
            </w:r>
            <w:r>
              <w:t>F</w:t>
            </w:r>
            <w:r w:rsidRPr="009F5651">
              <w:t>acility 1 reaches the emissions facility-level threshold under section 13 of the NGER Act.</w:t>
            </w:r>
          </w:p>
          <w:p w14:paraId="760DA858" w14:textId="77777777" w:rsidR="00EE774A" w:rsidRPr="009F5651" w:rsidRDefault="00EE774A" w:rsidP="00EE774A">
            <w:r w:rsidRPr="009F5651">
              <w:t xml:space="preserve">Controlling </w:t>
            </w:r>
            <w:r>
              <w:t>C</w:t>
            </w:r>
            <w:r w:rsidRPr="009F5651">
              <w:t xml:space="preserve">orporation A would include </w:t>
            </w:r>
            <w:r>
              <w:t>F</w:t>
            </w:r>
            <w:r w:rsidRPr="009F5651">
              <w:t xml:space="preserve">acility 1’s total emissions, energy production and energy consumption in its NGER Act </w:t>
            </w:r>
            <w:r>
              <w:t>S</w:t>
            </w:r>
            <w:r w:rsidRPr="009F5651">
              <w:t xml:space="preserve">ection 19 report. This is because a member of its corporate group has operational control over the facility. </w:t>
            </w:r>
          </w:p>
          <w:p w14:paraId="05003FAB" w14:textId="77777777" w:rsidR="00EE774A" w:rsidRPr="009F5651" w:rsidRDefault="00EE774A" w:rsidP="00EE774A">
            <w:r w:rsidRPr="009F5651">
              <w:t xml:space="preserve">Group </w:t>
            </w:r>
            <w:r>
              <w:t>M</w:t>
            </w:r>
            <w:r w:rsidRPr="009F5651">
              <w:t xml:space="preserve">ember 2, a member of </w:t>
            </w:r>
            <w:r>
              <w:t>C</w:t>
            </w:r>
            <w:r w:rsidRPr="009F5651">
              <w:t xml:space="preserve">ontrolling </w:t>
            </w:r>
            <w:r>
              <w:t>C</w:t>
            </w:r>
            <w:r w:rsidRPr="009F5651">
              <w:t xml:space="preserve">orporation B’s corporate group, has financial control over </w:t>
            </w:r>
            <w:r>
              <w:t>F</w:t>
            </w:r>
            <w:r w:rsidRPr="009F5651">
              <w:t xml:space="preserve">acility 1. In addition, it has operational control over </w:t>
            </w:r>
            <w:r>
              <w:t>F</w:t>
            </w:r>
            <w:r w:rsidRPr="009F5651">
              <w:t xml:space="preserve">acility 2. Facility 2 has total </w:t>
            </w:r>
            <w:r>
              <w:t>s</w:t>
            </w:r>
            <w:r w:rsidRPr="009F5651">
              <w:t xml:space="preserve">cope 1 and </w:t>
            </w:r>
            <w:r>
              <w:t>s</w:t>
            </w:r>
            <w:r w:rsidRPr="009F5651">
              <w:t xml:space="preserve">cope 2 emissions of 24 kilotonnes and total energy consumption of 140 terajoules. It does not produce energy. Therefore, </w:t>
            </w:r>
            <w:r>
              <w:t>F</w:t>
            </w:r>
            <w:r w:rsidRPr="009F5651">
              <w:t>acility 2 reaches the energy consumption facility-level threshold under section 13 of the NGER Act.</w:t>
            </w:r>
          </w:p>
          <w:p w14:paraId="759734CC" w14:textId="77777777" w:rsidR="00EE774A" w:rsidRPr="009F5651" w:rsidRDefault="00EE774A" w:rsidP="00EE774A">
            <w:r w:rsidRPr="009F5651">
              <w:t xml:space="preserve">Group </w:t>
            </w:r>
            <w:r>
              <w:t>M</w:t>
            </w:r>
            <w:r w:rsidRPr="009F5651">
              <w:t xml:space="preserve">ember 3, also a member of </w:t>
            </w:r>
            <w:r>
              <w:t>C</w:t>
            </w:r>
            <w:r w:rsidRPr="009F5651">
              <w:t xml:space="preserve">ontrolling </w:t>
            </w:r>
            <w:r>
              <w:t>C</w:t>
            </w:r>
            <w:r w:rsidRPr="009F5651">
              <w:t xml:space="preserve">orporation B’s corporate group, has operational control over </w:t>
            </w:r>
            <w:r>
              <w:t>F</w:t>
            </w:r>
            <w:r w:rsidRPr="009F5651">
              <w:t xml:space="preserve">acility 3. Facility 3 has total </w:t>
            </w:r>
            <w:r>
              <w:t>s</w:t>
            </w:r>
            <w:r w:rsidRPr="009F5651">
              <w:t xml:space="preserve">cope 1 and </w:t>
            </w:r>
            <w:r>
              <w:t>s</w:t>
            </w:r>
            <w:r w:rsidRPr="009F5651">
              <w:t xml:space="preserve">cope 2 emissions of 20 kilotonnes and total energy consumption of 50 terajoules. It does not produce energy. Therefore, </w:t>
            </w:r>
            <w:r>
              <w:t>F</w:t>
            </w:r>
            <w:r w:rsidRPr="009F5651">
              <w:t>acility 3 does not reach any of the facility-level thresholds under section 13 of the NGER Act</w:t>
            </w:r>
          </w:p>
          <w:p w14:paraId="7E14CA05" w14:textId="44D1605C" w:rsidR="00EE774A" w:rsidRPr="0092568B" w:rsidRDefault="00EE774A" w:rsidP="00EE774A">
            <w:pPr>
              <w:spacing w:after="120"/>
            </w:pPr>
            <w:r w:rsidRPr="009F5651">
              <w:t xml:space="preserve">As </w:t>
            </w:r>
            <w:r>
              <w:t>F</w:t>
            </w:r>
            <w:r w:rsidRPr="009F5651">
              <w:t xml:space="preserve">acility 2 and 3 together do not meet a corporate group threshold, </w:t>
            </w:r>
            <w:r>
              <w:t>C</w:t>
            </w:r>
            <w:r w:rsidRPr="009F5651">
              <w:t xml:space="preserve">ontrolling </w:t>
            </w:r>
            <w:r>
              <w:t>C</w:t>
            </w:r>
            <w:r w:rsidRPr="009F5651">
              <w:t xml:space="preserve">orporation B only includes </w:t>
            </w:r>
            <w:r>
              <w:t>F</w:t>
            </w:r>
            <w:r w:rsidRPr="009F5651">
              <w:t>acility 2 in its NGER Act section 19 report.</w:t>
            </w:r>
          </w:p>
        </w:tc>
      </w:tr>
    </w:tbl>
    <w:p w14:paraId="424603EC" w14:textId="0028D54C" w:rsidR="007773C0" w:rsidRDefault="007773C0" w:rsidP="0039598D"/>
    <w:p w14:paraId="398B75FD" w14:textId="77777777" w:rsidR="007773C0" w:rsidRDefault="007773C0">
      <w:pPr>
        <w:spacing w:after="0"/>
        <w:rPr>
          <w:rFonts w:ascii="Calibri" w:eastAsia="Times New Roman" w:hAnsi="Calibri" w:cs="Calibri"/>
          <w:b/>
          <w:bCs/>
          <w:kern w:val="32"/>
          <w:sz w:val="40"/>
        </w:rPr>
      </w:pPr>
      <w:r>
        <w:br w:type="page"/>
      </w:r>
    </w:p>
    <w:p w14:paraId="291405A2" w14:textId="185FAAAD" w:rsidR="0083291B" w:rsidRDefault="007773C0" w:rsidP="0039598D">
      <w:r>
        <w:rPr>
          <w:noProof/>
        </w:rPr>
        <w:lastRenderedPageBreak/>
        <w:drawing>
          <wp:anchor distT="0" distB="0" distL="114300" distR="114300" simplePos="0" relativeHeight="251658242" behindDoc="1" locked="0" layoutInCell="1" allowOverlap="1" wp14:anchorId="29236FBD" wp14:editId="17FD18B7">
            <wp:simplePos x="0" y="0"/>
            <wp:positionH relativeFrom="margin">
              <wp:align>center</wp:align>
            </wp:positionH>
            <wp:positionV relativeFrom="paragraph">
              <wp:posOffset>184965</wp:posOffset>
            </wp:positionV>
            <wp:extent cx="5725118" cy="8091578"/>
            <wp:effectExtent l="0" t="0" r="0" b="0"/>
            <wp:wrapTight wrapText="bothSides">
              <wp:wrapPolygon edited="0">
                <wp:start x="7332" y="763"/>
                <wp:lineTo x="6900" y="1068"/>
                <wp:lineTo x="6613" y="1373"/>
                <wp:lineTo x="6757" y="2644"/>
                <wp:lineTo x="9488" y="3306"/>
                <wp:lineTo x="10063" y="3306"/>
                <wp:lineTo x="9776" y="3712"/>
                <wp:lineTo x="9991" y="4119"/>
                <wp:lineTo x="7476" y="4272"/>
                <wp:lineTo x="6613" y="4475"/>
                <wp:lineTo x="6685" y="6052"/>
                <wp:lineTo x="8841" y="6560"/>
                <wp:lineTo x="10063" y="6560"/>
                <wp:lineTo x="9848" y="7120"/>
                <wp:lineTo x="9848" y="7374"/>
                <wp:lineTo x="7476" y="7628"/>
                <wp:lineTo x="6613" y="7832"/>
                <wp:lineTo x="6613" y="9205"/>
                <wp:lineTo x="6757" y="10019"/>
                <wp:lineTo x="9848" y="10629"/>
                <wp:lineTo x="10782" y="10629"/>
                <wp:lineTo x="10782" y="11442"/>
                <wp:lineTo x="7547" y="11442"/>
                <wp:lineTo x="6685" y="11595"/>
                <wp:lineTo x="6757" y="13273"/>
                <wp:lineTo x="9416" y="13884"/>
                <wp:lineTo x="5966" y="14036"/>
                <wp:lineTo x="5679" y="14087"/>
                <wp:lineTo x="5679" y="15511"/>
                <wp:lineTo x="3091" y="15511"/>
                <wp:lineTo x="2228" y="15714"/>
                <wp:lineTo x="2228" y="16325"/>
                <wp:lineTo x="2444" y="17291"/>
                <wp:lineTo x="4960" y="17952"/>
                <wp:lineTo x="5463" y="17952"/>
                <wp:lineTo x="3091" y="18359"/>
                <wp:lineTo x="2444" y="18511"/>
                <wp:lineTo x="2444" y="20495"/>
                <wp:lineTo x="3306" y="20902"/>
                <wp:lineTo x="17539" y="20902"/>
                <wp:lineTo x="18401" y="20495"/>
                <wp:lineTo x="18473" y="18562"/>
                <wp:lineTo x="17611" y="18308"/>
                <wp:lineTo x="15454" y="17952"/>
                <wp:lineTo x="15742" y="17952"/>
                <wp:lineTo x="18258" y="17240"/>
                <wp:lineTo x="18329" y="17138"/>
                <wp:lineTo x="18473" y="16325"/>
                <wp:lineTo x="18329" y="15816"/>
                <wp:lineTo x="17970" y="15511"/>
                <wp:lineTo x="20630" y="14697"/>
                <wp:lineTo x="20989" y="14087"/>
                <wp:lineTo x="21133" y="11544"/>
                <wp:lineTo x="19839" y="11442"/>
                <wp:lineTo x="10710" y="11442"/>
                <wp:lineTo x="10782" y="10629"/>
                <wp:lineTo x="11285" y="10629"/>
                <wp:lineTo x="13657" y="9968"/>
                <wp:lineTo x="13873" y="7883"/>
                <wp:lineTo x="13082" y="7679"/>
                <wp:lineTo x="10782" y="7374"/>
                <wp:lineTo x="10926" y="7374"/>
                <wp:lineTo x="10638" y="6560"/>
                <wp:lineTo x="11645" y="6560"/>
                <wp:lineTo x="13873" y="6001"/>
                <wp:lineTo x="13873" y="4984"/>
                <wp:lineTo x="20414" y="4170"/>
                <wp:lineTo x="20558" y="4119"/>
                <wp:lineTo x="20989" y="3509"/>
                <wp:lineTo x="21133" y="966"/>
                <wp:lineTo x="19911" y="865"/>
                <wp:lineTo x="13298" y="763"/>
                <wp:lineTo x="7332" y="763"/>
              </wp:wrapPolygon>
            </wp:wrapTight>
            <wp:docPr id="1462536419" name="Picture 10" descr="As discussed in examp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36419" name="Picture 10" descr="As discussed in example 3"/>
                    <pic:cNvPicPr/>
                  </pic:nvPicPr>
                  <pic:blipFill>
                    <a:blip r:embed="rId17"/>
                    <a:stretch>
                      <a:fillRect/>
                    </a:stretch>
                  </pic:blipFill>
                  <pic:spPr>
                    <a:xfrm>
                      <a:off x="0" y="0"/>
                      <a:ext cx="5725118" cy="8091578"/>
                    </a:xfrm>
                    <a:prstGeom prst="rect">
                      <a:avLst/>
                    </a:prstGeom>
                  </pic:spPr>
                </pic:pic>
              </a:graphicData>
            </a:graphic>
          </wp:anchor>
        </w:drawing>
      </w:r>
    </w:p>
    <w:p w14:paraId="16E6D2C5" w14:textId="35488830" w:rsidR="0083291B" w:rsidRDefault="0083291B" w:rsidP="0039598D"/>
    <w:p w14:paraId="53C92482" w14:textId="77777777" w:rsidR="0083291B" w:rsidRDefault="0083291B" w:rsidP="0039598D"/>
    <w:tbl>
      <w:tblPr>
        <w:tblStyle w:val="CERCallout"/>
        <w:tblW w:w="5000" w:type="pct"/>
        <w:tblLook w:val="0480" w:firstRow="0" w:lastRow="0" w:firstColumn="1" w:lastColumn="0" w:noHBand="0" w:noVBand="1"/>
        <w:tblCaption w:val="test"/>
        <w:tblDescription w:val="tesst"/>
      </w:tblPr>
      <w:tblGrid>
        <w:gridCol w:w="9710"/>
      </w:tblGrid>
      <w:tr w:rsidR="00EE774A" w14:paraId="230E4E31" w14:textId="77777777" w:rsidTr="00F945A0">
        <w:tc>
          <w:tcPr>
            <w:tcW w:w="5000" w:type="pct"/>
          </w:tcPr>
          <w:p w14:paraId="4C8ABB66" w14:textId="4AF84567" w:rsidR="00EE774A" w:rsidRPr="00BB4522" w:rsidRDefault="00EE774A" w:rsidP="00EE774A">
            <w:pPr>
              <w:pStyle w:val="Heading5"/>
            </w:pPr>
            <w:r>
              <w:lastRenderedPageBreak/>
              <w:t>Example 4</w:t>
            </w:r>
            <w:r w:rsidR="0012597C">
              <w:t xml:space="preserve"> – </w:t>
            </w:r>
            <w:r w:rsidRPr="00BB4522">
              <w:t>After the issue of RTC</w:t>
            </w:r>
            <w:r>
              <w:t xml:space="preserve">: </w:t>
            </w:r>
            <w:r w:rsidRPr="00BB4522">
              <w:t>a more complex scenario</w:t>
            </w:r>
          </w:p>
          <w:p w14:paraId="014408FB" w14:textId="318B5C82" w:rsidR="00EE774A" w:rsidRPr="00171B4C" w:rsidRDefault="00EE774A" w:rsidP="00EE774A">
            <w:r w:rsidRPr="00171B4C">
              <w:t xml:space="preserve">The same circumstances outlined in </w:t>
            </w:r>
            <w:r>
              <w:t>e</w:t>
            </w:r>
            <w:r w:rsidRPr="00171B4C">
              <w:t>xample 3 exist here. However</w:t>
            </w:r>
            <w:r w:rsidR="0012597C">
              <w:t>,</w:t>
            </w:r>
            <w:r w:rsidRPr="00171B4C">
              <w:t xml:space="preserve"> in this example, </w:t>
            </w:r>
            <w:r>
              <w:t>G</w:t>
            </w:r>
            <w:r w:rsidRPr="00171B4C">
              <w:t xml:space="preserve">roup </w:t>
            </w:r>
            <w:r>
              <w:t>M</w:t>
            </w:r>
            <w:r w:rsidRPr="00171B4C">
              <w:t xml:space="preserve">ember 2 has been issued with an RTC in relation to </w:t>
            </w:r>
            <w:r>
              <w:t>F</w:t>
            </w:r>
            <w:r w:rsidRPr="00171B4C">
              <w:t>acility 1.</w:t>
            </w:r>
          </w:p>
          <w:p w14:paraId="2A193F41" w14:textId="77777777" w:rsidR="00EE774A" w:rsidRPr="00171B4C" w:rsidRDefault="00EE774A" w:rsidP="00EE774A">
            <w:r w:rsidRPr="00171B4C">
              <w:t>As the emissions</w:t>
            </w:r>
            <w:r>
              <w:t>,</w:t>
            </w:r>
            <w:r w:rsidRPr="00171B4C">
              <w:t xml:space="preserve"> energy production and </w:t>
            </w:r>
            <w:r>
              <w:t xml:space="preserve">energy </w:t>
            </w:r>
            <w:r w:rsidRPr="00171B4C">
              <w:t xml:space="preserve">consumption from </w:t>
            </w:r>
            <w:r>
              <w:t>F</w:t>
            </w:r>
            <w:r w:rsidRPr="00171B4C">
              <w:t xml:space="preserve">acility 1 no longer count towards </w:t>
            </w:r>
            <w:r>
              <w:t>C</w:t>
            </w:r>
            <w:r w:rsidRPr="00171B4C">
              <w:t xml:space="preserve">ontrolling </w:t>
            </w:r>
            <w:r>
              <w:t>C</w:t>
            </w:r>
            <w:r w:rsidRPr="00171B4C">
              <w:t xml:space="preserve">orporation A’s section 13 threshold assessments and section 19 reporting obligations, </w:t>
            </w:r>
            <w:r>
              <w:t>C</w:t>
            </w:r>
            <w:r w:rsidRPr="00171B4C">
              <w:t xml:space="preserve">ontrolling </w:t>
            </w:r>
            <w:r>
              <w:t>C</w:t>
            </w:r>
            <w:r w:rsidRPr="00171B4C">
              <w:t xml:space="preserve">orporation A would submit a below threshold section 19 report and could apply for deregistration. </w:t>
            </w:r>
          </w:p>
          <w:p w14:paraId="259C71B0" w14:textId="77777777" w:rsidR="00EE774A" w:rsidRPr="00171B4C" w:rsidRDefault="00EE774A" w:rsidP="00EE774A">
            <w:r w:rsidRPr="00171B4C">
              <w:t xml:space="preserve">Group </w:t>
            </w:r>
            <w:r>
              <w:t>M</w:t>
            </w:r>
            <w:r w:rsidRPr="00171B4C">
              <w:t xml:space="preserve">ember 2, as the holder of an RTC in relation to </w:t>
            </w:r>
            <w:r>
              <w:t>F</w:t>
            </w:r>
            <w:r w:rsidRPr="00171B4C">
              <w:t xml:space="preserve">acility 1, would submit a section 22G report on </w:t>
            </w:r>
            <w:r>
              <w:t>F</w:t>
            </w:r>
            <w:r w:rsidRPr="00171B4C">
              <w:t>acility 1’s emissions, energy production and energy consumption.</w:t>
            </w:r>
          </w:p>
          <w:p w14:paraId="7DC24071" w14:textId="77777777" w:rsidR="00EE774A" w:rsidRPr="00171B4C" w:rsidRDefault="00EE774A" w:rsidP="00EE774A">
            <w:r w:rsidRPr="00171B4C">
              <w:t xml:space="preserve">Controlling </w:t>
            </w:r>
            <w:r>
              <w:t>C</w:t>
            </w:r>
            <w:r w:rsidRPr="00171B4C">
              <w:t xml:space="preserve">orporation B would continue to provide a section 19 report in relation to </w:t>
            </w:r>
            <w:r>
              <w:t>F</w:t>
            </w:r>
            <w:r w:rsidRPr="00171B4C">
              <w:t xml:space="preserve">acility 2’s emissions, energy production and energy consumption. </w:t>
            </w:r>
          </w:p>
          <w:p w14:paraId="74134A17" w14:textId="4A68A3C5" w:rsidR="00EE774A" w:rsidRPr="0092568B" w:rsidRDefault="00EE774A" w:rsidP="00EE774A">
            <w:pPr>
              <w:spacing w:after="120"/>
            </w:pPr>
            <w:r w:rsidRPr="004039CF">
              <w:rPr>
                <w:b/>
                <w:bCs/>
              </w:rPr>
              <w:t>Note:</w:t>
            </w:r>
            <w:r w:rsidRPr="00171B4C">
              <w:t xml:space="preserve"> </w:t>
            </w:r>
            <w:r>
              <w:t xml:space="preserve">the </w:t>
            </w:r>
            <w:r w:rsidRPr="00171B4C">
              <w:t xml:space="preserve">total emissions and energy consumption from </w:t>
            </w:r>
            <w:r>
              <w:t>F</w:t>
            </w:r>
            <w:r w:rsidRPr="00171B4C">
              <w:t xml:space="preserve">acilities 1, 2 and 3 would mean that </w:t>
            </w:r>
            <w:r>
              <w:t>C</w:t>
            </w:r>
            <w:r w:rsidRPr="00171B4C">
              <w:t xml:space="preserve">ontrolling </w:t>
            </w:r>
            <w:r>
              <w:t>C</w:t>
            </w:r>
            <w:r w:rsidRPr="00171B4C">
              <w:t xml:space="preserve">orporation B’s group would meet the corporate group thresholds for both emissions and energy consumption. However, emissions and energy data from a facility that is the subject of an RTC does not count towards section 13 threshold assessments of </w:t>
            </w:r>
            <w:r>
              <w:t xml:space="preserve">either </w:t>
            </w:r>
            <w:r w:rsidRPr="00171B4C">
              <w:t xml:space="preserve">the controlling corporation </w:t>
            </w:r>
            <w:r w:rsidR="00975846" w:rsidRPr="00171B4C">
              <w:t>of the</w:t>
            </w:r>
            <w:r w:rsidRPr="00171B4C">
              <w:t xml:space="preserve"> corporation with operational control or the </w:t>
            </w:r>
            <w:r>
              <w:t xml:space="preserve">controlling corporation of the </w:t>
            </w:r>
            <w:r w:rsidRPr="00171B4C">
              <w:t>RTC holder.</w:t>
            </w:r>
            <w:r w:rsidR="0F2DC42C">
              <w:t xml:space="preserve"> As the totals for facilities 2 and 3 are below the corporate report threshold, only facility 2 needs to be reported as it is above the facility threshold. </w:t>
            </w:r>
          </w:p>
        </w:tc>
      </w:tr>
    </w:tbl>
    <w:p w14:paraId="21787C52" w14:textId="5486600A" w:rsidR="00EE774A" w:rsidRDefault="00645467" w:rsidP="0039598D">
      <w:r>
        <w:rPr>
          <w:noProof/>
        </w:rPr>
        <w:drawing>
          <wp:inline distT="0" distB="0" distL="0" distR="0" wp14:anchorId="445A73AF" wp14:editId="285155BF">
            <wp:extent cx="5779135" cy="4370705"/>
            <wp:effectExtent l="0" t="0" r="0" b="0"/>
            <wp:docPr id="1648085311" name="Picture 11" descr="As discussed in examp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85311" name="Picture 11" descr="As discussed in example 4"/>
                    <pic:cNvPicPr/>
                  </pic:nvPicPr>
                  <pic:blipFill rotWithShape="1">
                    <a:blip r:embed="rId18"/>
                    <a:srcRect l="25664"/>
                    <a:stretch/>
                  </pic:blipFill>
                  <pic:spPr bwMode="auto">
                    <a:xfrm>
                      <a:off x="0" y="0"/>
                      <a:ext cx="5779135" cy="4370705"/>
                    </a:xfrm>
                    <a:prstGeom prst="rect">
                      <a:avLst/>
                    </a:prstGeom>
                    <a:ln>
                      <a:noFill/>
                    </a:ln>
                    <a:extLst>
                      <a:ext uri="{53640926-AAD7-44D8-BBD7-CCE9431645EC}">
                        <a14:shadowObscured xmlns:a14="http://schemas.microsoft.com/office/drawing/2010/main"/>
                      </a:ext>
                    </a:extLst>
                  </pic:spPr>
                </pic:pic>
              </a:graphicData>
            </a:graphic>
          </wp:inline>
        </w:drawing>
      </w:r>
      <w:bookmarkStart w:id="46" w:name="_Toc423619666"/>
    </w:p>
    <w:p w14:paraId="181C51C6" w14:textId="05E6D404" w:rsidR="002F39AA" w:rsidRPr="002F39AA" w:rsidRDefault="00EE774A" w:rsidP="005654C0">
      <w:pPr>
        <w:pStyle w:val="Heading2"/>
      </w:pPr>
      <w:bookmarkStart w:id="47" w:name="_Toc181713289"/>
      <w:r>
        <w:lastRenderedPageBreak/>
        <w:t xml:space="preserve">7. </w:t>
      </w:r>
      <w:r w:rsidRPr="008E6515">
        <w:t>Record keeping</w:t>
      </w:r>
      <w:bookmarkEnd w:id="46"/>
      <w:bookmarkEnd w:id="47"/>
    </w:p>
    <w:p w14:paraId="11CEA991" w14:textId="77777777" w:rsidR="00EE774A" w:rsidRDefault="00EE774A" w:rsidP="00EE774A">
      <w:pPr>
        <w:rPr>
          <w:lang w:eastAsia="en-AU"/>
        </w:rPr>
      </w:pPr>
      <w:r w:rsidRPr="00E44AB5">
        <w:rPr>
          <w:lang w:eastAsia="en-AU"/>
        </w:rPr>
        <w:t xml:space="preserve">A corporation that is or was an RTC holder is required to keep records of its activities that allow it to report accurately under section 22G of the NGER Act and that allow the Clean Energy Regulator to ascertain whether it has complied with its reporting obligations. </w:t>
      </w:r>
    </w:p>
    <w:p w14:paraId="62BA9674" w14:textId="1BCBFB2A" w:rsidR="002F39AA" w:rsidRPr="00E44AB5" w:rsidRDefault="00EE774A" w:rsidP="00EE774A">
      <w:pPr>
        <w:rPr>
          <w:lang w:eastAsia="en-AU"/>
        </w:rPr>
      </w:pPr>
      <w:r w:rsidRPr="00E44AB5">
        <w:rPr>
          <w:lang w:eastAsia="en-AU"/>
        </w:rPr>
        <w:t>These records must be retained for five years from the end of the financial year in which the activities took place. Failure to keep records may incur a civil penalty of up to 1</w:t>
      </w:r>
      <w:r>
        <w:rPr>
          <w:lang w:eastAsia="en-AU"/>
        </w:rPr>
        <w:t xml:space="preserve"> </w:t>
      </w:r>
      <w:r w:rsidRPr="00E44AB5">
        <w:rPr>
          <w:lang w:eastAsia="en-AU"/>
        </w:rPr>
        <w:t>000 penalty units.</w:t>
      </w:r>
    </w:p>
    <w:p w14:paraId="3BC1A4DF" w14:textId="278A09D5" w:rsidR="00EE774A" w:rsidRDefault="00EE774A" w:rsidP="00345190">
      <w:pPr>
        <w:pStyle w:val="Heading2"/>
        <w:rPr>
          <w:lang w:eastAsia="en-AU"/>
        </w:rPr>
      </w:pPr>
      <w:bookmarkStart w:id="48" w:name="_Toc423619667"/>
      <w:bookmarkStart w:id="49" w:name="_Toc181713290"/>
      <w:r>
        <w:rPr>
          <w:lang w:eastAsia="en-AU"/>
        </w:rPr>
        <w:t>8. Surrendering or cancelling an R</w:t>
      </w:r>
      <w:r w:rsidRPr="007554ED">
        <w:rPr>
          <w:lang w:eastAsia="en-AU"/>
        </w:rPr>
        <w:t>TC</w:t>
      </w:r>
      <w:bookmarkEnd w:id="48"/>
      <w:bookmarkEnd w:id="49"/>
    </w:p>
    <w:p w14:paraId="0EDEC453" w14:textId="2CF51315" w:rsidR="00EE774A" w:rsidRPr="005326AC" w:rsidRDefault="00EE774A" w:rsidP="004039CF">
      <w:pPr>
        <w:pStyle w:val="Heading3"/>
        <w:spacing w:after="240"/>
        <w:rPr>
          <w:lang w:eastAsia="en-AU"/>
        </w:rPr>
      </w:pPr>
      <w:bookmarkStart w:id="50" w:name="_Toc423619668"/>
      <w:bookmarkStart w:id="51" w:name="_Toc181713291"/>
      <w:r>
        <w:rPr>
          <w:lang w:eastAsia="en-AU"/>
        </w:rPr>
        <w:t>8.1 Surrendering an RTC</w:t>
      </w:r>
      <w:bookmarkEnd w:id="50"/>
      <w:bookmarkEnd w:id="51"/>
    </w:p>
    <w:p w14:paraId="131E584E" w14:textId="5ABB6CC5" w:rsidR="00EE774A" w:rsidRPr="00E44AB5" w:rsidRDefault="00EE774A" w:rsidP="00EE774A">
      <w:pPr>
        <w:rPr>
          <w:lang w:eastAsia="en-AU"/>
        </w:rPr>
      </w:pPr>
      <w:r w:rsidRPr="00E44AB5">
        <w:rPr>
          <w:lang w:eastAsia="en-AU"/>
        </w:rPr>
        <w:t>An RTC holder may, with the written consent of the Clean Energy Regulator, surrender its RTC. The surrender takes effect from the date the Clean Energy Regulator gives consent.</w:t>
      </w:r>
      <w:r w:rsidR="006C5412">
        <w:rPr>
          <w:lang w:eastAsia="en-AU"/>
        </w:rPr>
        <w:t xml:space="preserve"> </w:t>
      </w:r>
      <w:r w:rsidR="006C5412" w:rsidRPr="00BB4522">
        <w:rPr>
          <w:lang w:eastAsia="en-AU"/>
        </w:rPr>
        <w:t>Surrender</w:t>
      </w:r>
      <w:r w:rsidR="006C5412">
        <w:rPr>
          <w:lang w:eastAsia="en-AU"/>
        </w:rPr>
        <w:t>s</w:t>
      </w:r>
      <w:r w:rsidR="006C5412" w:rsidRPr="00BB4522">
        <w:rPr>
          <w:lang w:eastAsia="en-AU"/>
        </w:rPr>
        <w:t xml:space="preserve"> cannot be backdated.</w:t>
      </w:r>
    </w:p>
    <w:p w14:paraId="0E2E6C00" w14:textId="2C285AE7" w:rsidR="00EE774A" w:rsidRPr="00E44AB5" w:rsidRDefault="00EE774A" w:rsidP="00EE774A">
      <w:pPr>
        <w:rPr>
          <w:lang w:eastAsia="en-AU"/>
        </w:rPr>
      </w:pPr>
      <w:r w:rsidRPr="00E44AB5">
        <w:rPr>
          <w:lang w:eastAsia="en-AU"/>
        </w:rPr>
        <w:t xml:space="preserve">The Clean Energy Regulator will </w:t>
      </w:r>
      <w:r w:rsidR="003E6758">
        <w:rPr>
          <w:lang w:eastAsia="en-AU"/>
        </w:rPr>
        <w:t>only</w:t>
      </w:r>
      <w:r w:rsidR="003E6758" w:rsidRPr="00E44AB5">
        <w:rPr>
          <w:lang w:eastAsia="en-AU"/>
        </w:rPr>
        <w:t xml:space="preserve"> </w:t>
      </w:r>
      <w:r w:rsidRPr="00E44AB5">
        <w:rPr>
          <w:lang w:eastAsia="en-AU"/>
        </w:rPr>
        <w:t xml:space="preserve">consent to the surrender of an RTC </w:t>
      </w:r>
      <w:r w:rsidR="003E6758">
        <w:rPr>
          <w:lang w:eastAsia="en-AU"/>
        </w:rPr>
        <w:t>when</w:t>
      </w:r>
      <w:r w:rsidRPr="00E44AB5">
        <w:rPr>
          <w:lang w:eastAsia="en-AU"/>
        </w:rPr>
        <w:t>:</w:t>
      </w:r>
    </w:p>
    <w:p w14:paraId="25F1F04D" w14:textId="2334189A" w:rsidR="00EE774A" w:rsidRPr="00BB4522" w:rsidRDefault="00EE774A" w:rsidP="00EE774A">
      <w:pPr>
        <w:pStyle w:val="CERbullets"/>
        <w:ind w:left="360" w:hanging="360"/>
      </w:pPr>
      <w:r w:rsidRPr="00BB4522">
        <w:t>the corporation that consented to the application (either the corporation with operational control</w:t>
      </w:r>
      <w:r>
        <w:t xml:space="preserve"> of the facility </w:t>
      </w:r>
      <w:r w:rsidRPr="00BB4522">
        <w:t xml:space="preserve">or </w:t>
      </w:r>
      <w:r>
        <w:t>its</w:t>
      </w:r>
      <w:r w:rsidRPr="00BB4522">
        <w:t xml:space="preserve"> controlling corporation) has agreed to the surrender </w:t>
      </w:r>
    </w:p>
    <w:p w14:paraId="4D9C8B92" w14:textId="77777777" w:rsidR="00EE774A" w:rsidRPr="00BB4522" w:rsidRDefault="00EE774A" w:rsidP="00EE774A">
      <w:pPr>
        <w:pStyle w:val="CERbullets"/>
        <w:ind w:left="360" w:hanging="360"/>
      </w:pPr>
      <w:r w:rsidRPr="00BB4522">
        <w:t>the Clean Energy Regulator is satisfied that there are special circumstances that warrant consent</w:t>
      </w:r>
      <w:r>
        <w:t>ing</w:t>
      </w:r>
      <w:r w:rsidRPr="00BB4522">
        <w:t xml:space="preserve"> to the surrender. </w:t>
      </w:r>
    </w:p>
    <w:p w14:paraId="54D3AB36" w14:textId="2E12D8D2" w:rsidR="00EE774A" w:rsidRPr="00E44AB5" w:rsidRDefault="00EE774A" w:rsidP="00EE774A">
      <w:pPr>
        <w:rPr>
          <w:lang w:eastAsia="en-AU"/>
        </w:rPr>
      </w:pPr>
      <w:bookmarkStart w:id="52" w:name="_Toc332098890"/>
      <w:bookmarkStart w:id="53" w:name="_Toc345932416"/>
      <w:r w:rsidRPr="008E6515">
        <w:rPr>
          <w:b/>
          <w:lang w:eastAsia="en-AU"/>
        </w:rPr>
        <w:t>Note</w:t>
      </w:r>
      <w:r w:rsidRPr="00E44AB5">
        <w:rPr>
          <w:lang w:eastAsia="en-AU"/>
        </w:rPr>
        <w:t xml:space="preserve">: Where there is a change in the RTC holder’s circumstances, such that </w:t>
      </w:r>
      <w:r>
        <w:rPr>
          <w:lang w:eastAsia="en-AU"/>
        </w:rPr>
        <w:t xml:space="preserve">it </w:t>
      </w:r>
      <w:r w:rsidRPr="00E44AB5">
        <w:rPr>
          <w:lang w:eastAsia="en-AU"/>
        </w:rPr>
        <w:t>no longer meet</w:t>
      </w:r>
      <w:r>
        <w:rPr>
          <w:lang w:eastAsia="en-AU"/>
        </w:rPr>
        <w:t>s</w:t>
      </w:r>
      <w:r w:rsidRPr="00E44AB5">
        <w:rPr>
          <w:lang w:eastAsia="en-AU"/>
        </w:rPr>
        <w:t xml:space="preserve"> the relevant criteria</w:t>
      </w:r>
      <w:r>
        <w:rPr>
          <w:lang w:eastAsia="en-AU"/>
        </w:rPr>
        <w:t xml:space="preserve"> (see below)</w:t>
      </w:r>
      <w:r w:rsidRPr="00E44AB5">
        <w:rPr>
          <w:lang w:eastAsia="en-AU"/>
        </w:rPr>
        <w:t>, the RTC</w:t>
      </w:r>
      <w:r>
        <w:rPr>
          <w:lang w:eastAsia="en-AU"/>
        </w:rPr>
        <w:t xml:space="preserve"> will be cancelled rather than surrendered.</w:t>
      </w:r>
    </w:p>
    <w:p w14:paraId="575C285B" w14:textId="3BDFB49C" w:rsidR="00EE774A" w:rsidRPr="00E44AB5" w:rsidRDefault="00EE774A" w:rsidP="004039CF">
      <w:pPr>
        <w:pStyle w:val="Heading3"/>
        <w:spacing w:after="240"/>
        <w:rPr>
          <w:lang w:eastAsia="en-AU"/>
        </w:rPr>
      </w:pPr>
      <w:bookmarkStart w:id="54" w:name="_Toc423619669"/>
      <w:bookmarkStart w:id="55" w:name="_Toc181713292"/>
      <w:r>
        <w:rPr>
          <w:lang w:eastAsia="en-AU"/>
        </w:rPr>
        <w:t xml:space="preserve">8.2 </w:t>
      </w:r>
      <w:r w:rsidRPr="00E44AB5">
        <w:rPr>
          <w:lang w:eastAsia="en-AU"/>
        </w:rPr>
        <w:t>Cancelling an RTC</w:t>
      </w:r>
      <w:bookmarkEnd w:id="52"/>
      <w:bookmarkEnd w:id="53"/>
      <w:bookmarkEnd w:id="54"/>
      <w:bookmarkEnd w:id="55"/>
    </w:p>
    <w:p w14:paraId="058520ED" w14:textId="77777777" w:rsidR="00EE774A" w:rsidRPr="00E44AB5" w:rsidRDefault="00EE774A" w:rsidP="00EE774A">
      <w:pPr>
        <w:rPr>
          <w:lang w:eastAsia="en-AU"/>
        </w:rPr>
      </w:pPr>
      <w:r w:rsidRPr="00E44AB5">
        <w:rPr>
          <w:lang w:eastAsia="en-AU"/>
        </w:rPr>
        <w:t>The Clean Energy Regulator must cancel an RTC in any of the following circumstances:</w:t>
      </w:r>
    </w:p>
    <w:p w14:paraId="5F4CCCDB" w14:textId="77777777" w:rsidR="00EE774A" w:rsidRPr="00FA4A2F" w:rsidRDefault="00EE774A" w:rsidP="00EE774A">
      <w:pPr>
        <w:pStyle w:val="CERbullets"/>
        <w:ind w:left="360" w:hanging="360"/>
      </w:pPr>
      <w:r>
        <w:t>T</w:t>
      </w:r>
      <w:r w:rsidRPr="00FA4A2F">
        <w:t xml:space="preserve">he facility is no longer under the operational control of the corporation that had operational control at the time </w:t>
      </w:r>
      <w:r>
        <w:t xml:space="preserve">the RTC was issued. </w:t>
      </w:r>
    </w:p>
    <w:p w14:paraId="205BE692" w14:textId="77777777" w:rsidR="00EE774A" w:rsidRPr="00FA4A2F" w:rsidRDefault="00EE774A" w:rsidP="00EE774A">
      <w:pPr>
        <w:pStyle w:val="CERbullets"/>
        <w:ind w:left="360" w:hanging="360"/>
      </w:pPr>
      <w:r>
        <w:t>T</w:t>
      </w:r>
      <w:r w:rsidRPr="00FA4A2F">
        <w:t>he RTC holder no longer has financial control over the facility</w:t>
      </w:r>
      <w:r>
        <w:t>.</w:t>
      </w:r>
    </w:p>
    <w:p w14:paraId="00A92FEE" w14:textId="77777777" w:rsidR="00EE774A" w:rsidRPr="00FA4A2F" w:rsidRDefault="00EE774A" w:rsidP="00EE774A">
      <w:pPr>
        <w:pStyle w:val="CERbullets"/>
        <w:ind w:left="360" w:hanging="360"/>
      </w:pPr>
      <w:r>
        <w:t>T</w:t>
      </w:r>
      <w:r w:rsidRPr="00FA4A2F">
        <w:t xml:space="preserve">he RTC holder has ceased to be a company registered under Part 2A.2 of the </w:t>
      </w:r>
      <w:r w:rsidRPr="00FA4A2F">
        <w:rPr>
          <w:i/>
        </w:rPr>
        <w:t>Corporations Act 2001</w:t>
      </w:r>
      <w:r>
        <w:rPr>
          <w:i/>
        </w:rPr>
        <w:t>.</w:t>
      </w:r>
      <w:r w:rsidRPr="00FA4A2F">
        <w:t xml:space="preserve"> </w:t>
      </w:r>
    </w:p>
    <w:p w14:paraId="75A07C79" w14:textId="77777777" w:rsidR="00EE774A" w:rsidRPr="00FA4A2F" w:rsidRDefault="00EE774A" w:rsidP="00EE774A">
      <w:pPr>
        <w:pStyle w:val="CERbullets"/>
        <w:ind w:left="360" w:hanging="360"/>
      </w:pPr>
      <w:r>
        <w:t>T</w:t>
      </w:r>
      <w:r w:rsidRPr="00FA4A2F">
        <w:t>he RTC holder has ceased to be a constitutional corporation</w:t>
      </w:r>
      <w:r>
        <w:t>.</w:t>
      </w:r>
    </w:p>
    <w:p w14:paraId="28D424F2" w14:textId="77777777" w:rsidR="00EE774A" w:rsidRPr="00FA4A2F" w:rsidRDefault="00EE774A" w:rsidP="00EE774A">
      <w:pPr>
        <w:pStyle w:val="CERbullets"/>
        <w:ind w:left="360" w:hanging="360"/>
      </w:pPr>
      <w:r>
        <w:t>T</w:t>
      </w:r>
      <w:r w:rsidRPr="00FA4A2F">
        <w:t>he RTC holder and the corporation with operational control over the facility are now part of the same corporate group</w:t>
      </w:r>
      <w:r>
        <w:t>.</w:t>
      </w:r>
    </w:p>
    <w:p w14:paraId="6D9A2803" w14:textId="77777777" w:rsidR="00EE774A" w:rsidRPr="00FA4A2F" w:rsidRDefault="00EE774A" w:rsidP="00EE774A">
      <w:pPr>
        <w:pStyle w:val="CERbullets"/>
        <w:ind w:left="360" w:hanging="360"/>
      </w:pPr>
      <w:r>
        <w:t>T</w:t>
      </w:r>
      <w:r w:rsidRPr="00FA4A2F">
        <w:t>he corporation with operational control over the facility has ceased to be part of a controlling corporation’s group</w:t>
      </w:r>
      <w:r>
        <w:t>.</w:t>
      </w:r>
      <w:r w:rsidRPr="00FA4A2F">
        <w:t xml:space="preserve"> </w:t>
      </w:r>
    </w:p>
    <w:p w14:paraId="4DFDDB99" w14:textId="77777777" w:rsidR="00EE774A" w:rsidRPr="00FA4A2F" w:rsidRDefault="00EE774A" w:rsidP="00EE774A">
      <w:pPr>
        <w:pStyle w:val="CERbullets"/>
        <w:ind w:left="360" w:hanging="360"/>
      </w:pPr>
      <w:r>
        <w:t>T</w:t>
      </w:r>
      <w:r w:rsidRPr="00FA4A2F">
        <w:t>he RTC holder has become an externally</w:t>
      </w:r>
      <w:r>
        <w:t xml:space="preserve"> </w:t>
      </w:r>
      <w:r w:rsidRPr="00FA4A2F">
        <w:t xml:space="preserve">administered body corporate (within the meaning of the </w:t>
      </w:r>
      <w:r w:rsidRPr="00FA4A2F">
        <w:rPr>
          <w:i/>
        </w:rPr>
        <w:t>Corporations Act 2001</w:t>
      </w:r>
      <w:r w:rsidRPr="00FA4A2F">
        <w:t xml:space="preserve">). </w:t>
      </w:r>
    </w:p>
    <w:p w14:paraId="1EDE54A0" w14:textId="77777777" w:rsidR="00EE774A" w:rsidRPr="00B87D20" w:rsidRDefault="00EE774A" w:rsidP="00EE774A">
      <w:pPr>
        <w:rPr>
          <w:lang w:eastAsia="en-AU"/>
        </w:rPr>
      </w:pPr>
      <w:r w:rsidRPr="00B87D20">
        <w:rPr>
          <w:lang w:eastAsia="en-AU"/>
        </w:rPr>
        <w:t>If the Cle</w:t>
      </w:r>
      <w:r>
        <w:rPr>
          <w:lang w:eastAsia="en-AU"/>
        </w:rPr>
        <w:t>an Energy Regulator cancels an R</w:t>
      </w:r>
      <w:r w:rsidRPr="00B87D20">
        <w:rPr>
          <w:lang w:eastAsia="en-AU"/>
        </w:rPr>
        <w:t>TC</w:t>
      </w:r>
      <w:r>
        <w:rPr>
          <w:lang w:eastAsia="en-AU"/>
        </w:rPr>
        <w:t xml:space="preserve">, all affected parties </w:t>
      </w:r>
      <w:r w:rsidRPr="00B87D20">
        <w:rPr>
          <w:lang w:eastAsia="en-AU"/>
        </w:rPr>
        <w:t>will receive written notification of the cancellation.</w:t>
      </w:r>
    </w:p>
    <w:p w14:paraId="52614202" w14:textId="5F3ECD31" w:rsidR="00EE774A" w:rsidRPr="00E44AB5" w:rsidRDefault="00EE774A" w:rsidP="00EE774A">
      <w:pPr>
        <w:rPr>
          <w:bCs/>
          <w:lang w:eastAsia="en-AU"/>
        </w:rPr>
      </w:pPr>
      <w:r w:rsidRPr="008E6515">
        <w:rPr>
          <w:b/>
          <w:bCs/>
          <w:lang w:eastAsia="en-AU"/>
        </w:rPr>
        <w:t>Note</w:t>
      </w:r>
      <w:r w:rsidRPr="00E44AB5">
        <w:rPr>
          <w:bCs/>
          <w:lang w:eastAsia="en-AU"/>
        </w:rPr>
        <w:t>: Regulations can be made specifying further grounds on which the Clean Energy Regulator must cancel an RTC. At present, no such regulations have been made.</w:t>
      </w:r>
    </w:p>
    <w:p w14:paraId="151123A8" w14:textId="0BACFBB7" w:rsidR="002F39AA" w:rsidRPr="008E6515" w:rsidRDefault="00EE774A" w:rsidP="00EE774A">
      <w:pPr>
        <w:rPr>
          <w:lang w:eastAsia="en-AU"/>
        </w:rPr>
      </w:pPr>
      <w:r w:rsidRPr="008E6515">
        <w:rPr>
          <w:lang w:eastAsia="en-AU"/>
        </w:rPr>
        <w:t>The cancellation will take effect on the date that the Clean Energy Regulator cancels the RTC. Cancellation cannot be backdated.</w:t>
      </w:r>
    </w:p>
    <w:p w14:paraId="2029936D" w14:textId="06326D2B" w:rsidR="002F39AA" w:rsidRPr="002F39AA" w:rsidRDefault="00EE774A" w:rsidP="005654C0">
      <w:pPr>
        <w:pStyle w:val="Heading2"/>
      </w:pPr>
      <w:bookmarkStart w:id="56" w:name="_Toc332098903"/>
      <w:bookmarkStart w:id="57" w:name="_Toc345932418"/>
      <w:bookmarkStart w:id="58" w:name="_Toc423619670"/>
      <w:bookmarkStart w:id="59" w:name="_Toc181713293"/>
      <w:r>
        <w:lastRenderedPageBreak/>
        <w:t xml:space="preserve">9. </w:t>
      </w:r>
      <w:r w:rsidRPr="00155037">
        <w:t>Further information</w:t>
      </w:r>
      <w:bookmarkEnd w:id="56"/>
      <w:bookmarkEnd w:id="57"/>
      <w:bookmarkEnd w:id="58"/>
      <w:bookmarkEnd w:id="59"/>
      <w:r w:rsidRPr="00155037">
        <w:t xml:space="preserve"> </w:t>
      </w:r>
      <w:bookmarkStart w:id="60" w:name="_Toc324320932"/>
    </w:p>
    <w:p w14:paraId="4D0A2003" w14:textId="6B9F3088" w:rsidR="00EE774A" w:rsidRPr="00E44AB5" w:rsidRDefault="00EE774A" w:rsidP="005654C0">
      <w:pPr>
        <w:pStyle w:val="BodyText1"/>
        <w:rPr>
          <w:lang w:eastAsia="en-AU"/>
        </w:rPr>
      </w:pPr>
      <w:bookmarkStart w:id="61" w:name="_Toc99649931"/>
      <w:bookmarkEnd w:id="60"/>
      <w:r w:rsidRPr="00E44AB5">
        <w:rPr>
          <w:lang w:eastAsia="en-AU"/>
        </w:rPr>
        <w:t xml:space="preserve">Email: </w:t>
      </w:r>
      <w:hyperlink r:id="rId19" w:history="1">
        <w:r w:rsidR="00910E73" w:rsidRPr="00A84CE4">
          <w:rPr>
            <w:rStyle w:val="Hyperlink"/>
            <w:rFonts w:asciiTheme="minorHAnsi" w:hAnsiTheme="minorHAnsi"/>
            <w:lang w:eastAsia="en-AU"/>
          </w:rPr>
          <w:t>reporting@cer.gov.au</w:t>
        </w:r>
      </w:hyperlink>
    </w:p>
    <w:p w14:paraId="187B013D" w14:textId="77777777" w:rsidR="00EE774A" w:rsidRDefault="00EE774A" w:rsidP="00EE774A">
      <w:pPr>
        <w:rPr>
          <w:lang w:eastAsia="en-AU"/>
        </w:rPr>
      </w:pPr>
      <w:r w:rsidRPr="00E44AB5">
        <w:rPr>
          <w:lang w:eastAsia="en-AU"/>
        </w:rPr>
        <w:t>Phone: 1300 553 542</w:t>
      </w:r>
    </w:p>
    <w:p w14:paraId="4E0856CF" w14:textId="5C814AF2" w:rsidR="00EE774A" w:rsidRPr="00EE774A" w:rsidRDefault="00EE774A" w:rsidP="0039598D">
      <w:pPr>
        <w:rPr>
          <w:lang w:eastAsia="en-AU"/>
        </w:rPr>
      </w:pPr>
      <w:r>
        <w:rPr>
          <w:lang w:eastAsia="en-AU"/>
        </w:rPr>
        <w:t xml:space="preserve">Website: </w:t>
      </w:r>
      <w:hyperlink r:id="rId20" w:history="1">
        <w:r w:rsidR="004D193C">
          <w:rPr>
            <w:rStyle w:val="Hyperlink"/>
            <w:rFonts w:asciiTheme="minorHAnsi" w:hAnsiTheme="minorHAnsi"/>
            <w:lang w:eastAsia="en-AU"/>
          </w:rPr>
          <w:t>www.cer.gov.au</w:t>
        </w:r>
      </w:hyperlink>
      <w:r>
        <w:rPr>
          <w:lang w:eastAsia="en-AU"/>
        </w:rPr>
        <w:t xml:space="preserve"> </w:t>
      </w:r>
      <w:bookmarkEnd w:id="61"/>
    </w:p>
    <w:sectPr w:rsidR="00EE774A" w:rsidRPr="00EE774A" w:rsidSect="00E349EF">
      <w:headerReference w:type="default" r:id="rId21"/>
      <w:footerReference w:type="even" r:id="rId22"/>
      <w:footerReference w:type="default" r:id="rId23"/>
      <w:headerReference w:type="first" r:id="rId24"/>
      <w:footerReference w:type="first" r:id="rId2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F90DB" w14:textId="77777777" w:rsidR="00F0027F" w:rsidRDefault="00F0027F" w:rsidP="00176C28">
      <w:r>
        <w:separator/>
      </w:r>
    </w:p>
    <w:p w14:paraId="1924FD46" w14:textId="77777777" w:rsidR="00F0027F" w:rsidRDefault="00F0027F"/>
  </w:endnote>
  <w:endnote w:type="continuationSeparator" w:id="0">
    <w:p w14:paraId="3572953A" w14:textId="77777777" w:rsidR="00F0027F" w:rsidRDefault="00F0027F" w:rsidP="00176C28">
      <w:r>
        <w:continuationSeparator/>
      </w:r>
    </w:p>
    <w:p w14:paraId="07D3A9AA" w14:textId="77777777" w:rsidR="00F0027F" w:rsidRDefault="00F0027F"/>
  </w:endnote>
  <w:endnote w:type="continuationNotice" w:id="1">
    <w:p w14:paraId="24882319" w14:textId="77777777" w:rsidR="00F0027F" w:rsidRDefault="00F002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Content>
      <w:p w14:paraId="0565E915" w14:textId="77777777" w:rsidR="009633DE" w:rsidRDefault="009633DE" w:rsidP="00F945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B6FA5" w14:textId="77777777" w:rsidR="00977234" w:rsidRDefault="00977234" w:rsidP="009633DE">
    <w:pPr>
      <w:pStyle w:val="Footer"/>
      <w:ind w:right="360"/>
      <w:rPr>
        <w:rStyle w:val="PageNumber"/>
      </w:rPr>
    </w:pPr>
  </w:p>
  <w:p w14:paraId="18E6DC71" w14:textId="77777777" w:rsidR="00977234" w:rsidRDefault="00977234" w:rsidP="009633DE">
    <w:pPr>
      <w:pStyle w:val="Footer"/>
    </w:pPr>
  </w:p>
  <w:p w14:paraId="6BA3AA2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0C19A" w14:textId="77777777" w:rsidR="00F76419" w:rsidRPr="00E613C9" w:rsidRDefault="002D18F3" w:rsidP="00E613C9">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B25B1C">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B25B1C">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45FFF6EE" w14:textId="4BB366C6" w:rsidR="00F76419" w:rsidRPr="009633DE" w:rsidRDefault="00E613C9"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5714"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1BE7C1CE" wp14:editId="15865652">
          <wp:extent cx="2131578" cy="6480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31578"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6D14B" w14:textId="77777777" w:rsidR="00F0027F" w:rsidRDefault="00F0027F" w:rsidP="00176C28">
      <w:r>
        <w:separator/>
      </w:r>
    </w:p>
    <w:p w14:paraId="72582DBF" w14:textId="77777777" w:rsidR="00F0027F" w:rsidRDefault="00F0027F"/>
  </w:footnote>
  <w:footnote w:type="continuationSeparator" w:id="0">
    <w:p w14:paraId="16BE73BB" w14:textId="77777777" w:rsidR="00F0027F" w:rsidRDefault="00F0027F" w:rsidP="00176C28">
      <w:r>
        <w:continuationSeparator/>
      </w:r>
    </w:p>
    <w:p w14:paraId="236A8D13" w14:textId="77777777" w:rsidR="00F0027F" w:rsidRDefault="00F0027F"/>
  </w:footnote>
  <w:footnote w:type="continuationNotice" w:id="1">
    <w:p w14:paraId="6D13CBD6" w14:textId="77777777" w:rsidR="00F0027F" w:rsidRDefault="00F0027F">
      <w:pPr>
        <w:spacing w:after="0"/>
      </w:pPr>
    </w:p>
  </w:footnote>
  <w:footnote w:id="2">
    <w:p w14:paraId="465F77A9" w14:textId="6FFAD6DE" w:rsidR="001A1D85" w:rsidRPr="008E7968" w:rsidRDefault="001A1D85" w:rsidP="001A1D85">
      <w:pPr>
        <w:pStyle w:val="FootnoteText"/>
        <w:rPr>
          <w:rFonts w:asciiTheme="minorHAnsi" w:hAnsiTheme="minorHAnsi" w:cstheme="minorHAnsi"/>
          <w:lang w:val="en-AU"/>
        </w:rPr>
      </w:pPr>
      <w:r w:rsidRPr="008E7968">
        <w:rPr>
          <w:rStyle w:val="FootnoteReference"/>
          <w:rFonts w:asciiTheme="minorHAnsi" w:hAnsiTheme="minorHAnsi" w:cstheme="minorHAnsi"/>
        </w:rPr>
        <w:footnoteRef/>
      </w:r>
      <w:r w:rsidRPr="008E7968">
        <w:rPr>
          <w:rFonts w:asciiTheme="minorHAnsi" w:hAnsiTheme="minorHAnsi" w:cstheme="minorHAnsi"/>
        </w:rPr>
        <w:t xml:space="preserve"> </w:t>
      </w:r>
      <w:r w:rsidR="00AE2FD7" w:rsidRPr="008E7968">
        <w:rPr>
          <w:rFonts w:asciiTheme="minorHAnsi" w:hAnsiTheme="minorHAnsi" w:cstheme="minorHAnsi"/>
        </w:rPr>
        <w:t>https://www.legislation.gov.au/C2007A00175/latest/</w:t>
      </w:r>
      <w:r w:rsidR="00226863" w:rsidRPr="008E7968">
        <w:rPr>
          <w:rFonts w:asciiTheme="minorHAnsi" w:hAnsiTheme="minorHAnsi" w:cstheme="minorHAnsi"/>
        </w:rPr>
        <w:t>text</w:t>
      </w:r>
    </w:p>
  </w:footnote>
  <w:footnote w:id="3">
    <w:p w14:paraId="577E7B57" w14:textId="6E9503FC" w:rsidR="001A1D85" w:rsidRPr="008E7968" w:rsidRDefault="001A1D85" w:rsidP="001A1D85">
      <w:pPr>
        <w:pStyle w:val="FootnoteText"/>
        <w:rPr>
          <w:rFonts w:asciiTheme="minorHAnsi" w:hAnsiTheme="minorHAnsi" w:cstheme="minorHAnsi"/>
          <w:lang w:val="en-AU"/>
        </w:rPr>
      </w:pPr>
      <w:r w:rsidRPr="008E7968">
        <w:rPr>
          <w:rStyle w:val="FootnoteReference"/>
          <w:rFonts w:asciiTheme="minorHAnsi" w:hAnsiTheme="minorHAnsi" w:cstheme="minorHAnsi"/>
        </w:rPr>
        <w:footnoteRef/>
      </w:r>
      <w:r w:rsidRPr="008E7968">
        <w:rPr>
          <w:rFonts w:asciiTheme="minorHAnsi" w:hAnsiTheme="minorHAnsi" w:cstheme="minorHAnsi"/>
        </w:rPr>
        <w:t xml:space="preserve"> </w:t>
      </w:r>
      <w:r w:rsidR="00F84268" w:rsidRPr="008E7968">
        <w:rPr>
          <w:rFonts w:asciiTheme="minorHAnsi" w:hAnsiTheme="minorHAnsi" w:cstheme="minorHAnsi"/>
        </w:rPr>
        <w:t>https://www.legislation.gov.au/F2008L02230/latest/</w:t>
      </w:r>
      <w:r w:rsidR="00226863" w:rsidRPr="008E7968">
        <w:rPr>
          <w:rFonts w:asciiTheme="minorHAnsi" w:hAnsiTheme="minorHAnsi" w:cstheme="minorHAnsi"/>
        </w:rPr>
        <w:t>text</w:t>
      </w:r>
    </w:p>
  </w:footnote>
  <w:footnote w:id="4">
    <w:p w14:paraId="2A4E967E" w14:textId="7E902AC5" w:rsidR="001A1D85" w:rsidRPr="008E7968" w:rsidRDefault="001A1D85" w:rsidP="001A1D85">
      <w:pPr>
        <w:pStyle w:val="FootnoteText"/>
        <w:rPr>
          <w:rFonts w:asciiTheme="minorHAnsi" w:hAnsiTheme="minorHAnsi" w:cstheme="minorHAnsi"/>
          <w:lang w:val="en-AU"/>
        </w:rPr>
      </w:pPr>
      <w:r w:rsidRPr="008E7968">
        <w:rPr>
          <w:rStyle w:val="FootnoteReference"/>
          <w:rFonts w:asciiTheme="minorHAnsi" w:hAnsiTheme="minorHAnsi" w:cstheme="minorHAnsi"/>
        </w:rPr>
        <w:footnoteRef/>
      </w:r>
      <w:r w:rsidRPr="008E7968">
        <w:rPr>
          <w:rFonts w:asciiTheme="minorHAnsi" w:hAnsiTheme="minorHAnsi" w:cstheme="minorHAnsi"/>
        </w:rPr>
        <w:t xml:space="preserve"> </w:t>
      </w:r>
      <w:r w:rsidR="00226863" w:rsidRPr="008E7968">
        <w:rPr>
          <w:rFonts w:asciiTheme="minorHAnsi" w:hAnsiTheme="minorHAnsi" w:cstheme="minorHAnsi"/>
        </w:rPr>
        <w:t>https://www.legislation.gov.au/F2008L02309/latest/text</w:t>
      </w:r>
    </w:p>
  </w:footnote>
  <w:footnote w:id="5">
    <w:p w14:paraId="31137E32" w14:textId="792BF1FC" w:rsidR="00FB3722" w:rsidRPr="00FB3722" w:rsidRDefault="00FB3722">
      <w:pPr>
        <w:pStyle w:val="FootnoteText"/>
        <w:rPr>
          <w:lang w:val="en-AU"/>
        </w:rPr>
      </w:pPr>
      <w:r w:rsidRPr="008E7968">
        <w:rPr>
          <w:rStyle w:val="FootnoteReference"/>
          <w:rFonts w:asciiTheme="minorHAnsi" w:hAnsiTheme="minorHAnsi" w:cstheme="minorHAnsi"/>
        </w:rPr>
        <w:footnoteRef/>
      </w:r>
      <w:r w:rsidRPr="008E7968">
        <w:rPr>
          <w:rFonts w:asciiTheme="minorHAnsi" w:hAnsiTheme="minorHAnsi" w:cstheme="minorHAnsi"/>
        </w:rPr>
        <w:t xml:space="preserve"> https://cer.gov.au/schemes/national-greenhouse-and-energy-reporting-scheme</w:t>
      </w:r>
    </w:p>
  </w:footnote>
  <w:footnote w:id="6">
    <w:p w14:paraId="00B36CC0" w14:textId="13EC4305" w:rsidR="00EF1FDF" w:rsidRPr="004039CF" w:rsidRDefault="00EF1FDF" w:rsidP="00EF1FDF">
      <w:pPr>
        <w:pStyle w:val="FootnoteText"/>
        <w:rPr>
          <w:rFonts w:asciiTheme="minorHAnsi" w:hAnsiTheme="minorHAnsi" w:cstheme="minorHAnsi"/>
          <w:lang w:val="en-AU"/>
        </w:rPr>
      </w:pPr>
      <w:r w:rsidRPr="004039CF">
        <w:rPr>
          <w:rStyle w:val="FootnoteReference"/>
          <w:rFonts w:asciiTheme="minorHAnsi" w:hAnsiTheme="minorHAnsi" w:cstheme="minorHAnsi"/>
        </w:rPr>
        <w:footnoteRef/>
      </w:r>
      <w:r w:rsidRPr="004039CF">
        <w:rPr>
          <w:rFonts w:asciiTheme="minorHAnsi" w:hAnsiTheme="minorHAnsi" w:cstheme="minorHAnsi"/>
        </w:rPr>
        <w:t xml:space="preserve"> </w:t>
      </w:r>
      <w:r w:rsidR="00951BB2" w:rsidRPr="00DB62B6">
        <w:rPr>
          <w:rFonts w:asciiTheme="minorHAnsi" w:hAnsiTheme="minorHAnsi" w:cstheme="minorHAnsi"/>
        </w:rPr>
        <w:t>https://cer.gov.au/schemes/national-greenhouse-and-energy-reporting-scheme/report-emissions-and-energy</w:t>
      </w:r>
      <w:r w:rsidR="00951BB2">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7AE46" w14:textId="24BBBBC9" w:rsidR="00D81782" w:rsidRDefault="00E613C9" w:rsidP="00977234">
    <w:pPr>
      <w:pStyle w:val="Heading5"/>
      <w:tabs>
        <w:tab w:val="center" w:pos="4870"/>
        <w:tab w:val="left" w:pos="8745"/>
      </w:tabs>
      <w:spacing w:before="200" w:after="60"/>
      <w:jc w:val="center"/>
    </w:pPr>
    <w:r>
      <w:rPr>
        <w:rStyle w:val="Protectivemarker"/>
        <w:b/>
      </w:rPr>
      <w:t>OFFICIAL</w:t>
    </w:r>
  </w:p>
  <w:p w14:paraId="27358507"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6EB24F4D" wp14:editId="49993E13">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008DA" w14:textId="77777777" w:rsidR="00CA2954" w:rsidRDefault="008352D1" w:rsidP="00E349EF">
    <w:pPr>
      <w:pStyle w:val="Header"/>
      <w:spacing w:before="600"/>
    </w:pPr>
    <w:r>
      <w:rPr>
        <w:noProof/>
      </w:rPr>
      <w:t xml:space="preserve">  </w:t>
    </w:r>
    <w:r w:rsidR="00CA2954">
      <w:rPr>
        <w:noProof/>
      </w:rPr>
      <w:drawing>
        <wp:inline distT="0" distB="0" distL="0" distR="0" wp14:anchorId="16EF378C" wp14:editId="7232A4C3">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7074D"/>
    <w:multiLevelType w:val="hybridMultilevel"/>
    <w:tmpl w:val="8488D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9F0306"/>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DC44E4"/>
    <w:multiLevelType w:val="hybridMultilevel"/>
    <w:tmpl w:val="D5E677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B16ED"/>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4C6B66"/>
    <w:multiLevelType w:val="hybridMultilevel"/>
    <w:tmpl w:val="5FF4AE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7351876">
    <w:abstractNumId w:val="26"/>
  </w:num>
  <w:num w:numId="2" w16cid:durableId="1583685031">
    <w:abstractNumId w:val="19"/>
  </w:num>
  <w:num w:numId="3" w16cid:durableId="29890433">
    <w:abstractNumId w:val="20"/>
  </w:num>
  <w:num w:numId="4" w16cid:durableId="247810165">
    <w:abstractNumId w:val="14"/>
  </w:num>
  <w:num w:numId="5" w16cid:durableId="1562903837">
    <w:abstractNumId w:val="15"/>
  </w:num>
  <w:num w:numId="6" w16cid:durableId="1199123898">
    <w:abstractNumId w:val="23"/>
  </w:num>
  <w:num w:numId="7" w16cid:durableId="381830665">
    <w:abstractNumId w:val="29"/>
  </w:num>
  <w:num w:numId="8" w16cid:durableId="637615283">
    <w:abstractNumId w:val="15"/>
  </w:num>
  <w:num w:numId="9" w16cid:durableId="1983655579">
    <w:abstractNumId w:val="9"/>
  </w:num>
  <w:num w:numId="10" w16cid:durableId="1205486917">
    <w:abstractNumId w:val="7"/>
  </w:num>
  <w:num w:numId="11" w16cid:durableId="1984920896">
    <w:abstractNumId w:val="6"/>
  </w:num>
  <w:num w:numId="12" w16cid:durableId="1725327219">
    <w:abstractNumId w:val="5"/>
  </w:num>
  <w:num w:numId="13" w16cid:durableId="994797680">
    <w:abstractNumId w:val="4"/>
  </w:num>
  <w:num w:numId="14" w16cid:durableId="1143498849">
    <w:abstractNumId w:val="8"/>
  </w:num>
  <w:num w:numId="15" w16cid:durableId="493107511">
    <w:abstractNumId w:val="3"/>
  </w:num>
  <w:num w:numId="16" w16cid:durableId="2003508205">
    <w:abstractNumId w:val="2"/>
  </w:num>
  <w:num w:numId="17" w16cid:durableId="2145078739">
    <w:abstractNumId w:val="1"/>
  </w:num>
  <w:num w:numId="18" w16cid:durableId="1725105174">
    <w:abstractNumId w:val="0"/>
  </w:num>
  <w:num w:numId="19" w16cid:durableId="567230068">
    <w:abstractNumId w:val="13"/>
  </w:num>
  <w:num w:numId="20" w16cid:durableId="413868071">
    <w:abstractNumId w:val="16"/>
  </w:num>
  <w:num w:numId="21" w16cid:durableId="340662656">
    <w:abstractNumId w:val="35"/>
  </w:num>
  <w:num w:numId="22" w16cid:durableId="1000429159">
    <w:abstractNumId w:val="10"/>
  </w:num>
  <w:num w:numId="23" w16cid:durableId="1946887362">
    <w:abstractNumId w:val="36"/>
  </w:num>
  <w:num w:numId="24" w16cid:durableId="857502569">
    <w:abstractNumId w:val="24"/>
  </w:num>
  <w:num w:numId="25" w16cid:durableId="1125543589">
    <w:abstractNumId w:val="22"/>
  </w:num>
  <w:num w:numId="26" w16cid:durableId="1941719732">
    <w:abstractNumId w:val="18"/>
  </w:num>
  <w:num w:numId="27" w16cid:durableId="1627660382">
    <w:abstractNumId w:val="33"/>
  </w:num>
  <w:num w:numId="28" w16cid:durableId="1876428341">
    <w:abstractNumId w:val="28"/>
  </w:num>
  <w:num w:numId="29" w16cid:durableId="435446255">
    <w:abstractNumId w:val="25"/>
  </w:num>
  <w:num w:numId="30" w16cid:durableId="134572185">
    <w:abstractNumId w:val="30"/>
  </w:num>
  <w:num w:numId="31" w16cid:durableId="1956011280">
    <w:abstractNumId w:val="32"/>
  </w:num>
  <w:num w:numId="32" w16cid:durableId="899176498">
    <w:abstractNumId w:val="11"/>
  </w:num>
  <w:num w:numId="33" w16cid:durableId="1551382339">
    <w:abstractNumId w:val="31"/>
  </w:num>
  <w:num w:numId="34" w16cid:durableId="849565336">
    <w:abstractNumId w:val="17"/>
  </w:num>
  <w:num w:numId="35" w16cid:durableId="1522354872">
    <w:abstractNumId w:val="27"/>
  </w:num>
  <w:num w:numId="36" w16cid:durableId="17384363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4043591">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5251008">
    <w:abstractNumId w:val="34"/>
  </w:num>
  <w:num w:numId="39" w16cid:durableId="3820743">
    <w:abstractNumId w:val="12"/>
  </w:num>
  <w:num w:numId="40" w16cid:durableId="15049756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F6"/>
    <w:rsid w:val="00000933"/>
    <w:rsid w:val="000037F7"/>
    <w:rsid w:val="00003DC5"/>
    <w:rsid w:val="0002468B"/>
    <w:rsid w:val="00031090"/>
    <w:rsid w:val="00031113"/>
    <w:rsid w:val="0003309E"/>
    <w:rsid w:val="00035321"/>
    <w:rsid w:val="0003582F"/>
    <w:rsid w:val="000378B6"/>
    <w:rsid w:val="000416BC"/>
    <w:rsid w:val="00042718"/>
    <w:rsid w:val="0004387D"/>
    <w:rsid w:val="000442F7"/>
    <w:rsid w:val="00045345"/>
    <w:rsid w:val="00053D18"/>
    <w:rsid w:val="00056FF0"/>
    <w:rsid w:val="00057000"/>
    <w:rsid w:val="00060381"/>
    <w:rsid w:val="0006585F"/>
    <w:rsid w:val="000678AA"/>
    <w:rsid w:val="00070554"/>
    <w:rsid w:val="000720E5"/>
    <w:rsid w:val="00083FFC"/>
    <w:rsid w:val="000873E6"/>
    <w:rsid w:val="000906DE"/>
    <w:rsid w:val="000933E3"/>
    <w:rsid w:val="00096878"/>
    <w:rsid w:val="00097976"/>
    <w:rsid w:val="000A02FA"/>
    <w:rsid w:val="000A0DD5"/>
    <w:rsid w:val="000A6D02"/>
    <w:rsid w:val="000B2225"/>
    <w:rsid w:val="000B330F"/>
    <w:rsid w:val="000B682E"/>
    <w:rsid w:val="000C04A6"/>
    <w:rsid w:val="000C2EFC"/>
    <w:rsid w:val="000C4E3D"/>
    <w:rsid w:val="000C7853"/>
    <w:rsid w:val="000C7DB2"/>
    <w:rsid w:val="000E53A3"/>
    <w:rsid w:val="000E5A13"/>
    <w:rsid w:val="000F1646"/>
    <w:rsid w:val="000F5B41"/>
    <w:rsid w:val="000F6B44"/>
    <w:rsid w:val="00112E29"/>
    <w:rsid w:val="001174FD"/>
    <w:rsid w:val="0012385C"/>
    <w:rsid w:val="0012597C"/>
    <w:rsid w:val="001276AA"/>
    <w:rsid w:val="00127FED"/>
    <w:rsid w:val="00132D0B"/>
    <w:rsid w:val="00146369"/>
    <w:rsid w:val="00146FC8"/>
    <w:rsid w:val="001512C0"/>
    <w:rsid w:val="00151B02"/>
    <w:rsid w:val="00151B4F"/>
    <w:rsid w:val="00157175"/>
    <w:rsid w:val="001575CE"/>
    <w:rsid w:val="001651F7"/>
    <w:rsid w:val="00170815"/>
    <w:rsid w:val="00170D2F"/>
    <w:rsid w:val="001712CC"/>
    <w:rsid w:val="0017295A"/>
    <w:rsid w:val="00172F37"/>
    <w:rsid w:val="00176871"/>
    <w:rsid w:val="00176C28"/>
    <w:rsid w:val="001813DE"/>
    <w:rsid w:val="001821B9"/>
    <w:rsid w:val="00186BE9"/>
    <w:rsid w:val="00192589"/>
    <w:rsid w:val="00193A6C"/>
    <w:rsid w:val="00197F43"/>
    <w:rsid w:val="001A1D85"/>
    <w:rsid w:val="001B66AA"/>
    <w:rsid w:val="001C191F"/>
    <w:rsid w:val="001C5FC4"/>
    <w:rsid w:val="001D2DB3"/>
    <w:rsid w:val="001D5E01"/>
    <w:rsid w:val="001D74DF"/>
    <w:rsid w:val="001E489C"/>
    <w:rsid w:val="001E6BD6"/>
    <w:rsid w:val="001F599B"/>
    <w:rsid w:val="0020532A"/>
    <w:rsid w:val="002118E5"/>
    <w:rsid w:val="002148A6"/>
    <w:rsid w:val="00216E5D"/>
    <w:rsid w:val="0021782A"/>
    <w:rsid w:val="00223676"/>
    <w:rsid w:val="00226863"/>
    <w:rsid w:val="00231DE2"/>
    <w:rsid w:val="0023333F"/>
    <w:rsid w:val="00235B98"/>
    <w:rsid w:val="00240A50"/>
    <w:rsid w:val="00240C7C"/>
    <w:rsid w:val="00246D67"/>
    <w:rsid w:val="00250FA8"/>
    <w:rsid w:val="002537CF"/>
    <w:rsid w:val="00253FFC"/>
    <w:rsid w:val="002622E9"/>
    <w:rsid w:val="00263E9B"/>
    <w:rsid w:val="002644F6"/>
    <w:rsid w:val="00270655"/>
    <w:rsid w:val="00275F8F"/>
    <w:rsid w:val="00277314"/>
    <w:rsid w:val="00277B31"/>
    <w:rsid w:val="00286D36"/>
    <w:rsid w:val="00290E3D"/>
    <w:rsid w:val="0029262D"/>
    <w:rsid w:val="00297690"/>
    <w:rsid w:val="002A7EA6"/>
    <w:rsid w:val="002B0052"/>
    <w:rsid w:val="002C427B"/>
    <w:rsid w:val="002C702A"/>
    <w:rsid w:val="002D18F3"/>
    <w:rsid w:val="002D30B2"/>
    <w:rsid w:val="002D3C6D"/>
    <w:rsid w:val="002E3C0B"/>
    <w:rsid w:val="002E4D17"/>
    <w:rsid w:val="002F1986"/>
    <w:rsid w:val="002F39AA"/>
    <w:rsid w:val="00303251"/>
    <w:rsid w:val="00310AF1"/>
    <w:rsid w:val="00315874"/>
    <w:rsid w:val="003275AB"/>
    <w:rsid w:val="0033126F"/>
    <w:rsid w:val="00337CCB"/>
    <w:rsid w:val="00343BDD"/>
    <w:rsid w:val="00345190"/>
    <w:rsid w:val="003456B2"/>
    <w:rsid w:val="003519D1"/>
    <w:rsid w:val="003547B0"/>
    <w:rsid w:val="003547B8"/>
    <w:rsid w:val="003620BB"/>
    <w:rsid w:val="00365CD3"/>
    <w:rsid w:val="00370CE8"/>
    <w:rsid w:val="00371059"/>
    <w:rsid w:val="00372F35"/>
    <w:rsid w:val="00383476"/>
    <w:rsid w:val="00392453"/>
    <w:rsid w:val="0039598D"/>
    <w:rsid w:val="003A0D22"/>
    <w:rsid w:val="003A5739"/>
    <w:rsid w:val="003A760B"/>
    <w:rsid w:val="003C46C8"/>
    <w:rsid w:val="003C5602"/>
    <w:rsid w:val="003C7CE3"/>
    <w:rsid w:val="003D6900"/>
    <w:rsid w:val="003E6758"/>
    <w:rsid w:val="00400BA0"/>
    <w:rsid w:val="00400D4D"/>
    <w:rsid w:val="004039CF"/>
    <w:rsid w:val="00407A97"/>
    <w:rsid w:val="0041154C"/>
    <w:rsid w:val="00420BF6"/>
    <w:rsid w:val="00423019"/>
    <w:rsid w:val="00423DCB"/>
    <w:rsid w:val="00424CC6"/>
    <w:rsid w:val="00426275"/>
    <w:rsid w:val="00433579"/>
    <w:rsid w:val="00437291"/>
    <w:rsid w:val="004458B4"/>
    <w:rsid w:val="00455455"/>
    <w:rsid w:val="004559EF"/>
    <w:rsid w:val="00465287"/>
    <w:rsid w:val="004707CB"/>
    <w:rsid w:val="00471682"/>
    <w:rsid w:val="004745CD"/>
    <w:rsid w:val="00480154"/>
    <w:rsid w:val="00490436"/>
    <w:rsid w:val="00494F07"/>
    <w:rsid w:val="004A39F7"/>
    <w:rsid w:val="004A581F"/>
    <w:rsid w:val="004A5F95"/>
    <w:rsid w:val="004B3CC9"/>
    <w:rsid w:val="004B6AF5"/>
    <w:rsid w:val="004C2A71"/>
    <w:rsid w:val="004C6DF4"/>
    <w:rsid w:val="004D0162"/>
    <w:rsid w:val="004D193C"/>
    <w:rsid w:val="004D3F8B"/>
    <w:rsid w:val="004D70CF"/>
    <w:rsid w:val="004E1D12"/>
    <w:rsid w:val="004E6198"/>
    <w:rsid w:val="004F6CAE"/>
    <w:rsid w:val="00501BB7"/>
    <w:rsid w:val="005054F1"/>
    <w:rsid w:val="00516089"/>
    <w:rsid w:val="00521016"/>
    <w:rsid w:val="005230BD"/>
    <w:rsid w:val="0052457E"/>
    <w:rsid w:val="00525B9C"/>
    <w:rsid w:val="00531F3B"/>
    <w:rsid w:val="00541433"/>
    <w:rsid w:val="0054199F"/>
    <w:rsid w:val="005430A4"/>
    <w:rsid w:val="00545362"/>
    <w:rsid w:val="005458BC"/>
    <w:rsid w:val="00564662"/>
    <w:rsid w:val="005654C0"/>
    <w:rsid w:val="005768B9"/>
    <w:rsid w:val="0057702E"/>
    <w:rsid w:val="00583DA3"/>
    <w:rsid w:val="0058584E"/>
    <w:rsid w:val="00585D42"/>
    <w:rsid w:val="00592AFE"/>
    <w:rsid w:val="005A266D"/>
    <w:rsid w:val="005C0A94"/>
    <w:rsid w:val="005C2708"/>
    <w:rsid w:val="005D4D95"/>
    <w:rsid w:val="005E1956"/>
    <w:rsid w:val="005E2040"/>
    <w:rsid w:val="005F4BE4"/>
    <w:rsid w:val="00602E93"/>
    <w:rsid w:val="0061010A"/>
    <w:rsid w:val="0062080A"/>
    <w:rsid w:val="006218C1"/>
    <w:rsid w:val="00622DA5"/>
    <w:rsid w:val="00627C58"/>
    <w:rsid w:val="00632E89"/>
    <w:rsid w:val="006423DF"/>
    <w:rsid w:val="00645467"/>
    <w:rsid w:val="00652DAF"/>
    <w:rsid w:val="006530B0"/>
    <w:rsid w:val="0065750A"/>
    <w:rsid w:val="00662ED8"/>
    <w:rsid w:val="00664301"/>
    <w:rsid w:val="00665378"/>
    <w:rsid w:val="00674932"/>
    <w:rsid w:val="00680B5A"/>
    <w:rsid w:val="006827F8"/>
    <w:rsid w:val="00683DD4"/>
    <w:rsid w:val="00693A3B"/>
    <w:rsid w:val="00696E3D"/>
    <w:rsid w:val="006A1078"/>
    <w:rsid w:val="006A1906"/>
    <w:rsid w:val="006A37D7"/>
    <w:rsid w:val="006A4F1F"/>
    <w:rsid w:val="006A7A4E"/>
    <w:rsid w:val="006B3A74"/>
    <w:rsid w:val="006C113E"/>
    <w:rsid w:val="006C121A"/>
    <w:rsid w:val="006C5412"/>
    <w:rsid w:val="006C58B9"/>
    <w:rsid w:val="006C6AC0"/>
    <w:rsid w:val="006E20EA"/>
    <w:rsid w:val="006E3CA9"/>
    <w:rsid w:val="006F34D8"/>
    <w:rsid w:val="006F3E2E"/>
    <w:rsid w:val="0071059E"/>
    <w:rsid w:val="00711CEF"/>
    <w:rsid w:val="00724B10"/>
    <w:rsid w:val="007270A5"/>
    <w:rsid w:val="00727F5C"/>
    <w:rsid w:val="00733C45"/>
    <w:rsid w:val="0074084F"/>
    <w:rsid w:val="00740892"/>
    <w:rsid w:val="00754693"/>
    <w:rsid w:val="00755060"/>
    <w:rsid w:val="0076397A"/>
    <w:rsid w:val="00767FAB"/>
    <w:rsid w:val="007773C0"/>
    <w:rsid w:val="007773D1"/>
    <w:rsid w:val="007813EC"/>
    <w:rsid w:val="007819A4"/>
    <w:rsid w:val="00790E79"/>
    <w:rsid w:val="0079144B"/>
    <w:rsid w:val="0079429E"/>
    <w:rsid w:val="007A5CF8"/>
    <w:rsid w:val="007A5F39"/>
    <w:rsid w:val="007B1640"/>
    <w:rsid w:val="007B2652"/>
    <w:rsid w:val="007B31E7"/>
    <w:rsid w:val="007B54BE"/>
    <w:rsid w:val="007B6EED"/>
    <w:rsid w:val="007B75FD"/>
    <w:rsid w:val="007C310C"/>
    <w:rsid w:val="007C6044"/>
    <w:rsid w:val="007C7046"/>
    <w:rsid w:val="007D40F4"/>
    <w:rsid w:val="007E4EA2"/>
    <w:rsid w:val="007F0288"/>
    <w:rsid w:val="007F3928"/>
    <w:rsid w:val="00801EDE"/>
    <w:rsid w:val="00805956"/>
    <w:rsid w:val="00816D8B"/>
    <w:rsid w:val="00817934"/>
    <w:rsid w:val="0082024A"/>
    <w:rsid w:val="00821FA0"/>
    <w:rsid w:val="00826A84"/>
    <w:rsid w:val="00826E1F"/>
    <w:rsid w:val="00830680"/>
    <w:rsid w:val="0083291B"/>
    <w:rsid w:val="008352D1"/>
    <w:rsid w:val="0083763C"/>
    <w:rsid w:val="008444A8"/>
    <w:rsid w:val="00853BD5"/>
    <w:rsid w:val="0086192D"/>
    <w:rsid w:val="00861BA4"/>
    <w:rsid w:val="008706EA"/>
    <w:rsid w:val="00885AB6"/>
    <w:rsid w:val="00890472"/>
    <w:rsid w:val="008936F6"/>
    <w:rsid w:val="00897ACA"/>
    <w:rsid w:val="008A1C9A"/>
    <w:rsid w:val="008A4F2A"/>
    <w:rsid w:val="008B0D79"/>
    <w:rsid w:val="008B434A"/>
    <w:rsid w:val="008C63A1"/>
    <w:rsid w:val="008C7305"/>
    <w:rsid w:val="008D43A0"/>
    <w:rsid w:val="008E15DF"/>
    <w:rsid w:val="008E42F7"/>
    <w:rsid w:val="008E6CE0"/>
    <w:rsid w:val="008E7968"/>
    <w:rsid w:val="008F4C06"/>
    <w:rsid w:val="008F548E"/>
    <w:rsid w:val="008F6BA7"/>
    <w:rsid w:val="008F7762"/>
    <w:rsid w:val="00901F43"/>
    <w:rsid w:val="00902E8B"/>
    <w:rsid w:val="009044AE"/>
    <w:rsid w:val="009054FB"/>
    <w:rsid w:val="00906999"/>
    <w:rsid w:val="00906DED"/>
    <w:rsid w:val="00910E73"/>
    <w:rsid w:val="009113F6"/>
    <w:rsid w:val="00912266"/>
    <w:rsid w:val="00915276"/>
    <w:rsid w:val="0092568B"/>
    <w:rsid w:val="00930D2E"/>
    <w:rsid w:val="0093226C"/>
    <w:rsid w:val="00940E65"/>
    <w:rsid w:val="00944FA8"/>
    <w:rsid w:val="00946705"/>
    <w:rsid w:val="00946CA4"/>
    <w:rsid w:val="009505DB"/>
    <w:rsid w:val="00951BB2"/>
    <w:rsid w:val="009613D9"/>
    <w:rsid w:val="0096236F"/>
    <w:rsid w:val="009633DE"/>
    <w:rsid w:val="009650BD"/>
    <w:rsid w:val="00970728"/>
    <w:rsid w:val="009757EB"/>
    <w:rsid w:val="00975846"/>
    <w:rsid w:val="0097714B"/>
    <w:rsid w:val="00977234"/>
    <w:rsid w:val="009801E4"/>
    <w:rsid w:val="00983029"/>
    <w:rsid w:val="0098715E"/>
    <w:rsid w:val="00990C52"/>
    <w:rsid w:val="009A2199"/>
    <w:rsid w:val="009A2E7F"/>
    <w:rsid w:val="009A308C"/>
    <w:rsid w:val="009B1249"/>
    <w:rsid w:val="009B1626"/>
    <w:rsid w:val="009B1A7A"/>
    <w:rsid w:val="009B64AA"/>
    <w:rsid w:val="009C094A"/>
    <w:rsid w:val="009C278D"/>
    <w:rsid w:val="009C30B4"/>
    <w:rsid w:val="009C78BE"/>
    <w:rsid w:val="009D01EB"/>
    <w:rsid w:val="009D0305"/>
    <w:rsid w:val="009D4746"/>
    <w:rsid w:val="009D4B6C"/>
    <w:rsid w:val="009D4D75"/>
    <w:rsid w:val="009D5973"/>
    <w:rsid w:val="009E77DD"/>
    <w:rsid w:val="009F4AB1"/>
    <w:rsid w:val="00A01CA5"/>
    <w:rsid w:val="00A0284E"/>
    <w:rsid w:val="00A114F2"/>
    <w:rsid w:val="00A21527"/>
    <w:rsid w:val="00A23C1D"/>
    <w:rsid w:val="00A2582D"/>
    <w:rsid w:val="00A41A11"/>
    <w:rsid w:val="00A42EBC"/>
    <w:rsid w:val="00A44C0C"/>
    <w:rsid w:val="00A506CE"/>
    <w:rsid w:val="00A50A9D"/>
    <w:rsid w:val="00A535EC"/>
    <w:rsid w:val="00A55F5C"/>
    <w:rsid w:val="00A70F36"/>
    <w:rsid w:val="00A75C55"/>
    <w:rsid w:val="00A77033"/>
    <w:rsid w:val="00A83B5A"/>
    <w:rsid w:val="00A86816"/>
    <w:rsid w:val="00A8773E"/>
    <w:rsid w:val="00A96105"/>
    <w:rsid w:val="00A97046"/>
    <w:rsid w:val="00AA19A0"/>
    <w:rsid w:val="00AA2792"/>
    <w:rsid w:val="00AA574B"/>
    <w:rsid w:val="00AA705A"/>
    <w:rsid w:val="00AB04A4"/>
    <w:rsid w:val="00AB1B5B"/>
    <w:rsid w:val="00AB1C29"/>
    <w:rsid w:val="00AB1D66"/>
    <w:rsid w:val="00AB43F0"/>
    <w:rsid w:val="00AD1541"/>
    <w:rsid w:val="00AD3999"/>
    <w:rsid w:val="00AD649E"/>
    <w:rsid w:val="00AE2FD7"/>
    <w:rsid w:val="00AF5F77"/>
    <w:rsid w:val="00AF66D6"/>
    <w:rsid w:val="00AF6CC7"/>
    <w:rsid w:val="00B00566"/>
    <w:rsid w:val="00B00AA4"/>
    <w:rsid w:val="00B05666"/>
    <w:rsid w:val="00B161CB"/>
    <w:rsid w:val="00B16D30"/>
    <w:rsid w:val="00B218E5"/>
    <w:rsid w:val="00B25B1C"/>
    <w:rsid w:val="00B4052B"/>
    <w:rsid w:val="00B42777"/>
    <w:rsid w:val="00B439D2"/>
    <w:rsid w:val="00B44479"/>
    <w:rsid w:val="00B5060A"/>
    <w:rsid w:val="00B526E8"/>
    <w:rsid w:val="00B52875"/>
    <w:rsid w:val="00B529E5"/>
    <w:rsid w:val="00B531D4"/>
    <w:rsid w:val="00B56AA9"/>
    <w:rsid w:val="00B6501E"/>
    <w:rsid w:val="00B832A4"/>
    <w:rsid w:val="00B83DB6"/>
    <w:rsid w:val="00B91D20"/>
    <w:rsid w:val="00B96CB3"/>
    <w:rsid w:val="00BA3D6B"/>
    <w:rsid w:val="00BA7A82"/>
    <w:rsid w:val="00BB6EBC"/>
    <w:rsid w:val="00BC258B"/>
    <w:rsid w:val="00BC42AF"/>
    <w:rsid w:val="00BD5542"/>
    <w:rsid w:val="00BD5ED5"/>
    <w:rsid w:val="00BE6FBC"/>
    <w:rsid w:val="00BE7C52"/>
    <w:rsid w:val="00BF3DD5"/>
    <w:rsid w:val="00C033D8"/>
    <w:rsid w:val="00C03C67"/>
    <w:rsid w:val="00C067A3"/>
    <w:rsid w:val="00C06FDE"/>
    <w:rsid w:val="00C07884"/>
    <w:rsid w:val="00C079D1"/>
    <w:rsid w:val="00C101C4"/>
    <w:rsid w:val="00C13A44"/>
    <w:rsid w:val="00C17726"/>
    <w:rsid w:val="00C24974"/>
    <w:rsid w:val="00C27341"/>
    <w:rsid w:val="00C30F63"/>
    <w:rsid w:val="00C3122E"/>
    <w:rsid w:val="00C33420"/>
    <w:rsid w:val="00C371E3"/>
    <w:rsid w:val="00C374F0"/>
    <w:rsid w:val="00C40CF0"/>
    <w:rsid w:val="00C427F4"/>
    <w:rsid w:val="00C4320C"/>
    <w:rsid w:val="00C47609"/>
    <w:rsid w:val="00C52AEF"/>
    <w:rsid w:val="00C54048"/>
    <w:rsid w:val="00C600D1"/>
    <w:rsid w:val="00C667FC"/>
    <w:rsid w:val="00C73199"/>
    <w:rsid w:val="00C86B48"/>
    <w:rsid w:val="00C916C3"/>
    <w:rsid w:val="00C95686"/>
    <w:rsid w:val="00CA2954"/>
    <w:rsid w:val="00CA3DBC"/>
    <w:rsid w:val="00CA63D2"/>
    <w:rsid w:val="00CB23E9"/>
    <w:rsid w:val="00CB7ED6"/>
    <w:rsid w:val="00CD4B24"/>
    <w:rsid w:val="00CE3A86"/>
    <w:rsid w:val="00CE3E30"/>
    <w:rsid w:val="00CF18F4"/>
    <w:rsid w:val="00CF73E4"/>
    <w:rsid w:val="00D003CE"/>
    <w:rsid w:val="00D0690A"/>
    <w:rsid w:val="00D07937"/>
    <w:rsid w:val="00D102D0"/>
    <w:rsid w:val="00D11172"/>
    <w:rsid w:val="00D30B88"/>
    <w:rsid w:val="00D324DA"/>
    <w:rsid w:val="00D404FE"/>
    <w:rsid w:val="00D41B0B"/>
    <w:rsid w:val="00D435BB"/>
    <w:rsid w:val="00D44E44"/>
    <w:rsid w:val="00D5130D"/>
    <w:rsid w:val="00D5769A"/>
    <w:rsid w:val="00D66381"/>
    <w:rsid w:val="00D67320"/>
    <w:rsid w:val="00D722FC"/>
    <w:rsid w:val="00D813FE"/>
    <w:rsid w:val="00D81782"/>
    <w:rsid w:val="00D82EBE"/>
    <w:rsid w:val="00D90ABD"/>
    <w:rsid w:val="00D911E3"/>
    <w:rsid w:val="00D92DE7"/>
    <w:rsid w:val="00DB16FB"/>
    <w:rsid w:val="00DB62B6"/>
    <w:rsid w:val="00DC3A30"/>
    <w:rsid w:val="00DD61F7"/>
    <w:rsid w:val="00DF0E0A"/>
    <w:rsid w:val="00DF0F4C"/>
    <w:rsid w:val="00DF1EE7"/>
    <w:rsid w:val="00DF4814"/>
    <w:rsid w:val="00E12286"/>
    <w:rsid w:val="00E17A35"/>
    <w:rsid w:val="00E23BB5"/>
    <w:rsid w:val="00E33B3B"/>
    <w:rsid w:val="00E349EF"/>
    <w:rsid w:val="00E45210"/>
    <w:rsid w:val="00E47E93"/>
    <w:rsid w:val="00E612A0"/>
    <w:rsid w:val="00E613C9"/>
    <w:rsid w:val="00E6315F"/>
    <w:rsid w:val="00E71BAE"/>
    <w:rsid w:val="00E74C46"/>
    <w:rsid w:val="00E74E7B"/>
    <w:rsid w:val="00E770EC"/>
    <w:rsid w:val="00E808D1"/>
    <w:rsid w:val="00E82AF4"/>
    <w:rsid w:val="00E85BF6"/>
    <w:rsid w:val="00E94FFF"/>
    <w:rsid w:val="00E956A9"/>
    <w:rsid w:val="00E97A53"/>
    <w:rsid w:val="00EA7A28"/>
    <w:rsid w:val="00EB0A89"/>
    <w:rsid w:val="00EB73C5"/>
    <w:rsid w:val="00EB7F5F"/>
    <w:rsid w:val="00EC0480"/>
    <w:rsid w:val="00ED776F"/>
    <w:rsid w:val="00EE54E6"/>
    <w:rsid w:val="00EE774A"/>
    <w:rsid w:val="00EF1FDF"/>
    <w:rsid w:val="00EF7802"/>
    <w:rsid w:val="00F0027F"/>
    <w:rsid w:val="00F07485"/>
    <w:rsid w:val="00F1084B"/>
    <w:rsid w:val="00F12045"/>
    <w:rsid w:val="00F13E63"/>
    <w:rsid w:val="00F220E4"/>
    <w:rsid w:val="00F22529"/>
    <w:rsid w:val="00F2767A"/>
    <w:rsid w:val="00F3180E"/>
    <w:rsid w:val="00F32404"/>
    <w:rsid w:val="00F3522B"/>
    <w:rsid w:val="00F3676E"/>
    <w:rsid w:val="00F45C43"/>
    <w:rsid w:val="00F501F5"/>
    <w:rsid w:val="00F62522"/>
    <w:rsid w:val="00F6456F"/>
    <w:rsid w:val="00F67F4E"/>
    <w:rsid w:val="00F7000C"/>
    <w:rsid w:val="00F70B17"/>
    <w:rsid w:val="00F71D97"/>
    <w:rsid w:val="00F731EC"/>
    <w:rsid w:val="00F76419"/>
    <w:rsid w:val="00F8070C"/>
    <w:rsid w:val="00F831A1"/>
    <w:rsid w:val="00F84268"/>
    <w:rsid w:val="00F87457"/>
    <w:rsid w:val="00F92128"/>
    <w:rsid w:val="00F94571"/>
    <w:rsid w:val="00F945A0"/>
    <w:rsid w:val="00F9621F"/>
    <w:rsid w:val="00FA64AC"/>
    <w:rsid w:val="00FA7635"/>
    <w:rsid w:val="00FB1200"/>
    <w:rsid w:val="00FB1A6F"/>
    <w:rsid w:val="00FB26CE"/>
    <w:rsid w:val="00FB3722"/>
    <w:rsid w:val="00FC0CE2"/>
    <w:rsid w:val="00FC1094"/>
    <w:rsid w:val="00FC17A0"/>
    <w:rsid w:val="00FC20CB"/>
    <w:rsid w:val="00FC3CD6"/>
    <w:rsid w:val="00FC52D9"/>
    <w:rsid w:val="00FC5CAA"/>
    <w:rsid w:val="00FD2635"/>
    <w:rsid w:val="00FE07BB"/>
    <w:rsid w:val="00FE08CE"/>
    <w:rsid w:val="00FE2F68"/>
    <w:rsid w:val="00FE33FE"/>
    <w:rsid w:val="00FE40BD"/>
    <w:rsid w:val="0F2DC42C"/>
    <w:rsid w:val="2B08BFD8"/>
    <w:rsid w:val="465A2CCB"/>
    <w:rsid w:val="6E82EADA"/>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0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392453"/>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97046"/>
    <w:pPr>
      <w:numPr>
        <w:numId w:val="35"/>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97046"/>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3676E"/>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297690"/>
    <w:pPr>
      <w:tabs>
        <w:tab w:val="right" w:leader="dot" w:pos="9730"/>
      </w:tabs>
      <w:spacing w:after="100"/>
    </w:pPr>
    <w:rPr>
      <w:b/>
      <w:bCs/>
    </w:r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F62522"/>
    <w:rPr>
      <w:color w:val="605E5C"/>
      <w:shd w:val="clear" w:color="auto" w:fill="E1DFDD"/>
    </w:rPr>
  </w:style>
  <w:style w:type="paragraph" w:styleId="FootnoteText">
    <w:name w:val="footnote text"/>
    <w:basedOn w:val="Normal"/>
    <w:link w:val="FootnoteTextChar"/>
    <w:uiPriority w:val="99"/>
    <w:rsid w:val="00EF1FDF"/>
    <w:pPr>
      <w:spacing w:after="0"/>
    </w:pPr>
    <w:rPr>
      <w:rFonts w:ascii="Arial" w:hAnsi="Arial" w:cs="Times New Roman"/>
      <w:sz w:val="20"/>
      <w:szCs w:val="20"/>
      <w:lang w:val="en-US"/>
    </w:rPr>
  </w:style>
  <w:style w:type="character" w:customStyle="1" w:styleId="FootnoteTextChar">
    <w:name w:val="Footnote Text Char"/>
    <w:basedOn w:val="DefaultParagraphFont"/>
    <w:link w:val="FootnoteText"/>
    <w:uiPriority w:val="99"/>
    <w:rsid w:val="00EF1FDF"/>
    <w:rPr>
      <w:rFonts w:ascii="Arial" w:hAnsi="Arial"/>
      <w:color w:val="000000" w:themeColor="text1"/>
      <w:lang w:val="en-US" w:eastAsia="en-US"/>
    </w:rPr>
  </w:style>
  <w:style w:type="character" w:styleId="FootnoteReference">
    <w:name w:val="footnote reference"/>
    <w:basedOn w:val="DefaultParagraphFont"/>
    <w:uiPriority w:val="99"/>
    <w:rsid w:val="00EF1FDF"/>
    <w:rPr>
      <w:vertAlign w:val="superscript"/>
    </w:rPr>
  </w:style>
  <w:style w:type="character" w:styleId="CommentReference">
    <w:name w:val="annotation reference"/>
    <w:basedOn w:val="DefaultParagraphFont"/>
    <w:uiPriority w:val="99"/>
    <w:unhideWhenUsed/>
    <w:rsid w:val="00E47E93"/>
    <w:rPr>
      <w:sz w:val="16"/>
      <w:szCs w:val="16"/>
    </w:rPr>
  </w:style>
  <w:style w:type="paragraph" w:styleId="CommentText">
    <w:name w:val="annotation text"/>
    <w:basedOn w:val="Normal"/>
    <w:link w:val="CommentTextChar"/>
    <w:uiPriority w:val="99"/>
    <w:unhideWhenUsed/>
    <w:rsid w:val="00E47E93"/>
    <w:rPr>
      <w:sz w:val="20"/>
      <w:szCs w:val="20"/>
    </w:rPr>
  </w:style>
  <w:style w:type="character" w:customStyle="1" w:styleId="CommentTextChar">
    <w:name w:val="Comment Text Char"/>
    <w:basedOn w:val="DefaultParagraphFont"/>
    <w:link w:val="CommentText"/>
    <w:uiPriority w:val="99"/>
    <w:rsid w:val="00E47E93"/>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E47E93"/>
    <w:rPr>
      <w:b/>
      <w:bCs/>
    </w:rPr>
  </w:style>
  <w:style w:type="character" w:customStyle="1" w:styleId="CommentSubjectChar">
    <w:name w:val="Comment Subject Char"/>
    <w:basedOn w:val="CommentTextChar"/>
    <w:link w:val="CommentSubject"/>
    <w:uiPriority w:val="99"/>
    <w:semiHidden/>
    <w:rsid w:val="00E47E93"/>
    <w:rPr>
      <w:rFonts w:asciiTheme="minorHAnsi" w:hAnsiTheme="minorHAnsi" w:cstheme="minorHAnsi"/>
      <w:b/>
      <w:bCs/>
      <w:color w:val="000000" w:themeColor="text1"/>
      <w:lang w:eastAsia="en-US"/>
    </w:rPr>
  </w:style>
  <w:style w:type="paragraph" w:styleId="Revision">
    <w:name w:val="Revision"/>
    <w:hidden/>
    <w:semiHidden/>
    <w:rsid w:val="00C17726"/>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1A1D85"/>
    <w:rPr>
      <w:color w:val="2B579A"/>
      <w:shd w:val="clear" w:color="auto" w:fill="E1DFDD"/>
    </w:rPr>
  </w:style>
  <w:style w:type="paragraph" w:styleId="EndnoteText">
    <w:name w:val="endnote text"/>
    <w:basedOn w:val="Normal"/>
    <w:link w:val="EndnoteTextChar"/>
    <w:uiPriority w:val="99"/>
    <w:semiHidden/>
    <w:unhideWhenUsed/>
    <w:rsid w:val="003D6900"/>
    <w:pPr>
      <w:spacing w:after="0"/>
    </w:pPr>
    <w:rPr>
      <w:sz w:val="20"/>
      <w:szCs w:val="20"/>
    </w:rPr>
  </w:style>
  <w:style w:type="character" w:customStyle="1" w:styleId="EndnoteTextChar">
    <w:name w:val="Endnote Text Char"/>
    <w:basedOn w:val="DefaultParagraphFont"/>
    <w:link w:val="EndnoteText"/>
    <w:uiPriority w:val="99"/>
    <w:semiHidden/>
    <w:rsid w:val="003D6900"/>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3D69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gov.au/schemes/national-greenhouse-and-energy-reporting-scheme"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legislation.gov.au/F2008L02309/latest/text" TargetMode="Externa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ce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F2008L02230/latest/text"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oter" Target="footer2.xml"/><Relationship Id="rId10" Type="http://schemas.openxmlformats.org/officeDocument/2006/relationships/hyperlink" Target="https://www.legislation.gov.au/C2007A00175/latest/text" TargetMode="External"/><Relationship Id="rId19" Type="http://schemas.openxmlformats.org/officeDocument/2006/relationships/hyperlink" Target="mailto:reporting@ce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er.gov.au/schemes/national-greenhouse-and-energy-reporting-scheme/report-emissions-and-energy"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2BE5D0-7477-4368-9103-69389158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3259</Words>
  <Characters>18581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21797</CharactersWithSpaces>
  <SharedDoc>false</SharedDoc>
  <HLinks>
    <vt:vector size="228" baseType="variant">
      <vt:variant>
        <vt:i4>2228277</vt:i4>
      </vt:variant>
      <vt:variant>
        <vt:i4>192</vt:i4>
      </vt:variant>
      <vt:variant>
        <vt:i4>0</vt:i4>
      </vt:variant>
      <vt:variant>
        <vt:i4>5</vt:i4>
      </vt:variant>
      <vt:variant>
        <vt:lpwstr>http://www.cleanenergyregulator.gov.au/</vt:lpwstr>
      </vt:variant>
      <vt:variant>
        <vt:lpwstr/>
      </vt:variant>
      <vt:variant>
        <vt:i4>1376383</vt:i4>
      </vt:variant>
      <vt:variant>
        <vt:i4>189</vt:i4>
      </vt:variant>
      <vt:variant>
        <vt:i4>0</vt:i4>
      </vt:variant>
      <vt:variant>
        <vt:i4>5</vt:i4>
      </vt:variant>
      <vt:variant>
        <vt:lpwstr>mailto:reporting@cleanenergyregulator.gov.au</vt:lpwstr>
      </vt:variant>
      <vt:variant>
        <vt:lpwstr/>
      </vt:variant>
      <vt:variant>
        <vt:i4>6488171</vt:i4>
      </vt:variant>
      <vt:variant>
        <vt:i4>186</vt:i4>
      </vt:variant>
      <vt:variant>
        <vt:i4>0</vt:i4>
      </vt:variant>
      <vt:variant>
        <vt:i4>5</vt:i4>
      </vt:variant>
      <vt:variant>
        <vt:lpwstr>https://cer.gov.au/schemes/national-greenhouse-and-energy-reporting-scheme/report-emissions-and-energy</vt:lpwstr>
      </vt:variant>
      <vt:variant>
        <vt:lpwstr/>
      </vt:variant>
      <vt:variant>
        <vt:i4>6291577</vt:i4>
      </vt:variant>
      <vt:variant>
        <vt:i4>180</vt:i4>
      </vt:variant>
      <vt:variant>
        <vt:i4>0</vt:i4>
      </vt:variant>
      <vt:variant>
        <vt:i4>5</vt:i4>
      </vt:variant>
      <vt:variant>
        <vt:lpwstr>http://www.cleanenergyregulator.gov.au/NGER/Pages/default.aspx</vt:lpwstr>
      </vt:variant>
      <vt:variant>
        <vt:lpwstr/>
      </vt:variant>
      <vt:variant>
        <vt:i4>917523</vt:i4>
      </vt:variant>
      <vt:variant>
        <vt:i4>177</vt:i4>
      </vt:variant>
      <vt:variant>
        <vt:i4>0</vt:i4>
      </vt:variant>
      <vt:variant>
        <vt:i4>5</vt:i4>
      </vt:variant>
      <vt:variant>
        <vt:lpwstr>https://www.legislation.gov.au/Series/F2008L02309</vt:lpwstr>
      </vt:variant>
      <vt:variant>
        <vt:lpwstr/>
      </vt:variant>
      <vt:variant>
        <vt:i4>851986</vt:i4>
      </vt:variant>
      <vt:variant>
        <vt:i4>174</vt:i4>
      </vt:variant>
      <vt:variant>
        <vt:i4>0</vt:i4>
      </vt:variant>
      <vt:variant>
        <vt:i4>5</vt:i4>
      </vt:variant>
      <vt:variant>
        <vt:lpwstr>https://www.legislation.gov.au/Series/F2008L02230</vt:lpwstr>
      </vt:variant>
      <vt:variant>
        <vt:lpwstr/>
      </vt:variant>
      <vt:variant>
        <vt:i4>393243</vt:i4>
      </vt:variant>
      <vt:variant>
        <vt:i4>171</vt:i4>
      </vt:variant>
      <vt:variant>
        <vt:i4>0</vt:i4>
      </vt:variant>
      <vt:variant>
        <vt:i4>5</vt:i4>
      </vt:variant>
      <vt:variant>
        <vt:lpwstr>https://www.legislation.gov.au/Series/C2007A00175</vt:lpwstr>
      </vt:variant>
      <vt:variant>
        <vt:lpwstr/>
      </vt:variant>
      <vt:variant>
        <vt:i4>1179699</vt:i4>
      </vt:variant>
      <vt:variant>
        <vt:i4>164</vt:i4>
      </vt:variant>
      <vt:variant>
        <vt:i4>0</vt:i4>
      </vt:variant>
      <vt:variant>
        <vt:i4>5</vt:i4>
      </vt:variant>
      <vt:variant>
        <vt:lpwstr/>
      </vt:variant>
      <vt:variant>
        <vt:lpwstr>_Toc181713293</vt:lpwstr>
      </vt:variant>
      <vt:variant>
        <vt:i4>1179699</vt:i4>
      </vt:variant>
      <vt:variant>
        <vt:i4>158</vt:i4>
      </vt:variant>
      <vt:variant>
        <vt:i4>0</vt:i4>
      </vt:variant>
      <vt:variant>
        <vt:i4>5</vt:i4>
      </vt:variant>
      <vt:variant>
        <vt:lpwstr/>
      </vt:variant>
      <vt:variant>
        <vt:lpwstr>_Toc181713292</vt:lpwstr>
      </vt:variant>
      <vt:variant>
        <vt:i4>1179699</vt:i4>
      </vt:variant>
      <vt:variant>
        <vt:i4>152</vt:i4>
      </vt:variant>
      <vt:variant>
        <vt:i4>0</vt:i4>
      </vt:variant>
      <vt:variant>
        <vt:i4>5</vt:i4>
      </vt:variant>
      <vt:variant>
        <vt:lpwstr/>
      </vt:variant>
      <vt:variant>
        <vt:lpwstr>_Toc181713291</vt:lpwstr>
      </vt:variant>
      <vt:variant>
        <vt:i4>1179699</vt:i4>
      </vt:variant>
      <vt:variant>
        <vt:i4>146</vt:i4>
      </vt:variant>
      <vt:variant>
        <vt:i4>0</vt:i4>
      </vt:variant>
      <vt:variant>
        <vt:i4>5</vt:i4>
      </vt:variant>
      <vt:variant>
        <vt:lpwstr/>
      </vt:variant>
      <vt:variant>
        <vt:lpwstr>_Toc181713290</vt:lpwstr>
      </vt:variant>
      <vt:variant>
        <vt:i4>1245235</vt:i4>
      </vt:variant>
      <vt:variant>
        <vt:i4>140</vt:i4>
      </vt:variant>
      <vt:variant>
        <vt:i4>0</vt:i4>
      </vt:variant>
      <vt:variant>
        <vt:i4>5</vt:i4>
      </vt:variant>
      <vt:variant>
        <vt:lpwstr/>
      </vt:variant>
      <vt:variant>
        <vt:lpwstr>_Toc181713289</vt:lpwstr>
      </vt:variant>
      <vt:variant>
        <vt:i4>1245235</vt:i4>
      </vt:variant>
      <vt:variant>
        <vt:i4>110</vt:i4>
      </vt:variant>
      <vt:variant>
        <vt:i4>0</vt:i4>
      </vt:variant>
      <vt:variant>
        <vt:i4>5</vt:i4>
      </vt:variant>
      <vt:variant>
        <vt:lpwstr/>
      </vt:variant>
      <vt:variant>
        <vt:lpwstr>_Toc181713284</vt:lpwstr>
      </vt:variant>
      <vt:variant>
        <vt:i4>1245235</vt:i4>
      </vt:variant>
      <vt:variant>
        <vt:i4>104</vt:i4>
      </vt:variant>
      <vt:variant>
        <vt:i4>0</vt:i4>
      </vt:variant>
      <vt:variant>
        <vt:i4>5</vt:i4>
      </vt:variant>
      <vt:variant>
        <vt:lpwstr/>
      </vt:variant>
      <vt:variant>
        <vt:lpwstr>_Toc181713283</vt:lpwstr>
      </vt:variant>
      <vt:variant>
        <vt:i4>1245235</vt:i4>
      </vt:variant>
      <vt:variant>
        <vt:i4>98</vt:i4>
      </vt:variant>
      <vt:variant>
        <vt:i4>0</vt:i4>
      </vt:variant>
      <vt:variant>
        <vt:i4>5</vt:i4>
      </vt:variant>
      <vt:variant>
        <vt:lpwstr/>
      </vt:variant>
      <vt:variant>
        <vt:lpwstr>_Toc181713282</vt:lpwstr>
      </vt:variant>
      <vt:variant>
        <vt:i4>1245235</vt:i4>
      </vt:variant>
      <vt:variant>
        <vt:i4>92</vt:i4>
      </vt:variant>
      <vt:variant>
        <vt:i4>0</vt:i4>
      </vt:variant>
      <vt:variant>
        <vt:i4>5</vt:i4>
      </vt:variant>
      <vt:variant>
        <vt:lpwstr/>
      </vt:variant>
      <vt:variant>
        <vt:lpwstr>_Toc181713281</vt:lpwstr>
      </vt:variant>
      <vt:variant>
        <vt:i4>1245235</vt:i4>
      </vt:variant>
      <vt:variant>
        <vt:i4>86</vt:i4>
      </vt:variant>
      <vt:variant>
        <vt:i4>0</vt:i4>
      </vt:variant>
      <vt:variant>
        <vt:i4>5</vt:i4>
      </vt:variant>
      <vt:variant>
        <vt:lpwstr/>
      </vt:variant>
      <vt:variant>
        <vt:lpwstr>_Toc181713280</vt:lpwstr>
      </vt:variant>
      <vt:variant>
        <vt:i4>1835059</vt:i4>
      </vt:variant>
      <vt:variant>
        <vt:i4>80</vt:i4>
      </vt:variant>
      <vt:variant>
        <vt:i4>0</vt:i4>
      </vt:variant>
      <vt:variant>
        <vt:i4>5</vt:i4>
      </vt:variant>
      <vt:variant>
        <vt:lpwstr/>
      </vt:variant>
      <vt:variant>
        <vt:lpwstr>_Toc181713279</vt:lpwstr>
      </vt:variant>
      <vt:variant>
        <vt:i4>1835059</vt:i4>
      </vt:variant>
      <vt:variant>
        <vt:i4>74</vt:i4>
      </vt:variant>
      <vt:variant>
        <vt:i4>0</vt:i4>
      </vt:variant>
      <vt:variant>
        <vt:i4>5</vt:i4>
      </vt:variant>
      <vt:variant>
        <vt:lpwstr/>
      </vt:variant>
      <vt:variant>
        <vt:lpwstr>_Toc181713278</vt:lpwstr>
      </vt:variant>
      <vt:variant>
        <vt:i4>1835059</vt:i4>
      </vt:variant>
      <vt:variant>
        <vt:i4>68</vt:i4>
      </vt:variant>
      <vt:variant>
        <vt:i4>0</vt:i4>
      </vt:variant>
      <vt:variant>
        <vt:i4>5</vt:i4>
      </vt:variant>
      <vt:variant>
        <vt:lpwstr/>
      </vt:variant>
      <vt:variant>
        <vt:lpwstr>_Toc181713277</vt:lpwstr>
      </vt:variant>
      <vt:variant>
        <vt:i4>1835059</vt:i4>
      </vt:variant>
      <vt:variant>
        <vt:i4>62</vt:i4>
      </vt:variant>
      <vt:variant>
        <vt:i4>0</vt:i4>
      </vt:variant>
      <vt:variant>
        <vt:i4>5</vt:i4>
      </vt:variant>
      <vt:variant>
        <vt:lpwstr/>
      </vt:variant>
      <vt:variant>
        <vt:lpwstr>_Toc181713276</vt:lpwstr>
      </vt:variant>
      <vt:variant>
        <vt:i4>1835059</vt:i4>
      </vt:variant>
      <vt:variant>
        <vt:i4>56</vt:i4>
      </vt:variant>
      <vt:variant>
        <vt:i4>0</vt:i4>
      </vt:variant>
      <vt:variant>
        <vt:i4>5</vt:i4>
      </vt:variant>
      <vt:variant>
        <vt:lpwstr/>
      </vt:variant>
      <vt:variant>
        <vt:lpwstr>_Toc181713275</vt:lpwstr>
      </vt:variant>
      <vt:variant>
        <vt:i4>1835059</vt:i4>
      </vt:variant>
      <vt:variant>
        <vt:i4>50</vt:i4>
      </vt:variant>
      <vt:variant>
        <vt:i4>0</vt:i4>
      </vt:variant>
      <vt:variant>
        <vt:i4>5</vt:i4>
      </vt:variant>
      <vt:variant>
        <vt:lpwstr/>
      </vt:variant>
      <vt:variant>
        <vt:lpwstr>_Toc181713274</vt:lpwstr>
      </vt:variant>
      <vt:variant>
        <vt:i4>1835059</vt:i4>
      </vt:variant>
      <vt:variant>
        <vt:i4>44</vt:i4>
      </vt:variant>
      <vt:variant>
        <vt:i4>0</vt:i4>
      </vt:variant>
      <vt:variant>
        <vt:i4>5</vt:i4>
      </vt:variant>
      <vt:variant>
        <vt:lpwstr/>
      </vt:variant>
      <vt:variant>
        <vt:lpwstr>_Toc181713273</vt:lpwstr>
      </vt:variant>
      <vt:variant>
        <vt:i4>1835059</vt:i4>
      </vt:variant>
      <vt:variant>
        <vt:i4>38</vt:i4>
      </vt:variant>
      <vt:variant>
        <vt:i4>0</vt:i4>
      </vt:variant>
      <vt:variant>
        <vt:i4>5</vt:i4>
      </vt:variant>
      <vt:variant>
        <vt:lpwstr/>
      </vt:variant>
      <vt:variant>
        <vt:lpwstr>_Toc181713272</vt:lpwstr>
      </vt:variant>
      <vt:variant>
        <vt:i4>1835059</vt:i4>
      </vt:variant>
      <vt:variant>
        <vt:i4>32</vt:i4>
      </vt:variant>
      <vt:variant>
        <vt:i4>0</vt:i4>
      </vt:variant>
      <vt:variant>
        <vt:i4>5</vt:i4>
      </vt:variant>
      <vt:variant>
        <vt:lpwstr/>
      </vt:variant>
      <vt:variant>
        <vt:lpwstr>_Toc181713271</vt:lpwstr>
      </vt:variant>
      <vt:variant>
        <vt:i4>1835059</vt:i4>
      </vt:variant>
      <vt:variant>
        <vt:i4>26</vt:i4>
      </vt:variant>
      <vt:variant>
        <vt:i4>0</vt:i4>
      </vt:variant>
      <vt:variant>
        <vt:i4>5</vt:i4>
      </vt:variant>
      <vt:variant>
        <vt:lpwstr/>
      </vt:variant>
      <vt:variant>
        <vt:lpwstr>_Toc181713270</vt:lpwstr>
      </vt:variant>
      <vt:variant>
        <vt:i4>1900595</vt:i4>
      </vt:variant>
      <vt:variant>
        <vt:i4>20</vt:i4>
      </vt:variant>
      <vt:variant>
        <vt:i4>0</vt:i4>
      </vt:variant>
      <vt:variant>
        <vt:i4>5</vt:i4>
      </vt:variant>
      <vt:variant>
        <vt:lpwstr/>
      </vt:variant>
      <vt:variant>
        <vt:lpwstr>_Toc181713269</vt:lpwstr>
      </vt:variant>
      <vt:variant>
        <vt:i4>1900595</vt:i4>
      </vt:variant>
      <vt:variant>
        <vt:i4>14</vt:i4>
      </vt:variant>
      <vt:variant>
        <vt:i4>0</vt:i4>
      </vt:variant>
      <vt:variant>
        <vt:i4>5</vt:i4>
      </vt:variant>
      <vt:variant>
        <vt:lpwstr/>
      </vt:variant>
      <vt:variant>
        <vt:lpwstr>_Toc181713268</vt:lpwstr>
      </vt:variant>
      <vt:variant>
        <vt:i4>1900595</vt:i4>
      </vt:variant>
      <vt:variant>
        <vt:i4>8</vt:i4>
      </vt:variant>
      <vt:variant>
        <vt:i4>0</vt:i4>
      </vt:variant>
      <vt:variant>
        <vt:i4>5</vt:i4>
      </vt:variant>
      <vt:variant>
        <vt:lpwstr/>
      </vt:variant>
      <vt:variant>
        <vt:lpwstr>_Toc181713267</vt:lpwstr>
      </vt:variant>
      <vt:variant>
        <vt:i4>1900595</vt:i4>
      </vt:variant>
      <vt:variant>
        <vt:i4>2</vt:i4>
      </vt:variant>
      <vt:variant>
        <vt:i4>0</vt:i4>
      </vt:variant>
      <vt:variant>
        <vt:i4>5</vt:i4>
      </vt:variant>
      <vt:variant>
        <vt:lpwstr/>
      </vt:variant>
      <vt:variant>
        <vt:lpwstr>_Toc181713266</vt:lpwstr>
      </vt:variant>
      <vt:variant>
        <vt:i4>6488171</vt:i4>
      </vt:variant>
      <vt:variant>
        <vt:i4>12</vt:i4>
      </vt:variant>
      <vt:variant>
        <vt:i4>0</vt:i4>
      </vt:variant>
      <vt:variant>
        <vt:i4>5</vt:i4>
      </vt:variant>
      <vt:variant>
        <vt:lpwstr>https://cer.gov.au/schemes/national-greenhouse-and-energy-reporting-scheme/report-emissions-and-energy</vt:lpwstr>
      </vt:variant>
      <vt:variant>
        <vt:lpwstr/>
      </vt:variant>
      <vt:variant>
        <vt:i4>6291577</vt:i4>
      </vt:variant>
      <vt:variant>
        <vt:i4>9</vt:i4>
      </vt:variant>
      <vt:variant>
        <vt:i4>0</vt:i4>
      </vt:variant>
      <vt:variant>
        <vt:i4>5</vt:i4>
      </vt:variant>
      <vt:variant>
        <vt:lpwstr>http://www.cleanenergyregulator.gov.au/NGER/Pages/default.aspx</vt:lpwstr>
      </vt:variant>
      <vt:variant>
        <vt:lpwstr/>
      </vt:variant>
      <vt:variant>
        <vt:i4>917523</vt:i4>
      </vt:variant>
      <vt:variant>
        <vt:i4>6</vt:i4>
      </vt:variant>
      <vt:variant>
        <vt:i4>0</vt:i4>
      </vt:variant>
      <vt:variant>
        <vt:i4>5</vt:i4>
      </vt:variant>
      <vt:variant>
        <vt:lpwstr>https://www.legislation.gov.au/Series/F2008L02309</vt:lpwstr>
      </vt:variant>
      <vt:variant>
        <vt:lpwstr/>
      </vt:variant>
      <vt:variant>
        <vt:i4>851986</vt:i4>
      </vt:variant>
      <vt:variant>
        <vt:i4>3</vt:i4>
      </vt:variant>
      <vt:variant>
        <vt:i4>0</vt:i4>
      </vt:variant>
      <vt:variant>
        <vt:i4>5</vt:i4>
      </vt:variant>
      <vt:variant>
        <vt:lpwstr>https://www.legislation.gov.au/Series/F2008L02230</vt:lpwstr>
      </vt:variant>
      <vt:variant>
        <vt:lpwstr/>
      </vt:variant>
      <vt:variant>
        <vt:i4>393243</vt:i4>
      </vt:variant>
      <vt:variant>
        <vt:i4>0</vt:i4>
      </vt:variant>
      <vt:variant>
        <vt:i4>0</vt:i4>
      </vt:variant>
      <vt:variant>
        <vt:i4>5</vt:i4>
      </vt:variant>
      <vt:variant>
        <vt:lpwstr>https://www.legislation.gov.au/Series/C2007A00175</vt:lpwstr>
      </vt:variant>
      <vt:variant>
        <vt:lpwstr/>
      </vt:variant>
      <vt:variant>
        <vt:i4>4522094</vt:i4>
      </vt:variant>
      <vt:variant>
        <vt:i4>3</vt:i4>
      </vt:variant>
      <vt:variant>
        <vt:i4>0</vt:i4>
      </vt:variant>
      <vt:variant>
        <vt:i4>5</vt:i4>
      </vt:variant>
      <vt:variant>
        <vt:lpwstr>mailto:Stuart.Dyke@cer.gov.au</vt:lpwstr>
      </vt:variant>
      <vt:variant>
        <vt:lpwstr/>
      </vt:variant>
      <vt:variant>
        <vt:i4>3342345</vt:i4>
      </vt:variant>
      <vt:variant>
        <vt:i4>0</vt:i4>
      </vt:variant>
      <vt:variant>
        <vt:i4>0</vt:i4>
      </vt:variant>
      <vt:variant>
        <vt:i4>5</vt:i4>
      </vt:variant>
      <vt:variant>
        <vt:lpwstr>mailto:Katia.Tsiolkas@cer.gov.au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transfer certificate guideline</dc:title>
  <dc:subject/>
  <dc:creator/>
  <cp:keywords/>
  <cp:lastModifiedBy/>
  <cp:revision>1</cp:revision>
  <dcterms:created xsi:type="dcterms:W3CDTF">2024-11-27T04:24:00Z</dcterms:created>
  <dcterms:modified xsi:type="dcterms:W3CDTF">2024-11-27T21:50:00Z</dcterms:modified>
</cp:coreProperties>
</file>