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3D71BAB5" w:rsidR="00977234" w:rsidRDefault="00B16D30" w:rsidP="00146FC8">
      <w:pPr>
        <w:pStyle w:val="CERcovertitle"/>
        <w:tabs>
          <w:tab w:val="left" w:pos="5103"/>
        </w:tabs>
        <w:spacing w:before="2520"/>
        <w:ind w:left="5103" w:right="-41"/>
      </w:pPr>
      <w:r>
        <w:drawing>
          <wp:anchor distT="0" distB="0" distL="114300" distR="114300" simplePos="0" relativeHeight="251658242"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1DD5FE73">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D9E696"/>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105831F2"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&#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d9e696"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8839B1">
        <w:rPr>
          <w:rFonts w:asciiTheme="minorHAnsi" w:hAnsiTheme="minorHAnsi"/>
          <w:sz w:val="44"/>
          <w:szCs w:val="44"/>
        </w:rPr>
        <w:t>Re</w:t>
      </w:r>
      <w:r w:rsidR="00E40CFC" w:rsidRPr="00E40CFC">
        <w:rPr>
          <w:rFonts w:asciiTheme="minorHAnsi" w:hAnsiTheme="minorHAnsi"/>
          <w:sz w:val="44"/>
          <w:szCs w:val="44"/>
        </w:rPr>
        <w:t>porting petroleum</w:t>
      </w:r>
      <w:r w:rsidR="00435C1F">
        <w:rPr>
          <w:rFonts w:asciiTheme="minorHAnsi" w:hAnsiTheme="minorHAnsi"/>
          <w:sz w:val="44"/>
          <w:szCs w:val="44"/>
        </w:rPr>
        <w:t>-</w:t>
      </w:r>
      <w:r w:rsidR="00E40CFC" w:rsidRPr="00E40CFC">
        <w:rPr>
          <w:rFonts w:asciiTheme="minorHAnsi" w:hAnsiTheme="minorHAnsi"/>
          <w:sz w:val="44"/>
          <w:szCs w:val="44"/>
        </w:rPr>
        <w:t>based oils and greases (other than petroleum-based oils and greases used as fuel)</w:t>
      </w:r>
      <w:r w:rsidR="008839B1">
        <w:rPr>
          <w:rFonts w:asciiTheme="minorHAnsi" w:hAnsiTheme="minorHAnsi"/>
          <w:sz w:val="44"/>
          <w:szCs w:val="44"/>
        </w:rPr>
        <w:t xml:space="preserve"> guideline</w:t>
      </w:r>
    </w:p>
    <w:p w14:paraId="3B543F96" w14:textId="468C72BA" w:rsidR="003A5739" w:rsidRPr="00531F3B" w:rsidRDefault="00EF122C" w:rsidP="001813DE">
      <w:pPr>
        <w:pStyle w:val="BodyText1"/>
        <w:tabs>
          <w:tab w:val="left" w:pos="3969"/>
        </w:tabs>
        <w:ind w:left="5103" w:right="101"/>
      </w:pPr>
      <w:r>
        <w:t xml:space="preserve">August </w:t>
      </w:r>
      <w:r w:rsidR="0068486A">
        <w:t>202</w:t>
      </w:r>
      <w:r w:rsidR="004C23A3">
        <w:t>5</w:t>
      </w:r>
    </w:p>
    <w:p w14:paraId="6519C78F" w14:textId="03C371E9" w:rsidR="00235142" w:rsidRPr="00874B8F" w:rsidRDefault="00346AEF" w:rsidP="000C0BA5">
      <w:pPr>
        <w:pStyle w:val="Contents"/>
      </w:pPr>
      <w:bookmarkStart w:id="0" w:name="_Toc108024095"/>
      <w:bookmarkStart w:id="1" w:name="_Toc135658656"/>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2" w:name="_Toc447009035"/>
      <w:bookmarkStart w:id="3" w:name="_Toc413749884"/>
      <w:r w:rsidR="00235142" w:rsidRPr="00874B8F">
        <w:lastRenderedPageBreak/>
        <w:t>Contents</w:t>
      </w:r>
      <w:bookmarkEnd w:id="0"/>
      <w:bookmarkEnd w:id="1"/>
    </w:p>
    <w:p w14:paraId="0CE75E11" w14:textId="5A0A8E22" w:rsidR="000C0BA5"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0C0BA5">
        <w:rPr>
          <w:noProof/>
        </w:rPr>
        <w:t>Definitions and Abbreviations</w:t>
      </w:r>
      <w:r w:rsidR="000C0BA5">
        <w:rPr>
          <w:noProof/>
        </w:rPr>
        <w:tab/>
      </w:r>
      <w:r w:rsidR="000C0BA5">
        <w:rPr>
          <w:noProof/>
        </w:rPr>
        <w:fldChar w:fldCharType="begin"/>
      </w:r>
      <w:r w:rsidR="000C0BA5">
        <w:rPr>
          <w:noProof/>
        </w:rPr>
        <w:instrText xml:space="preserve"> PAGEREF _Toc206592309 \h </w:instrText>
      </w:r>
      <w:r w:rsidR="000C0BA5">
        <w:rPr>
          <w:noProof/>
        </w:rPr>
      </w:r>
      <w:r w:rsidR="000C0BA5">
        <w:rPr>
          <w:noProof/>
        </w:rPr>
        <w:fldChar w:fldCharType="separate"/>
      </w:r>
      <w:r w:rsidR="00FA0137">
        <w:rPr>
          <w:noProof/>
        </w:rPr>
        <w:t>3</w:t>
      </w:r>
      <w:r w:rsidR="000C0BA5">
        <w:rPr>
          <w:noProof/>
        </w:rPr>
        <w:fldChar w:fldCharType="end"/>
      </w:r>
    </w:p>
    <w:p w14:paraId="23107A1C" w14:textId="0D6D45E5" w:rsidR="000C0BA5" w:rsidRDefault="000C0BA5">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_Toc206592310 \h </w:instrText>
      </w:r>
      <w:r>
        <w:rPr>
          <w:noProof/>
        </w:rPr>
      </w:r>
      <w:r>
        <w:rPr>
          <w:noProof/>
        </w:rPr>
        <w:fldChar w:fldCharType="separate"/>
      </w:r>
      <w:r w:rsidR="00FA0137">
        <w:rPr>
          <w:noProof/>
        </w:rPr>
        <w:t>5</w:t>
      </w:r>
      <w:r>
        <w:rPr>
          <w:noProof/>
        </w:rPr>
        <w:fldChar w:fldCharType="end"/>
      </w:r>
    </w:p>
    <w:p w14:paraId="4A294609" w14:textId="2655C0E4" w:rsidR="000C0BA5" w:rsidRDefault="000C0BA5">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_Toc206592311 \h </w:instrText>
      </w:r>
      <w:r>
        <w:rPr>
          <w:noProof/>
        </w:rPr>
      </w:r>
      <w:r>
        <w:rPr>
          <w:noProof/>
        </w:rPr>
        <w:fldChar w:fldCharType="separate"/>
      </w:r>
      <w:r w:rsidR="00FA0137">
        <w:rPr>
          <w:noProof/>
        </w:rPr>
        <w:t>6</w:t>
      </w:r>
      <w:r>
        <w:rPr>
          <w:noProof/>
        </w:rPr>
        <w:fldChar w:fldCharType="end"/>
      </w:r>
    </w:p>
    <w:p w14:paraId="2C709426" w14:textId="1C2919D7" w:rsidR="000C0BA5" w:rsidRDefault="000C0BA5">
      <w:pPr>
        <w:pStyle w:val="TOC1"/>
        <w:tabs>
          <w:tab w:val="left" w:pos="440"/>
        </w:tabs>
        <w:rPr>
          <w:rFonts w:eastAsiaTheme="minorEastAsia" w:cstheme="minorBidi"/>
          <w:b w:val="0"/>
          <w:noProof/>
          <w:color w:val="auto"/>
          <w:kern w:val="2"/>
          <w:sz w:val="24"/>
          <w:lang w:eastAsia="en-AU"/>
          <w14:ligatures w14:val="standardContextual"/>
        </w:rPr>
      </w:pPr>
      <w:r>
        <w:rPr>
          <w:noProof/>
        </w:rPr>
        <w:t>1.</w:t>
      </w:r>
      <w:r>
        <w:rPr>
          <w:rFonts w:eastAsiaTheme="minorEastAsia" w:cstheme="minorBidi"/>
          <w:b w:val="0"/>
          <w:noProof/>
          <w:color w:val="auto"/>
          <w:kern w:val="2"/>
          <w:sz w:val="24"/>
          <w:lang w:eastAsia="en-AU"/>
          <w14:ligatures w14:val="standardContextual"/>
        </w:rPr>
        <w:tab/>
      </w:r>
      <w:r>
        <w:rPr>
          <w:noProof/>
        </w:rPr>
        <w:t>Introduction</w:t>
      </w:r>
      <w:r>
        <w:rPr>
          <w:noProof/>
        </w:rPr>
        <w:tab/>
      </w:r>
      <w:r>
        <w:rPr>
          <w:noProof/>
        </w:rPr>
        <w:fldChar w:fldCharType="begin"/>
      </w:r>
      <w:r>
        <w:rPr>
          <w:noProof/>
        </w:rPr>
        <w:instrText xml:space="preserve"> PAGEREF _Toc206592312 \h </w:instrText>
      </w:r>
      <w:r>
        <w:rPr>
          <w:noProof/>
        </w:rPr>
      </w:r>
      <w:r>
        <w:rPr>
          <w:noProof/>
        </w:rPr>
        <w:fldChar w:fldCharType="separate"/>
      </w:r>
      <w:r w:rsidR="00FA0137">
        <w:rPr>
          <w:noProof/>
        </w:rPr>
        <w:t>6</w:t>
      </w:r>
      <w:r>
        <w:rPr>
          <w:noProof/>
        </w:rPr>
        <w:fldChar w:fldCharType="end"/>
      </w:r>
    </w:p>
    <w:p w14:paraId="75F03737" w14:textId="43BC1B83" w:rsidR="000C0BA5" w:rsidRDefault="000C0BA5">
      <w:pPr>
        <w:pStyle w:val="TOC1"/>
        <w:tabs>
          <w:tab w:val="left" w:pos="440"/>
        </w:tabs>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What are petroleum-based oils and petroleum-based greases?</w:t>
      </w:r>
      <w:r>
        <w:rPr>
          <w:noProof/>
        </w:rPr>
        <w:tab/>
      </w:r>
      <w:r>
        <w:rPr>
          <w:noProof/>
        </w:rPr>
        <w:fldChar w:fldCharType="begin"/>
      </w:r>
      <w:r>
        <w:rPr>
          <w:noProof/>
        </w:rPr>
        <w:instrText xml:space="preserve"> PAGEREF _Toc206592313 \h </w:instrText>
      </w:r>
      <w:r>
        <w:rPr>
          <w:noProof/>
        </w:rPr>
      </w:r>
      <w:r>
        <w:rPr>
          <w:noProof/>
        </w:rPr>
        <w:fldChar w:fldCharType="separate"/>
      </w:r>
      <w:r w:rsidR="00FA0137">
        <w:rPr>
          <w:noProof/>
        </w:rPr>
        <w:t>7</w:t>
      </w:r>
      <w:r>
        <w:rPr>
          <w:noProof/>
        </w:rPr>
        <w:fldChar w:fldCharType="end"/>
      </w:r>
    </w:p>
    <w:p w14:paraId="1B8328C7" w14:textId="7B02F8AF" w:rsidR="000C0BA5" w:rsidRDefault="000C0BA5">
      <w:pPr>
        <w:pStyle w:val="TOC1"/>
        <w:tabs>
          <w:tab w:val="left" w:pos="440"/>
        </w:tabs>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When are petroleum-based oils and petroleum-based greases consumed?</w:t>
      </w:r>
      <w:r>
        <w:rPr>
          <w:noProof/>
        </w:rPr>
        <w:tab/>
      </w:r>
      <w:r>
        <w:rPr>
          <w:noProof/>
        </w:rPr>
        <w:fldChar w:fldCharType="begin"/>
      </w:r>
      <w:r>
        <w:rPr>
          <w:noProof/>
        </w:rPr>
        <w:instrText xml:space="preserve"> PAGEREF _Toc206592314 \h </w:instrText>
      </w:r>
      <w:r>
        <w:rPr>
          <w:noProof/>
        </w:rPr>
      </w:r>
      <w:r>
        <w:rPr>
          <w:noProof/>
        </w:rPr>
        <w:fldChar w:fldCharType="separate"/>
      </w:r>
      <w:r w:rsidR="00FA0137">
        <w:rPr>
          <w:noProof/>
        </w:rPr>
        <w:t>7</w:t>
      </w:r>
      <w:r>
        <w:rPr>
          <w:noProof/>
        </w:rPr>
        <w:fldChar w:fldCharType="end"/>
      </w:r>
    </w:p>
    <w:p w14:paraId="11C00E12" w14:textId="1678B1A2" w:rsidR="000C0BA5" w:rsidRDefault="000C0BA5">
      <w:pPr>
        <w:pStyle w:val="TOC1"/>
        <w:tabs>
          <w:tab w:val="left" w:pos="440"/>
        </w:tabs>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When does consumption of petroleum-based oils (other than PBOs used as fuel) and petroleum-based greases need to be reported?</w:t>
      </w:r>
      <w:r>
        <w:rPr>
          <w:noProof/>
        </w:rPr>
        <w:tab/>
      </w:r>
      <w:r>
        <w:rPr>
          <w:noProof/>
        </w:rPr>
        <w:fldChar w:fldCharType="begin"/>
      </w:r>
      <w:r>
        <w:rPr>
          <w:noProof/>
        </w:rPr>
        <w:instrText xml:space="preserve"> PAGEREF _Toc206592315 \h </w:instrText>
      </w:r>
      <w:r>
        <w:rPr>
          <w:noProof/>
        </w:rPr>
      </w:r>
      <w:r>
        <w:rPr>
          <w:noProof/>
        </w:rPr>
        <w:fldChar w:fldCharType="separate"/>
      </w:r>
      <w:r w:rsidR="00FA0137">
        <w:rPr>
          <w:noProof/>
        </w:rPr>
        <w:t>7</w:t>
      </w:r>
      <w:r>
        <w:rPr>
          <w:noProof/>
        </w:rPr>
        <w:fldChar w:fldCharType="end"/>
      </w:r>
    </w:p>
    <w:p w14:paraId="0FE88FB9" w14:textId="4475C348" w:rsidR="000C0BA5" w:rsidRDefault="000C0BA5">
      <w:pPr>
        <w:pStyle w:val="TOC1"/>
        <w:tabs>
          <w:tab w:val="left" w:pos="440"/>
        </w:tabs>
        <w:rPr>
          <w:rFonts w:eastAsiaTheme="minorEastAsia" w:cstheme="minorBidi"/>
          <w:b w:val="0"/>
          <w:noProof/>
          <w:color w:val="auto"/>
          <w:kern w:val="2"/>
          <w:sz w:val="24"/>
          <w:lang w:eastAsia="en-AU"/>
          <w14:ligatures w14:val="standardContextual"/>
        </w:rPr>
      </w:pPr>
      <w:r>
        <w:rPr>
          <w:noProof/>
        </w:rPr>
        <w:t>5.</w:t>
      </w:r>
      <w:r>
        <w:rPr>
          <w:rFonts w:eastAsiaTheme="minorEastAsia" w:cstheme="minorBidi"/>
          <w:b w:val="0"/>
          <w:noProof/>
          <w:color w:val="auto"/>
          <w:kern w:val="2"/>
          <w:sz w:val="24"/>
          <w:lang w:eastAsia="en-AU"/>
          <w14:ligatures w14:val="standardContextual"/>
        </w:rPr>
        <w:tab/>
      </w:r>
      <w:r>
        <w:rPr>
          <w:noProof/>
        </w:rPr>
        <w:t>Estimating emissions from the use of PBOs (other than PBOs used as fuel) and PBGs</w:t>
      </w:r>
      <w:r>
        <w:rPr>
          <w:noProof/>
        </w:rPr>
        <w:tab/>
      </w:r>
      <w:r>
        <w:rPr>
          <w:noProof/>
        </w:rPr>
        <w:fldChar w:fldCharType="begin"/>
      </w:r>
      <w:r>
        <w:rPr>
          <w:noProof/>
        </w:rPr>
        <w:instrText xml:space="preserve"> PAGEREF _Toc206592316 \h </w:instrText>
      </w:r>
      <w:r>
        <w:rPr>
          <w:noProof/>
        </w:rPr>
      </w:r>
      <w:r>
        <w:rPr>
          <w:noProof/>
        </w:rPr>
        <w:fldChar w:fldCharType="separate"/>
      </w:r>
      <w:r w:rsidR="00FA0137">
        <w:rPr>
          <w:noProof/>
        </w:rPr>
        <w:t>8</w:t>
      </w:r>
      <w:r>
        <w:rPr>
          <w:noProof/>
        </w:rPr>
        <w:fldChar w:fldCharType="end"/>
      </w:r>
    </w:p>
    <w:p w14:paraId="67DE751C" w14:textId="221DC92F" w:rsidR="000C0BA5" w:rsidRDefault="000C0BA5">
      <w:pPr>
        <w:pStyle w:val="TOC2"/>
        <w:tabs>
          <w:tab w:val="right" w:leader="dot" w:pos="9730"/>
        </w:tabs>
        <w:rPr>
          <w:rFonts w:eastAsiaTheme="minorEastAsia" w:cstheme="minorBidi"/>
          <w:noProof/>
          <w:color w:val="auto"/>
          <w:kern w:val="2"/>
          <w:sz w:val="24"/>
          <w:lang w:eastAsia="en-AU"/>
          <w14:ligatures w14:val="standardContextual"/>
        </w:rPr>
      </w:pPr>
      <w:r w:rsidRPr="00EE6549">
        <w:rPr>
          <w:noProof/>
          <w:lang w:val="en-US"/>
        </w:rPr>
        <w:t>Method 1</w:t>
      </w:r>
      <w:r>
        <w:rPr>
          <w:noProof/>
        </w:rPr>
        <w:tab/>
      </w:r>
      <w:r>
        <w:rPr>
          <w:noProof/>
        </w:rPr>
        <w:fldChar w:fldCharType="begin"/>
      </w:r>
      <w:r>
        <w:rPr>
          <w:noProof/>
        </w:rPr>
        <w:instrText xml:space="preserve"> PAGEREF _Toc206592317 \h </w:instrText>
      </w:r>
      <w:r>
        <w:rPr>
          <w:noProof/>
        </w:rPr>
      </w:r>
      <w:r>
        <w:rPr>
          <w:noProof/>
        </w:rPr>
        <w:fldChar w:fldCharType="separate"/>
      </w:r>
      <w:r w:rsidR="00FA0137">
        <w:rPr>
          <w:noProof/>
        </w:rPr>
        <w:t>8</w:t>
      </w:r>
      <w:r>
        <w:rPr>
          <w:noProof/>
        </w:rPr>
        <w:fldChar w:fldCharType="end"/>
      </w:r>
    </w:p>
    <w:p w14:paraId="5C3FA942" w14:textId="1F43B323" w:rsidR="000C0BA5" w:rsidRDefault="000C0BA5">
      <w:pPr>
        <w:pStyle w:val="TOC3"/>
        <w:rPr>
          <w:rFonts w:eastAsiaTheme="minorEastAsia" w:cstheme="minorBidi"/>
          <w:noProof/>
          <w:color w:val="auto"/>
          <w:kern w:val="2"/>
          <w:sz w:val="24"/>
          <w:lang w:eastAsia="en-AU"/>
          <w14:ligatures w14:val="standardContextual"/>
        </w:rPr>
      </w:pPr>
      <w:r w:rsidRPr="00EE6549">
        <w:rPr>
          <w:noProof/>
          <w:lang w:val="en-US"/>
        </w:rPr>
        <w:t>Facility specific oxidation and emission factor calculations</w:t>
      </w:r>
      <w:r>
        <w:rPr>
          <w:noProof/>
        </w:rPr>
        <w:tab/>
      </w:r>
      <w:r>
        <w:rPr>
          <w:noProof/>
        </w:rPr>
        <w:fldChar w:fldCharType="begin"/>
      </w:r>
      <w:r>
        <w:rPr>
          <w:noProof/>
        </w:rPr>
        <w:instrText xml:space="preserve"> PAGEREF _Toc206592318 \h </w:instrText>
      </w:r>
      <w:r>
        <w:rPr>
          <w:noProof/>
        </w:rPr>
      </w:r>
      <w:r>
        <w:rPr>
          <w:noProof/>
        </w:rPr>
        <w:fldChar w:fldCharType="separate"/>
      </w:r>
      <w:r w:rsidR="00FA0137">
        <w:rPr>
          <w:noProof/>
        </w:rPr>
        <w:t>9</w:t>
      </w:r>
      <w:r>
        <w:rPr>
          <w:noProof/>
        </w:rPr>
        <w:fldChar w:fldCharType="end"/>
      </w:r>
    </w:p>
    <w:p w14:paraId="114D2D02" w14:textId="2F5218C9" w:rsidR="000C0BA5" w:rsidRDefault="000C0BA5">
      <w:pPr>
        <w:pStyle w:val="TOC2"/>
        <w:tabs>
          <w:tab w:val="right" w:leader="dot" w:pos="9730"/>
        </w:tabs>
        <w:rPr>
          <w:rFonts w:eastAsiaTheme="minorEastAsia" w:cstheme="minorBidi"/>
          <w:noProof/>
          <w:color w:val="auto"/>
          <w:kern w:val="2"/>
          <w:sz w:val="24"/>
          <w:lang w:eastAsia="en-AU"/>
          <w14:ligatures w14:val="standardContextual"/>
        </w:rPr>
      </w:pPr>
      <w:r w:rsidRPr="00EE6549">
        <w:rPr>
          <w:noProof/>
          <w:lang w:val="en-US"/>
        </w:rPr>
        <w:t>Method 2</w:t>
      </w:r>
      <w:r>
        <w:rPr>
          <w:noProof/>
        </w:rPr>
        <w:tab/>
      </w:r>
      <w:r>
        <w:rPr>
          <w:noProof/>
        </w:rPr>
        <w:fldChar w:fldCharType="begin"/>
      </w:r>
      <w:r>
        <w:rPr>
          <w:noProof/>
        </w:rPr>
        <w:instrText xml:space="preserve"> PAGEREF _Toc206592319 \h </w:instrText>
      </w:r>
      <w:r>
        <w:rPr>
          <w:noProof/>
        </w:rPr>
      </w:r>
      <w:r>
        <w:rPr>
          <w:noProof/>
        </w:rPr>
        <w:fldChar w:fldCharType="separate"/>
      </w:r>
      <w:r w:rsidR="00FA0137">
        <w:rPr>
          <w:noProof/>
        </w:rPr>
        <w:t>10</w:t>
      </w:r>
      <w:r>
        <w:rPr>
          <w:noProof/>
        </w:rPr>
        <w:fldChar w:fldCharType="end"/>
      </w:r>
    </w:p>
    <w:p w14:paraId="58C46C02" w14:textId="0188417C" w:rsidR="000C0BA5" w:rsidRDefault="000C0BA5">
      <w:pPr>
        <w:pStyle w:val="TOC2"/>
        <w:tabs>
          <w:tab w:val="right" w:leader="dot" w:pos="9730"/>
        </w:tabs>
        <w:rPr>
          <w:rFonts w:eastAsiaTheme="minorEastAsia" w:cstheme="minorBidi"/>
          <w:noProof/>
          <w:color w:val="auto"/>
          <w:kern w:val="2"/>
          <w:sz w:val="24"/>
          <w:lang w:eastAsia="en-AU"/>
          <w14:ligatures w14:val="standardContextual"/>
        </w:rPr>
      </w:pPr>
      <w:r w:rsidRPr="00EE6549">
        <w:rPr>
          <w:noProof/>
          <w:lang w:val="en-US"/>
        </w:rPr>
        <w:t>Method 3</w:t>
      </w:r>
      <w:r>
        <w:rPr>
          <w:noProof/>
        </w:rPr>
        <w:tab/>
      </w:r>
      <w:r>
        <w:rPr>
          <w:noProof/>
        </w:rPr>
        <w:fldChar w:fldCharType="begin"/>
      </w:r>
      <w:r>
        <w:rPr>
          <w:noProof/>
        </w:rPr>
        <w:instrText xml:space="preserve"> PAGEREF _Toc206592320 \h </w:instrText>
      </w:r>
      <w:r>
        <w:rPr>
          <w:noProof/>
        </w:rPr>
      </w:r>
      <w:r>
        <w:rPr>
          <w:noProof/>
        </w:rPr>
        <w:fldChar w:fldCharType="separate"/>
      </w:r>
      <w:r w:rsidR="00FA0137">
        <w:rPr>
          <w:noProof/>
        </w:rPr>
        <w:t>10</w:t>
      </w:r>
      <w:r>
        <w:rPr>
          <w:noProof/>
        </w:rPr>
        <w:fldChar w:fldCharType="end"/>
      </w:r>
    </w:p>
    <w:p w14:paraId="0270711B" w14:textId="6736FF8E" w:rsidR="000C0BA5" w:rsidRDefault="000C0BA5">
      <w:pPr>
        <w:pStyle w:val="TOC1"/>
        <w:tabs>
          <w:tab w:val="left" w:pos="440"/>
        </w:tabs>
        <w:rPr>
          <w:rFonts w:eastAsiaTheme="minorEastAsia" w:cstheme="minorBidi"/>
          <w:b w:val="0"/>
          <w:noProof/>
          <w:color w:val="auto"/>
          <w:kern w:val="2"/>
          <w:sz w:val="24"/>
          <w:lang w:eastAsia="en-AU"/>
          <w14:ligatures w14:val="standardContextual"/>
        </w:rPr>
      </w:pPr>
      <w:r>
        <w:rPr>
          <w:noProof/>
        </w:rPr>
        <w:t>6.</w:t>
      </w:r>
      <w:r>
        <w:rPr>
          <w:rFonts w:eastAsiaTheme="minorEastAsia" w:cstheme="minorBidi"/>
          <w:b w:val="0"/>
          <w:noProof/>
          <w:color w:val="auto"/>
          <w:kern w:val="2"/>
          <w:sz w:val="24"/>
          <w:lang w:eastAsia="en-AU"/>
          <w14:ligatures w14:val="standardContextual"/>
        </w:rPr>
        <w:tab/>
      </w:r>
      <w:r>
        <w:rPr>
          <w:noProof/>
        </w:rPr>
        <w:t>Estimating energy from the consumption of PBOs and PBGs without combustion</w:t>
      </w:r>
      <w:r>
        <w:rPr>
          <w:noProof/>
        </w:rPr>
        <w:tab/>
      </w:r>
      <w:r>
        <w:rPr>
          <w:noProof/>
        </w:rPr>
        <w:fldChar w:fldCharType="begin"/>
      </w:r>
      <w:r>
        <w:rPr>
          <w:noProof/>
        </w:rPr>
        <w:instrText xml:space="preserve"> PAGEREF _Toc206592321 \h </w:instrText>
      </w:r>
      <w:r>
        <w:rPr>
          <w:noProof/>
        </w:rPr>
      </w:r>
      <w:r>
        <w:rPr>
          <w:noProof/>
        </w:rPr>
        <w:fldChar w:fldCharType="separate"/>
      </w:r>
      <w:r w:rsidR="00FA0137">
        <w:rPr>
          <w:noProof/>
        </w:rPr>
        <w:t>10</w:t>
      </w:r>
      <w:r>
        <w:rPr>
          <w:noProof/>
        </w:rPr>
        <w:fldChar w:fldCharType="end"/>
      </w:r>
    </w:p>
    <w:p w14:paraId="2EAFCD43" w14:textId="6FD9D8BD" w:rsidR="000C0BA5" w:rsidRDefault="000C0BA5">
      <w:pPr>
        <w:pStyle w:val="TOC1"/>
        <w:tabs>
          <w:tab w:val="left" w:pos="440"/>
        </w:tabs>
        <w:rPr>
          <w:rFonts w:eastAsiaTheme="minorEastAsia" w:cstheme="minorBidi"/>
          <w:b w:val="0"/>
          <w:noProof/>
          <w:color w:val="auto"/>
          <w:kern w:val="2"/>
          <w:sz w:val="24"/>
          <w:lang w:eastAsia="en-AU"/>
          <w14:ligatures w14:val="standardContextual"/>
        </w:rPr>
      </w:pPr>
      <w:r>
        <w:rPr>
          <w:noProof/>
        </w:rPr>
        <w:t>7.</w:t>
      </w:r>
      <w:r>
        <w:rPr>
          <w:rFonts w:eastAsiaTheme="minorEastAsia" w:cstheme="minorBidi"/>
          <w:b w:val="0"/>
          <w:noProof/>
          <w:color w:val="auto"/>
          <w:kern w:val="2"/>
          <w:sz w:val="24"/>
          <w:lang w:eastAsia="en-AU"/>
          <w14:ligatures w14:val="standardContextual"/>
        </w:rPr>
        <w:tab/>
      </w:r>
      <w:r>
        <w:rPr>
          <w:noProof/>
        </w:rPr>
        <w:t>Measurement criteria for the quantity of PBOs and PBGs consumed</w:t>
      </w:r>
      <w:r>
        <w:rPr>
          <w:noProof/>
        </w:rPr>
        <w:tab/>
      </w:r>
      <w:r>
        <w:rPr>
          <w:noProof/>
        </w:rPr>
        <w:fldChar w:fldCharType="begin"/>
      </w:r>
      <w:r>
        <w:rPr>
          <w:noProof/>
        </w:rPr>
        <w:instrText xml:space="preserve"> PAGEREF _Toc206592322 \h </w:instrText>
      </w:r>
      <w:r>
        <w:rPr>
          <w:noProof/>
        </w:rPr>
      </w:r>
      <w:r>
        <w:rPr>
          <w:noProof/>
        </w:rPr>
        <w:fldChar w:fldCharType="separate"/>
      </w:r>
      <w:r w:rsidR="00FA0137">
        <w:rPr>
          <w:noProof/>
        </w:rPr>
        <w:t>10</w:t>
      </w:r>
      <w:r>
        <w:rPr>
          <w:noProof/>
        </w:rPr>
        <w:fldChar w:fldCharType="end"/>
      </w:r>
    </w:p>
    <w:p w14:paraId="29623C84" w14:textId="65E2DFDE" w:rsidR="000C0BA5" w:rsidRDefault="000C0BA5">
      <w:pPr>
        <w:pStyle w:val="TOC1"/>
        <w:tabs>
          <w:tab w:val="left" w:pos="440"/>
        </w:tabs>
        <w:rPr>
          <w:rFonts w:eastAsiaTheme="minorEastAsia" w:cstheme="minorBidi"/>
          <w:b w:val="0"/>
          <w:noProof/>
          <w:color w:val="auto"/>
          <w:kern w:val="2"/>
          <w:sz w:val="24"/>
          <w:lang w:eastAsia="en-AU"/>
          <w14:ligatures w14:val="standardContextual"/>
        </w:rPr>
      </w:pPr>
      <w:r>
        <w:rPr>
          <w:noProof/>
        </w:rPr>
        <w:t>8.</w:t>
      </w:r>
      <w:r>
        <w:rPr>
          <w:rFonts w:eastAsiaTheme="minorEastAsia" w:cstheme="minorBidi"/>
          <w:b w:val="0"/>
          <w:noProof/>
          <w:color w:val="auto"/>
          <w:kern w:val="2"/>
          <w:sz w:val="24"/>
          <w:lang w:eastAsia="en-AU"/>
          <w14:ligatures w14:val="standardContextual"/>
        </w:rPr>
        <w:tab/>
      </w:r>
      <w:r>
        <w:rPr>
          <w:noProof/>
        </w:rPr>
        <w:t>More information</w:t>
      </w:r>
      <w:r>
        <w:rPr>
          <w:noProof/>
        </w:rPr>
        <w:tab/>
      </w:r>
      <w:r>
        <w:rPr>
          <w:noProof/>
        </w:rPr>
        <w:fldChar w:fldCharType="begin"/>
      </w:r>
      <w:r>
        <w:rPr>
          <w:noProof/>
        </w:rPr>
        <w:instrText xml:space="preserve"> PAGEREF _Toc206592323 \h </w:instrText>
      </w:r>
      <w:r>
        <w:rPr>
          <w:noProof/>
        </w:rPr>
      </w:r>
      <w:r>
        <w:rPr>
          <w:noProof/>
        </w:rPr>
        <w:fldChar w:fldCharType="separate"/>
      </w:r>
      <w:r w:rsidR="00FA0137">
        <w:rPr>
          <w:noProof/>
        </w:rPr>
        <w:t>11</w:t>
      </w:r>
      <w:r>
        <w:rPr>
          <w:noProof/>
        </w:rPr>
        <w:fldChar w:fldCharType="end"/>
      </w:r>
    </w:p>
    <w:p w14:paraId="6A75B548" w14:textId="38B84EC6" w:rsidR="00235142" w:rsidRDefault="00235142" w:rsidP="00235142">
      <w:r>
        <w:fldChar w:fldCharType="end"/>
      </w:r>
    </w:p>
    <w:p w14:paraId="1F4AFFBC" w14:textId="77777777" w:rsidR="008040FA" w:rsidRDefault="00235142" w:rsidP="008040FA">
      <w:pPr>
        <w:pStyle w:val="Heading1"/>
      </w:pPr>
      <w:r>
        <w:br w:type="page"/>
      </w:r>
      <w:bookmarkStart w:id="4" w:name="_Toc48567578"/>
      <w:bookmarkStart w:id="5" w:name="_Toc106720691"/>
      <w:bookmarkStart w:id="6" w:name="_Toc489001006"/>
      <w:bookmarkStart w:id="7" w:name="_Toc463000932"/>
      <w:bookmarkStart w:id="8" w:name="_Toc206592309"/>
      <w:bookmarkEnd w:id="2"/>
      <w:bookmarkEnd w:id="3"/>
      <w:r w:rsidR="008040FA">
        <w:lastRenderedPageBreak/>
        <w:t>Definitions and Abbreviations</w:t>
      </w:r>
      <w:bookmarkEnd w:id="4"/>
      <w:bookmarkEnd w:id="5"/>
      <w:bookmarkEnd w:id="8"/>
      <w:r w:rsidR="008040FA">
        <w:t xml:space="preserve"> </w:t>
      </w:r>
    </w:p>
    <w:tbl>
      <w:tblPr>
        <w:tblStyle w:val="CERTable"/>
        <w:tblW w:w="0" w:type="auto"/>
        <w:tblLook w:val="06A0" w:firstRow="1" w:lastRow="0" w:firstColumn="1" w:lastColumn="0" w:noHBand="1" w:noVBand="1"/>
      </w:tblPr>
      <w:tblGrid>
        <w:gridCol w:w="2390"/>
        <w:gridCol w:w="6703"/>
        <w:gridCol w:w="647"/>
      </w:tblGrid>
      <w:tr w:rsidR="008040FA" w:rsidRPr="00AA1BB1" w14:paraId="5663A72D" w14:textId="77777777" w:rsidTr="000C0B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0" w:type="dxa"/>
          </w:tcPr>
          <w:p w14:paraId="1B4180D4" w14:textId="77777777" w:rsidR="008040FA" w:rsidRPr="00BF392D" w:rsidRDefault="008040FA" w:rsidP="009258A5">
            <w:pPr>
              <w:spacing w:before="60"/>
              <w:jc w:val="center"/>
            </w:pPr>
            <w:r w:rsidRPr="00BF392D">
              <w:t>Term</w:t>
            </w:r>
          </w:p>
        </w:tc>
        <w:tc>
          <w:tcPr>
            <w:tcW w:w="7350" w:type="dxa"/>
            <w:gridSpan w:val="2"/>
          </w:tcPr>
          <w:p w14:paraId="3AF7FAF7" w14:textId="77777777" w:rsidR="008040FA" w:rsidRPr="00BF392D" w:rsidRDefault="008040FA" w:rsidP="009258A5">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8040FA" w:rsidRPr="00AA1BB1" w14:paraId="471371A6"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48115432" w14:textId="77777777" w:rsidR="008040FA" w:rsidRPr="00AA1BB1" w:rsidRDefault="008040FA" w:rsidP="009258A5">
            <w:pPr>
              <w:spacing w:before="60"/>
            </w:pPr>
            <w:r>
              <w:t>Consumption of energy</w:t>
            </w:r>
          </w:p>
        </w:tc>
        <w:tc>
          <w:tcPr>
            <w:tcW w:w="7350" w:type="dxa"/>
            <w:gridSpan w:val="2"/>
          </w:tcPr>
          <w:p w14:paraId="5BD7DCC0" w14:textId="4D5FB585" w:rsidR="008040FA" w:rsidRDefault="008040FA" w:rsidP="009258A5">
            <w:pPr>
              <w:cnfStyle w:val="000000000000" w:firstRow="0" w:lastRow="0" w:firstColumn="0" w:lastColumn="0" w:oddVBand="0" w:evenVBand="0" w:oddHBand="0" w:evenHBand="0" w:firstRowFirstColumn="0" w:firstRowLastColumn="0" w:lastRowFirstColumn="0" w:lastRowLastColumn="0"/>
            </w:pPr>
            <w:r>
              <w:t>In relation to a facility, means the use or disposal of energy from the operation of the facility, including (</w:t>
            </w:r>
            <w:r w:rsidR="00F94246">
              <w:t>as per</w:t>
            </w:r>
            <w:r>
              <w:t xml:space="preserve"> 2.26 of the NGER Regulations):</w:t>
            </w:r>
          </w:p>
          <w:p w14:paraId="033CA2BF" w14:textId="77777777" w:rsidR="008040FA" w:rsidRDefault="008040FA" w:rsidP="00B60D87">
            <w:pPr>
              <w:pStyle w:val="CERbullets"/>
              <w:numPr>
                <w:ilvl w:val="1"/>
                <w:numId w:val="2"/>
              </w:numPr>
              <w:cnfStyle w:val="000000000000" w:firstRow="0" w:lastRow="0" w:firstColumn="0" w:lastColumn="0" w:oddVBand="0" w:evenVBand="0" w:oddHBand="0" w:evenHBand="0" w:firstRowFirstColumn="0" w:firstRowLastColumn="0" w:lastRowFirstColumn="0" w:lastRowLastColumn="0"/>
            </w:pPr>
            <w:proofErr w:type="gramStart"/>
            <w:r>
              <w:t>own-use</w:t>
            </w:r>
            <w:proofErr w:type="gramEnd"/>
          </w:p>
          <w:p w14:paraId="483C2991" w14:textId="77777777" w:rsidR="008040FA" w:rsidRPr="00AA1BB1" w:rsidRDefault="008040FA" w:rsidP="00B60D87">
            <w:pPr>
              <w:pStyle w:val="CERbullets"/>
              <w:numPr>
                <w:ilvl w:val="1"/>
                <w:numId w:val="2"/>
              </w:numPr>
              <w:cnfStyle w:val="000000000000" w:firstRow="0" w:lastRow="0" w:firstColumn="0" w:lastColumn="0" w:oddVBand="0" w:evenVBand="0" w:oddHBand="0" w:evenHBand="0" w:firstRowFirstColumn="0" w:firstRowLastColumn="0" w:lastRowFirstColumn="0" w:lastRowLastColumn="0"/>
            </w:pPr>
            <w:r>
              <w:t>losses in extraction, production and transmission.</w:t>
            </w:r>
          </w:p>
        </w:tc>
      </w:tr>
      <w:tr w:rsidR="008040FA" w:rsidRPr="00AA1BB1" w14:paraId="2C6DD253"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4FFBD335" w14:textId="77777777" w:rsidR="008040FA" w:rsidRDefault="008040FA" w:rsidP="009258A5">
            <w:pPr>
              <w:spacing w:before="60"/>
            </w:pPr>
            <w:r w:rsidRPr="007D46A9">
              <w:t>EERS</w:t>
            </w:r>
          </w:p>
        </w:tc>
        <w:tc>
          <w:tcPr>
            <w:tcW w:w="7350" w:type="dxa"/>
            <w:gridSpan w:val="2"/>
          </w:tcPr>
          <w:p w14:paraId="0AE2734C" w14:textId="77777777" w:rsidR="008040FA" w:rsidRDefault="008040FA" w:rsidP="009258A5">
            <w:pPr>
              <w:cnfStyle w:val="000000000000" w:firstRow="0" w:lastRow="0" w:firstColumn="0" w:lastColumn="0" w:oddVBand="0" w:evenVBand="0" w:oddHBand="0" w:evenHBand="0" w:firstRowFirstColumn="0" w:firstRowLastColumn="0" w:lastRowFirstColumn="0" w:lastRowLastColumn="0"/>
            </w:pPr>
            <w:r w:rsidRPr="007D46A9">
              <w:t>Emissions and Energy Reporting System</w:t>
            </w:r>
          </w:p>
        </w:tc>
      </w:tr>
      <w:tr w:rsidR="008040FA" w:rsidRPr="00AA1BB1" w14:paraId="18289233"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0C2A77F9" w14:textId="77777777" w:rsidR="008040FA" w:rsidRDefault="008040FA" w:rsidP="009258A5">
            <w:pPr>
              <w:spacing w:before="60"/>
            </w:pPr>
            <w:r>
              <w:t>Energy</w:t>
            </w:r>
          </w:p>
        </w:tc>
        <w:tc>
          <w:tcPr>
            <w:tcW w:w="7350" w:type="dxa"/>
            <w:gridSpan w:val="2"/>
          </w:tcPr>
          <w:p w14:paraId="54493950" w14:textId="54DCC322" w:rsidR="008040FA" w:rsidRDefault="008040FA" w:rsidP="009258A5">
            <w:pPr>
              <w:cnfStyle w:val="000000000000" w:firstRow="0" w:lastRow="0" w:firstColumn="0" w:lastColumn="0" w:oddVBand="0" w:evenVBand="0" w:oddHBand="0" w:evenHBand="0" w:firstRowFirstColumn="0" w:firstRowLastColumn="0" w:lastRowFirstColumn="0" w:lastRowLastColumn="0"/>
            </w:pPr>
            <w:r>
              <w:t>I</w:t>
            </w:r>
            <w:r w:rsidRPr="009E6658">
              <w:t>ncludes the fuels and other energy commodities listed in Schedule 1 of the NGER Regulations.</w:t>
            </w:r>
          </w:p>
        </w:tc>
      </w:tr>
      <w:tr w:rsidR="008F75C5" w:rsidRPr="00AA1BB1" w14:paraId="3FF3332E"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34545EDB" w14:textId="7DA1005F" w:rsidR="008F75C5" w:rsidRDefault="008F75C5" w:rsidP="009258A5">
            <w:pPr>
              <w:spacing w:before="60"/>
            </w:pPr>
            <w:r>
              <w:t xml:space="preserve">Facility </w:t>
            </w:r>
          </w:p>
        </w:tc>
        <w:tc>
          <w:tcPr>
            <w:tcW w:w="7350" w:type="dxa"/>
            <w:gridSpan w:val="2"/>
          </w:tcPr>
          <w:p w14:paraId="23C7B839" w14:textId="70699E6B" w:rsidR="008F75C5" w:rsidRPr="006E0381" w:rsidRDefault="006E0381" w:rsidP="009258A5">
            <w:pPr>
              <w:cnfStyle w:val="000000000000" w:firstRow="0" w:lastRow="0" w:firstColumn="0" w:lastColumn="0" w:oddVBand="0" w:evenVBand="0" w:oddHBand="0" w:evenHBand="0" w:firstRowFirstColumn="0" w:firstRowLastColumn="0" w:lastRowFirstColumn="0" w:lastRowLastColumn="0"/>
              <w:rPr>
                <w:szCs w:val="22"/>
              </w:rPr>
            </w:pPr>
            <w:r>
              <w:rPr>
                <w:color w:val="000000"/>
                <w:szCs w:val="22"/>
                <w:shd w:val="clear" w:color="auto" w:fill="FFFFFF"/>
              </w:rPr>
              <w:t>H</w:t>
            </w:r>
            <w:r w:rsidRPr="00E878D6">
              <w:rPr>
                <w:color w:val="000000"/>
                <w:szCs w:val="22"/>
                <w:shd w:val="clear" w:color="auto" w:fill="FFFFFF"/>
              </w:rPr>
              <w:t xml:space="preserve">as the meaning given by section 9 of the NGER Act. For more information on defining a facility under the NGER scheme, see </w:t>
            </w:r>
            <w:hyperlink r:id="rId22" w:anchor="what-is-an-nger-facility" w:tooltip="A link to the Assess your obligations page of the Clean Energy Regulator website" w:history="1">
              <w:r w:rsidRPr="00E878D6">
                <w:rPr>
                  <w:rStyle w:val="Hyperlink"/>
                  <w:szCs w:val="22"/>
                  <w:shd w:val="clear" w:color="auto" w:fill="FFFFFF"/>
                </w:rPr>
                <w:t>What is a Facility</w:t>
              </w:r>
            </w:hyperlink>
            <w:r w:rsidR="003623BA">
              <w:rPr>
                <w:rStyle w:val="FootnoteReference"/>
                <w:color w:val="000000"/>
                <w:kern w:val="0"/>
                <w:szCs w:val="22"/>
                <w:shd w:val="clear" w:color="auto" w:fill="FFFFFF"/>
              </w:rPr>
              <w:footnoteReference w:id="2"/>
            </w:r>
            <w:r w:rsidRPr="00E878D6">
              <w:rPr>
                <w:color w:val="000000"/>
                <w:szCs w:val="22"/>
                <w:shd w:val="clear" w:color="auto" w:fill="FFFFFF"/>
              </w:rPr>
              <w:t xml:space="preserve">.  </w:t>
            </w:r>
          </w:p>
        </w:tc>
      </w:tr>
      <w:tr w:rsidR="008040FA" w:rsidRPr="00AA1BB1" w14:paraId="34B3C025"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677D63B9" w14:textId="77777777" w:rsidR="008040FA" w:rsidRDefault="008040FA" w:rsidP="009258A5">
            <w:pPr>
              <w:spacing w:before="60"/>
            </w:pPr>
            <w:r w:rsidRPr="009E6658">
              <w:t>Fuel</w:t>
            </w:r>
          </w:p>
        </w:tc>
        <w:tc>
          <w:tcPr>
            <w:tcW w:w="7350" w:type="dxa"/>
            <w:gridSpan w:val="2"/>
          </w:tcPr>
          <w:p w14:paraId="5067AF0F" w14:textId="77777777" w:rsidR="008040FA" w:rsidRDefault="008040FA" w:rsidP="009258A5">
            <w:pPr>
              <w:cnfStyle w:val="000000000000" w:firstRow="0" w:lastRow="0" w:firstColumn="0" w:lastColumn="0" w:oddVBand="0" w:evenVBand="0" w:oddHBand="0" w:evenHBand="0" w:firstRowFirstColumn="0" w:firstRowLastColumn="0" w:lastRowFirstColumn="0" w:lastRowLastColumn="0"/>
            </w:pPr>
            <w:r w:rsidRPr="009E6658">
              <w:t>A substance mentioned at items 1–57 in Schedule 1 of the NGER Regulations.</w:t>
            </w:r>
          </w:p>
        </w:tc>
      </w:tr>
      <w:tr w:rsidR="008040FA" w:rsidRPr="00AA1BB1" w14:paraId="1F466EEE"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6EDF2248" w14:textId="77777777" w:rsidR="008040FA" w:rsidRPr="009E6658" w:rsidRDefault="008040FA" w:rsidP="009258A5">
            <w:pPr>
              <w:spacing w:before="60"/>
            </w:pPr>
            <w:r>
              <w:t>kL</w:t>
            </w:r>
          </w:p>
        </w:tc>
        <w:tc>
          <w:tcPr>
            <w:tcW w:w="7350" w:type="dxa"/>
            <w:gridSpan w:val="2"/>
          </w:tcPr>
          <w:p w14:paraId="01331201" w14:textId="77777777" w:rsidR="008040FA" w:rsidRPr="009E6658" w:rsidRDefault="008040FA" w:rsidP="009258A5">
            <w:pPr>
              <w:cnfStyle w:val="000000000000" w:firstRow="0" w:lastRow="0" w:firstColumn="0" w:lastColumn="0" w:oddVBand="0" w:evenVBand="0" w:oddHBand="0" w:evenHBand="0" w:firstRowFirstColumn="0" w:firstRowLastColumn="0" w:lastRowFirstColumn="0" w:lastRowLastColumn="0"/>
            </w:pPr>
            <w:r>
              <w:t>Kilolitres</w:t>
            </w:r>
          </w:p>
        </w:tc>
      </w:tr>
      <w:tr w:rsidR="00181D17" w:rsidRPr="00AA1BB1" w14:paraId="1B1FDD11" w14:textId="77777777" w:rsidTr="00DC42C8">
        <w:trPr>
          <w:gridAfter w:val="1"/>
          <w:wAfter w:w="647" w:type="dxa"/>
        </w:trPr>
        <w:tc>
          <w:tcPr>
            <w:cnfStyle w:val="001000000000" w:firstRow="0" w:lastRow="0" w:firstColumn="1" w:lastColumn="0" w:oddVBand="0" w:evenVBand="0" w:oddHBand="0" w:evenHBand="0" w:firstRowFirstColumn="0" w:firstRowLastColumn="0" w:lastRowFirstColumn="0" w:lastRowLastColumn="0"/>
            <w:tcW w:w="2390" w:type="dxa"/>
          </w:tcPr>
          <w:p w14:paraId="751E5C90" w14:textId="3D4B362D" w:rsidR="00C56BEA" w:rsidRPr="00AA1BB1" w:rsidRDefault="00C56BEA" w:rsidP="00181D17">
            <w:pPr>
              <w:spacing w:before="60"/>
            </w:pPr>
            <w:r w:rsidRPr="003C7D92">
              <w:t>L</w:t>
            </w:r>
          </w:p>
        </w:tc>
        <w:tc>
          <w:tcPr>
            <w:tcW w:w="6703" w:type="dxa"/>
          </w:tcPr>
          <w:p w14:paraId="28D1FE92" w14:textId="77777777" w:rsidR="00C56BEA" w:rsidRPr="00AA1BB1" w:rsidRDefault="00C56BEA" w:rsidP="00181D17">
            <w:pPr>
              <w:spacing w:before="60"/>
              <w:cnfStyle w:val="000000000000" w:firstRow="0" w:lastRow="0" w:firstColumn="0" w:lastColumn="0" w:oddVBand="0" w:evenVBand="0" w:oddHBand="0" w:evenHBand="0" w:firstRowFirstColumn="0" w:firstRowLastColumn="0" w:lastRowFirstColumn="0" w:lastRowLastColumn="0"/>
            </w:pPr>
            <w:r>
              <w:t>Litres</w:t>
            </w:r>
          </w:p>
        </w:tc>
      </w:tr>
      <w:tr w:rsidR="008040FA" w:rsidRPr="00AA1BB1" w14:paraId="3899C112"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6C1A6DA3" w14:textId="77777777" w:rsidR="008040FA" w:rsidRPr="00AA1BB1" w:rsidRDefault="008040FA" w:rsidP="009258A5">
            <w:pPr>
              <w:spacing w:before="60"/>
            </w:pPr>
            <w:r w:rsidRPr="00AA1BB1">
              <w:t>NGER</w:t>
            </w:r>
          </w:p>
        </w:tc>
        <w:tc>
          <w:tcPr>
            <w:tcW w:w="7350" w:type="dxa"/>
            <w:gridSpan w:val="2"/>
          </w:tcPr>
          <w:p w14:paraId="4CECEF00" w14:textId="77777777" w:rsidR="008040FA" w:rsidRPr="00AA1BB1" w:rsidRDefault="008040FA" w:rsidP="009258A5">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8040FA" w:rsidRPr="00AA1BB1" w14:paraId="03E72AA0"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7D90A2DB" w14:textId="77777777" w:rsidR="008040FA" w:rsidRPr="00AA1BB1" w:rsidRDefault="008040FA" w:rsidP="009258A5">
            <w:pPr>
              <w:spacing w:before="60"/>
            </w:pPr>
            <w:r w:rsidRPr="00AA1BB1">
              <w:t>NGER Act</w:t>
            </w:r>
          </w:p>
        </w:tc>
        <w:tc>
          <w:tcPr>
            <w:tcW w:w="7350" w:type="dxa"/>
            <w:gridSpan w:val="2"/>
          </w:tcPr>
          <w:p w14:paraId="30C4AB2A" w14:textId="77777777" w:rsidR="008040FA" w:rsidRPr="00AA1BB1" w:rsidRDefault="008040FA" w:rsidP="009258A5">
            <w:pPr>
              <w:spacing w:before="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8040FA" w:rsidRPr="00AA1BB1" w14:paraId="02259327"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565AF0B9" w14:textId="77777777" w:rsidR="008040FA" w:rsidRPr="00AA1BB1" w:rsidRDefault="008040FA" w:rsidP="009258A5">
            <w:pPr>
              <w:spacing w:before="60"/>
            </w:pPr>
            <w:r w:rsidRPr="00AA1BB1">
              <w:t xml:space="preserve">NGER </w:t>
            </w:r>
            <w:r>
              <w:t xml:space="preserve">Measurement </w:t>
            </w:r>
            <w:r w:rsidRPr="00AA1BB1">
              <w:t>Determination</w:t>
            </w:r>
          </w:p>
        </w:tc>
        <w:tc>
          <w:tcPr>
            <w:tcW w:w="7350" w:type="dxa"/>
            <w:gridSpan w:val="2"/>
          </w:tcPr>
          <w:p w14:paraId="79D1D6AD" w14:textId="77777777" w:rsidR="008040FA" w:rsidRPr="002B3B49" w:rsidRDefault="008040FA" w:rsidP="009258A5">
            <w:pPr>
              <w:spacing w:before="60"/>
              <w:cnfStyle w:val="000000000000" w:firstRow="0" w:lastRow="0" w:firstColumn="0" w:lastColumn="0" w:oddVBand="0" w:evenVBand="0" w:oddHBand="0" w:evenHBand="0" w:firstRowFirstColumn="0" w:firstRowLastColumn="0" w:lastRowFirstColumn="0" w:lastRowLastColumn="0"/>
              <w:rPr>
                <w:iCs/>
              </w:rPr>
            </w:pPr>
            <w:r w:rsidRPr="002B3B49">
              <w:rPr>
                <w:iCs/>
              </w:rPr>
              <w:t xml:space="preserve">National Greenhouse and Energy Reporting (Measurement) Determination 2008 </w:t>
            </w:r>
          </w:p>
        </w:tc>
      </w:tr>
      <w:tr w:rsidR="008040FA" w:rsidRPr="00AA1BB1" w14:paraId="4A2AE140"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768AECA5" w14:textId="77777777" w:rsidR="008040FA" w:rsidRPr="00AA1BB1" w:rsidRDefault="008040FA" w:rsidP="009258A5">
            <w:pPr>
              <w:spacing w:before="60"/>
            </w:pPr>
            <w:r w:rsidRPr="00AA1BB1">
              <w:t>NGER Regulations</w:t>
            </w:r>
          </w:p>
        </w:tc>
        <w:tc>
          <w:tcPr>
            <w:tcW w:w="7350" w:type="dxa"/>
            <w:gridSpan w:val="2"/>
          </w:tcPr>
          <w:p w14:paraId="4AA57FF6" w14:textId="77777777" w:rsidR="008040FA" w:rsidRPr="002B3B49" w:rsidRDefault="008040FA" w:rsidP="009258A5">
            <w:pPr>
              <w:spacing w:before="60"/>
              <w:cnfStyle w:val="000000000000" w:firstRow="0" w:lastRow="0" w:firstColumn="0" w:lastColumn="0" w:oddVBand="0" w:evenVBand="0" w:oddHBand="0" w:evenHBand="0" w:firstRowFirstColumn="0" w:firstRowLastColumn="0" w:lastRowFirstColumn="0" w:lastRowLastColumn="0"/>
              <w:rPr>
                <w:iCs/>
              </w:rPr>
            </w:pPr>
            <w:r w:rsidRPr="002B3B49">
              <w:rPr>
                <w:iCs/>
              </w:rPr>
              <w:t xml:space="preserve">National Greenhouse and Energy Reporting Regulations 2008 </w:t>
            </w:r>
          </w:p>
        </w:tc>
      </w:tr>
      <w:tr w:rsidR="008040FA" w:rsidRPr="00AA1BB1" w14:paraId="4F3159B2"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6A1028C4" w14:textId="77777777" w:rsidR="008040FA" w:rsidRPr="00AA1BB1" w:rsidRDefault="008040FA" w:rsidP="009258A5">
            <w:pPr>
              <w:spacing w:before="60"/>
            </w:pPr>
            <w:r>
              <w:t>PBO</w:t>
            </w:r>
          </w:p>
        </w:tc>
        <w:tc>
          <w:tcPr>
            <w:tcW w:w="7350" w:type="dxa"/>
            <w:gridSpan w:val="2"/>
          </w:tcPr>
          <w:p w14:paraId="08F8E337" w14:textId="77777777" w:rsidR="008040FA" w:rsidRPr="00362D40" w:rsidRDefault="008040FA" w:rsidP="009258A5">
            <w:pPr>
              <w:spacing w:before="60"/>
              <w:cnfStyle w:val="000000000000" w:firstRow="0" w:lastRow="0" w:firstColumn="0" w:lastColumn="0" w:oddVBand="0" w:evenVBand="0" w:oddHBand="0" w:evenHBand="0" w:firstRowFirstColumn="0" w:firstRowLastColumn="0" w:lastRowFirstColumn="0" w:lastRowLastColumn="0"/>
              <w:rPr>
                <w:iCs/>
              </w:rPr>
            </w:pPr>
            <w:r>
              <w:rPr>
                <w:iCs/>
              </w:rPr>
              <w:t>Petroleum-based oils</w:t>
            </w:r>
          </w:p>
        </w:tc>
      </w:tr>
      <w:tr w:rsidR="008040FA" w:rsidRPr="00AA1BB1" w14:paraId="0674F5F2"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334ADBA7" w14:textId="77777777" w:rsidR="008040FA" w:rsidRPr="00AA1BB1" w:rsidRDefault="008040FA" w:rsidP="009258A5">
            <w:pPr>
              <w:spacing w:before="60"/>
            </w:pPr>
            <w:r>
              <w:t>PBG</w:t>
            </w:r>
          </w:p>
        </w:tc>
        <w:tc>
          <w:tcPr>
            <w:tcW w:w="7350" w:type="dxa"/>
            <w:gridSpan w:val="2"/>
          </w:tcPr>
          <w:p w14:paraId="59D97546" w14:textId="77777777" w:rsidR="008040FA" w:rsidRPr="00362D40" w:rsidRDefault="008040FA" w:rsidP="009258A5">
            <w:pPr>
              <w:spacing w:before="60"/>
              <w:cnfStyle w:val="000000000000" w:firstRow="0" w:lastRow="0" w:firstColumn="0" w:lastColumn="0" w:oddVBand="0" w:evenVBand="0" w:oddHBand="0" w:evenHBand="0" w:firstRowFirstColumn="0" w:firstRowLastColumn="0" w:lastRowFirstColumn="0" w:lastRowLastColumn="0"/>
              <w:rPr>
                <w:iCs/>
              </w:rPr>
            </w:pPr>
            <w:r>
              <w:rPr>
                <w:iCs/>
              </w:rPr>
              <w:t>Petroleum-based greases</w:t>
            </w:r>
          </w:p>
        </w:tc>
      </w:tr>
      <w:tr w:rsidR="008040FA" w:rsidRPr="00AA1BB1" w14:paraId="56566D3E"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500BED86" w14:textId="77777777" w:rsidR="008040FA" w:rsidRDefault="008040FA" w:rsidP="009258A5">
            <w:pPr>
              <w:spacing w:before="60"/>
            </w:pPr>
            <w:r>
              <w:t>Reporter</w:t>
            </w:r>
          </w:p>
        </w:tc>
        <w:tc>
          <w:tcPr>
            <w:tcW w:w="7350" w:type="dxa"/>
            <w:gridSpan w:val="2"/>
          </w:tcPr>
          <w:p w14:paraId="74A418C0" w14:textId="77777777" w:rsidR="008040FA" w:rsidRDefault="008040FA" w:rsidP="009258A5">
            <w:pPr>
              <w:spacing w:before="60"/>
              <w:cnfStyle w:val="000000000000" w:firstRow="0" w:lastRow="0" w:firstColumn="0" w:lastColumn="0" w:oddVBand="0" w:evenVBand="0" w:oddHBand="0" w:evenHBand="0" w:firstRowFirstColumn="0" w:firstRowLastColumn="0" w:lastRowFirstColumn="0" w:lastRowLastColumn="0"/>
              <w:rPr>
                <w:iCs/>
              </w:rPr>
            </w:pPr>
            <w:r>
              <w:t xml:space="preserve">An entity required to report emissions and energy production and consumption to the </w:t>
            </w:r>
            <w:r w:rsidRPr="007A5A6C">
              <w:t>Clean Energy Regulator</w:t>
            </w:r>
            <w:r>
              <w:t xml:space="preserve"> under section 19, 22G, or 22X of the NGER Act</w:t>
            </w:r>
          </w:p>
        </w:tc>
      </w:tr>
      <w:tr w:rsidR="008040FA" w:rsidRPr="00AA1BB1" w14:paraId="78E67425"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4CA9C827" w14:textId="77777777" w:rsidR="008040FA" w:rsidRPr="00AA1BB1" w:rsidRDefault="008040FA" w:rsidP="009258A5">
            <w:pPr>
              <w:spacing w:before="60"/>
            </w:pPr>
            <w:r w:rsidRPr="00AA1BB1">
              <w:t>Scope 1 emissions</w:t>
            </w:r>
          </w:p>
        </w:tc>
        <w:tc>
          <w:tcPr>
            <w:tcW w:w="7350" w:type="dxa"/>
            <w:gridSpan w:val="2"/>
          </w:tcPr>
          <w:p w14:paraId="287057D6" w14:textId="702BCF34" w:rsidR="008040FA" w:rsidRPr="00AA1BB1" w:rsidRDefault="004810E6" w:rsidP="009258A5">
            <w:pPr>
              <w:spacing w:before="60"/>
              <w:cnfStyle w:val="000000000000" w:firstRow="0" w:lastRow="0" w:firstColumn="0" w:lastColumn="0" w:oddVBand="0" w:evenVBand="0" w:oddHBand="0" w:evenHBand="0" w:firstRowFirstColumn="0" w:firstRowLastColumn="0" w:lastRowFirstColumn="0" w:lastRowLastColumn="0"/>
            </w:pPr>
            <w:r>
              <w:t>Part 2.23 of the NGER Regulations, m</w:t>
            </w:r>
            <w:r w:rsidR="008040FA" w:rsidRPr="00AA1BB1">
              <w:t>eans the release of greenhouse gas into the atmosphere as a direct result of an activity or series of activities (including ancillary activities) that constitute the facility.</w:t>
            </w:r>
          </w:p>
        </w:tc>
      </w:tr>
      <w:tr w:rsidR="008040FA" w:rsidRPr="00AA1BB1" w14:paraId="094C32A2" w14:textId="77777777" w:rsidTr="00DC42C8">
        <w:tc>
          <w:tcPr>
            <w:cnfStyle w:val="001000000000" w:firstRow="0" w:lastRow="0" w:firstColumn="1" w:lastColumn="0" w:oddVBand="0" w:evenVBand="0" w:oddHBand="0" w:evenHBand="0" w:firstRowFirstColumn="0" w:firstRowLastColumn="0" w:lastRowFirstColumn="0" w:lastRowLastColumn="0"/>
            <w:tcW w:w="2390" w:type="dxa"/>
          </w:tcPr>
          <w:p w14:paraId="3C02B39E" w14:textId="77777777" w:rsidR="008040FA" w:rsidRPr="00AA1BB1" w:rsidRDefault="008040FA" w:rsidP="009258A5">
            <w:pPr>
              <w:spacing w:before="60"/>
            </w:pPr>
            <w:r w:rsidRPr="00AA1BB1">
              <w:lastRenderedPageBreak/>
              <w:t>t CO</w:t>
            </w:r>
            <w:r w:rsidRPr="00D94DA5">
              <w:rPr>
                <w:vertAlign w:val="subscript"/>
              </w:rPr>
              <w:t>2</w:t>
            </w:r>
            <w:r w:rsidRPr="00AA1BB1">
              <w:t>-e</w:t>
            </w:r>
          </w:p>
        </w:tc>
        <w:tc>
          <w:tcPr>
            <w:tcW w:w="7350" w:type="dxa"/>
            <w:gridSpan w:val="2"/>
          </w:tcPr>
          <w:p w14:paraId="4EB177C2" w14:textId="77777777" w:rsidR="008040FA" w:rsidRPr="00AA1BB1" w:rsidRDefault="008040FA" w:rsidP="009258A5">
            <w:pPr>
              <w:spacing w:before="60"/>
              <w:cnfStyle w:val="000000000000" w:firstRow="0" w:lastRow="0" w:firstColumn="0" w:lastColumn="0" w:oddVBand="0" w:evenVBand="0" w:oddHBand="0" w:evenHBand="0" w:firstRowFirstColumn="0" w:firstRowLastColumn="0" w:lastRowFirstColumn="0" w:lastRowLastColumn="0"/>
            </w:pPr>
            <w:r w:rsidRPr="00AA1BB1">
              <w:t>Tonnes carbon dioxide equivalence</w:t>
            </w:r>
          </w:p>
        </w:tc>
      </w:tr>
    </w:tbl>
    <w:p w14:paraId="478055BC" w14:textId="77777777" w:rsidR="00825977" w:rsidRPr="00F8076C" w:rsidRDefault="00825977" w:rsidP="00825977">
      <w:pPr>
        <w:pStyle w:val="BodyText1"/>
      </w:pPr>
      <w:bookmarkStart w:id="9" w:name="_Toc46145181"/>
      <w:bookmarkStart w:id="10" w:name="_Toc46145209"/>
      <w:bookmarkStart w:id="11" w:name="_Toc47954749"/>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2165F1A1" w14:textId="327C88C3" w:rsidR="00825977" w:rsidRPr="00F8076C" w:rsidRDefault="00825977" w:rsidP="00825977">
      <w:pPr>
        <w:pStyle w:val="BodyText1"/>
      </w:pPr>
      <w:r w:rsidRPr="00F8076C">
        <w:t xml:space="preserve">For more information on interpreting legislation see </w:t>
      </w:r>
      <w:hyperlink r:id="rId23" w:tooltip="A link to the Australian Government webiste, The Federal Register of Legislation - Understanding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3"/>
      </w:r>
      <w:r w:rsidRPr="00F8076C">
        <w:t>.</w:t>
      </w:r>
    </w:p>
    <w:p w14:paraId="6ED1078B" w14:textId="77777777" w:rsidR="008040FA" w:rsidRDefault="008040FA" w:rsidP="008040FA">
      <w:pPr>
        <w:spacing w:after="0"/>
        <w:rPr>
          <w:rFonts w:eastAsia="Times New Roman"/>
          <w:b/>
          <w:bCs/>
          <w:noProof/>
          <w:color w:val="005874"/>
          <w:kern w:val="32"/>
          <w:sz w:val="40"/>
        </w:rPr>
      </w:pPr>
      <w:r>
        <w:rPr>
          <w:noProof/>
        </w:rPr>
        <w:br w:type="page"/>
      </w:r>
    </w:p>
    <w:p w14:paraId="641B4DDD" w14:textId="77777777" w:rsidR="008040FA" w:rsidRPr="00A66CFC" w:rsidRDefault="008040FA" w:rsidP="008040FA">
      <w:pPr>
        <w:pStyle w:val="Heading1"/>
        <w:rPr>
          <w:noProof/>
        </w:rPr>
      </w:pPr>
      <w:bookmarkStart w:id="12" w:name="_Toc48567579"/>
      <w:bookmarkStart w:id="13" w:name="_Toc106720692"/>
      <w:bookmarkStart w:id="14" w:name="_Toc206592310"/>
      <w:r>
        <w:rPr>
          <w:noProof/>
        </w:rPr>
        <w:lastRenderedPageBreak/>
        <w:t>Disclaimer</w:t>
      </w:r>
      <w:bookmarkEnd w:id="9"/>
      <w:bookmarkEnd w:id="10"/>
      <w:bookmarkEnd w:id="11"/>
      <w:bookmarkEnd w:id="12"/>
      <w:bookmarkEnd w:id="13"/>
      <w:bookmarkEnd w:id="14"/>
    </w:p>
    <w:p w14:paraId="0687068F" w14:textId="515C1DBE" w:rsidR="008040FA" w:rsidRPr="000B3301" w:rsidRDefault="008040FA" w:rsidP="009926BC">
      <w:pPr>
        <w:autoSpaceDE w:val="0"/>
        <w:autoSpaceDN w:val="0"/>
        <w:adjustRightInd w:val="0"/>
        <w:spacing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5B83FF06" w:rsidRPr="000B3301">
        <w:rPr>
          <w:lang w:eastAsia="en-AU"/>
        </w:rPr>
        <w:t>CER</w:t>
      </w:r>
      <w:r w:rsidRPr="000B3301">
        <w:rPr>
          <w:lang w:eastAsia="en-AU"/>
        </w:rPr>
        <w:t xml:space="preserve">) to assist entities to comply with their reporting obligations under the </w:t>
      </w:r>
      <w:hyperlink r:id="rId24"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15" w:name="_Ref105748531"/>
      <w:r w:rsidRPr="00A469D7">
        <w:rPr>
          <w:rStyle w:val="FootnoteReference"/>
          <w:color w:val="000000"/>
          <w:lang w:eastAsia="en-AU"/>
        </w:rPr>
        <w:footnoteReference w:id="4"/>
      </w:r>
      <w:bookmarkEnd w:id="15"/>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05134550" w14:textId="77777777" w:rsidR="008040FA" w:rsidRPr="000B3301" w:rsidRDefault="008040FA" w:rsidP="009926BC">
      <w:pPr>
        <w:autoSpaceDE w:val="0"/>
        <w:autoSpaceDN w:val="0"/>
        <w:adjustRightInd w:val="0"/>
        <w:spacing w:after="0"/>
        <w:rPr>
          <w:lang w:eastAsia="en-AU"/>
        </w:rPr>
      </w:pPr>
    </w:p>
    <w:p w14:paraId="4F56CBBA" w14:textId="3AA9AA66" w:rsidR="008040FA" w:rsidRPr="000B3301" w:rsidRDefault="008040FA" w:rsidP="009926BC">
      <w:pPr>
        <w:autoSpaceDE w:val="0"/>
        <w:autoSpaceDN w:val="0"/>
        <w:adjustRightInd w:val="0"/>
        <w:spacing w:after="0"/>
        <w:rPr>
          <w:lang w:eastAsia="en-AU"/>
        </w:rPr>
      </w:pPr>
      <w:r w:rsidRPr="004C131A">
        <w:rPr>
          <w:lang w:eastAsia="en-AU"/>
        </w:rPr>
        <w:t xml:space="preserve">This guideline only applies to the </w:t>
      </w:r>
      <w:r w:rsidR="004C23A3">
        <w:rPr>
          <w:lang w:eastAsia="en-AU"/>
        </w:rPr>
        <w:t>2024–25</w:t>
      </w:r>
      <w:r w:rsidRPr="004C131A">
        <w:rPr>
          <w:lang w:eastAsia="en-AU"/>
        </w:rPr>
        <w:t xml:space="preserve"> NGER reporting year and should be read in conjunction with the NGER </w:t>
      </w:r>
      <w:r w:rsidRPr="00D41EB0">
        <w:rPr>
          <w:lang w:eastAsia="en-AU"/>
        </w:rPr>
        <w:t xml:space="preserve">Act, </w:t>
      </w:r>
      <w:hyperlink r:id="rId25" w:tooltip="A link to the Australian Government legislation - the National Greenhouse and Energy regulations 2008" w:history="1">
        <w:r w:rsidRPr="00D41EB0">
          <w:rPr>
            <w:rStyle w:val="Hyperlink"/>
            <w:lang w:eastAsia="en-AU"/>
          </w:rPr>
          <w:t>National Greenhouse and Energy Regulations 2008</w:t>
        </w:r>
      </w:hyperlink>
      <w:r w:rsidRPr="00D41EB0">
        <w:rPr>
          <w:rStyle w:val="FootnoteReference"/>
          <w:color w:val="000000"/>
          <w:lang w:eastAsia="en-AU"/>
        </w:rPr>
        <w:footnoteReference w:id="5"/>
      </w:r>
      <w:r w:rsidRPr="00D41EB0">
        <w:rPr>
          <w:color w:val="000000"/>
          <w:lang w:eastAsia="en-AU"/>
        </w:rPr>
        <w:t xml:space="preserve"> (</w:t>
      </w:r>
      <w:r w:rsidRPr="00D41EB0">
        <w:rPr>
          <w:lang w:eastAsia="en-AU"/>
        </w:rPr>
        <w:t xml:space="preserve">NGER Regulations), and </w:t>
      </w:r>
      <w:hyperlink r:id="rId26" w:tooltip="A link to the Australian Government legislation - the National Greenhouse and Energy Measurement Determin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6"/>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 </w:t>
      </w:r>
    </w:p>
    <w:p w14:paraId="4FD28B37" w14:textId="77777777" w:rsidR="008040FA" w:rsidRPr="000B3301" w:rsidRDefault="008040FA" w:rsidP="009926BC">
      <w:pPr>
        <w:autoSpaceDE w:val="0"/>
        <w:autoSpaceDN w:val="0"/>
        <w:adjustRightInd w:val="0"/>
        <w:spacing w:after="0"/>
        <w:rPr>
          <w:lang w:eastAsia="en-AU"/>
        </w:rPr>
      </w:pPr>
    </w:p>
    <w:p w14:paraId="5B33A55B" w14:textId="18A04C12" w:rsidR="008040FA" w:rsidRPr="000B3301" w:rsidRDefault="008040FA" w:rsidP="009926BC">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7" w:tooltip="A link to the NGER scheme page of the Clean Energy Regulator website" w:history="1">
        <w:r w:rsidRPr="00452C2E">
          <w:rPr>
            <w:rStyle w:val="Hyperlink"/>
            <w:lang w:eastAsia="en-AU"/>
          </w:rPr>
          <w:t xml:space="preserve">National Greenhouse and Energy Reporting (NGER) </w:t>
        </w:r>
        <w:r w:rsidR="00AB7F0E">
          <w:rPr>
            <w:rStyle w:val="Hyperlink"/>
            <w:lang w:eastAsia="en-AU"/>
          </w:rPr>
          <w:t>S</w:t>
        </w:r>
        <w:r w:rsidRPr="00452C2E">
          <w:rPr>
            <w:rStyle w:val="Hyperlink"/>
            <w:lang w:eastAsia="en-AU"/>
          </w:rPr>
          <w:t>cheme</w:t>
        </w:r>
      </w:hyperlink>
      <w:r>
        <w:rPr>
          <w:rStyle w:val="FootnoteReference"/>
          <w:lang w:eastAsia="en-AU"/>
        </w:rPr>
        <w:footnoteReference w:id="7"/>
      </w:r>
      <w:r w:rsidRPr="000B3301">
        <w:rPr>
          <w:lang w:eastAsia="en-AU"/>
        </w:rPr>
        <w:t xml:space="preserve"> at all times. </w:t>
      </w:r>
      <w:r w:rsidR="043634BE" w:rsidRPr="7746C487">
        <w:rPr>
          <w:lang w:eastAsia="en-AU"/>
        </w:rPr>
        <w:t xml:space="preserve"> </w:t>
      </w:r>
      <w:r w:rsidR="3ED0AAF8" w:rsidRPr="7746C487">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2C02E1" w:rsidRPr="000B3301">
        <w:rPr>
          <w:lang w:eastAsia="en-AU"/>
        </w:rPr>
        <w:t>based on</w:t>
      </w:r>
      <w:r w:rsidRPr="000B3301">
        <w:rPr>
          <w:lang w:eastAsia="en-AU"/>
        </w:rPr>
        <w:t xml:space="preserve"> this </w:t>
      </w:r>
      <w:r>
        <w:rPr>
          <w:lang w:eastAsia="en-AU"/>
        </w:rPr>
        <w:t>guidance</w:t>
      </w:r>
      <w:r w:rsidRPr="000B3301">
        <w:rPr>
          <w:lang w:eastAsia="en-AU"/>
        </w:rPr>
        <w:t>.</w:t>
      </w:r>
    </w:p>
    <w:p w14:paraId="675B6EDF" w14:textId="77777777" w:rsidR="008040FA" w:rsidRPr="000B3301" w:rsidRDefault="008040FA" w:rsidP="009926BC">
      <w:pPr>
        <w:autoSpaceDE w:val="0"/>
        <w:autoSpaceDN w:val="0"/>
        <w:adjustRightInd w:val="0"/>
        <w:spacing w:after="0"/>
        <w:rPr>
          <w:lang w:eastAsia="en-AU"/>
        </w:rPr>
      </w:pPr>
    </w:p>
    <w:p w14:paraId="39B9408C" w14:textId="4C75A82F" w:rsidR="008040FA" w:rsidRPr="000B3301" w:rsidRDefault="34404C96" w:rsidP="009926BC">
      <w:pPr>
        <w:autoSpaceDE w:val="0"/>
        <w:autoSpaceDN w:val="0"/>
        <w:adjustRightInd w:val="0"/>
        <w:spacing w:after="0"/>
        <w:rPr>
          <w:lang w:eastAsia="en-AU"/>
        </w:rPr>
      </w:pPr>
      <w:r w:rsidRPr="7746C487">
        <w:rPr>
          <w:lang w:eastAsia="en-AU"/>
        </w:rPr>
        <w:t>CER</w:t>
      </w:r>
      <w:r w:rsidR="008040FA" w:rsidRPr="7746C487">
        <w:rPr>
          <w:lang w:eastAsia="en-AU"/>
        </w:rPr>
        <w:t xml:space="preserve"> and the Australian Government will not be liable for any loss or damage from any cause (including negligence) whether arising directly, </w:t>
      </w:r>
      <w:r w:rsidR="002C02E1" w:rsidRPr="7746C487">
        <w:rPr>
          <w:lang w:eastAsia="en-AU"/>
        </w:rPr>
        <w:t>incidentally,</w:t>
      </w:r>
      <w:r w:rsidR="008040FA" w:rsidRPr="7746C487">
        <w:rPr>
          <w:lang w:eastAsia="en-AU"/>
        </w:rPr>
        <w:t xml:space="preserve"> or as consequential loss, out of or in connection with, any use of this guideline or reliance on it, for any purpose.</w:t>
      </w:r>
    </w:p>
    <w:p w14:paraId="12EE050B" w14:textId="77777777" w:rsidR="008040FA" w:rsidRPr="000B3301" w:rsidRDefault="008040FA" w:rsidP="009926BC">
      <w:pPr>
        <w:autoSpaceDE w:val="0"/>
        <w:autoSpaceDN w:val="0"/>
        <w:adjustRightInd w:val="0"/>
        <w:spacing w:after="0"/>
        <w:rPr>
          <w:lang w:eastAsia="en-AU"/>
        </w:rPr>
      </w:pPr>
    </w:p>
    <w:p w14:paraId="504423BA" w14:textId="29CB449B" w:rsidR="008040FA" w:rsidRPr="00A82423" w:rsidRDefault="008040FA" w:rsidP="009926BC">
      <w:pPr>
        <w:spacing w:after="0"/>
      </w:pPr>
      <w:r w:rsidRPr="7746C487">
        <w:rPr>
          <w:lang w:eastAsia="en-AU"/>
        </w:rPr>
        <w:t xml:space="preserve">If an entity chooses to meet their obligations under the NGER scheme in a manner that is inconsistent with the guidance provided in this document, </w:t>
      </w:r>
      <w:r w:rsidR="40FCB753" w:rsidRPr="7746C487">
        <w:rPr>
          <w:lang w:eastAsia="en-AU"/>
        </w:rPr>
        <w:t>CER</w:t>
      </w:r>
      <w:r w:rsidRPr="7746C487">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791BC3F0" w14:textId="77777777" w:rsidR="008040FA" w:rsidRDefault="008040FA" w:rsidP="008040FA">
      <w:pPr>
        <w:spacing w:after="0"/>
        <w:rPr>
          <w:rFonts w:eastAsia="Times New Roman"/>
          <w:b/>
          <w:bCs/>
          <w:color w:val="005874"/>
          <w:kern w:val="32"/>
          <w:sz w:val="40"/>
        </w:rPr>
      </w:pPr>
      <w:r>
        <w:rPr>
          <w:rFonts w:eastAsia="Times New Roman"/>
          <w:b/>
          <w:bCs/>
          <w:color w:val="005874"/>
          <w:kern w:val="32"/>
          <w:sz w:val="40"/>
        </w:rPr>
        <w:br w:type="page"/>
      </w:r>
    </w:p>
    <w:p w14:paraId="54697774" w14:textId="01F521A1" w:rsidR="008040FA" w:rsidRPr="00FA7635" w:rsidRDefault="004C23A3" w:rsidP="008040FA">
      <w:pPr>
        <w:pStyle w:val="Heading1"/>
        <w:rPr>
          <w:noProof/>
        </w:rPr>
      </w:pPr>
      <w:bookmarkStart w:id="16" w:name="_Toc106720693"/>
      <w:bookmarkStart w:id="17" w:name="_Toc206592311"/>
      <w:bookmarkEnd w:id="6"/>
      <w:r>
        <w:rPr>
          <w:noProof/>
        </w:rPr>
        <w:lastRenderedPageBreak/>
        <w:t>2024–25</w:t>
      </w:r>
      <w:r w:rsidR="008040FA">
        <w:rPr>
          <w:noProof/>
        </w:rPr>
        <w:t xml:space="preserve"> updates</w:t>
      </w:r>
      <w:bookmarkEnd w:id="16"/>
      <w:bookmarkEnd w:id="17"/>
    </w:p>
    <w:p w14:paraId="6D188CC8" w14:textId="30294A82" w:rsidR="008040FA" w:rsidRDefault="008040FA" w:rsidP="008040FA">
      <w:r>
        <w:t xml:space="preserve">Changes in this document for the </w:t>
      </w:r>
      <w:r w:rsidR="004C23A3">
        <w:t>2024–25</w:t>
      </w:r>
      <w:r>
        <w:t xml:space="preserve"> reporting year:</w:t>
      </w:r>
    </w:p>
    <w:p w14:paraId="71A802ED" w14:textId="7196710A" w:rsidR="007D26F8" w:rsidRPr="00C77085" w:rsidRDefault="007D26F8" w:rsidP="001672FC">
      <w:pPr>
        <w:pStyle w:val="CERbullets"/>
      </w:pPr>
      <w:r w:rsidRPr="001672FC">
        <w:rPr>
          <w:rStyle w:val="normaltextrun"/>
        </w:rPr>
        <w:t>Minor stylistic and formatting changes have been made to this document</w:t>
      </w:r>
      <w:r w:rsidR="004A6273" w:rsidRPr="001672FC">
        <w:rPr>
          <w:rStyle w:val="normaltextrun"/>
        </w:rPr>
        <w:t>.</w:t>
      </w:r>
      <w:r w:rsidRPr="3C995B67">
        <w:rPr>
          <w:rStyle w:val="scxw69614514"/>
          <w:rFonts w:ascii="Calibri" w:hAnsi="Calibri" w:cs="Calibri"/>
        </w:rPr>
        <w:t> </w:t>
      </w:r>
      <w:r w:rsidR="001672FC">
        <w:rPr>
          <w:rStyle w:val="scxw69614514"/>
          <w:rFonts w:ascii="Calibri" w:hAnsi="Calibri" w:cs="Calibri"/>
        </w:rPr>
        <w:br/>
      </w:r>
    </w:p>
    <w:p w14:paraId="55852D84" w14:textId="3CD44DCB" w:rsidR="007D26F8" w:rsidRDefault="007D26F8" w:rsidP="007D26F8">
      <w:pPr>
        <w:pStyle w:val="paragraph"/>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rPr>
        <w:t xml:space="preserve">Read about the </w:t>
      </w:r>
      <w:hyperlink r:id="rId28" w:tooltip="A link to the NGER amendments page of the Clean Energy Regulator website" w:history="1">
        <w:r w:rsidR="00952E67" w:rsidRPr="00952E67">
          <w:rPr>
            <w:rStyle w:val="Hyperlink"/>
            <w:rFonts w:eastAsiaTheme="minorEastAsia" w:cs="Calibri"/>
          </w:rPr>
          <w:t xml:space="preserve">changes to the NGER Legislation for the </w:t>
        </w:r>
        <w:r w:rsidR="004C23A3">
          <w:rPr>
            <w:rStyle w:val="Hyperlink"/>
            <w:rFonts w:eastAsiaTheme="minorEastAsia" w:cs="Calibri"/>
          </w:rPr>
          <w:t>2024–25</w:t>
        </w:r>
        <w:r w:rsidR="00952E67" w:rsidRPr="00952E67">
          <w:rPr>
            <w:rStyle w:val="Hyperlink"/>
            <w:rFonts w:eastAsiaTheme="minorEastAsia" w:cs="Calibri"/>
          </w:rPr>
          <w:t xml:space="preserve"> reporting period</w:t>
        </w:r>
        <w:r w:rsidR="00952E67">
          <w:rPr>
            <w:rStyle w:val="FootnoteReference"/>
            <w:rFonts w:ascii="Calibri" w:eastAsiaTheme="minorEastAsia" w:hAnsi="Calibri" w:cs="Calibri"/>
            <w:color w:val="006C93" w:themeColor="accent3"/>
            <w:sz w:val="22"/>
            <w:u w:val="single"/>
          </w:rPr>
          <w:footnoteReference w:id="8"/>
        </w:r>
        <w:r w:rsidR="00952E67" w:rsidRPr="00952E67">
          <w:rPr>
            <w:rStyle w:val="Hyperlink"/>
            <w:rFonts w:eastAsiaTheme="minorEastAsia" w:cs="Calibri"/>
          </w:rPr>
          <w:t xml:space="preserve">.  </w:t>
        </w:r>
      </w:hyperlink>
      <w:r w:rsidR="00952E67">
        <w:rPr>
          <w:rStyle w:val="normaltextrun"/>
          <w:rFonts w:ascii="Calibri" w:eastAsiaTheme="minorEastAsia" w:hAnsi="Calibri" w:cs="Calibri"/>
          <w:sz w:val="22"/>
        </w:rPr>
        <w:t xml:space="preserve"> </w:t>
      </w:r>
    </w:p>
    <w:p w14:paraId="3D86CD5A" w14:textId="3E3DB7A2" w:rsidR="008040FA" w:rsidRPr="005E4B50" w:rsidRDefault="008040FA" w:rsidP="00B60D87">
      <w:pPr>
        <w:pStyle w:val="Heading1"/>
        <w:numPr>
          <w:ilvl w:val="6"/>
          <w:numId w:val="1"/>
        </w:numPr>
      </w:pPr>
      <w:bookmarkStart w:id="18" w:name="_Toc48567580"/>
      <w:bookmarkStart w:id="19" w:name="_Toc106720694"/>
      <w:bookmarkStart w:id="20" w:name="_Toc206592312"/>
      <w:r w:rsidRPr="005E4B50">
        <w:t>Introduction</w:t>
      </w:r>
      <w:bookmarkEnd w:id="7"/>
      <w:bookmarkEnd w:id="18"/>
      <w:bookmarkEnd w:id="19"/>
      <w:bookmarkEnd w:id="20"/>
    </w:p>
    <w:p w14:paraId="111C8D02" w14:textId="5F4CE628" w:rsidR="00AD0CF0" w:rsidRDefault="008040FA" w:rsidP="00C15E8E">
      <w:pPr>
        <w:pStyle w:val="CERbullets"/>
        <w:numPr>
          <w:ilvl w:val="0"/>
          <w:numId w:val="0"/>
        </w:numPr>
      </w:pPr>
      <w:r>
        <w:t xml:space="preserve">This document aims to assist </w:t>
      </w:r>
      <w:r w:rsidR="00255B30">
        <w:t xml:space="preserve">you to </w:t>
      </w:r>
      <w:r>
        <w:t xml:space="preserve">report emissions and energy consumption associated with </w:t>
      </w:r>
      <w:r w:rsidR="00255B30">
        <w:t xml:space="preserve">the </w:t>
      </w:r>
      <w:r>
        <w:t>use of petroleum-based oils (PBOs) and petroleum-based greases (PBGs) under the NGER Act</w:t>
      </w:r>
      <w:r w:rsidR="002B3178">
        <w:t>.</w:t>
      </w:r>
      <w:r w:rsidR="00C53A00">
        <w:t xml:space="preserve"> </w:t>
      </w:r>
      <w:r w:rsidR="0096645E">
        <w:t xml:space="preserve">This guideline covers </w:t>
      </w:r>
      <w:r w:rsidR="00443975">
        <w:t xml:space="preserve">estimating emissions </w:t>
      </w:r>
      <w:r w:rsidR="0003766C">
        <w:t xml:space="preserve">and energy </w:t>
      </w:r>
      <w:r w:rsidR="00443975">
        <w:t>from</w:t>
      </w:r>
      <w:r w:rsidR="00BE2FE0">
        <w:t xml:space="preserve"> PBOs and PBGs </w:t>
      </w:r>
      <w:r w:rsidR="00BE2FE0" w:rsidRPr="001672FC">
        <w:rPr>
          <w:b/>
          <w:bCs/>
        </w:rPr>
        <w:t>when they are used as lubricants or consumed without combustion</w:t>
      </w:r>
      <w:r w:rsidR="00BE2FE0">
        <w:t xml:space="preserve">. </w:t>
      </w:r>
    </w:p>
    <w:p w14:paraId="7A0D5F99" w14:textId="2279F069" w:rsidR="00BE2841" w:rsidRDefault="008040FA" w:rsidP="00C15E8E">
      <w:pPr>
        <w:pStyle w:val="CERbullets"/>
        <w:numPr>
          <w:ilvl w:val="0"/>
          <w:numId w:val="0"/>
        </w:numPr>
      </w:pPr>
      <w:r w:rsidRPr="00C84BF4">
        <w:t xml:space="preserve">PBOs and PBGs used as lubricants are considered to have undergone a degree of oxidation and are therefore reported under the ‘fuel combustion’ </w:t>
      </w:r>
      <w:r w:rsidRPr="008563C8">
        <w:t>source</w:t>
      </w:r>
      <w:r w:rsidR="00B56A39" w:rsidRPr="00CA5049">
        <w:t xml:space="preserve"> category</w:t>
      </w:r>
      <w:r w:rsidRPr="008563C8">
        <w:t>. The</w:t>
      </w:r>
      <w:r w:rsidRPr="003B1985">
        <w:t xml:space="preserve"> </w:t>
      </w:r>
      <w:r w:rsidR="00AA2D10">
        <w:t xml:space="preserve">emissions and energy </w:t>
      </w:r>
      <w:r w:rsidRPr="003B1985">
        <w:t xml:space="preserve">consumption of PBOs </w:t>
      </w:r>
      <w:r w:rsidR="00181DF8">
        <w:t>or</w:t>
      </w:r>
      <w:r w:rsidR="00181DF8" w:rsidRPr="003B1985">
        <w:t xml:space="preserve"> </w:t>
      </w:r>
      <w:r w:rsidRPr="003B1985">
        <w:t>PBGs</w:t>
      </w:r>
      <w:r w:rsidR="006E61BC">
        <w:t xml:space="preserve"> </w:t>
      </w:r>
      <w:r w:rsidR="00280CD1">
        <w:t xml:space="preserve">when used </w:t>
      </w:r>
      <w:r w:rsidRPr="003B1985">
        <w:t>as lubricants</w:t>
      </w:r>
      <w:r w:rsidR="00280CD1">
        <w:t xml:space="preserve"> </w:t>
      </w:r>
      <w:r w:rsidRPr="003B1985">
        <w:t xml:space="preserve">needs to be reported at a facility if one or more separate instances of the source </w:t>
      </w:r>
      <w:r w:rsidR="00716E96">
        <w:t>‘</w:t>
      </w:r>
      <w:r w:rsidRPr="003B1985">
        <w:t>combusts</w:t>
      </w:r>
      <w:r w:rsidR="00716E96">
        <w:t>’</w:t>
      </w:r>
      <w:r w:rsidRPr="003B1985">
        <w:t xml:space="preserve"> more than 5 kilolitres</w:t>
      </w:r>
      <w:r w:rsidR="001C64BB" w:rsidRPr="003B1985">
        <w:t> </w:t>
      </w:r>
      <w:r w:rsidRPr="003B1985">
        <w:t>(kL) of PBO or PBG during a reporting year.</w:t>
      </w:r>
      <w:r w:rsidRPr="003B1985">
        <w:rPr>
          <w:b/>
          <w:bCs/>
        </w:rPr>
        <w:t xml:space="preserve"> </w:t>
      </w:r>
      <w:r w:rsidRPr="003B1985">
        <w:t>The methods for reporting PBOs and PBGs used as lubricants are listed under section 2.40A of the NGER Measurement Determination.</w:t>
      </w:r>
    </w:p>
    <w:p w14:paraId="7780DB12" w14:textId="3ECB1C61" w:rsidR="008040FA" w:rsidRPr="002B3B49" w:rsidRDefault="005B0B29" w:rsidP="001672FC">
      <w:pPr>
        <w:pStyle w:val="CERbullets"/>
        <w:numPr>
          <w:ilvl w:val="0"/>
          <w:numId w:val="0"/>
        </w:numPr>
      </w:pPr>
      <w:r w:rsidRPr="00300146">
        <w:rPr>
          <w:szCs w:val="22"/>
        </w:rPr>
        <w:t xml:space="preserve">The consumption of PBOs </w:t>
      </w:r>
      <w:r w:rsidR="008C7A0A">
        <w:rPr>
          <w:szCs w:val="22"/>
        </w:rPr>
        <w:t>or</w:t>
      </w:r>
      <w:r w:rsidRPr="00300146">
        <w:rPr>
          <w:szCs w:val="22"/>
        </w:rPr>
        <w:t xml:space="preserve"> PBGs without combu</w:t>
      </w:r>
      <w:r w:rsidRPr="001672FC">
        <w:rPr>
          <w:rFonts w:ascii="Calibri" w:eastAsiaTheme="minorHAnsi" w:hAnsi="Calibri" w:cs="Calibri"/>
          <w:color w:val="000000"/>
          <w:szCs w:val="22"/>
        </w:rPr>
        <w:t>s</w:t>
      </w:r>
      <w:r w:rsidRPr="00300146">
        <w:rPr>
          <w:szCs w:val="22"/>
        </w:rPr>
        <w:t>t</w:t>
      </w:r>
      <w:r w:rsidRPr="001672FC">
        <w:rPr>
          <w:rFonts w:ascii="Calibri" w:eastAsiaTheme="minorHAnsi" w:hAnsi="Calibri" w:cs="Calibri"/>
          <w:color w:val="000000"/>
          <w:szCs w:val="22"/>
        </w:rPr>
        <w:t>ion</w:t>
      </w:r>
      <w:r w:rsidRPr="00300146">
        <w:rPr>
          <w:szCs w:val="22"/>
        </w:rPr>
        <w:t xml:space="preserve"> </w:t>
      </w:r>
      <w:r w:rsidRPr="001672FC">
        <w:rPr>
          <w:rFonts w:ascii="Calibri" w:eastAsiaTheme="minorHAnsi" w:hAnsi="Calibri" w:cs="Calibri"/>
          <w:color w:val="000000"/>
          <w:szCs w:val="22"/>
        </w:rPr>
        <w:t>m</w:t>
      </w:r>
      <w:r w:rsidRPr="00300146">
        <w:rPr>
          <w:szCs w:val="22"/>
        </w:rPr>
        <w:t>u</w:t>
      </w:r>
      <w:r w:rsidRPr="001672FC">
        <w:rPr>
          <w:rFonts w:ascii="Calibri" w:eastAsiaTheme="minorHAnsi" w:hAnsi="Calibri" w:cs="Calibri"/>
          <w:color w:val="000000"/>
          <w:szCs w:val="22"/>
        </w:rPr>
        <w:t>st be</w:t>
      </w:r>
      <w:r w:rsidRPr="00300146">
        <w:rPr>
          <w:szCs w:val="22"/>
        </w:rPr>
        <w:t xml:space="preserve"> r</w:t>
      </w:r>
      <w:r w:rsidRPr="001672FC">
        <w:rPr>
          <w:rFonts w:ascii="Calibri" w:eastAsiaTheme="minorHAnsi" w:hAnsi="Calibri" w:cs="Calibri"/>
          <w:color w:val="000000"/>
          <w:szCs w:val="22"/>
        </w:rPr>
        <w:t>e</w:t>
      </w:r>
      <w:r w:rsidRPr="00300146">
        <w:rPr>
          <w:szCs w:val="22"/>
        </w:rPr>
        <w:t>p</w:t>
      </w:r>
      <w:r w:rsidRPr="001672FC">
        <w:rPr>
          <w:rFonts w:ascii="Calibri" w:eastAsiaTheme="minorHAnsi" w:hAnsi="Calibri" w:cs="Calibri"/>
          <w:color w:val="000000"/>
          <w:szCs w:val="22"/>
        </w:rPr>
        <w:t>or</w:t>
      </w:r>
      <w:r w:rsidRPr="00300146">
        <w:rPr>
          <w:szCs w:val="22"/>
        </w:rPr>
        <w:t>t</w:t>
      </w:r>
      <w:r w:rsidRPr="001672FC">
        <w:rPr>
          <w:rFonts w:ascii="Calibri" w:eastAsiaTheme="minorHAnsi" w:hAnsi="Calibri" w:cs="Calibri"/>
          <w:color w:val="000000"/>
          <w:szCs w:val="22"/>
        </w:rPr>
        <w:t>e</w:t>
      </w:r>
      <w:r w:rsidRPr="00300146">
        <w:rPr>
          <w:szCs w:val="22"/>
        </w:rPr>
        <w:t>d at</w:t>
      </w:r>
      <w:r w:rsidRPr="001672FC">
        <w:rPr>
          <w:rFonts w:ascii="Calibri" w:eastAsiaTheme="minorHAnsi" w:hAnsi="Calibri" w:cs="Calibri"/>
          <w:color w:val="000000"/>
          <w:szCs w:val="22"/>
        </w:rPr>
        <w:t xml:space="preserve"> </w:t>
      </w:r>
      <w:r w:rsidRPr="00300146">
        <w:rPr>
          <w:szCs w:val="22"/>
        </w:rPr>
        <w:t>a fa</w:t>
      </w:r>
      <w:r w:rsidRPr="001672FC">
        <w:rPr>
          <w:rFonts w:ascii="Calibri" w:eastAsiaTheme="minorHAnsi" w:hAnsi="Calibri" w:cs="Calibri"/>
          <w:color w:val="000000"/>
          <w:szCs w:val="22"/>
        </w:rPr>
        <w:t>c</w:t>
      </w:r>
      <w:r w:rsidRPr="00300146">
        <w:rPr>
          <w:szCs w:val="22"/>
        </w:rPr>
        <w:t>i</w:t>
      </w:r>
      <w:r w:rsidRPr="001672FC">
        <w:rPr>
          <w:rFonts w:ascii="Calibri" w:eastAsiaTheme="minorHAnsi" w:hAnsi="Calibri" w:cs="Calibri"/>
          <w:color w:val="000000"/>
          <w:szCs w:val="22"/>
        </w:rPr>
        <w:t>l</w:t>
      </w:r>
      <w:r w:rsidRPr="00300146">
        <w:rPr>
          <w:szCs w:val="22"/>
        </w:rPr>
        <w:t>i</w:t>
      </w:r>
      <w:r w:rsidRPr="001672FC">
        <w:rPr>
          <w:rFonts w:ascii="Calibri" w:eastAsiaTheme="minorHAnsi" w:hAnsi="Calibri" w:cs="Calibri"/>
          <w:color w:val="000000"/>
          <w:szCs w:val="22"/>
        </w:rPr>
        <w:t>t</w:t>
      </w:r>
      <w:r w:rsidRPr="00300146">
        <w:rPr>
          <w:szCs w:val="22"/>
        </w:rPr>
        <w:t>y i</w:t>
      </w:r>
      <w:r w:rsidRPr="001672FC">
        <w:rPr>
          <w:rFonts w:ascii="Calibri" w:eastAsiaTheme="minorHAnsi" w:hAnsi="Calibri" w:cs="Calibri"/>
          <w:color w:val="000000"/>
          <w:szCs w:val="22"/>
        </w:rPr>
        <w:t>f</w:t>
      </w:r>
      <w:r w:rsidRPr="00300146">
        <w:rPr>
          <w:szCs w:val="22"/>
        </w:rPr>
        <w:t xml:space="preserve"> on</w:t>
      </w:r>
      <w:r w:rsidRPr="001672FC">
        <w:rPr>
          <w:rFonts w:ascii="Calibri" w:eastAsiaTheme="minorHAnsi" w:hAnsi="Calibri" w:cs="Calibri"/>
          <w:color w:val="000000"/>
          <w:szCs w:val="22"/>
        </w:rPr>
        <w:t>e o</w:t>
      </w:r>
      <w:r w:rsidRPr="00300146">
        <w:rPr>
          <w:szCs w:val="22"/>
        </w:rPr>
        <w:t>r</w:t>
      </w:r>
      <w:r w:rsidRPr="001672FC">
        <w:rPr>
          <w:rFonts w:ascii="Calibri" w:eastAsiaTheme="minorHAnsi" w:hAnsi="Calibri" w:cs="Calibri"/>
          <w:color w:val="000000"/>
          <w:szCs w:val="22"/>
        </w:rPr>
        <w:t xml:space="preserve"> more </w:t>
      </w:r>
      <w:r w:rsidRPr="00300146">
        <w:rPr>
          <w:szCs w:val="22"/>
        </w:rPr>
        <w:t>se</w:t>
      </w:r>
      <w:r w:rsidRPr="001672FC">
        <w:rPr>
          <w:rFonts w:ascii="Calibri" w:eastAsiaTheme="minorHAnsi" w:hAnsi="Calibri" w:cs="Calibri"/>
          <w:color w:val="000000"/>
          <w:szCs w:val="22"/>
        </w:rPr>
        <w:t>p</w:t>
      </w:r>
      <w:r w:rsidRPr="00300146">
        <w:rPr>
          <w:szCs w:val="22"/>
        </w:rPr>
        <w:t>a</w:t>
      </w:r>
      <w:r w:rsidRPr="001672FC">
        <w:rPr>
          <w:rFonts w:ascii="Calibri" w:eastAsiaTheme="minorHAnsi" w:hAnsi="Calibri" w:cs="Calibri"/>
          <w:color w:val="000000"/>
          <w:szCs w:val="22"/>
        </w:rPr>
        <w:t xml:space="preserve">rate instances of the source </w:t>
      </w:r>
      <w:r w:rsidR="00203ECB" w:rsidRPr="001672FC">
        <w:rPr>
          <w:rFonts w:ascii="Calibri" w:eastAsiaTheme="minorHAnsi" w:hAnsi="Calibri" w:cs="Calibri"/>
          <w:color w:val="000000"/>
          <w:szCs w:val="22"/>
        </w:rPr>
        <w:t xml:space="preserve">consumes more than </w:t>
      </w:r>
      <w:r w:rsidR="00580A93" w:rsidRPr="00300146">
        <w:rPr>
          <w:szCs w:val="22"/>
        </w:rPr>
        <w:t>1</w:t>
      </w:r>
      <w:r w:rsidR="00203ECB" w:rsidRPr="001672FC">
        <w:rPr>
          <w:rFonts w:ascii="Calibri" w:eastAsiaTheme="minorHAnsi" w:hAnsi="Calibri" w:cs="Calibri"/>
          <w:color w:val="000000"/>
          <w:szCs w:val="22"/>
        </w:rPr>
        <w:t>5 k</w:t>
      </w:r>
      <w:r w:rsidR="00203ECB" w:rsidRPr="00300146">
        <w:rPr>
          <w:szCs w:val="22"/>
        </w:rPr>
        <w:t>i</w:t>
      </w:r>
      <w:r w:rsidR="00203ECB" w:rsidRPr="001672FC">
        <w:rPr>
          <w:rFonts w:ascii="Calibri" w:eastAsiaTheme="minorHAnsi" w:hAnsi="Calibri" w:cs="Calibri"/>
          <w:color w:val="000000"/>
          <w:szCs w:val="22"/>
        </w:rPr>
        <w:t>lolitres (</w:t>
      </w:r>
      <w:r w:rsidR="00203ECB" w:rsidRPr="00300146">
        <w:rPr>
          <w:szCs w:val="22"/>
        </w:rPr>
        <w:t>K</w:t>
      </w:r>
      <w:r w:rsidR="00203ECB" w:rsidRPr="001672FC">
        <w:rPr>
          <w:rFonts w:ascii="Calibri" w:eastAsiaTheme="minorHAnsi" w:hAnsi="Calibri" w:cs="Calibri"/>
          <w:color w:val="000000"/>
          <w:szCs w:val="22"/>
        </w:rPr>
        <w:t>L) of a PBO</w:t>
      </w:r>
      <w:r w:rsidR="00203ECB" w:rsidRPr="00300146">
        <w:rPr>
          <w:szCs w:val="22"/>
        </w:rPr>
        <w:t xml:space="preserve"> o</w:t>
      </w:r>
      <w:r w:rsidR="00203ECB" w:rsidRPr="001672FC">
        <w:rPr>
          <w:rFonts w:ascii="Calibri" w:eastAsiaTheme="minorHAnsi" w:hAnsi="Calibri" w:cs="Calibri"/>
          <w:color w:val="000000"/>
          <w:szCs w:val="22"/>
        </w:rPr>
        <w:t xml:space="preserve">r PBG during a reporting year. </w:t>
      </w:r>
      <w:r w:rsidR="00615E5A" w:rsidRPr="00300146">
        <w:rPr>
          <w:szCs w:val="22"/>
        </w:rPr>
        <w:t>E</w:t>
      </w:r>
      <w:r w:rsidR="00615E5A" w:rsidRPr="001672FC">
        <w:rPr>
          <w:rFonts w:ascii="Calibri" w:eastAsiaTheme="minorHAnsi" w:hAnsi="Calibri" w:cs="Calibri"/>
          <w:color w:val="000000"/>
          <w:szCs w:val="22"/>
        </w:rPr>
        <w:t xml:space="preserve">nergy consumption </w:t>
      </w:r>
      <w:r w:rsidR="00B61213">
        <w:rPr>
          <w:szCs w:val="22"/>
        </w:rPr>
        <w:t>reporting requirements are set out</w:t>
      </w:r>
      <w:r w:rsidR="00D6565F">
        <w:rPr>
          <w:szCs w:val="22"/>
        </w:rPr>
        <w:t xml:space="preserve"> in</w:t>
      </w:r>
      <w:r w:rsidR="00300146" w:rsidRPr="001672FC">
        <w:rPr>
          <w:rFonts w:ascii="Calibri" w:eastAsiaTheme="minorHAnsi" w:hAnsi="Calibri" w:cs="Calibri"/>
          <w:color w:val="000000"/>
          <w:szCs w:val="22"/>
        </w:rPr>
        <w:t xml:space="preserve"> section 2.</w:t>
      </w:r>
      <w:r w:rsidR="00300146" w:rsidRPr="00300146">
        <w:rPr>
          <w:szCs w:val="22"/>
        </w:rPr>
        <w:t>6</w:t>
      </w:r>
      <w:r w:rsidR="00300146" w:rsidRPr="001672FC">
        <w:rPr>
          <w:rFonts w:ascii="Calibri" w:eastAsiaTheme="minorHAnsi" w:hAnsi="Calibri" w:cs="Calibri"/>
          <w:color w:val="000000"/>
          <w:szCs w:val="22"/>
        </w:rPr>
        <w:t xml:space="preserve">8 of the NGER Measurement </w:t>
      </w:r>
      <w:r w:rsidR="00300146" w:rsidRPr="00300146">
        <w:rPr>
          <w:szCs w:val="22"/>
        </w:rPr>
        <w:t>D</w:t>
      </w:r>
      <w:r w:rsidR="00300146" w:rsidRPr="001672FC">
        <w:rPr>
          <w:rFonts w:ascii="Calibri" w:eastAsiaTheme="minorHAnsi" w:hAnsi="Calibri" w:cs="Calibri"/>
          <w:color w:val="000000"/>
          <w:szCs w:val="22"/>
        </w:rPr>
        <w:t>etermination.</w:t>
      </w:r>
      <w:r w:rsidR="00300146">
        <w:rPr>
          <w:rFonts w:ascii="Calibri" w:eastAsiaTheme="minorHAnsi" w:hAnsi="Calibri" w:cs="Calibri"/>
          <w:color w:val="000000"/>
          <w:sz w:val="24"/>
        </w:rPr>
        <w:t xml:space="preserve"> </w:t>
      </w:r>
    </w:p>
    <w:p w14:paraId="153D75DE" w14:textId="77777777" w:rsidR="000A0039" w:rsidRDefault="008040FA" w:rsidP="008040FA">
      <w:pPr>
        <w:pStyle w:val="Default"/>
        <w:rPr>
          <w:sz w:val="22"/>
          <w:szCs w:val="22"/>
        </w:rPr>
      </w:pPr>
      <w:r w:rsidRPr="00043071">
        <w:rPr>
          <w:sz w:val="22"/>
          <w:szCs w:val="22"/>
        </w:rPr>
        <w:t xml:space="preserve">It is important to note that PBOs and PBGs used for all purposes, including transport, should be reported under the NGER </w:t>
      </w:r>
      <w:r w:rsidR="008D5190" w:rsidRPr="00043071">
        <w:rPr>
          <w:sz w:val="22"/>
          <w:szCs w:val="22"/>
        </w:rPr>
        <w:t>L</w:t>
      </w:r>
      <w:r w:rsidRPr="00043071">
        <w:rPr>
          <w:sz w:val="22"/>
          <w:szCs w:val="22"/>
        </w:rPr>
        <w:t>egislation</w:t>
      </w:r>
      <w:r w:rsidR="003368BF" w:rsidRPr="00043071">
        <w:rPr>
          <w:sz w:val="22"/>
          <w:szCs w:val="22"/>
        </w:rPr>
        <w:t xml:space="preserve"> </w:t>
      </w:r>
      <w:r w:rsidR="0077677A" w:rsidRPr="00043071">
        <w:rPr>
          <w:sz w:val="22"/>
          <w:szCs w:val="22"/>
        </w:rPr>
        <w:t>if</w:t>
      </w:r>
      <w:r w:rsidR="003368BF" w:rsidRPr="00043071">
        <w:rPr>
          <w:sz w:val="22"/>
          <w:szCs w:val="22"/>
        </w:rPr>
        <w:t xml:space="preserve"> the amount used is above the relevant threshold</w:t>
      </w:r>
      <w:r w:rsidR="008D3D01" w:rsidRPr="00043071">
        <w:rPr>
          <w:sz w:val="22"/>
          <w:szCs w:val="22"/>
        </w:rPr>
        <w:t>.</w:t>
      </w:r>
      <w:r w:rsidR="00186C00">
        <w:rPr>
          <w:sz w:val="22"/>
          <w:szCs w:val="22"/>
        </w:rPr>
        <w:t xml:space="preserve"> </w:t>
      </w:r>
    </w:p>
    <w:p w14:paraId="3042257B" w14:textId="77777777" w:rsidR="000A0039" w:rsidRDefault="000A0039" w:rsidP="008040FA">
      <w:pPr>
        <w:pStyle w:val="Default"/>
        <w:rPr>
          <w:sz w:val="22"/>
          <w:szCs w:val="22"/>
        </w:rPr>
      </w:pPr>
    </w:p>
    <w:p w14:paraId="1DC2579B" w14:textId="6404A1C8" w:rsidR="008040FA" w:rsidRDefault="008040FA" w:rsidP="008040FA">
      <w:pPr>
        <w:pStyle w:val="Default"/>
        <w:rPr>
          <w:sz w:val="22"/>
          <w:szCs w:val="22"/>
        </w:rPr>
      </w:pPr>
      <w:r w:rsidRPr="009955FF">
        <w:rPr>
          <w:sz w:val="22"/>
          <w:szCs w:val="22"/>
        </w:rPr>
        <w:t xml:space="preserve">If the PBO or PBG is </w:t>
      </w:r>
      <w:r w:rsidR="00522B66" w:rsidRPr="3C995B67">
        <w:rPr>
          <w:sz w:val="22"/>
          <w:szCs w:val="22"/>
        </w:rPr>
        <w:t>‘</w:t>
      </w:r>
      <w:r w:rsidRPr="009955FF">
        <w:rPr>
          <w:sz w:val="22"/>
          <w:szCs w:val="22"/>
        </w:rPr>
        <w:t>used as a fuel</w:t>
      </w:r>
      <w:r w:rsidR="00522B66" w:rsidRPr="3C995B67">
        <w:rPr>
          <w:sz w:val="22"/>
          <w:szCs w:val="22"/>
        </w:rPr>
        <w:t>’</w:t>
      </w:r>
      <w:r w:rsidRPr="009955FF">
        <w:rPr>
          <w:sz w:val="22"/>
          <w:szCs w:val="22"/>
        </w:rPr>
        <w:t xml:space="preserve">, </w:t>
      </w:r>
      <w:r w:rsidR="00CB7CEF" w:rsidRPr="3C995B67">
        <w:rPr>
          <w:sz w:val="22"/>
          <w:szCs w:val="22"/>
        </w:rPr>
        <w:t>r</w:t>
      </w:r>
      <w:r w:rsidR="00DB353D" w:rsidRPr="3C995B67">
        <w:rPr>
          <w:sz w:val="22"/>
          <w:szCs w:val="22"/>
        </w:rPr>
        <w:t>ead section 3.4.5 of</w:t>
      </w:r>
      <w:r w:rsidR="000020C0" w:rsidRPr="3C995B67">
        <w:rPr>
          <w:sz w:val="22"/>
          <w:szCs w:val="22"/>
        </w:rPr>
        <w:t xml:space="preserve"> </w:t>
      </w:r>
      <w:r w:rsidR="00CB7CEF" w:rsidRPr="3C995B67">
        <w:rPr>
          <w:sz w:val="22"/>
          <w:szCs w:val="22"/>
        </w:rPr>
        <w:t xml:space="preserve">the </w:t>
      </w:r>
      <w:hyperlink r:id="rId29" w:tooltip="A link to the Estimating emissions and energy from fuel combustion guides on the Clean Energy Regulator website" w:history="1">
        <w:r w:rsidR="00CB7CEF" w:rsidRPr="3C995B67">
          <w:rPr>
            <w:rStyle w:val="Hyperlink"/>
          </w:rPr>
          <w:t>Estimating emissions and energy from fuel combustion guideline</w:t>
        </w:r>
      </w:hyperlink>
      <w:r w:rsidR="00B00E8E">
        <w:rPr>
          <w:rStyle w:val="FootnoteReference"/>
          <w:sz w:val="22"/>
          <w:szCs w:val="22"/>
        </w:rPr>
        <w:footnoteReference w:id="9"/>
      </w:r>
      <w:r w:rsidR="00CB7CEF" w:rsidRPr="3C995B67">
        <w:rPr>
          <w:sz w:val="22"/>
          <w:szCs w:val="22"/>
        </w:rPr>
        <w:t xml:space="preserve"> </w:t>
      </w:r>
      <w:r w:rsidR="000020C0" w:rsidRPr="3C995B67">
        <w:rPr>
          <w:sz w:val="22"/>
          <w:szCs w:val="22"/>
        </w:rPr>
        <w:t xml:space="preserve">for reporting </w:t>
      </w:r>
      <w:r w:rsidR="00043071" w:rsidRPr="3C995B67">
        <w:rPr>
          <w:sz w:val="22"/>
          <w:szCs w:val="22"/>
        </w:rPr>
        <w:t xml:space="preserve">the associated </w:t>
      </w:r>
      <w:r w:rsidR="000020C0" w:rsidRPr="3C995B67">
        <w:rPr>
          <w:sz w:val="22"/>
          <w:szCs w:val="22"/>
        </w:rPr>
        <w:t xml:space="preserve">emissions and energy. </w:t>
      </w:r>
    </w:p>
    <w:p w14:paraId="43A79081" w14:textId="77777777" w:rsidR="008040FA" w:rsidRDefault="008040FA" w:rsidP="008040FA">
      <w:pPr>
        <w:pStyle w:val="Default"/>
        <w:rPr>
          <w:sz w:val="22"/>
          <w:szCs w:val="22"/>
        </w:rPr>
      </w:pPr>
      <w:bookmarkStart w:id="21" w:name="_Toc463000933"/>
    </w:p>
    <w:p w14:paraId="03232913" w14:textId="7A9CF944" w:rsidR="00BA1643" w:rsidRDefault="008040FA" w:rsidP="008040FA">
      <w:pPr>
        <w:pStyle w:val="Default"/>
        <w:rPr>
          <w:rFonts w:asciiTheme="minorHAnsi" w:eastAsia="Cambria" w:hAnsiTheme="minorHAnsi" w:cstheme="minorHAnsi"/>
          <w:color w:val="000000" w:themeColor="text1"/>
          <w:sz w:val="22"/>
          <w:lang w:val="en-GB"/>
        </w:rPr>
      </w:pPr>
      <w:r w:rsidRPr="00A66CFC">
        <w:rPr>
          <w:rFonts w:asciiTheme="minorHAnsi" w:eastAsia="Cambria" w:hAnsiTheme="minorHAnsi" w:cstheme="minorHAnsi"/>
          <w:color w:val="000000" w:themeColor="text1"/>
          <w:sz w:val="22"/>
        </w:rPr>
        <w:t xml:space="preserve">If there is any doubt regarding obligations for the estimation and reporting of </w:t>
      </w:r>
      <w:r>
        <w:rPr>
          <w:rFonts w:asciiTheme="minorHAnsi" w:eastAsia="Cambria" w:hAnsiTheme="minorHAnsi" w:cstheme="minorHAnsi"/>
          <w:color w:val="000000" w:themeColor="text1"/>
          <w:sz w:val="22"/>
        </w:rPr>
        <w:t>PBOs or PBGs</w:t>
      </w:r>
      <w:r w:rsidRPr="00A66CFC">
        <w:rPr>
          <w:rFonts w:asciiTheme="minorHAnsi" w:eastAsia="Cambria" w:hAnsiTheme="minorHAnsi" w:cstheme="minorHAnsi"/>
          <w:color w:val="000000" w:themeColor="text1"/>
          <w:sz w:val="22"/>
        </w:rPr>
        <w:t xml:space="preserve">, or the currency of this guideline, </w:t>
      </w:r>
      <w:hyperlink r:id="rId30" w:tooltip="A link to the Contact us page on the Clean Energy Regulator website" w:history="1">
        <w:r w:rsidRPr="00A66CFC">
          <w:rPr>
            <w:rFonts w:eastAsia="Cambria" w:cstheme="minorHAnsi"/>
            <w:color w:val="005874"/>
            <w:sz w:val="22"/>
            <w:u w:val="single"/>
          </w:rPr>
          <w:t>contact</w:t>
        </w:r>
        <w:r w:rsidR="00087F20">
          <w:rPr>
            <w:rFonts w:eastAsia="Cambria" w:cstheme="minorHAnsi"/>
            <w:color w:val="005874"/>
            <w:sz w:val="22"/>
            <w:u w:val="single"/>
          </w:rPr>
          <w:t xml:space="preserve"> </w:t>
        </w:r>
        <w:r w:rsidR="00723FEA">
          <w:rPr>
            <w:rFonts w:eastAsia="Cambria" w:cstheme="minorHAnsi"/>
            <w:color w:val="005874"/>
            <w:sz w:val="22"/>
            <w:u w:val="single"/>
          </w:rPr>
          <w:t>us</w:t>
        </w:r>
      </w:hyperlink>
      <w:r w:rsidRPr="00A66CFC">
        <w:rPr>
          <w:rFonts w:asciiTheme="minorHAnsi" w:eastAsia="Cambria" w:hAnsiTheme="minorHAnsi" w:cstheme="minorHAnsi"/>
          <w:color w:val="000000" w:themeColor="text1"/>
          <w:sz w:val="22"/>
          <w:vertAlign w:val="superscript"/>
        </w:rPr>
        <w:footnoteReference w:id="10"/>
      </w:r>
      <w:r w:rsidRPr="00A66CFC">
        <w:rPr>
          <w:rFonts w:asciiTheme="minorHAnsi" w:eastAsia="Cambria" w:hAnsiTheme="minorHAnsi" w:cstheme="minorHAnsi"/>
          <w:color w:val="000000" w:themeColor="text1"/>
          <w:sz w:val="22"/>
        </w:rPr>
        <w:t>.</w:t>
      </w:r>
      <w:r>
        <w:rPr>
          <w:rFonts w:asciiTheme="minorHAnsi" w:eastAsia="Cambria" w:hAnsiTheme="minorHAnsi" w:cstheme="minorHAnsi"/>
          <w:color w:val="000000" w:themeColor="text1"/>
          <w:sz w:val="22"/>
        </w:rPr>
        <w:t xml:space="preserve"> </w:t>
      </w:r>
      <w:r w:rsidRPr="00C13A5D">
        <w:rPr>
          <w:rFonts w:asciiTheme="minorHAnsi" w:eastAsia="Cambria" w:hAnsiTheme="minorHAnsi" w:cstheme="minorHAnsi"/>
          <w:color w:val="000000" w:themeColor="text1"/>
          <w:sz w:val="22"/>
        </w:rPr>
        <w:t xml:space="preserve">General NGER reporting aspects across industry sectors, such as defining facilities or using the Emissions and Energy Reporting System (EERS), are not covered in this guideline. </w:t>
      </w:r>
      <w:r w:rsidRPr="00961B01">
        <w:rPr>
          <w:rFonts w:asciiTheme="minorHAnsi" w:eastAsia="Cambria" w:hAnsiTheme="minorHAnsi" w:cstheme="minorHAnsi"/>
          <w:color w:val="000000" w:themeColor="text1"/>
          <w:sz w:val="22"/>
          <w:lang w:val="en-GB"/>
        </w:rPr>
        <w:t xml:space="preserve">See </w:t>
      </w:r>
      <w:hyperlink r:id="rId31" w:tooltip="A link to the NGER reporting guides on the Clean Energy Regulator website" w:history="1">
        <w:r w:rsidR="007A3E41">
          <w:rPr>
            <w:rFonts w:asciiTheme="minorHAnsi" w:eastAsia="Cambria" w:hAnsiTheme="minorHAnsi" w:cstheme="minorHAnsi"/>
            <w:color w:val="005874"/>
            <w:sz w:val="22"/>
            <w:u w:val="single"/>
            <w:lang w:val="en-GB"/>
          </w:rPr>
          <w:t>NGER Reporting Guides</w:t>
        </w:r>
      </w:hyperlink>
      <w:r w:rsidRPr="00961B01">
        <w:rPr>
          <w:rFonts w:asciiTheme="minorHAnsi" w:eastAsia="Cambria" w:hAnsiTheme="minorHAnsi" w:cstheme="minorHAnsi"/>
          <w:color w:val="000000" w:themeColor="text1"/>
          <w:sz w:val="22"/>
          <w:vertAlign w:val="superscript"/>
          <w:lang w:val="en-GB"/>
        </w:rPr>
        <w:footnoteReference w:id="11"/>
      </w:r>
      <w:r w:rsidRPr="00961B01">
        <w:rPr>
          <w:rFonts w:asciiTheme="minorHAnsi" w:eastAsia="Cambria" w:hAnsiTheme="minorHAnsi" w:cstheme="minorHAnsi"/>
          <w:color w:val="000000" w:themeColor="text1"/>
          <w:sz w:val="22"/>
          <w:lang w:val="en-GB"/>
        </w:rPr>
        <w:t xml:space="preserve"> for more guidance.</w:t>
      </w:r>
    </w:p>
    <w:p w14:paraId="084054EB" w14:textId="25585BDD" w:rsidR="00043071" w:rsidRPr="00B26A75" w:rsidRDefault="00BA1643" w:rsidP="00652398">
      <w:pPr>
        <w:spacing w:after="0"/>
        <w:rPr>
          <w:lang w:val="en-GB"/>
        </w:rPr>
      </w:pPr>
      <w:r>
        <w:rPr>
          <w:lang w:val="en-GB"/>
        </w:rPr>
        <w:br w:type="page"/>
      </w:r>
    </w:p>
    <w:p w14:paraId="7DA6F26D" w14:textId="6A9554AA" w:rsidR="008040FA" w:rsidRPr="00ED3114" w:rsidRDefault="008040FA" w:rsidP="00B60D87">
      <w:pPr>
        <w:pStyle w:val="Heading1"/>
        <w:numPr>
          <w:ilvl w:val="6"/>
          <w:numId w:val="1"/>
        </w:numPr>
      </w:pPr>
      <w:bookmarkStart w:id="23" w:name="_Toc48567581"/>
      <w:bookmarkStart w:id="24" w:name="_Toc106720695"/>
      <w:bookmarkStart w:id="25" w:name="_Toc206592313"/>
      <w:r w:rsidRPr="00ED3114">
        <w:lastRenderedPageBreak/>
        <w:t xml:space="preserve">What </w:t>
      </w:r>
      <w:proofErr w:type="gramStart"/>
      <w:r w:rsidRPr="00ED3114">
        <w:t>are</w:t>
      </w:r>
      <w:proofErr w:type="gramEnd"/>
      <w:r w:rsidRPr="00ED3114">
        <w:t xml:space="preserve"> petroleum-based oils and petroleum-based greases?</w:t>
      </w:r>
      <w:bookmarkEnd w:id="21"/>
      <w:bookmarkEnd w:id="23"/>
      <w:bookmarkEnd w:id="24"/>
      <w:bookmarkEnd w:id="25"/>
      <w:r w:rsidRPr="00ED3114">
        <w:t xml:space="preserve"> </w:t>
      </w:r>
    </w:p>
    <w:p w14:paraId="08AF346A" w14:textId="5FA99800" w:rsidR="008040FA" w:rsidRDefault="008040FA" w:rsidP="00B26A75">
      <w:pPr>
        <w:pStyle w:val="Default"/>
        <w:spacing w:before="240"/>
        <w:rPr>
          <w:sz w:val="22"/>
          <w:szCs w:val="22"/>
        </w:rPr>
      </w:pPr>
      <w:r>
        <w:rPr>
          <w:sz w:val="22"/>
          <w:szCs w:val="22"/>
        </w:rPr>
        <w:t xml:space="preserve">PBOs and PBGs are </w:t>
      </w:r>
      <w:r w:rsidR="00BC7857">
        <w:rPr>
          <w:sz w:val="22"/>
          <w:szCs w:val="22"/>
        </w:rPr>
        <w:t xml:space="preserve">listed </w:t>
      </w:r>
      <w:r>
        <w:rPr>
          <w:sz w:val="22"/>
          <w:szCs w:val="22"/>
        </w:rPr>
        <w:t>as a</w:t>
      </w:r>
      <w:r w:rsidR="003A57FC">
        <w:rPr>
          <w:sz w:val="22"/>
          <w:szCs w:val="22"/>
        </w:rPr>
        <w:t xml:space="preserve"> fuel</w:t>
      </w:r>
      <w:r>
        <w:rPr>
          <w:sz w:val="22"/>
          <w:szCs w:val="22"/>
        </w:rPr>
        <w:t xml:space="preserve"> </w:t>
      </w:r>
      <w:r w:rsidR="003A57FC">
        <w:rPr>
          <w:sz w:val="22"/>
          <w:szCs w:val="22"/>
        </w:rPr>
        <w:t>in</w:t>
      </w:r>
      <w:r>
        <w:rPr>
          <w:sz w:val="22"/>
          <w:szCs w:val="22"/>
        </w:rPr>
        <w:t xml:space="preserve"> Schedule 1 of the NGER Regulations </w:t>
      </w:r>
      <w:r w:rsidR="0016233A">
        <w:rPr>
          <w:sz w:val="22"/>
          <w:szCs w:val="22"/>
        </w:rPr>
        <w:t xml:space="preserve">with </w:t>
      </w:r>
      <w:r>
        <w:rPr>
          <w:sz w:val="22"/>
          <w:szCs w:val="22"/>
        </w:rPr>
        <w:t xml:space="preserve">the </w:t>
      </w:r>
      <w:r w:rsidR="00952750">
        <w:rPr>
          <w:sz w:val="22"/>
          <w:szCs w:val="22"/>
        </w:rPr>
        <w:t>energy content and emission</w:t>
      </w:r>
      <w:r w:rsidR="00063831">
        <w:rPr>
          <w:sz w:val="22"/>
          <w:szCs w:val="22"/>
        </w:rPr>
        <w:t>s</w:t>
      </w:r>
      <w:r w:rsidR="0016233A">
        <w:rPr>
          <w:sz w:val="22"/>
          <w:szCs w:val="22"/>
        </w:rPr>
        <w:t xml:space="preserve"> listed in Schedule 1 </w:t>
      </w:r>
      <w:r w:rsidR="00F36DA6">
        <w:rPr>
          <w:sz w:val="22"/>
          <w:szCs w:val="22"/>
        </w:rPr>
        <w:t xml:space="preserve">of the </w:t>
      </w:r>
      <w:r>
        <w:rPr>
          <w:sz w:val="22"/>
          <w:szCs w:val="22"/>
        </w:rPr>
        <w:t>NGER Measurement Determination. The quantity of PBOs and PBGs consumed at a facility must be measured and, providing thresholds are met, included in reports submitted in compliance with the NGER Act. Measuring the quantity of PBOs and PBGs allows the emissions released from the consumption of the fuel to be estimated. Subject to 1.03 of the NGER Regulations:</w:t>
      </w:r>
    </w:p>
    <w:p w14:paraId="447A80E1" w14:textId="77777777" w:rsidR="008040FA" w:rsidRPr="006E3EB6" w:rsidRDefault="008040FA" w:rsidP="008040FA">
      <w:pPr>
        <w:pStyle w:val="Default"/>
        <w:rPr>
          <w:sz w:val="22"/>
          <w:szCs w:val="22"/>
        </w:rPr>
      </w:pPr>
    </w:p>
    <w:p w14:paraId="2AAEFE53" w14:textId="227C6B89" w:rsidR="008040FA" w:rsidRPr="00AB79FE" w:rsidRDefault="008040FA" w:rsidP="008040FA">
      <w:pPr>
        <w:pStyle w:val="Default"/>
        <w:rPr>
          <w:sz w:val="22"/>
          <w:szCs w:val="22"/>
        </w:rPr>
      </w:pPr>
      <w:r w:rsidRPr="006E3EB6">
        <w:rPr>
          <w:sz w:val="22"/>
          <w:szCs w:val="22"/>
        </w:rPr>
        <w:t>Petroleum-based oils</w:t>
      </w:r>
      <w:r w:rsidRPr="006E3EB6">
        <w:rPr>
          <w:b/>
          <w:bCs/>
          <w:sz w:val="22"/>
          <w:szCs w:val="22"/>
        </w:rPr>
        <w:t xml:space="preserve"> </w:t>
      </w:r>
      <w:r w:rsidRPr="006E3EB6">
        <w:rPr>
          <w:sz w:val="22"/>
          <w:szCs w:val="22"/>
        </w:rPr>
        <w:t xml:space="preserve">are defined in 1.03 of the NGER Regulations as: </w:t>
      </w:r>
    </w:p>
    <w:p w14:paraId="165F6DAD" w14:textId="77777777" w:rsidR="008040FA" w:rsidRPr="007952C6" w:rsidRDefault="008040FA" w:rsidP="00B60D87">
      <w:pPr>
        <w:pStyle w:val="CERbullets"/>
        <w:numPr>
          <w:ilvl w:val="0"/>
          <w:numId w:val="3"/>
        </w:numPr>
        <w:rPr>
          <w:szCs w:val="22"/>
        </w:rPr>
      </w:pPr>
      <w:r w:rsidRPr="006E3EB6">
        <w:rPr>
          <w:szCs w:val="22"/>
        </w:rPr>
        <w:t>oils (including lubricants or fluids but not greases) derived from petroleum and their synthetic equivalents</w:t>
      </w:r>
    </w:p>
    <w:p w14:paraId="65FF502D" w14:textId="77777777" w:rsidR="008040FA" w:rsidRPr="00581871" w:rsidRDefault="008040FA" w:rsidP="00B60D87">
      <w:pPr>
        <w:pStyle w:val="CERbullets"/>
        <w:numPr>
          <w:ilvl w:val="0"/>
          <w:numId w:val="3"/>
        </w:numPr>
        <w:rPr>
          <w:szCs w:val="22"/>
        </w:rPr>
      </w:pPr>
      <w:r w:rsidRPr="007952C6">
        <w:rPr>
          <w:szCs w:val="22"/>
        </w:rPr>
        <w:t xml:space="preserve">oils (including lubricants, fluids and greases) derived from petroleum and their synthetic equivalents, if recycled for use as oils. </w:t>
      </w:r>
    </w:p>
    <w:p w14:paraId="0EB3AF62" w14:textId="2B1D9797" w:rsidR="008040FA" w:rsidRPr="00AB79FE" w:rsidRDefault="008040FA" w:rsidP="008040FA">
      <w:pPr>
        <w:pStyle w:val="Default"/>
        <w:rPr>
          <w:sz w:val="22"/>
          <w:szCs w:val="22"/>
        </w:rPr>
      </w:pPr>
      <w:r w:rsidRPr="006E3EB6">
        <w:rPr>
          <w:sz w:val="22"/>
          <w:szCs w:val="22"/>
        </w:rPr>
        <w:t>Petroleum-based greases</w:t>
      </w:r>
      <w:r w:rsidRPr="006E3EB6">
        <w:rPr>
          <w:b/>
          <w:bCs/>
          <w:sz w:val="22"/>
          <w:szCs w:val="22"/>
        </w:rPr>
        <w:t xml:space="preserve"> </w:t>
      </w:r>
      <w:r w:rsidRPr="006E3EB6">
        <w:rPr>
          <w:sz w:val="22"/>
          <w:szCs w:val="22"/>
        </w:rPr>
        <w:t>are defined in 1.03 of the NGER Regulations</w:t>
      </w:r>
      <w:r w:rsidRPr="006E3EB6" w:rsidDel="0086039E">
        <w:rPr>
          <w:sz w:val="22"/>
          <w:szCs w:val="22"/>
        </w:rPr>
        <w:t xml:space="preserve"> </w:t>
      </w:r>
      <w:r w:rsidRPr="006E3EB6">
        <w:rPr>
          <w:sz w:val="22"/>
          <w:szCs w:val="22"/>
        </w:rPr>
        <w:t>as:</w:t>
      </w:r>
      <w:r w:rsidRPr="00AB79FE">
        <w:rPr>
          <w:sz w:val="22"/>
          <w:szCs w:val="22"/>
        </w:rPr>
        <w:t xml:space="preserve"> </w:t>
      </w:r>
    </w:p>
    <w:p w14:paraId="1E5BFEB2" w14:textId="77777777" w:rsidR="008040FA" w:rsidRPr="007952C6" w:rsidRDefault="008040FA" w:rsidP="00B60D87">
      <w:pPr>
        <w:pStyle w:val="CERbullets"/>
        <w:numPr>
          <w:ilvl w:val="0"/>
          <w:numId w:val="4"/>
        </w:numPr>
        <w:rPr>
          <w:szCs w:val="22"/>
        </w:rPr>
      </w:pPr>
      <w:r w:rsidRPr="006E3EB6">
        <w:rPr>
          <w:szCs w:val="22"/>
        </w:rPr>
        <w:t>petroleum-based greases and their synthetic equivalents</w:t>
      </w:r>
    </w:p>
    <w:p w14:paraId="4A46C011" w14:textId="77777777" w:rsidR="008040FA" w:rsidRDefault="008040FA" w:rsidP="00B60D87">
      <w:pPr>
        <w:pStyle w:val="CERbullets"/>
        <w:numPr>
          <w:ilvl w:val="0"/>
          <w:numId w:val="4"/>
        </w:numPr>
        <w:rPr>
          <w:szCs w:val="22"/>
        </w:rPr>
      </w:pPr>
      <w:r w:rsidRPr="007952C6">
        <w:rPr>
          <w:szCs w:val="22"/>
        </w:rPr>
        <w:t xml:space="preserve">oils (including lubricants, fluids and greases) derived from petroleum and their synthetic equivalents, if recycled for use as greases. </w:t>
      </w:r>
    </w:p>
    <w:p w14:paraId="17431802" w14:textId="61FB598A" w:rsidR="008040FA" w:rsidRDefault="008040FA" w:rsidP="00B60D87">
      <w:pPr>
        <w:pStyle w:val="Heading1"/>
        <w:numPr>
          <w:ilvl w:val="6"/>
          <w:numId w:val="1"/>
        </w:numPr>
      </w:pPr>
      <w:bookmarkStart w:id="26" w:name="_Toc463000934"/>
      <w:bookmarkStart w:id="27" w:name="_Toc48567582"/>
      <w:bookmarkStart w:id="28" w:name="_Toc106720696"/>
      <w:bookmarkStart w:id="29" w:name="_Toc206592314"/>
      <w:r w:rsidRPr="0079555F">
        <w:t xml:space="preserve">When are </w:t>
      </w:r>
      <w:r w:rsidRPr="00180F52">
        <w:t>petroleum-based oils and petroleum-based greases</w:t>
      </w:r>
      <w:r w:rsidRPr="0079555F">
        <w:t xml:space="preserve"> consumed?</w:t>
      </w:r>
      <w:bookmarkEnd w:id="26"/>
      <w:bookmarkEnd w:id="27"/>
      <w:bookmarkEnd w:id="28"/>
      <w:bookmarkEnd w:id="29"/>
      <w:r w:rsidRPr="0079555F">
        <w:t xml:space="preserve"> </w:t>
      </w:r>
    </w:p>
    <w:p w14:paraId="102B0077" w14:textId="70CF2A69" w:rsidR="008040FA" w:rsidRPr="00063A80" w:rsidRDefault="00102F74" w:rsidP="00B26A75">
      <w:pPr>
        <w:pStyle w:val="Default"/>
        <w:spacing w:before="240"/>
        <w:rPr>
          <w:rFonts w:cs="Times New Roman"/>
          <w:lang w:val="en-US"/>
        </w:rPr>
      </w:pPr>
      <w:r>
        <w:rPr>
          <w:rFonts w:asciiTheme="minorHAnsi" w:eastAsia="Cambria" w:hAnsiTheme="minorHAnsi" w:cs="Times New Roman"/>
          <w:lang w:val="en-US"/>
        </w:rPr>
        <w:t xml:space="preserve">NGER Regulation </w:t>
      </w:r>
      <w:r w:rsidR="008040FA" w:rsidRPr="00063A80">
        <w:rPr>
          <w:rFonts w:asciiTheme="minorHAnsi" w:eastAsia="Cambria" w:hAnsiTheme="minorHAnsi" w:cs="Times New Roman"/>
          <w:lang w:val="en-US"/>
        </w:rPr>
        <w:t>2.26 states that</w:t>
      </w:r>
      <w:r w:rsidR="00DA0428">
        <w:rPr>
          <w:rFonts w:asciiTheme="minorHAnsi" w:eastAsia="Cambria" w:hAnsiTheme="minorHAnsi" w:cs="Times New Roman"/>
          <w:lang w:val="en-US"/>
        </w:rPr>
        <w:t xml:space="preserve"> </w:t>
      </w:r>
      <w:r w:rsidR="008040FA" w:rsidRPr="00063A80">
        <w:rPr>
          <w:rFonts w:asciiTheme="minorHAnsi" w:eastAsia="Cambria" w:hAnsiTheme="minorHAnsi" w:cs="Times New Roman"/>
          <w:sz w:val="22"/>
          <w:szCs w:val="22"/>
          <w:lang w:val="en-US"/>
        </w:rPr>
        <w:t>‘</w:t>
      </w:r>
      <w:r w:rsidR="001B4170" w:rsidRPr="00063A80">
        <w:rPr>
          <w:rFonts w:asciiTheme="minorHAnsi" w:eastAsia="Cambria" w:hAnsiTheme="minorHAnsi" w:cs="Times New Roman"/>
          <w:sz w:val="22"/>
          <w:szCs w:val="22"/>
          <w:lang w:val="en-US"/>
        </w:rPr>
        <w:t>c</w:t>
      </w:r>
      <w:r w:rsidR="008040FA" w:rsidRPr="00063A80">
        <w:rPr>
          <w:rFonts w:asciiTheme="minorHAnsi" w:eastAsia="Cambria" w:hAnsiTheme="minorHAnsi" w:cs="Times New Roman"/>
          <w:sz w:val="22"/>
          <w:szCs w:val="22"/>
          <w:lang w:val="en-US"/>
        </w:rPr>
        <w:t xml:space="preserve">onsumption of energy’, in relation to a facility, means the use or disposal of energy from the operation of the facility including own-use and losses in extraction, production and transmission. </w:t>
      </w:r>
    </w:p>
    <w:p w14:paraId="7FBED1CF" w14:textId="58D4EAFB" w:rsidR="000B26DE" w:rsidRDefault="008040FA" w:rsidP="00063A80">
      <w:pPr>
        <w:spacing w:before="240"/>
        <w:rPr>
          <w:rFonts w:cs="Times New Roman"/>
          <w:color w:val="000000"/>
          <w:lang w:val="en-US"/>
        </w:rPr>
      </w:pPr>
      <w:r w:rsidRPr="00F20B1C">
        <w:rPr>
          <w:rFonts w:cs="Times New Roman"/>
          <w:color w:val="000000"/>
          <w:lang w:val="en-US"/>
        </w:rPr>
        <w:t xml:space="preserve">This </w:t>
      </w:r>
      <w:r w:rsidR="00913B8A">
        <w:rPr>
          <w:rFonts w:cs="Times New Roman"/>
          <w:color w:val="000000"/>
          <w:lang w:val="en-US"/>
        </w:rPr>
        <w:t xml:space="preserve">is a broad </w:t>
      </w:r>
      <w:r w:rsidRPr="00F20B1C">
        <w:rPr>
          <w:rFonts w:cs="Times New Roman"/>
          <w:color w:val="000000"/>
          <w:lang w:val="en-US"/>
        </w:rPr>
        <w:t xml:space="preserve">definition </w:t>
      </w:r>
      <w:r w:rsidR="00913B8A">
        <w:rPr>
          <w:rFonts w:cs="Times New Roman"/>
          <w:color w:val="000000"/>
          <w:lang w:val="en-US"/>
        </w:rPr>
        <w:t xml:space="preserve">and </w:t>
      </w:r>
      <w:r w:rsidRPr="00F20B1C">
        <w:rPr>
          <w:rFonts w:cs="Times New Roman"/>
          <w:color w:val="000000"/>
          <w:lang w:val="en-US"/>
        </w:rPr>
        <w:t>is taken to mean that PBOs and PBGs are to be considered ‘consumed’ when the oil or grease is applied or used in the operation of a facility in a manner consistent with their intended use.</w:t>
      </w:r>
      <w:r>
        <w:rPr>
          <w:rFonts w:cs="Times New Roman"/>
          <w:color w:val="000000"/>
          <w:lang w:val="en-US"/>
        </w:rPr>
        <w:t xml:space="preserve"> </w:t>
      </w:r>
    </w:p>
    <w:p w14:paraId="3FF5ADB4" w14:textId="140FD1F3" w:rsidR="00C7796C" w:rsidRPr="00063A80" w:rsidRDefault="008040FA" w:rsidP="009722EA">
      <w:pPr>
        <w:rPr>
          <w:rFonts w:asciiTheme="majorHAnsi" w:eastAsia="Times New Roman" w:hAnsiTheme="majorHAnsi"/>
          <w:b/>
          <w:sz w:val="32"/>
          <w:szCs w:val="32"/>
          <w:lang w:val="en-US"/>
        </w:rPr>
      </w:pPr>
      <w:r>
        <w:rPr>
          <w:rFonts w:cs="Times New Roman"/>
          <w:color w:val="000000"/>
          <w:szCs w:val="22"/>
          <w:lang w:val="en-US"/>
        </w:rPr>
        <w:t xml:space="preserve">The PBO and PBG </w:t>
      </w:r>
      <w:proofErr w:type="gramStart"/>
      <w:r w:rsidR="009A4617">
        <w:rPr>
          <w:rFonts w:cs="Times New Roman"/>
          <w:color w:val="000000"/>
          <w:szCs w:val="22"/>
          <w:lang w:val="en-US"/>
        </w:rPr>
        <w:t>is</w:t>
      </w:r>
      <w:proofErr w:type="gramEnd"/>
      <w:r w:rsidR="009A4617">
        <w:rPr>
          <w:rFonts w:cs="Times New Roman"/>
          <w:color w:val="000000"/>
          <w:szCs w:val="22"/>
          <w:lang w:val="en-US"/>
        </w:rPr>
        <w:t xml:space="preserve"> considered consumed </w:t>
      </w:r>
      <w:r w:rsidR="00167972">
        <w:rPr>
          <w:rFonts w:cs="Times New Roman"/>
          <w:color w:val="000000"/>
          <w:szCs w:val="22"/>
          <w:lang w:val="en-US"/>
        </w:rPr>
        <w:t>as soon as</w:t>
      </w:r>
      <w:r w:rsidR="00C20289">
        <w:rPr>
          <w:rFonts w:cs="Times New Roman"/>
          <w:color w:val="000000"/>
          <w:szCs w:val="22"/>
          <w:lang w:val="en-US"/>
        </w:rPr>
        <w:t xml:space="preserve"> it is removed from the </w:t>
      </w:r>
      <w:r w:rsidR="00586E51">
        <w:rPr>
          <w:rFonts w:cs="Times New Roman"/>
          <w:color w:val="000000"/>
          <w:szCs w:val="22"/>
          <w:lang w:val="en-US"/>
        </w:rPr>
        <w:t>container</w:t>
      </w:r>
      <w:r w:rsidR="009A4617">
        <w:rPr>
          <w:rFonts w:cs="Times New Roman"/>
          <w:color w:val="000000"/>
          <w:szCs w:val="22"/>
          <w:lang w:val="en-US"/>
        </w:rPr>
        <w:t xml:space="preserve"> </w:t>
      </w:r>
      <w:r w:rsidR="004C04FA">
        <w:rPr>
          <w:rFonts w:cs="Times New Roman"/>
          <w:color w:val="000000"/>
          <w:szCs w:val="22"/>
          <w:lang w:val="en-US"/>
        </w:rPr>
        <w:t xml:space="preserve">in which it was supplied. The quantity consumed is </w:t>
      </w:r>
      <w:r>
        <w:rPr>
          <w:rFonts w:cs="Times New Roman"/>
          <w:color w:val="000000"/>
          <w:szCs w:val="22"/>
          <w:lang w:val="en-US"/>
        </w:rPr>
        <w:t xml:space="preserve">not affected by oxidation level or any amounts of PBO and PBG that are recovered from the facility and transferred offsite. </w:t>
      </w:r>
      <w:r w:rsidRPr="00F20B1C">
        <w:rPr>
          <w:rFonts w:cs="Times New Roman"/>
          <w:color w:val="000000"/>
          <w:lang w:val="en-US"/>
        </w:rPr>
        <w:t xml:space="preserve">For example, </w:t>
      </w:r>
      <w:r>
        <w:rPr>
          <w:rFonts w:cs="Times New Roman"/>
          <w:color w:val="000000"/>
          <w:lang w:val="en-US"/>
        </w:rPr>
        <w:t xml:space="preserve">the total volume of </w:t>
      </w:r>
      <w:r w:rsidRPr="00F20B1C">
        <w:rPr>
          <w:rFonts w:cs="Times New Roman"/>
          <w:color w:val="000000"/>
          <w:lang w:val="en-US"/>
        </w:rPr>
        <w:t>a</w:t>
      </w:r>
      <w:r>
        <w:rPr>
          <w:rFonts w:cs="Times New Roman"/>
          <w:color w:val="000000"/>
          <w:lang w:val="en-US"/>
        </w:rPr>
        <w:t xml:space="preserve"> PBO</w:t>
      </w:r>
      <w:r w:rsidRPr="00F20B1C">
        <w:rPr>
          <w:rFonts w:cs="Times New Roman"/>
          <w:color w:val="000000"/>
          <w:lang w:val="en-US"/>
        </w:rPr>
        <w:t xml:space="preserve"> lubricant </w:t>
      </w:r>
      <w:r w:rsidR="005F39E7">
        <w:rPr>
          <w:rFonts w:cs="Times New Roman"/>
          <w:color w:val="000000"/>
          <w:lang w:val="en-US"/>
        </w:rPr>
        <w:t xml:space="preserve">that was </w:t>
      </w:r>
      <w:r>
        <w:rPr>
          <w:rFonts w:cs="Times New Roman"/>
          <w:color w:val="000000"/>
          <w:lang w:val="en-US"/>
        </w:rPr>
        <w:t>added into</w:t>
      </w:r>
      <w:r w:rsidRPr="00F20B1C">
        <w:rPr>
          <w:rFonts w:cs="Times New Roman"/>
          <w:color w:val="000000"/>
          <w:lang w:val="en-US"/>
        </w:rPr>
        <w:t xml:space="preserve"> the transmission of a heavy vehicle</w:t>
      </w:r>
      <w:r>
        <w:rPr>
          <w:rFonts w:cs="Times New Roman"/>
          <w:color w:val="000000"/>
          <w:lang w:val="en-US"/>
        </w:rPr>
        <w:t xml:space="preserve"> </w:t>
      </w:r>
      <w:r w:rsidRPr="00F20B1C">
        <w:rPr>
          <w:rFonts w:cs="Times New Roman"/>
          <w:color w:val="000000"/>
          <w:lang w:val="en-US"/>
        </w:rPr>
        <w:t xml:space="preserve">is </w:t>
      </w:r>
      <w:r>
        <w:rPr>
          <w:rFonts w:cs="Times New Roman"/>
          <w:color w:val="000000"/>
          <w:lang w:val="en-US"/>
        </w:rPr>
        <w:t xml:space="preserve">considered to have been consumed </w:t>
      </w:r>
      <w:r w:rsidR="009A451C">
        <w:rPr>
          <w:rFonts w:cs="Times New Roman"/>
          <w:color w:val="000000"/>
          <w:lang w:val="en-US"/>
        </w:rPr>
        <w:t xml:space="preserve">on the date it was </w:t>
      </w:r>
      <w:proofErr w:type="gramStart"/>
      <w:r w:rsidR="009A451C">
        <w:rPr>
          <w:rFonts w:cs="Times New Roman"/>
          <w:color w:val="000000"/>
          <w:lang w:val="en-US"/>
        </w:rPr>
        <w:t>added</w:t>
      </w:r>
      <w:proofErr w:type="gramEnd"/>
      <w:r w:rsidR="009A451C">
        <w:rPr>
          <w:rFonts w:cs="Times New Roman"/>
          <w:color w:val="000000"/>
          <w:lang w:val="en-US"/>
        </w:rPr>
        <w:t xml:space="preserve"> </w:t>
      </w:r>
      <w:r>
        <w:rPr>
          <w:rFonts w:cs="Times New Roman"/>
          <w:color w:val="000000"/>
          <w:lang w:val="en-US"/>
        </w:rPr>
        <w:t xml:space="preserve">and </w:t>
      </w:r>
      <w:r w:rsidR="00A949EB">
        <w:rPr>
          <w:rFonts w:cs="Times New Roman"/>
          <w:color w:val="000000"/>
          <w:lang w:val="en-US"/>
        </w:rPr>
        <w:t>the</w:t>
      </w:r>
      <w:r>
        <w:rPr>
          <w:rFonts w:cs="Times New Roman"/>
          <w:color w:val="000000"/>
          <w:lang w:val="en-US"/>
        </w:rPr>
        <w:t xml:space="preserve"> energy consumption must be reported for the total volume</w:t>
      </w:r>
      <w:r w:rsidRPr="00F20B1C">
        <w:rPr>
          <w:rFonts w:cs="Times New Roman"/>
          <w:color w:val="000000"/>
          <w:lang w:val="en-US"/>
        </w:rPr>
        <w:t xml:space="preserve">. </w:t>
      </w:r>
      <w:bookmarkStart w:id="30" w:name="_Toc388946921"/>
      <w:bookmarkStart w:id="31" w:name="_Toc463000935"/>
    </w:p>
    <w:p w14:paraId="2E763734" w14:textId="2007545B" w:rsidR="008040FA" w:rsidRPr="00E61EC9" w:rsidRDefault="008040FA" w:rsidP="00B60D87">
      <w:pPr>
        <w:pStyle w:val="Heading1"/>
        <w:numPr>
          <w:ilvl w:val="6"/>
          <w:numId w:val="1"/>
        </w:numPr>
      </w:pPr>
      <w:bookmarkStart w:id="32" w:name="_Toc48567583"/>
      <w:bookmarkStart w:id="33" w:name="_Toc106720697"/>
      <w:bookmarkStart w:id="34" w:name="_Toc206592315"/>
      <w:r w:rsidRPr="00E61EC9">
        <w:t>When do</w:t>
      </w:r>
      <w:r w:rsidR="00450E51">
        <w:t>es consumption of</w:t>
      </w:r>
      <w:r w:rsidRPr="00E61EC9">
        <w:t xml:space="preserve"> </w:t>
      </w:r>
      <w:r w:rsidRPr="00180F52">
        <w:t xml:space="preserve">petroleum-based oils </w:t>
      </w:r>
      <w:r>
        <w:t>(other than PBOs used as fuel)</w:t>
      </w:r>
      <w:r w:rsidRPr="001968EE">
        <w:t xml:space="preserve"> </w:t>
      </w:r>
      <w:r w:rsidR="00216927" w:rsidRPr="00180F52">
        <w:t>and petroleum-based greases</w:t>
      </w:r>
      <w:r w:rsidR="00216927">
        <w:t xml:space="preserve"> </w:t>
      </w:r>
      <w:r w:rsidRPr="00E61EC9">
        <w:t>need to be reported?</w:t>
      </w:r>
      <w:bookmarkEnd w:id="30"/>
      <w:bookmarkEnd w:id="31"/>
      <w:bookmarkEnd w:id="32"/>
      <w:bookmarkEnd w:id="33"/>
      <w:bookmarkEnd w:id="34"/>
    </w:p>
    <w:p w14:paraId="0830A1D5" w14:textId="325F3E2A" w:rsidR="008040FA" w:rsidRPr="00792B45" w:rsidRDefault="008040FA" w:rsidP="00B26A75">
      <w:pPr>
        <w:spacing w:before="240"/>
        <w:rPr>
          <w:rFonts w:cs="Times New Roman"/>
          <w:color w:val="000000"/>
          <w:lang w:val="en-US"/>
        </w:rPr>
      </w:pPr>
      <w:r w:rsidRPr="00792B45">
        <w:rPr>
          <w:rFonts w:cs="Times New Roman"/>
          <w:color w:val="000000"/>
          <w:lang w:val="en-US"/>
        </w:rPr>
        <w:t xml:space="preserve">Reports submitted under </w:t>
      </w:r>
      <w:r w:rsidRPr="00792B45">
        <w:rPr>
          <w:lang w:val="en-US"/>
        </w:rPr>
        <w:t xml:space="preserve">sections 19, 22G and 22X of the NGER Act </w:t>
      </w:r>
      <w:r w:rsidRPr="00792B45">
        <w:rPr>
          <w:rFonts w:cs="Times New Roman"/>
          <w:color w:val="000000"/>
          <w:lang w:val="en-US"/>
        </w:rPr>
        <w:t xml:space="preserve">are required to include any PBO or PBG consumption during the reporting year from the operation of the facility(s) covered by the reports. </w:t>
      </w:r>
      <w:r w:rsidR="007E4004">
        <w:rPr>
          <w:rFonts w:cs="Times New Roman"/>
          <w:color w:val="000000"/>
          <w:lang w:val="en-US"/>
        </w:rPr>
        <w:t>R</w:t>
      </w:r>
      <w:r w:rsidRPr="00792B45">
        <w:rPr>
          <w:rFonts w:cs="Times New Roman"/>
          <w:color w:val="000000"/>
          <w:lang w:val="en-US"/>
        </w:rPr>
        <w:t>eports must include the amount and energy content of the PBOs and PBGs</w:t>
      </w:r>
      <w:r w:rsidR="001D33A4">
        <w:rPr>
          <w:rFonts w:cs="Times New Roman"/>
          <w:color w:val="000000"/>
          <w:lang w:val="en-US"/>
        </w:rPr>
        <w:t xml:space="preserve"> that were</w:t>
      </w:r>
      <w:r w:rsidR="001B1D98">
        <w:rPr>
          <w:rFonts w:cs="Times New Roman"/>
          <w:color w:val="000000"/>
          <w:lang w:val="en-US"/>
        </w:rPr>
        <w:t>:</w:t>
      </w:r>
      <w:r w:rsidRPr="00792B45">
        <w:rPr>
          <w:rFonts w:cs="Times New Roman"/>
          <w:color w:val="000000"/>
          <w:lang w:val="en-US"/>
        </w:rPr>
        <w:t xml:space="preserve"> </w:t>
      </w:r>
    </w:p>
    <w:p w14:paraId="4CBD16FC" w14:textId="02FE157B" w:rsidR="008040FA" w:rsidRPr="00792B45" w:rsidRDefault="004217D2" w:rsidP="00B60D87">
      <w:pPr>
        <w:pStyle w:val="CERbullets"/>
        <w:numPr>
          <w:ilvl w:val="0"/>
          <w:numId w:val="2"/>
        </w:numPr>
        <w:rPr>
          <w:lang w:val="en-US"/>
        </w:rPr>
      </w:pPr>
      <w:r w:rsidRPr="00063A80">
        <w:rPr>
          <w:b/>
          <w:bCs/>
          <w:lang w:val="en-US"/>
        </w:rPr>
        <w:lastRenderedPageBreak/>
        <w:t>c</w:t>
      </w:r>
      <w:r w:rsidR="001B1D98" w:rsidRPr="00063A80">
        <w:rPr>
          <w:b/>
          <w:bCs/>
          <w:lang w:val="en-US"/>
        </w:rPr>
        <w:t xml:space="preserve">onsumed by </w:t>
      </w:r>
      <w:r w:rsidRPr="00063A80">
        <w:rPr>
          <w:b/>
          <w:bCs/>
          <w:lang w:val="en-US"/>
        </w:rPr>
        <w:t>c</w:t>
      </w:r>
      <w:r w:rsidR="008040FA" w:rsidRPr="00063A80">
        <w:rPr>
          <w:b/>
          <w:bCs/>
          <w:lang w:val="en-US"/>
        </w:rPr>
        <w:t>ombust</w:t>
      </w:r>
      <w:r w:rsidR="00431D17" w:rsidRPr="00063A80">
        <w:rPr>
          <w:b/>
          <w:bCs/>
          <w:lang w:val="en-US"/>
        </w:rPr>
        <w:t>ion</w:t>
      </w:r>
      <w:r w:rsidR="00062D9B">
        <w:rPr>
          <w:lang w:val="en-US"/>
        </w:rPr>
        <w:t xml:space="preserve"> </w:t>
      </w:r>
      <w:r w:rsidR="001B1D98">
        <w:rPr>
          <w:lang w:val="en-US"/>
        </w:rPr>
        <w:t>(</w:t>
      </w:r>
      <w:r w:rsidR="00062D9B">
        <w:rPr>
          <w:lang w:val="en-US"/>
        </w:rPr>
        <w:t xml:space="preserve">when </w:t>
      </w:r>
      <w:r w:rsidR="001B1D98">
        <w:rPr>
          <w:lang w:val="en-US"/>
        </w:rPr>
        <w:t xml:space="preserve">used </w:t>
      </w:r>
      <w:r w:rsidR="00062D9B">
        <w:rPr>
          <w:lang w:val="en-US"/>
        </w:rPr>
        <w:t>as a lubricant</w:t>
      </w:r>
      <w:r w:rsidR="001B1D98">
        <w:rPr>
          <w:lang w:val="en-US"/>
        </w:rPr>
        <w:t>)</w:t>
      </w:r>
      <w:r w:rsidR="008040FA">
        <w:rPr>
          <w:lang w:val="en-US"/>
        </w:rPr>
        <w:t>,</w:t>
      </w:r>
      <w:r w:rsidR="008040FA" w:rsidRPr="00EF2D48">
        <w:rPr>
          <w:lang w:val="en-US"/>
        </w:rPr>
        <w:t xml:space="preserve"> </w:t>
      </w:r>
      <w:r w:rsidR="008040FA" w:rsidRPr="00792B45">
        <w:rPr>
          <w:lang w:val="en-US"/>
        </w:rPr>
        <w:t>if the amount exceeds 5</w:t>
      </w:r>
      <w:r w:rsidR="001C64BB">
        <w:rPr>
          <w:lang w:val="en-US"/>
        </w:rPr>
        <w:t> </w:t>
      </w:r>
      <w:r w:rsidR="00D15B6C">
        <w:rPr>
          <w:lang w:val="en-US"/>
        </w:rPr>
        <w:t>kL</w:t>
      </w:r>
      <w:r w:rsidR="00D15B6C" w:rsidRPr="00792B45">
        <w:rPr>
          <w:lang w:val="en-US"/>
        </w:rPr>
        <w:t xml:space="preserve"> </w:t>
      </w:r>
      <w:r w:rsidR="008040FA">
        <w:rPr>
          <w:lang w:val="en-US"/>
        </w:rPr>
        <w:t xml:space="preserve">as </w:t>
      </w:r>
      <w:r w:rsidR="008040FA" w:rsidRPr="00792B45">
        <w:rPr>
          <w:lang w:val="en-US"/>
        </w:rPr>
        <w:t xml:space="preserve">described in Part 2.4 of the </w:t>
      </w:r>
      <w:r w:rsidR="008040FA">
        <w:rPr>
          <w:lang w:val="en-US"/>
        </w:rPr>
        <w:t>NGER Measurement Determination</w:t>
      </w:r>
      <w:r w:rsidR="00C04A84">
        <w:rPr>
          <w:lang w:val="en-US"/>
        </w:rPr>
        <w:t xml:space="preserve">. </w:t>
      </w:r>
      <w:r w:rsidR="00C6700B">
        <w:rPr>
          <w:lang w:val="en-US"/>
        </w:rPr>
        <w:t xml:space="preserve">See </w:t>
      </w:r>
      <w:hyperlink w:anchor="_5._Estimating_emissions" w:history="1">
        <w:r w:rsidR="004F6909">
          <w:rPr>
            <w:rStyle w:val="Hyperlink"/>
            <w:rFonts w:asciiTheme="minorHAnsi" w:hAnsiTheme="minorHAnsi"/>
            <w:lang w:val="en-US"/>
          </w:rPr>
          <w:t>chapter</w:t>
        </w:r>
        <w:r w:rsidR="002D24DA" w:rsidRPr="002D24DA">
          <w:rPr>
            <w:rStyle w:val="Hyperlink"/>
            <w:rFonts w:asciiTheme="minorHAnsi" w:hAnsiTheme="minorHAnsi"/>
            <w:lang w:val="en-US"/>
          </w:rPr>
          <w:t xml:space="preserve"> 5</w:t>
        </w:r>
      </w:hyperlink>
      <w:r w:rsidR="002D24DA">
        <w:rPr>
          <w:lang w:val="en-US"/>
        </w:rPr>
        <w:t xml:space="preserve"> of this guideline. </w:t>
      </w:r>
    </w:p>
    <w:p w14:paraId="0D279AA4" w14:textId="07118C83" w:rsidR="008040FA" w:rsidRDefault="00DE5A6C" w:rsidP="00B60D87">
      <w:pPr>
        <w:pStyle w:val="CERbullets"/>
        <w:numPr>
          <w:ilvl w:val="0"/>
          <w:numId w:val="2"/>
        </w:numPr>
        <w:rPr>
          <w:lang w:val="en-US"/>
        </w:rPr>
      </w:pPr>
      <w:r w:rsidRPr="00FA217F">
        <w:rPr>
          <w:b/>
          <w:bCs/>
          <w:lang w:val="en-US"/>
        </w:rPr>
        <w:t>consumed without combustion</w:t>
      </w:r>
      <w:r w:rsidR="008040FA" w:rsidRPr="00792B45">
        <w:rPr>
          <w:lang w:val="en-US"/>
        </w:rPr>
        <w:t xml:space="preserve">, </w:t>
      </w:r>
      <w:r w:rsidR="008040FA">
        <w:rPr>
          <w:lang w:val="en-US"/>
        </w:rPr>
        <w:t>if the amount exceeds 15</w:t>
      </w:r>
      <w:r w:rsidR="001C64BB">
        <w:rPr>
          <w:lang w:val="en-US"/>
        </w:rPr>
        <w:t> </w:t>
      </w:r>
      <w:r w:rsidR="00D15B6C">
        <w:rPr>
          <w:lang w:val="en-US"/>
        </w:rPr>
        <w:t xml:space="preserve">kL </w:t>
      </w:r>
      <w:r w:rsidR="008040FA">
        <w:rPr>
          <w:lang w:val="en-US"/>
        </w:rPr>
        <w:t>as described in Part 2.7 of the NGER Measurement Determination.</w:t>
      </w:r>
      <w:r w:rsidR="00DA104E">
        <w:rPr>
          <w:lang w:val="en-US"/>
        </w:rPr>
        <w:t xml:space="preserve"> </w:t>
      </w:r>
      <w:r w:rsidR="002D24DA">
        <w:rPr>
          <w:lang w:val="en-US"/>
        </w:rPr>
        <w:t xml:space="preserve">See </w:t>
      </w:r>
      <w:hyperlink w:anchor="_6._Estimating_energy" w:history="1">
        <w:r w:rsidR="004F6909">
          <w:rPr>
            <w:rStyle w:val="Hyperlink"/>
            <w:rFonts w:asciiTheme="minorHAnsi" w:hAnsiTheme="minorHAnsi"/>
            <w:lang w:val="en-US"/>
          </w:rPr>
          <w:t>chapter</w:t>
        </w:r>
        <w:r w:rsidR="002D24DA" w:rsidRPr="002D24DA">
          <w:rPr>
            <w:rStyle w:val="Hyperlink"/>
            <w:rFonts w:asciiTheme="minorHAnsi" w:hAnsiTheme="minorHAnsi"/>
            <w:lang w:val="en-US"/>
          </w:rPr>
          <w:t xml:space="preserve"> 6</w:t>
        </w:r>
      </w:hyperlink>
      <w:r w:rsidR="002D24DA">
        <w:rPr>
          <w:lang w:val="en-US"/>
        </w:rPr>
        <w:t xml:space="preserve"> of this guideline. </w:t>
      </w:r>
    </w:p>
    <w:tbl>
      <w:tblPr>
        <w:tblStyle w:val="CERCallout"/>
        <w:tblW w:w="10035" w:type="dxa"/>
        <w:tblLook w:val="04A0" w:firstRow="1" w:lastRow="0" w:firstColumn="1" w:lastColumn="0" w:noHBand="0" w:noVBand="1"/>
      </w:tblPr>
      <w:tblGrid>
        <w:gridCol w:w="10035"/>
      </w:tblGrid>
      <w:tr w:rsidR="00294703" w14:paraId="059BA036" w14:textId="77777777" w:rsidTr="00063A80">
        <w:trPr>
          <w:cnfStyle w:val="100000000000" w:firstRow="1" w:lastRow="0" w:firstColumn="0" w:lastColumn="0" w:oddVBand="0" w:evenVBand="0" w:oddHBand="0" w:evenHBand="0" w:firstRowFirstColumn="0" w:firstRowLastColumn="0" w:lastRowFirstColumn="0" w:lastRowLastColumn="0"/>
        </w:trPr>
        <w:tc>
          <w:tcPr>
            <w:tcW w:w="10035" w:type="dxa"/>
          </w:tcPr>
          <w:p w14:paraId="70DA6683" w14:textId="7EE93CCF" w:rsidR="00294703" w:rsidRPr="00377D5D" w:rsidRDefault="004217D2" w:rsidP="00063A80">
            <w:pPr>
              <w:pStyle w:val="CERbullets"/>
              <w:numPr>
                <w:ilvl w:val="0"/>
                <w:numId w:val="0"/>
              </w:numPr>
              <w:ind w:left="360"/>
              <w:rPr>
                <w:b w:val="0"/>
                <w:lang w:val="en-US"/>
              </w:rPr>
            </w:pPr>
            <w:r w:rsidRPr="3C995B67">
              <w:rPr>
                <w:lang w:val="en-US"/>
              </w:rPr>
              <w:t>PBOs used as a fuel</w:t>
            </w:r>
            <w:r>
              <w:br/>
            </w:r>
            <w:r w:rsidR="1C26D507" w:rsidRPr="00A77354">
              <w:rPr>
                <w:b w:val="0"/>
                <w:lang w:val="en-US"/>
              </w:rPr>
              <w:t>When</w:t>
            </w:r>
            <w:r w:rsidR="1AF8F40E" w:rsidRPr="00A77354">
              <w:rPr>
                <w:b w:val="0"/>
                <w:lang w:val="en-US"/>
              </w:rPr>
              <w:t xml:space="preserve"> </w:t>
            </w:r>
            <w:r w:rsidR="72C7315F" w:rsidRPr="00A77354">
              <w:rPr>
                <w:b w:val="0"/>
                <w:lang w:val="en-US"/>
              </w:rPr>
              <w:t xml:space="preserve">a </w:t>
            </w:r>
            <w:r w:rsidR="1AF8F40E" w:rsidRPr="00A77354">
              <w:rPr>
                <w:b w:val="0"/>
                <w:lang w:val="en-US"/>
              </w:rPr>
              <w:t>PBO</w:t>
            </w:r>
            <w:r w:rsidR="72C7315F" w:rsidRPr="00A77354">
              <w:rPr>
                <w:b w:val="0"/>
                <w:lang w:val="en-US"/>
              </w:rPr>
              <w:t xml:space="preserve"> is </w:t>
            </w:r>
            <w:r w:rsidR="36C8507E" w:rsidRPr="00A77354">
              <w:rPr>
                <w:b w:val="0"/>
                <w:lang w:val="en-US"/>
              </w:rPr>
              <w:t>combusted to produce heat</w:t>
            </w:r>
            <w:r w:rsidR="4B56ED88" w:rsidRPr="00A77354">
              <w:rPr>
                <w:b w:val="0"/>
                <w:lang w:val="en-US"/>
              </w:rPr>
              <w:t xml:space="preserve"> or</w:t>
            </w:r>
            <w:r w:rsidR="36C8507E" w:rsidRPr="00A77354">
              <w:rPr>
                <w:b w:val="0"/>
                <w:lang w:val="en-US"/>
              </w:rPr>
              <w:t xml:space="preserve"> electricity</w:t>
            </w:r>
            <w:r w:rsidR="1C263ADF" w:rsidRPr="00A77354">
              <w:rPr>
                <w:b w:val="0"/>
                <w:lang w:val="en-US"/>
              </w:rPr>
              <w:t xml:space="preserve"> </w:t>
            </w:r>
            <w:r w:rsidR="00CDB133" w:rsidRPr="00A77354">
              <w:rPr>
                <w:b w:val="0"/>
                <w:lang w:val="en-US"/>
              </w:rPr>
              <w:t>(</w:t>
            </w:r>
            <w:r w:rsidR="1C263ADF" w:rsidRPr="00A77354">
              <w:rPr>
                <w:b w:val="0"/>
                <w:lang w:val="en-US"/>
              </w:rPr>
              <w:t>or for</w:t>
            </w:r>
            <w:r w:rsidR="2AB8BFED" w:rsidRPr="00A77354">
              <w:rPr>
                <w:b w:val="0"/>
                <w:lang w:val="en-US"/>
              </w:rPr>
              <w:t xml:space="preserve"> stationary or transport </w:t>
            </w:r>
            <w:r w:rsidR="06A5F7F0" w:rsidRPr="00A77354">
              <w:rPr>
                <w:b w:val="0"/>
                <w:lang w:val="en-US"/>
              </w:rPr>
              <w:t xml:space="preserve">energy </w:t>
            </w:r>
            <w:r w:rsidR="2AB8BFED" w:rsidRPr="00A77354">
              <w:rPr>
                <w:b w:val="0"/>
                <w:lang w:val="en-US"/>
              </w:rPr>
              <w:t>purposes</w:t>
            </w:r>
            <w:r w:rsidR="00CDB133" w:rsidRPr="00A77354">
              <w:rPr>
                <w:b w:val="0"/>
                <w:lang w:val="en-US"/>
              </w:rPr>
              <w:t>)</w:t>
            </w:r>
            <w:r w:rsidR="2AAC5139" w:rsidRPr="00A77354">
              <w:rPr>
                <w:b w:val="0"/>
                <w:lang w:val="en-US"/>
              </w:rPr>
              <w:t xml:space="preserve"> </w:t>
            </w:r>
            <w:r w:rsidR="6E6BA730" w:rsidRPr="00A77354">
              <w:rPr>
                <w:b w:val="0"/>
                <w:lang w:val="en-US"/>
              </w:rPr>
              <w:t>it is</w:t>
            </w:r>
            <w:r w:rsidR="30CFE26C" w:rsidRPr="00A77354">
              <w:rPr>
                <w:b w:val="0"/>
                <w:lang w:val="en-US"/>
              </w:rPr>
              <w:t xml:space="preserve"> being combusted as a </w:t>
            </w:r>
            <w:r w:rsidR="655E21BC" w:rsidRPr="00A77354">
              <w:rPr>
                <w:b w:val="0"/>
                <w:lang w:val="en-US"/>
              </w:rPr>
              <w:t>fuel</w:t>
            </w:r>
            <w:r w:rsidR="5B95EEAD" w:rsidRPr="00A77354">
              <w:rPr>
                <w:b w:val="0"/>
                <w:lang w:val="en-US"/>
              </w:rPr>
              <w:t>.</w:t>
            </w:r>
            <w:r w:rsidR="2AAC5139" w:rsidRPr="00A77354">
              <w:rPr>
                <w:b w:val="0"/>
                <w:lang w:val="en-US"/>
              </w:rPr>
              <w:t xml:space="preserve"> </w:t>
            </w:r>
            <w:r w:rsidR="72C7315F" w:rsidRPr="00A77354">
              <w:rPr>
                <w:b w:val="0"/>
                <w:lang w:val="en-US"/>
              </w:rPr>
              <w:t>E</w:t>
            </w:r>
            <w:r w:rsidR="2AAC5139" w:rsidRPr="00A77354">
              <w:rPr>
                <w:b w:val="0"/>
                <w:lang w:val="en-US"/>
              </w:rPr>
              <w:t xml:space="preserve">missions and energy </w:t>
            </w:r>
            <w:r w:rsidR="0204D4DC" w:rsidRPr="00A77354">
              <w:rPr>
                <w:b w:val="0"/>
                <w:lang w:val="en-US"/>
              </w:rPr>
              <w:t>should be reported when the amount exceeds 1 kL</w:t>
            </w:r>
            <w:r w:rsidR="6453E45B" w:rsidRPr="00A77354">
              <w:rPr>
                <w:b w:val="0"/>
                <w:lang w:val="en-US"/>
              </w:rPr>
              <w:t xml:space="preserve"> as per section 2.39(b) of the NGER Measurement Determination</w:t>
            </w:r>
            <w:r w:rsidR="0204D4DC" w:rsidRPr="00A77354">
              <w:rPr>
                <w:b w:val="0"/>
                <w:lang w:val="en-US"/>
              </w:rPr>
              <w:t xml:space="preserve">. </w:t>
            </w:r>
            <w:r w:rsidR="797D2602" w:rsidRPr="00A77354">
              <w:rPr>
                <w:b w:val="0"/>
                <w:lang w:val="en-US"/>
              </w:rPr>
              <w:t xml:space="preserve">Read the </w:t>
            </w:r>
            <w:hyperlink r:id="rId32" w:tooltip="A link to the Estimating emissions and energy from fuel combustion guide on the Clean Energy Regulator website" w:history="1">
              <w:r w:rsidR="5F1BACCF" w:rsidRPr="00A77354">
                <w:rPr>
                  <w:rStyle w:val="Hyperlink"/>
                  <w:rFonts w:asciiTheme="minorHAnsi" w:hAnsiTheme="minorHAnsi"/>
                  <w:b w:val="0"/>
                </w:rPr>
                <w:t xml:space="preserve">Estimating </w:t>
              </w:r>
              <w:r w:rsidR="436356BA" w:rsidRPr="00A77354">
                <w:rPr>
                  <w:rStyle w:val="Hyperlink"/>
                  <w:rFonts w:asciiTheme="minorHAnsi" w:hAnsiTheme="minorHAnsi"/>
                  <w:b w:val="0"/>
                </w:rPr>
                <w:t>emissions and energy from fuel combustion</w:t>
              </w:r>
              <w:r w:rsidR="0204D4DC" w:rsidRPr="00A77354">
                <w:rPr>
                  <w:rStyle w:val="Hyperlink"/>
                  <w:rFonts w:asciiTheme="minorHAnsi" w:hAnsiTheme="minorHAnsi"/>
                  <w:b w:val="0"/>
                </w:rPr>
                <w:t xml:space="preserve"> </w:t>
              </w:r>
              <w:r w:rsidR="436356BA" w:rsidRPr="00A77354">
                <w:rPr>
                  <w:rStyle w:val="Hyperlink"/>
                  <w:rFonts w:asciiTheme="minorHAnsi" w:hAnsiTheme="minorHAnsi"/>
                  <w:b w:val="0"/>
                </w:rPr>
                <w:t>guideline</w:t>
              </w:r>
            </w:hyperlink>
            <w:r w:rsidR="002B6AF1" w:rsidRPr="00A77354">
              <w:rPr>
                <w:rStyle w:val="FootnoteReference"/>
                <w:b w:val="0"/>
                <w:lang w:val="en-US"/>
              </w:rPr>
              <w:footnoteReference w:id="12"/>
            </w:r>
            <w:r w:rsidR="0204D4DC" w:rsidRPr="00A77354">
              <w:rPr>
                <w:b w:val="0"/>
                <w:lang w:val="en-US"/>
              </w:rPr>
              <w:t xml:space="preserve"> for more </w:t>
            </w:r>
            <w:r w:rsidR="6037B9B6" w:rsidRPr="00A77354">
              <w:rPr>
                <w:b w:val="0"/>
                <w:lang w:val="en-US"/>
              </w:rPr>
              <w:t>information</w:t>
            </w:r>
            <w:r w:rsidR="0204D4DC" w:rsidRPr="00A77354">
              <w:rPr>
                <w:b w:val="0"/>
                <w:lang w:val="en-US"/>
              </w:rPr>
              <w:t>.</w:t>
            </w:r>
            <w:r w:rsidR="0204D4DC" w:rsidRPr="3C995B67">
              <w:rPr>
                <w:lang w:val="en-US"/>
              </w:rPr>
              <w:t xml:space="preserve"> </w:t>
            </w:r>
          </w:p>
        </w:tc>
      </w:tr>
    </w:tbl>
    <w:p w14:paraId="436437EE" w14:textId="0B1EC716" w:rsidR="008040FA" w:rsidRPr="001968EE" w:rsidRDefault="008040FA" w:rsidP="00B60D87">
      <w:pPr>
        <w:pStyle w:val="Heading1"/>
        <w:numPr>
          <w:ilvl w:val="6"/>
          <w:numId w:val="1"/>
        </w:numPr>
      </w:pPr>
      <w:bookmarkStart w:id="35" w:name="_5._Estimating_emissions"/>
      <w:bookmarkStart w:id="36" w:name="_Toc388946922"/>
      <w:bookmarkStart w:id="37" w:name="_Toc463000936"/>
      <w:bookmarkStart w:id="38" w:name="_Toc48567584"/>
      <w:bookmarkStart w:id="39" w:name="_Toc106720698"/>
      <w:bookmarkStart w:id="40" w:name="_Ref171669606"/>
      <w:bookmarkStart w:id="41" w:name="_Toc206592316"/>
      <w:bookmarkEnd w:id="35"/>
      <w:r w:rsidRPr="001968EE">
        <w:t>Estimating emissions from the use of PBOs</w:t>
      </w:r>
      <w:r w:rsidR="00851166">
        <w:t xml:space="preserve"> (other than PBOs used as fuel)</w:t>
      </w:r>
      <w:r w:rsidRPr="001968EE">
        <w:t xml:space="preserve"> and PBGs</w:t>
      </w:r>
      <w:bookmarkEnd w:id="36"/>
      <w:bookmarkEnd w:id="41"/>
      <w:r w:rsidRPr="001968EE">
        <w:t xml:space="preserve"> </w:t>
      </w:r>
      <w:bookmarkEnd w:id="37"/>
      <w:bookmarkEnd w:id="38"/>
      <w:bookmarkEnd w:id="39"/>
      <w:bookmarkEnd w:id="40"/>
    </w:p>
    <w:p w14:paraId="76C281B2" w14:textId="36C1C222" w:rsidR="008040FA" w:rsidRDefault="008040FA" w:rsidP="00B26A75">
      <w:pPr>
        <w:spacing w:before="240"/>
        <w:rPr>
          <w:rFonts w:cs="Times New Roman"/>
          <w:color w:val="000000"/>
          <w:lang w:val="en-US"/>
        </w:rPr>
      </w:pPr>
      <w:r w:rsidRPr="00E61EC9">
        <w:rPr>
          <w:rFonts w:cs="Times New Roman"/>
          <w:color w:val="000000"/>
          <w:lang w:val="en-US"/>
        </w:rPr>
        <w:t xml:space="preserve">Division 2.4.5A of the </w:t>
      </w:r>
      <w:r>
        <w:rPr>
          <w:rFonts w:cs="Times New Roman"/>
          <w:color w:val="000000"/>
          <w:lang w:val="en-US"/>
        </w:rPr>
        <w:t>NGER Measurement Determination</w:t>
      </w:r>
      <w:r w:rsidRPr="00E61EC9">
        <w:rPr>
          <w:rFonts w:cs="Times New Roman"/>
          <w:color w:val="000000"/>
          <w:lang w:val="en-US"/>
        </w:rPr>
        <w:t xml:space="preserve"> provides </w:t>
      </w:r>
      <w:r w:rsidR="00DD7E00">
        <w:rPr>
          <w:rFonts w:cs="Times New Roman"/>
          <w:color w:val="000000"/>
          <w:lang w:val="en-US"/>
        </w:rPr>
        <w:t>3</w:t>
      </w:r>
      <w:r w:rsidRPr="00E61EC9">
        <w:rPr>
          <w:rFonts w:cs="Times New Roman"/>
          <w:color w:val="000000"/>
          <w:lang w:val="en-US"/>
        </w:rPr>
        <w:t xml:space="preserve"> methods for estimating emissions of carbon dioxide released from the </w:t>
      </w:r>
      <w:r>
        <w:rPr>
          <w:rFonts w:cs="Times New Roman"/>
          <w:color w:val="000000"/>
          <w:lang w:val="en-US"/>
        </w:rPr>
        <w:t>use</w:t>
      </w:r>
      <w:r w:rsidRPr="00E61EC9">
        <w:rPr>
          <w:rFonts w:cs="Times New Roman"/>
          <w:color w:val="000000"/>
          <w:lang w:val="en-US"/>
        </w:rPr>
        <w:t xml:space="preserve"> of PBOs and PBGs as lubricants in the operation of a</w:t>
      </w:r>
      <w:r w:rsidR="005E1DE5">
        <w:rPr>
          <w:rFonts w:cs="Times New Roman"/>
          <w:color w:val="000000"/>
          <w:lang w:val="en-US"/>
        </w:rPr>
        <w:t xml:space="preserve"> facility</w:t>
      </w:r>
      <w:r w:rsidRPr="00E61EC9">
        <w:rPr>
          <w:rFonts w:cs="Times New Roman"/>
          <w:color w:val="000000"/>
          <w:lang w:val="en-US"/>
        </w:rPr>
        <w:t xml:space="preserve">. </w:t>
      </w:r>
      <w:r w:rsidRPr="00940D4F">
        <w:rPr>
          <w:rFonts w:cs="Times New Roman"/>
          <w:color w:val="000000"/>
          <w:lang w:val="en-US"/>
        </w:rPr>
        <w:t xml:space="preserve">There is no </w:t>
      </w:r>
      <w:r>
        <w:rPr>
          <w:rFonts w:cs="Times New Roman"/>
          <w:color w:val="000000"/>
          <w:lang w:val="en-US"/>
        </w:rPr>
        <w:t>estimation</w:t>
      </w:r>
      <w:r w:rsidRPr="00940D4F">
        <w:rPr>
          <w:rFonts w:cs="Times New Roman"/>
          <w:color w:val="000000"/>
          <w:lang w:val="en-US"/>
        </w:rPr>
        <w:t xml:space="preserve"> methodology for emissions of methane and nitrous oxide from the consumption of PBOs and PBGs as lubricants.</w:t>
      </w:r>
    </w:p>
    <w:p w14:paraId="56529C89" w14:textId="2CFB77CB" w:rsidR="00634A24" w:rsidRDefault="007865AC" w:rsidP="00634A24">
      <w:pPr>
        <w:rPr>
          <w:rFonts w:cs="Times New Roman"/>
          <w:color w:val="000000"/>
          <w:lang w:val="en-US"/>
        </w:rPr>
      </w:pPr>
      <w:r>
        <w:rPr>
          <w:rFonts w:cs="Times New Roman"/>
          <w:color w:val="000000"/>
          <w:lang w:val="en-US"/>
        </w:rPr>
        <w:t xml:space="preserve">In this </w:t>
      </w:r>
      <w:proofErr w:type="gramStart"/>
      <w:r>
        <w:rPr>
          <w:rFonts w:cs="Times New Roman"/>
          <w:color w:val="000000"/>
          <w:lang w:val="en-US"/>
        </w:rPr>
        <w:t xml:space="preserve">context, </w:t>
      </w:r>
      <w:r w:rsidR="00505F3F">
        <w:rPr>
          <w:rFonts w:cs="Times New Roman"/>
          <w:color w:val="000000"/>
          <w:lang w:val="en-US"/>
        </w:rPr>
        <w:t>‘</w:t>
      </w:r>
      <w:proofErr w:type="gramEnd"/>
      <w:r>
        <w:rPr>
          <w:rFonts w:cs="Times New Roman"/>
          <w:color w:val="000000"/>
          <w:lang w:val="en-US"/>
        </w:rPr>
        <w:t>use as a lubricant</w:t>
      </w:r>
      <w:r w:rsidR="00505F3F">
        <w:rPr>
          <w:rFonts w:cs="Times New Roman"/>
          <w:color w:val="000000"/>
          <w:lang w:val="en-US"/>
        </w:rPr>
        <w:t>’</w:t>
      </w:r>
      <w:r>
        <w:rPr>
          <w:rFonts w:cs="Times New Roman"/>
          <w:color w:val="000000"/>
          <w:lang w:val="en-US"/>
        </w:rPr>
        <w:t xml:space="preserve"> includes all circumstances where the primary function of a substance is to reduce friction between </w:t>
      </w:r>
      <w:r w:rsidR="00F74294">
        <w:rPr>
          <w:rFonts w:cs="Times New Roman"/>
          <w:color w:val="000000"/>
          <w:lang w:val="en-US"/>
        </w:rPr>
        <w:t xml:space="preserve">contacting surfaces. </w:t>
      </w:r>
      <w:r w:rsidR="00F74294">
        <w:rPr>
          <w:rFonts w:cs="Times New Roman"/>
          <w:color w:val="000000"/>
          <w:lang w:val="en-US"/>
        </w:rPr>
        <w:br/>
      </w:r>
      <w:r w:rsidR="00F74294">
        <w:rPr>
          <w:rFonts w:cs="Times New Roman"/>
          <w:color w:val="000000"/>
          <w:lang w:val="en-US"/>
        </w:rPr>
        <w:br/>
        <w:t xml:space="preserve">Examples </w:t>
      </w:r>
      <w:r w:rsidR="00634A24">
        <w:rPr>
          <w:rFonts w:cs="Times New Roman"/>
          <w:color w:val="000000"/>
          <w:lang w:val="en-US"/>
        </w:rPr>
        <w:t xml:space="preserve">of PBOs and PBGs used as lubricants </w:t>
      </w:r>
      <w:r w:rsidR="00F74294">
        <w:rPr>
          <w:rFonts w:cs="Times New Roman"/>
          <w:color w:val="000000"/>
          <w:lang w:val="en-US"/>
        </w:rPr>
        <w:t xml:space="preserve">include: </w:t>
      </w:r>
    </w:p>
    <w:p w14:paraId="0FBF33D0" w14:textId="545FEA82" w:rsidR="007865AC" w:rsidRPr="00063A80" w:rsidRDefault="00634A24" w:rsidP="00063A80">
      <w:pPr>
        <w:pStyle w:val="CERbullets"/>
        <w:rPr>
          <w:color w:val="000000"/>
          <w:lang w:val="en-US"/>
        </w:rPr>
      </w:pPr>
      <w:r w:rsidRPr="3C995B67">
        <w:rPr>
          <w:lang w:val="en-US"/>
        </w:rPr>
        <w:t xml:space="preserve">use </w:t>
      </w:r>
      <w:r w:rsidR="00F74294" w:rsidRPr="3C995B67">
        <w:rPr>
          <w:lang w:val="en-US"/>
        </w:rPr>
        <w:t>in the transmission of a heavy vehicle</w:t>
      </w:r>
    </w:p>
    <w:p w14:paraId="6326AC60" w14:textId="5807C99A" w:rsidR="00461D85" w:rsidRPr="00063A80" w:rsidRDefault="00461D85" w:rsidP="00063A80">
      <w:pPr>
        <w:pStyle w:val="CERbullets"/>
        <w:rPr>
          <w:color w:val="000000"/>
          <w:lang w:val="en-US"/>
        </w:rPr>
      </w:pPr>
      <w:r w:rsidRPr="3C995B67">
        <w:rPr>
          <w:lang w:val="en-US"/>
        </w:rPr>
        <w:t>oils u</w:t>
      </w:r>
      <w:r w:rsidRPr="3C995B67">
        <w:rPr>
          <w:color w:val="000000" w:themeColor="text1"/>
          <w:lang w:val="en-US"/>
        </w:rPr>
        <w:t>se</w:t>
      </w:r>
      <w:r w:rsidRPr="3C995B67">
        <w:rPr>
          <w:lang w:val="en-US"/>
        </w:rPr>
        <w:t>d</w:t>
      </w:r>
      <w:r w:rsidRPr="3C995B67">
        <w:rPr>
          <w:color w:val="000000" w:themeColor="text1"/>
          <w:lang w:val="en-US"/>
        </w:rPr>
        <w:t xml:space="preserve"> in </w:t>
      </w:r>
      <w:r w:rsidR="0004744B" w:rsidRPr="3C995B67">
        <w:rPr>
          <w:lang w:val="en-US"/>
        </w:rPr>
        <w:t>en</w:t>
      </w:r>
      <w:r w:rsidR="0004744B" w:rsidRPr="3C995B67">
        <w:rPr>
          <w:color w:val="000000" w:themeColor="text1"/>
          <w:lang w:val="en-US"/>
        </w:rPr>
        <w:t>gine</w:t>
      </w:r>
      <w:r w:rsidR="0004744B" w:rsidRPr="3C995B67">
        <w:rPr>
          <w:lang w:val="en-US"/>
        </w:rPr>
        <w:t>s</w:t>
      </w:r>
      <w:r w:rsidR="0004744B" w:rsidRPr="3C995B67">
        <w:rPr>
          <w:color w:val="000000" w:themeColor="text1"/>
          <w:lang w:val="en-US"/>
        </w:rPr>
        <w:t xml:space="preserve"> an</w:t>
      </w:r>
      <w:r w:rsidR="0004744B" w:rsidRPr="3C995B67">
        <w:rPr>
          <w:lang w:val="en-US"/>
        </w:rPr>
        <w:t>d</w:t>
      </w:r>
      <w:r w:rsidR="0004744B" w:rsidRPr="3C995B67">
        <w:rPr>
          <w:color w:val="000000" w:themeColor="text1"/>
          <w:lang w:val="en-US"/>
        </w:rPr>
        <w:t xml:space="preserve"> </w:t>
      </w:r>
      <w:r w:rsidRPr="3C995B67">
        <w:rPr>
          <w:lang w:val="en-US"/>
        </w:rPr>
        <w:t>g</w:t>
      </w:r>
      <w:r w:rsidRPr="3C995B67">
        <w:rPr>
          <w:color w:val="000000" w:themeColor="text1"/>
          <w:lang w:val="en-US"/>
        </w:rPr>
        <w:t>ea</w:t>
      </w:r>
      <w:r w:rsidRPr="3C995B67">
        <w:rPr>
          <w:lang w:val="en-US"/>
        </w:rPr>
        <w:t>r</w:t>
      </w:r>
      <w:r w:rsidRPr="3C995B67">
        <w:rPr>
          <w:color w:val="000000" w:themeColor="text1"/>
          <w:lang w:val="en-US"/>
        </w:rPr>
        <w:t>bo</w:t>
      </w:r>
      <w:r w:rsidRPr="3C995B67">
        <w:rPr>
          <w:lang w:val="en-US"/>
        </w:rPr>
        <w:t>xe</w:t>
      </w:r>
      <w:r w:rsidRPr="3C995B67">
        <w:rPr>
          <w:color w:val="000000" w:themeColor="text1"/>
          <w:lang w:val="en-US"/>
        </w:rPr>
        <w:t xml:space="preserve">s </w:t>
      </w:r>
    </w:p>
    <w:p w14:paraId="16DAABE0" w14:textId="59D3B89B" w:rsidR="00850A60" w:rsidRPr="00F149D6" w:rsidRDefault="007A316F" w:rsidP="00063A80">
      <w:pPr>
        <w:pStyle w:val="CERbullets"/>
      </w:pPr>
      <w:r>
        <w:t>greases used in electric motor applications</w:t>
      </w:r>
      <w:r w:rsidR="68BEA340">
        <w:t>.</w:t>
      </w:r>
    </w:p>
    <w:p w14:paraId="1EF67A82" w14:textId="38DBD732" w:rsidR="008040FA" w:rsidRPr="00E61EC9" w:rsidRDefault="008040FA" w:rsidP="008040FA">
      <w:pPr>
        <w:rPr>
          <w:rFonts w:cs="Times New Roman"/>
          <w:color w:val="000000"/>
          <w:lang w:val="en-US"/>
        </w:rPr>
      </w:pPr>
      <w:r w:rsidRPr="00E61EC9">
        <w:rPr>
          <w:rFonts w:cs="Times New Roman"/>
          <w:color w:val="000000"/>
          <w:lang w:val="en-US"/>
        </w:rPr>
        <w:t xml:space="preserve">Section </w:t>
      </w:r>
      <w:r w:rsidRPr="00C63077">
        <w:rPr>
          <w:rFonts w:cs="Times New Roman"/>
          <w:color w:val="000000"/>
          <w:lang w:val="en-US"/>
        </w:rPr>
        <w:t>2.40A (</w:t>
      </w:r>
      <w:r w:rsidRPr="00E61EC9">
        <w:rPr>
          <w:rFonts w:cs="Times New Roman"/>
          <w:color w:val="000000"/>
          <w:lang w:val="en-US"/>
        </w:rPr>
        <w:t xml:space="preserve">2) </w:t>
      </w:r>
      <w:r>
        <w:rPr>
          <w:rFonts w:cs="Times New Roman"/>
          <w:color w:val="000000"/>
          <w:lang w:val="en-US"/>
        </w:rPr>
        <w:t xml:space="preserve">also </w:t>
      </w:r>
      <w:r w:rsidRPr="00E61EC9">
        <w:rPr>
          <w:rFonts w:cs="Times New Roman"/>
          <w:color w:val="000000"/>
          <w:lang w:val="en-US"/>
        </w:rPr>
        <w:t xml:space="preserve">provides for incidental </w:t>
      </w:r>
      <w:r>
        <w:rPr>
          <w:rFonts w:cs="Times New Roman"/>
          <w:color w:val="000000"/>
          <w:lang w:val="en-US"/>
        </w:rPr>
        <w:t>reporting of</w:t>
      </w:r>
      <w:r w:rsidRPr="00E61EC9">
        <w:rPr>
          <w:rFonts w:cs="Times New Roman"/>
          <w:color w:val="000000"/>
          <w:lang w:val="en-US"/>
        </w:rPr>
        <w:t xml:space="preserve"> </w:t>
      </w:r>
      <w:r>
        <w:rPr>
          <w:rFonts w:cs="Times New Roman"/>
          <w:color w:val="000000"/>
          <w:lang w:val="en-US"/>
        </w:rPr>
        <w:t>e</w:t>
      </w:r>
      <w:r w:rsidRPr="00E61EC9">
        <w:rPr>
          <w:rFonts w:cs="Times New Roman"/>
          <w:color w:val="000000"/>
          <w:lang w:val="en-US"/>
        </w:rPr>
        <w:t>missions</w:t>
      </w:r>
      <w:r>
        <w:rPr>
          <w:rFonts w:cs="Times New Roman"/>
          <w:color w:val="000000"/>
          <w:lang w:val="en-US"/>
        </w:rPr>
        <w:t xml:space="preserve"> of PBOs and PBGs where</w:t>
      </w:r>
      <w:r w:rsidRPr="00E61EC9">
        <w:rPr>
          <w:rFonts w:cs="Times New Roman"/>
          <w:color w:val="000000"/>
          <w:lang w:val="en-US"/>
        </w:rPr>
        <w:t xml:space="preserve">, </w:t>
      </w:r>
      <w:r>
        <w:rPr>
          <w:rFonts w:cs="Times New Roman"/>
          <w:color w:val="000000"/>
          <w:lang w:val="en-US"/>
        </w:rPr>
        <w:t>a method other than those described in the NGER Measurement Determination</w:t>
      </w:r>
      <w:r w:rsidRPr="00E61EC9">
        <w:rPr>
          <w:rFonts w:cs="Times New Roman"/>
          <w:color w:val="000000"/>
          <w:lang w:val="en-US"/>
        </w:rPr>
        <w:t xml:space="preserve"> may be used that is consistent with the principles in section 1.13 of the </w:t>
      </w:r>
      <w:r>
        <w:rPr>
          <w:rFonts w:cs="Times New Roman"/>
          <w:color w:val="000000"/>
          <w:lang w:val="en-US"/>
        </w:rPr>
        <w:t>NGER Measurement Determination</w:t>
      </w:r>
      <w:r w:rsidRPr="00E61EC9">
        <w:rPr>
          <w:rFonts w:cs="Times New Roman"/>
          <w:color w:val="000000"/>
          <w:lang w:val="en-US"/>
        </w:rPr>
        <w:t>.</w:t>
      </w:r>
      <w:r>
        <w:rPr>
          <w:rFonts w:cs="Times New Roman"/>
          <w:color w:val="000000"/>
          <w:lang w:val="en-US"/>
        </w:rPr>
        <w:t xml:space="preserve"> See the </w:t>
      </w:r>
      <w:hyperlink r:id="rId33" w:tooltip="A link to theAggregated facility reporting percentage estimates and incidental emissions and energy guide on the Clean Energy Regulator website" w:history="1">
        <w:r w:rsidRPr="00F07553">
          <w:rPr>
            <w:rStyle w:val="Hyperlink"/>
            <w:rFonts w:asciiTheme="minorHAnsi" w:hAnsiTheme="minorHAnsi" w:cs="Times New Roman"/>
            <w:lang w:val="en-US"/>
          </w:rPr>
          <w:t>Aggregated facility reporting percentage estimates and incidental emissions and energy</w:t>
        </w:r>
        <w:r w:rsidRPr="00F07553">
          <w:rPr>
            <w:rStyle w:val="Hyperlink"/>
            <w:rFonts w:asciiTheme="minorHAnsi" w:hAnsiTheme="minorHAnsi" w:cs="Times New Roman"/>
            <w:vertAlign w:val="superscript"/>
            <w:lang w:val="en-US"/>
          </w:rPr>
          <w:footnoteReference w:id="13"/>
        </w:r>
      </w:hyperlink>
      <w:r w:rsidRPr="00E341D4">
        <w:rPr>
          <w:rFonts w:cs="Times New Roman"/>
          <w:color w:val="000000"/>
          <w:lang w:val="en-US"/>
        </w:rPr>
        <w:t xml:space="preserve"> guideline</w:t>
      </w:r>
      <w:r>
        <w:rPr>
          <w:rFonts w:cs="Times New Roman"/>
          <w:color w:val="000000"/>
          <w:lang w:val="en-US"/>
        </w:rPr>
        <w:t>.</w:t>
      </w:r>
    </w:p>
    <w:p w14:paraId="70C695FB" w14:textId="77777777" w:rsidR="008040FA" w:rsidRPr="00E61EC9" w:rsidRDefault="008040FA" w:rsidP="008040FA">
      <w:pPr>
        <w:pStyle w:val="Heading2"/>
        <w:rPr>
          <w:lang w:val="en-US"/>
        </w:rPr>
      </w:pPr>
      <w:bookmarkStart w:id="42" w:name="_Toc388946923"/>
      <w:bookmarkStart w:id="43" w:name="_Toc463000937"/>
      <w:bookmarkStart w:id="44" w:name="_Toc48567585"/>
      <w:bookmarkStart w:id="45" w:name="_Toc106720699"/>
      <w:bookmarkStart w:id="46" w:name="_Toc206592317"/>
      <w:r w:rsidRPr="00E61EC9">
        <w:rPr>
          <w:lang w:val="en-US"/>
        </w:rPr>
        <w:t>Method 1</w:t>
      </w:r>
      <w:bookmarkEnd w:id="42"/>
      <w:bookmarkEnd w:id="43"/>
      <w:bookmarkEnd w:id="44"/>
      <w:bookmarkEnd w:id="45"/>
      <w:bookmarkEnd w:id="46"/>
    </w:p>
    <w:p w14:paraId="0D74A656" w14:textId="2DCB2F93" w:rsidR="008040FA" w:rsidRPr="00E61EC9" w:rsidRDefault="008040FA" w:rsidP="008040FA">
      <w:pPr>
        <w:rPr>
          <w:rFonts w:cs="Times New Roman"/>
          <w:color w:val="000000"/>
          <w:lang w:val="en-US"/>
        </w:rPr>
      </w:pPr>
      <w:r w:rsidRPr="07125180">
        <w:rPr>
          <w:rFonts w:cs="Times New Roman"/>
          <w:lang w:val="en-US"/>
        </w:rPr>
        <w:t xml:space="preserve">Method 1 provides for </w:t>
      </w:r>
      <w:r w:rsidRPr="00E878D6">
        <w:rPr>
          <w:rFonts w:cs="Times New Roman"/>
        </w:rPr>
        <w:t>generalised</w:t>
      </w:r>
      <w:r w:rsidRPr="07125180">
        <w:rPr>
          <w:rFonts w:cs="Times New Roman"/>
          <w:lang w:val="en-US"/>
        </w:rPr>
        <w:t xml:space="preserve"> emissions estimates from the use of PBOs (other than PBOs used as fuel)</w:t>
      </w:r>
      <w:r w:rsidR="003849E6">
        <w:rPr>
          <w:rFonts w:cs="Times New Roman"/>
          <w:lang w:val="en-US"/>
        </w:rPr>
        <w:t xml:space="preserve"> </w:t>
      </w:r>
      <w:r w:rsidR="003849E6" w:rsidRPr="07125180">
        <w:rPr>
          <w:rFonts w:cs="Times New Roman"/>
          <w:lang w:val="en-US"/>
        </w:rPr>
        <w:t>and PBGs</w:t>
      </w:r>
      <w:r w:rsidRPr="07125180">
        <w:rPr>
          <w:rFonts w:cs="Times New Roman"/>
          <w:lang w:val="en-US"/>
        </w:rPr>
        <w:t xml:space="preserve">. Under </w:t>
      </w:r>
      <w:r w:rsidR="77A43B23" w:rsidRPr="07125180">
        <w:rPr>
          <w:rFonts w:cs="Times New Roman"/>
          <w:lang w:val="en-US"/>
        </w:rPr>
        <w:t>M</w:t>
      </w:r>
      <w:r w:rsidRPr="07125180">
        <w:rPr>
          <w:rFonts w:cs="Times New Roman"/>
          <w:lang w:val="en-US"/>
        </w:rPr>
        <w:t xml:space="preserve">ethod 1, reporters can use emission factors described in Part 3 of Schedule 1 of the NGER Measurement Determination or determine their own facility specific emission factors. Method 1 assumes a default oxidation factor approximately equal to 0.20 for petroleum-based oils and 0.05 for petroleum-based greases. This means that approximately 20% of the PBOs and 5% of the PBGs used in the facility </w:t>
      </w:r>
      <w:proofErr w:type="gramStart"/>
      <w:r w:rsidRPr="07125180">
        <w:rPr>
          <w:rFonts w:cs="Times New Roman"/>
          <w:lang w:val="en-US"/>
        </w:rPr>
        <w:t>is</w:t>
      </w:r>
      <w:proofErr w:type="gramEnd"/>
      <w:r w:rsidRPr="07125180">
        <w:rPr>
          <w:rFonts w:cs="Times New Roman"/>
          <w:lang w:val="en-US"/>
        </w:rPr>
        <w:t xml:space="preserve"> assumed </w:t>
      </w:r>
      <w:r w:rsidRPr="07125180">
        <w:rPr>
          <w:rFonts w:cs="Times New Roman"/>
          <w:lang w:val="en-US"/>
        </w:rPr>
        <w:lastRenderedPageBreak/>
        <w:t>to be combusted. Reporters should consider if this is the most appropriate oxidation factor in their circumstances.</w:t>
      </w:r>
    </w:p>
    <w:p w14:paraId="4F1DF74D" w14:textId="77777777" w:rsidR="008040FA" w:rsidRPr="00554AF3" w:rsidRDefault="008040FA" w:rsidP="008040FA">
      <w:pPr>
        <w:rPr>
          <w:lang w:val="en-US"/>
        </w:rPr>
      </w:pPr>
      <w:r>
        <w:rPr>
          <w:lang w:val="en-US"/>
        </w:rPr>
        <w:t>Method 1 is d</w:t>
      </w:r>
      <w:r w:rsidRPr="00554AF3">
        <w:rPr>
          <w:lang w:val="en-US"/>
        </w:rPr>
        <w:t xml:space="preserve">escribed in </w:t>
      </w:r>
      <w:r>
        <w:rPr>
          <w:lang w:val="en-US"/>
        </w:rPr>
        <w:t>sub</w:t>
      </w:r>
      <w:r w:rsidRPr="00554AF3">
        <w:rPr>
          <w:lang w:val="en-US"/>
        </w:rPr>
        <w:t xml:space="preserve">section 2.48A (1) of the </w:t>
      </w:r>
      <w:r>
        <w:rPr>
          <w:lang w:val="en-US"/>
        </w:rPr>
        <w:t>NGER Measurement Determination:</w:t>
      </w:r>
    </w:p>
    <w:p w14:paraId="4BA51871" w14:textId="77777777" w:rsidR="008040FA" w:rsidRPr="00BB26CD" w:rsidRDefault="00000000" w:rsidP="008040FA">
      <w:pPr>
        <w:rPr>
          <w:rFonts w:ascii="Arial" w:hAnsi="Arial" w:cs="Arial"/>
          <w:i/>
          <w:color w:val="000000"/>
          <w:sz w:val="24"/>
          <w:szCs w:val="20"/>
          <w:lang w:val="en-US"/>
        </w:rPr>
      </w:pPr>
      <m:oMathPara>
        <m:oMath>
          <m:sSub>
            <m:sSubPr>
              <m:ctrlPr>
                <w:rPr>
                  <w:rFonts w:ascii="Cambria Math" w:hAnsi="Cambria Math"/>
                  <w:i/>
                </w:rPr>
              </m:ctrlPr>
            </m:sSubPr>
            <m:e>
              <m:r>
                <w:rPr>
                  <w:rFonts w:ascii="Cambria Math" w:hAnsi="Cambria Math"/>
                </w:rPr>
                <m:t>E</m:t>
              </m:r>
            </m:e>
            <m:sub>
              <m:r>
                <w:rPr>
                  <w:rFonts w:ascii="Cambria Math" w:hAnsi="Cambria Math"/>
                </w:rPr>
                <m:t>pogco</m:t>
              </m:r>
              <m:r>
                <w:rPr>
                  <w:rFonts w:ascii="Cambria Math" w:hAnsi="Cambria Math"/>
                </w:rPr>
                <m:t>2</m:t>
              </m:r>
            </m:sub>
          </m:sSub>
          <m:r>
            <m:rPr>
              <m:sty m:val="p"/>
            </m:rP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pog</m:t>
              </m:r>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rPr>
                <m:t>EC</m:t>
              </m:r>
            </m:e>
            <m:sub>
              <m:r>
                <w:rPr>
                  <w:rFonts w:ascii="Cambria Math" w:hAnsi="Cambria Math"/>
                </w:rPr>
                <m:t>pogco</m:t>
              </m:r>
              <m:r>
                <w:rPr>
                  <w:rFonts w:ascii="Cambria Math" w:hAnsi="Cambria Math"/>
                </w:rPr>
                <m:t xml:space="preserve">2 </m:t>
              </m:r>
            </m:sub>
          </m:sSub>
          <m:r>
            <w:rPr>
              <w:rFonts w:ascii="Cambria Math" w:hAnsi="Cambria Math"/>
            </w:rPr>
            <m:t xml:space="preserve"> × </m:t>
          </m:r>
          <m:f>
            <m:fPr>
              <m:ctrlPr>
                <w:rPr>
                  <w:rFonts w:ascii="Cambria Math" w:hAnsi="Cambria Math"/>
                </w:rPr>
              </m:ctrlPr>
            </m:fPr>
            <m:num>
              <m:sSub>
                <m:sSubPr>
                  <m:ctrlPr>
                    <w:rPr>
                      <w:rFonts w:ascii="Cambria Math" w:hAnsi="Cambria Math"/>
                      <w:i/>
                    </w:rPr>
                  </m:ctrlPr>
                </m:sSubPr>
                <m:e>
                  <m:r>
                    <w:rPr>
                      <w:rFonts w:ascii="Cambria Math" w:hAnsi="Cambria Math"/>
                    </w:rPr>
                    <m:t>EF</m:t>
                  </m:r>
                </m:e>
                <m:sub>
                  <m:r>
                    <w:rPr>
                      <w:rFonts w:ascii="Cambria Math" w:hAnsi="Cambria Math"/>
                    </w:rPr>
                    <m:t>pogco</m:t>
                  </m:r>
                  <m:r>
                    <w:rPr>
                      <w:rFonts w:ascii="Cambria Math" w:hAnsi="Cambria Math"/>
                    </w:rPr>
                    <m:t>2</m:t>
                  </m:r>
                  <m:r>
                    <w:rPr>
                      <w:rFonts w:ascii="Cambria Math" w:hAnsi="Cambria Math"/>
                    </w:rPr>
                    <m:t>oxec</m:t>
                  </m:r>
                </m:sub>
              </m:sSub>
            </m:num>
            <m:den>
              <m:r>
                <w:rPr>
                  <w:rFonts w:ascii="Cambria Math" w:hAnsi="Cambria Math"/>
                </w:rPr>
                <m:t>1 000</m:t>
              </m:r>
            </m:den>
          </m:f>
        </m:oMath>
      </m:oMathPara>
    </w:p>
    <w:p w14:paraId="17A78E3B" w14:textId="77777777" w:rsidR="008040FA" w:rsidRPr="00E61EC9" w:rsidRDefault="008040FA" w:rsidP="00E878D6">
      <w:pPr>
        <w:ind w:left="720"/>
        <w:rPr>
          <w:rFonts w:cs="Times New Roman"/>
          <w:b/>
          <w:color w:val="000000"/>
          <w:lang w:val="en-US"/>
        </w:rPr>
      </w:pPr>
      <w:r w:rsidRPr="00E61EC9">
        <w:rPr>
          <w:rFonts w:cs="Arial"/>
          <w:i/>
          <w:color w:val="000000"/>
          <w:lang w:val="en-US"/>
        </w:rPr>
        <w:t>Where:</w:t>
      </w:r>
    </w:p>
    <w:p w14:paraId="1208257C" w14:textId="463294EC" w:rsidR="008040FA" w:rsidRPr="00E61EC9" w:rsidRDefault="00000000" w:rsidP="00E878D6">
      <w:pPr>
        <w:ind w:left="720"/>
        <w:rPr>
          <w:rFonts w:cs="Times New Roman"/>
          <w:color w:val="000000"/>
          <w:lang w:val="en-US"/>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pogco2</m:t>
            </m:r>
          </m:sub>
        </m:sSub>
      </m:oMath>
      <w:r w:rsidR="008040FA" w:rsidRPr="00E61EC9">
        <w:rPr>
          <w:rFonts w:cs="Times New Roman"/>
          <w:color w:val="000000"/>
          <w:lang w:val="en-US"/>
        </w:rPr>
        <w:t xml:space="preserve"> is the amount of carbon dioxide released from the consumption of PBOs or PBGs from the operation of the facility during the year measured in </w:t>
      </w:r>
      <w:r w:rsidR="0046019B" w:rsidRPr="0068362A">
        <w:rPr>
          <w:rFonts w:cs="Times New Roman"/>
          <w:color w:val="000000"/>
          <w:lang w:val="en-US"/>
        </w:rPr>
        <w:t xml:space="preserve">tonnes </w:t>
      </w:r>
      <w:r w:rsidR="00FF204D" w:rsidRPr="0068362A">
        <w:rPr>
          <w:rFonts w:cs="Times New Roman"/>
          <w:color w:val="000000"/>
          <w:lang w:val="en-US"/>
        </w:rPr>
        <w:t>carbon dioxide equivalen</w:t>
      </w:r>
      <w:r w:rsidR="00AA565A" w:rsidRPr="0068362A">
        <w:rPr>
          <w:rFonts w:cs="Times New Roman"/>
          <w:color w:val="000000"/>
          <w:lang w:val="en-US"/>
        </w:rPr>
        <w:t>ce</w:t>
      </w:r>
      <w:r w:rsidR="00880E60" w:rsidRPr="0068362A">
        <w:rPr>
          <w:rFonts w:cs="Times New Roman"/>
          <w:color w:val="000000"/>
          <w:lang w:val="en-US"/>
        </w:rPr>
        <w:t xml:space="preserve"> (</w:t>
      </w:r>
      <w:r w:rsidR="004814DE" w:rsidRPr="0068362A">
        <w:rPr>
          <w:rFonts w:cs="Times New Roman"/>
          <w:color w:val="000000"/>
          <w:lang w:val="en-US"/>
        </w:rPr>
        <w:t xml:space="preserve">t </w:t>
      </w:r>
      <w:r w:rsidR="008040FA" w:rsidRPr="0068362A">
        <w:rPr>
          <w:rFonts w:cs="Times New Roman"/>
          <w:color w:val="000000"/>
          <w:lang w:val="en-US"/>
        </w:rPr>
        <w:t>CO</w:t>
      </w:r>
      <w:r w:rsidR="008040FA" w:rsidRPr="0068362A">
        <w:rPr>
          <w:rFonts w:cs="Times New Roman"/>
          <w:color w:val="000000"/>
          <w:vertAlign w:val="subscript"/>
          <w:lang w:val="en-US"/>
        </w:rPr>
        <w:t>2</w:t>
      </w:r>
      <w:r w:rsidR="008040FA" w:rsidRPr="0068362A">
        <w:rPr>
          <w:rFonts w:cs="Times New Roman"/>
          <w:color w:val="000000"/>
          <w:lang w:val="en-US"/>
        </w:rPr>
        <w:t>-e</w:t>
      </w:r>
      <w:r w:rsidR="007E009E" w:rsidRPr="0068362A">
        <w:rPr>
          <w:rFonts w:cs="Times New Roman"/>
          <w:color w:val="000000"/>
          <w:lang w:val="en-US"/>
        </w:rPr>
        <w:t>)</w:t>
      </w:r>
      <w:r w:rsidR="008040FA" w:rsidRPr="0068362A">
        <w:rPr>
          <w:rFonts w:cs="Times New Roman"/>
          <w:color w:val="000000"/>
          <w:lang w:val="en-US"/>
        </w:rPr>
        <w:t>.</w:t>
      </w:r>
    </w:p>
    <w:p w14:paraId="5D92B46D" w14:textId="77777777" w:rsidR="008040FA" w:rsidRPr="00E61EC9" w:rsidRDefault="00000000" w:rsidP="00E878D6">
      <w:pPr>
        <w:ind w:left="720"/>
        <w:rPr>
          <w:rFonts w:cs="Times New Roman"/>
          <w:color w:val="000000"/>
          <w:lang w:val="en-US"/>
        </w:rPr>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pog</m:t>
            </m:r>
          </m:sub>
        </m:sSub>
      </m:oMath>
      <w:r w:rsidR="008040FA" w:rsidRPr="00E61EC9">
        <w:rPr>
          <w:rFonts w:cs="Times New Roman"/>
          <w:color w:val="000000"/>
          <w:lang w:val="en-US"/>
        </w:rPr>
        <w:t xml:space="preserve"> is the quantity of PBOs or PBGs consumed from the operation of the facility, estimated in accordance with Division 2.4.6 of the </w:t>
      </w:r>
      <w:r w:rsidR="008040FA">
        <w:rPr>
          <w:rFonts w:cs="Times New Roman"/>
          <w:color w:val="000000"/>
          <w:lang w:val="en-US"/>
        </w:rPr>
        <w:t>NGER Measurement Determination</w:t>
      </w:r>
      <w:r w:rsidR="008040FA" w:rsidRPr="00E61EC9">
        <w:rPr>
          <w:rFonts w:cs="Times New Roman"/>
          <w:color w:val="000000"/>
          <w:lang w:val="en-US"/>
        </w:rPr>
        <w:t>.</w:t>
      </w:r>
    </w:p>
    <w:p w14:paraId="6020A425" w14:textId="292999CE" w:rsidR="008040FA" w:rsidRPr="00E61EC9" w:rsidRDefault="00000000" w:rsidP="00E878D6">
      <w:pPr>
        <w:ind w:left="720"/>
        <w:rPr>
          <w:rFonts w:cs="Times New Roman"/>
          <w:color w:val="000000"/>
          <w:lang w:val="en-US"/>
        </w:rPr>
      </w:p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 xml:space="preserve">pogco2 </m:t>
            </m:r>
          </m:sub>
        </m:sSub>
      </m:oMath>
      <w:r w:rsidR="008040FA" w:rsidRPr="00E61EC9">
        <w:rPr>
          <w:rFonts w:cs="Times New Roman"/>
          <w:color w:val="000000"/>
          <w:lang w:val="en-US"/>
        </w:rPr>
        <w:t>is the energy content factor of PBOs or PBGs measured in gigajoules</w:t>
      </w:r>
      <w:r w:rsidR="008040FA" w:rsidRPr="0F788A02">
        <w:rPr>
          <w:rFonts w:cs="Times New Roman"/>
          <w:lang w:val="en-US"/>
        </w:rPr>
        <w:t xml:space="preserve"> </w:t>
      </w:r>
      <w:r w:rsidR="008040FA" w:rsidRPr="002E4196">
        <w:rPr>
          <w:rFonts w:cs="Times New Roman"/>
          <w:color w:val="000000"/>
          <w:lang w:val="en-US"/>
        </w:rPr>
        <w:t xml:space="preserve">per </w:t>
      </w:r>
      <w:r w:rsidR="005A6806" w:rsidRPr="00E878D6">
        <w:rPr>
          <w:rFonts w:cs="Times New Roman"/>
          <w:lang w:val="en-US"/>
        </w:rPr>
        <w:t>kilolitre (GJ</w:t>
      </w:r>
      <w:r w:rsidR="002E4196" w:rsidRPr="00E878D6">
        <w:rPr>
          <w:rFonts w:cs="Times New Roman"/>
          <w:lang w:val="en-US"/>
        </w:rPr>
        <w:t>/</w:t>
      </w:r>
      <w:r w:rsidR="006E78BF" w:rsidRPr="002E4196">
        <w:rPr>
          <w:rFonts w:cs="Times New Roman"/>
          <w:lang w:val="en-US"/>
        </w:rPr>
        <w:t>kL</w:t>
      </w:r>
      <w:r w:rsidR="002E4196" w:rsidRPr="00E878D6">
        <w:rPr>
          <w:rFonts w:cs="Times New Roman"/>
          <w:lang w:val="en-US"/>
        </w:rPr>
        <w:t>)</w:t>
      </w:r>
      <w:r w:rsidR="006E78BF" w:rsidRPr="002E4196">
        <w:rPr>
          <w:rFonts w:cs="Times New Roman"/>
          <w:lang w:val="en-US"/>
        </w:rPr>
        <w:t xml:space="preserve"> </w:t>
      </w:r>
      <w:r w:rsidR="008040FA" w:rsidRPr="002E4196">
        <w:rPr>
          <w:rFonts w:cs="Times New Roman"/>
          <w:color w:val="000000"/>
          <w:lang w:val="en-US"/>
        </w:rPr>
        <w:t>as</w:t>
      </w:r>
      <w:r w:rsidR="008040FA" w:rsidRPr="00E61EC9">
        <w:rPr>
          <w:rFonts w:cs="Times New Roman"/>
          <w:color w:val="000000"/>
          <w:lang w:val="en-US"/>
        </w:rPr>
        <w:t xml:space="preserve"> mentioned in Part 3 of Schedule 1 of the </w:t>
      </w:r>
      <w:r w:rsidR="008040FA">
        <w:rPr>
          <w:rFonts w:cs="Times New Roman"/>
          <w:color w:val="000000"/>
          <w:lang w:val="en-US"/>
        </w:rPr>
        <w:t>NGER Measurement Determination</w:t>
      </w:r>
      <w:r w:rsidR="008040FA" w:rsidRPr="00E61EC9">
        <w:rPr>
          <w:rFonts w:cs="Times New Roman"/>
          <w:color w:val="000000"/>
          <w:lang w:val="en-US"/>
        </w:rPr>
        <w:t xml:space="preserve">. </w:t>
      </w:r>
    </w:p>
    <w:p w14:paraId="5F460485" w14:textId="3BFE3134" w:rsidR="008040FA" w:rsidRPr="00E61EC9" w:rsidRDefault="00000000" w:rsidP="00E878D6">
      <w:pPr>
        <w:ind w:left="720"/>
        <w:rPr>
          <w:rFonts w:cs="Times New Roman"/>
          <w:color w:val="000000"/>
          <w:lang w:val="en-US"/>
        </w:rPr>
      </w:p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pogco2oxec</m:t>
            </m:r>
          </m:sub>
        </m:sSub>
      </m:oMath>
      <w:r w:rsidR="008040FA" w:rsidRPr="00E61EC9">
        <w:rPr>
          <w:rFonts w:cs="Times New Roman"/>
          <w:color w:val="000000"/>
          <w:lang w:val="en-US"/>
        </w:rPr>
        <w:t xml:space="preserve"> </w:t>
      </w:r>
      <w:r w:rsidR="008040FA">
        <w:rPr>
          <w:rFonts w:cs="Times New Roman"/>
          <w:color w:val="000000"/>
          <w:lang w:val="en-US"/>
        </w:rPr>
        <w:t xml:space="preserve">is </w:t>
      </w:r>
      <w:r w:rsidR="008040FA" w:rsidRPr="00E61EC9">
        <w:rPr>
          <w:rFonts w:cs="Times New Roman"/>
          <w:color w:val="000000"/>
          <w:lang w:val="en-US"/>
        </w:rPr>
        <w:t xml:space="preserve">the emission factor for carbon dioxide released from the operation of the facility during the year (which includes the effect of an oxidation factor) measured in </w:t>
      </w:r>
      <w:r w:rsidR="008040FA" w:rsidRPr="002E4196">
        <w:rPr>
          <w:rFonts w:cs="Times New Roman"/>
          <w:color w:val="000000"/>
          <w:lang w:val="en-US"/>
        </w:rPr>
        <w:t>kilograms CO</w:t>
      </w:r>
      <w:r w:rsidR="008040FA" w:rsidRPr="002E4196">
        <w:rPr>
          <w:rFonts w:cs="Times New Roman"/>
          <w:color w:val="000000"/>
          <w:vertAlign w:val="subscript"/>
          <w:lang w:val="en-US"/>
        </w:rPr>
        <w:t>2</w:t>
      </w:r>
      <w:r w:rsidR="008040FA" w:rsidRPr="002E4196">
        <w:rPr>
          <w:rFonts w:cs="Times New Roman"/>
          <w:color w:val="000000"/>
          <w:lang w:val="en-US"/>
        </w:rPr>
        <w:t>-e per gigajoule</w:t>
      </w:r>
      <w:r w:rsidR="004178B2" w:rsidRPr="0F788A02">
        <w:rPr>
          <w:rFonts w:cs="Times New Roman"/>
          <w:lang w:val="en-US"/>
        </w:rPr>
        <w:t xml:space="preserve"> (kg</w:t>
      </w:r>
      <w:r w:rsidR="00D579C1" w:rsidRPr="0F788A02">
        <w:rPr>
          <w:rFonts w:cs="Times New Roman"/>
          <w:lang w:val="en-US"/>
        </w:rPr>
        <w:t> </w:t>
      </w:r>
      <w:r w:rsidR="00E0382F" w:rsidRPr="0F788A02">
        <w:rPr>
          <w:rFonts w:cs="Times New Roman"/>
          <w:lang w:val="en-US"/>
        </w:rPr>
        <w:t>CO</w:t>
      </w:r>
      <w:r w:rsidR="00E0382F" w:rsidRPr="0F788A02">
        <w:rPr>
          <w:rFonts w:cs="Times New Roman"/>
          <w:vertAlign w:val="subscript"/>
          <w:lang w:val="en-US"/>
        </w:rPr>
        <w:t>2</w:t>
      </w:r>
      <w:r w:rsidR="00E0382F" w:rsidRPr="0F788A02">
        <w:rPr>
          <w:rFonts w:cs="Times New Roman"/>
          <w:lang w:val="en-US"/>
        </w:rPr>
        <w:t>-e/GJ)</w:t>
      </w:r>
      <w:r w:rsidR="004178B2" w:rsidRPr="0F788A02">
        <w:rPr>
          <w:rFonts w:cs="Times New Roman"/>
          <w:lang w:val="en-US"/>
        </w:rPr>
        <w:t xml:space="preserve"> </w:t>
      </w:r>
      <w:r w:rsidR="008040FA" w:rsidRPr="00E61EC9">
        <w:rPr>
          <w:rFonts w:cs="Times New Roman"/>
          <w:color w:val="000000"/>
          <w:lang w:val="en-US"/>
        </w:rPr>
        <w:t>of PBO or PBG consumed</w:t>
      </w:r>
      <w:r w:rsidR="008040FA">
        <w:rPr>
          <w:rFonts w:cs="Times New Roman"/>
          <w:color w:val="000000"/>
          <w:lang w:val="en-US"/>
        </w:rPr>
        <w:t xml:space="preserve"> as mentioned in Part 3 of Schedule 1</w:t>
      </w:r>
      <w:r w:rsidR="00503AD5">
        <w:rPr>
          <w:rFonts w:cs="Times New Roman"/>
          <w:color w:val="000000"/>
          <w:lang w:val="en-US"/>
        </w:rPr>
        <w:t xml:space="preserve"> </w:t>
      </w:r>
      <w:r w:rsidR="008040FA">
        <w:rPr>
          <w:rFonts w:cs="Times New Roman"/>
          <w:color w:val="000000"/>
          <w:lang w:val="en-US"/>
        </w:rPr>
        <w:t xml:space="preserve">of the NGER Measurement Determination, </w:t>
      </w:r>
      <w:r w:rsidR="008040FA" w:rsidRPr="00E61EC9">
        <w:rPr>
          <w:rFonts w:cs="Times New Roman"/>
          <w:color w:val="000000"/>
          <w:lang w:val="en-US"/>
        </w:rPr>
        <w:t xml:space="preserve">or as calculated through </w:t>
      </w:r>
      <w:r w:rsidR="008040FA">
        <w:rPr>
          <w:rFonts w:cs="Times New Roman"/>
          <w:color w:val="000000"/>
          <w:lang w:val="en-US"/>
        </w:rPr>
        <w:t xml:space="preserve">the </w:t>
      </w:r>
      <w:r w:rsidR="008040FA" w:rsidRPr="00E61EC9">
        <w:rPr>
          <w:rFonts w:cs="Times New Roman"/>
          <w:color w:val="000000"/>
          <w:lang w:val="en-US"/>
        </w:rPr>
        <w:t>equation</w:t>
      </w:r>
      <w:r w:rsidR="008040FA">
        <w:rPr>
          <w:rFonts w:cs="Times New Roman"/>
          <w:color w:val="000000"/>
          <w:lang w:val="en-US"/>
        </w:rPr>
        <w:t>s</w:t>
      </w:r>
      <w:r w:rsidR="008040FA" w:rsidRPr="00E61EC9">
        <w:rPr>
          <w:rFonts w:cs="Times New Roman"/>
          <w:color w:val="000000"/>
          <w:lang w:val="en-US"/>
        </w:rPr>
        <w:t xml:space="preserve"> below</w:t>
      </w:r>
      <w:r w:rsidR="008040FA">
        <w:rPr>
          <w:rFonts w:cs="Times New Roman"/>
          <w:color w:val="000000"/>
          <w:lang w:val="en-US"/>
        </w:rPr>
        <w:t>.</w:t>
      </w:r>
    </w:p>
    <w:p w14:paraId="1C283D6F" w14:textId="77777777" w:rsidR="008040FA" w:rsidRPr="001968EE" w:rsidRDefault="008040FA" w:rsidP="008040FA">
      <w:pPr>
        <w:pStyle w:val="Heading3"/>
        <w:rPr>
          <w:lang w:val="en-US"/>
        </w:rPr>
      </w:pPr>
      <w:bookmarkStart w:id="47" w:name="_Toc388946925"/>
      <w:bookmarkStart w:id="48" w:name="_Toc50111497"/>
      <w:bookmarkStart w:id="49" w:name="_Toc106720700"/>
      <w:bookmarkStart w:id="50" w:name="_Toc206592318"/>
      <w:r>
        <w:rPr>
          <w:lang w:val="en-US"/>
        </w:rPr>
        <w:t>Facility</w:t>
      </w:r>
      <w:r w:rsidRPr="00E61EC9">
        <w:rPr>
          <w:lang w:val="en-US"/>
        </w:rPr>
        <w:t xml:space="preserve"> specific oxidation and emission factor calculations</w:t>
      </w:r>
      <w:bookmarkEnd w:id="47"/>
      <w:bookmarkEnd w:id="48"/>
      <w:bookmarkEnd w:id="49"/>
      <w:bookmarkEnd w:id="50"/>
    </w:p>
    <w:p w14:paraId="4EC97A01" w14:textId="645CCFDA" w:rsidR="008040FA" w:rsidRDefault="008040FA" w:rsidP="008040FA">
      <w:pPr>
        <w:rPr>
          <w:rFonts w:eastAsia="Arial" w:cstheme="majorBidi"/>
          <w:b/>
          <w:lang w:val="en-US"/>
        </w:rPr>
      </w:pPr>
      <w:r>
        <w:rPr>
          <w:rFonts w:cs="Arial"/>
          <w:color w:val="000000"/>
          <w:lang w:val="en-US"/>
        </w:rPr>
        <w:t xml:space="preserve">To account for PBO and PBG that </w:t>
      </w:r>
      <w:proofErr w:type="gramStart"/>
      <w:r>
        <w:rPr>
          <w:rFonts w:cs="Arial"/>
          <w:color w:val="000000"/>
          <w:lang w:val="en-US"/>
        </w:rPr>
        <w:t>has</w:t>
      </w:r>
      <w:proofErr w:type="gramEnd"/>
      <w:r>
        <w:rPr>
          <w:rFonts w:cs="Arial"/>
          <w:color w:val="000000"/>
          <w:lang w:val="en-US"/>
        </w:rPr>
        <w:t xml:space="preserve"> been recovered at the facility and transferred offsite,</w:t>
      </w:r>
      <w:r w:rsidRPr="00E61EC9">
        <w:rPr>
          <w:rFonts w:cs="Arial"/>
          <w:color w:val="000000"/>
          <w:lang w:val="en-US"/>
        </w:rPr>
        <w:t xml:space="preserve"> </w:t>
      </w:r>
      <w:r w:rsidRPr="00E61EC9">
        <w:rPr>
          <w:rFonts w:cs="Times New Roman"/>
          <w:color w:val="000000"/>
          <w:lang w:val="en-US"/>
        </w:rPr>
        <w:t xml:space="preserve">a </w:t>
      </w:r>
      <w:r>
        <w:rPr>
          <w:rFonts w:cs="Times New Roman"/>
          <w:color w:val="000000"/>
          <w:lang w:val="en-US"/>
        </w:rPr>
        <w:t>facility</w:t>
      </w:r>
      <w:r w:rsidRPr="00E61EC9">
        <w:rPr>
          <w:rFonts w:cs="Times New Roman"/>
          <w:color w:val="000000"/>
          <w:lang w:val="en-US"/>
        </w:rPr>
        <w:t xml:space="preserve"> specific emission factor can be developed </w:t>
      </w:r>
      <w:r>
        <w:rPr>
          <w:rFonts w:cs="Times New Roman"/>
          <w:color w:val="000000"/>
          <w:lang w:val="en-US"/>
        </w:rPr>
        <w:t>under</w:t>
      </w:r>
      <w:r w:rsidRPr="000B108C">
        <w:rPr>
          <w:rFonts w:eastAsia="Arial" w:cstheme="majorBidi"/>
          <w:b/>
          <w:lang w:val="en-US"/>
        </w:rPr>
        <w:t xml:space="preserve"> </w:t>
      </w:r>
      <w:r w:rsidRPr="003F0EFB">
        <w:rPr>
          <w:rFonts w:eastAsia="Arial" w:cstheme="majorBidi"/>
          <w:lang w:val="en-US"/>
        </w:rPr>
        <w:t xml:space="preserve">section 2.48A (2) (b) of the </w:t>
      </w:r>
      <w:r>
        <w:rPr>
          <w:rFonts w:eastAsia="Arial" w:cstheme="majorBidi"/>
          <w:lang w:val="en-US"/>
        </w:rPr>
        <w:t>NGER Measurement Determination as follows:</w:t>
      </w:r>
    </w:p>
    <w:p w14:paraId="225A586C" w14:textId="77777777" w:rsidR="008040FA" w:rsidRPr="00BB26CD" w:rsidRDefault="00000000" w:rsidP="008040FA">
      <w:pPr>
        <w:rPr>
          <w:rFonts w:ascii="Arial" w:hAnsi="Arial" w:cs="Times New Roman"/>
          <w:color w:val="000000"/>
          <w:sz w:val="24"/>
          <w:lang w:val="en-US"/>
        </w:rPr>
      </w:pPr>
      <m:oMathPara>
        <m:oMath>
          <m:sSub>
            <m:sSubPr>
              <m:ctrlPr>
                <w:rPr>
                  <w:rFonts w:ascii="Cambria Math" w:hAnsi="Cambria Math"/>
                  <w:i/>
                </w:rPr>
              </m:ctrlPr>
            </m:sSubPr>
            <m:e>
              <m:r>
                <w:rPr>
                  <w:rFonts w:ascii="Cambria Math" w:hAnsi="Cambria Math"/>
                </w:rPr>
                <m:t>EF</m:t>
              </m:r>
            </m:e>
            <m:sub>
              <m:r>
                <w:rPr>
                  <w:rFonts w:ascii="Cambria Math" w:hAnsi="Cambria Math"/>
                </w:rPr>
                <m:t>pogco</m:t>
              </m:r>
              <m:r>
                <w:rPr>
                  <w:rFonts w:ascii="Cambria Math" w:hAnsi="Cambria Math"/>
                </w:rPr>
                <m:t>2</m:t>
              </m:r>
              <m:r>
                <w:rPr>
                  <w:rFonts w:ascii="Cambria Math" w:hAnsi="Cambria Math"/>
                </w:rPr>
                <m:t>oxec</m:t>
              </m:r>
            </m:sub>
          </m:sSub>
          <m:r>
            <m:rPr>
              <m:sty m:val="p"/>
            </m:rPr>
            <w:rPr>
              <w:rFonts w:ascii="Cambria Math" w:hAnsi="Cambria Math" w:cs="Cambria Math"/>
            </w:rPr>
            <m:t>=</m:t>
          </m:r>
          <m:sSub>
            <m:sSubPr>
              <m:ctrlPr>
                <w:rPr>
                  <w:rFonts w:ascii="Cambria Math" w:hAnsi="Cambria Math"/>
                  <w:i/>
                </w:rPr>
              </m:ctrlPr>
            </m:sSubPr>
            <m:e>
              <m:r>
                <w:rPr>
                  <w:rFonts w:ascii="Cambria Math" w:hAnsi="Cambria Math"/>
                </w:rPr>
                <m:t>OF</m:t>
              </m:r>
            </m:e>
            <m:sub>
              <m:r>
                <w:rPr>
                  <w:rFonts w:ascii="Cambria Math" w:hAnsi="Cambria Math"/>
                </w:rPr>
                <m:t>pog</m:t>
              </m:r>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pogco</m:t>
              </m:r>
              <m:r>
                <w:rPr>
                  <w:rFonts w:ascii="Cambria Math" w:hAnsi="Cambria Math"/>
                </w:rPr>
                <m:t>2</m:t>
              </m:r>
              <m:r>
                <w:rPr>
                  <w:rFonts w:ascii="Cambria Math" w:hAnsi="Cambria Math"/>
                </w:rPr>
                <m:t>ec</m:t>
              </m:r>
              <m:r>
                <w:rPr>
                  <w:rFonts w:ascii="Cambria Math" w:hAnsi="Cambria Math"/>
                </w:rPr>
                <m:t xml:space="preserve"> </m:t>
              </m:r>
            </m:sub>
          </m:sSub>
        </m:oMath>
      </m:oMathPara>
    </w:p>
    <w:p w14:paraId="7EFEFBD3" w14:textId="77777777" w:rsidR="008040FA" w:rsidRPr="00E61EC9" w:rsidRDefault="008040FA" w:rsidP="00E878D6">
      <w:pPr>
        <w:ind w:left="720"/>
        <w:rPr>
          <w:rFonts w:cs="Arial"/>
          <w:color w:val="000000"/>
          <w:lang w:val="en-US"/>
        </w:rPr>
      </w:pPr>
      <w:r w:rsidRPr="00E61EC9">
        <w:rPr>
          <w:rFonts w:cs="Arial"/>
          <w:color w:val="000000"/>
          <w:lang w:val="en-US"/>
        </w:rPr>
        <w:t>Where:</w:t>
      </w:r>
    </w:p>
    <w:p w14:paraId="170FD0A1" w14:textId="77777777" w:rsidR="008040FA" w:rsidRPr="006E3EB6" w:rsidRDefault="00000000" w:rsidP="00E878D6">
      <w:pPr>
        <w:ind w:left="720"/>
        <w:rPr>
          <w:rFonts w:eastAsia="Calibri" w:cs="Arial"/>
          <w:color w:val="000000"/>
        </w:rPr>
      </w:pPr>
      <m:oMath>
        <m:sSub>
          <m:sSubPr>
            <m:ctrlPr>
              <w:rPr>
                <w:rFonts w:ascii="Cambria Math" w:hAnsi="Cambria Math" w:cs="Arial"/>
                <w:bCs/>
                <w:i/>
              </w:rPr>
            </m:ctrlPr>
          </m:sSubPr>
          <m:e>
            <m:r>
              <w:rPr>
                <w:rFonts w:ascii="Cambria Math" w:hAnsi="Cambria Math" w:cs="Arial"/>
              </w:rPr>
              <m:t>OF</m:t>
            </m:r>
          </m:e>
          <m:sub>
            <m:r>
              <w:rPr>
                <w:rFonts w:ascii="Cambria Math" w:hAnsi="Cambria Math" w:cs="Arial"/>
              </w:rPr>
              <m:t>pog</m:t>
            </m:r>
          </m:sub>
        </m:sSub>
      </m:oMath>
      <w:r w:rsidR="008040FA" w:rsidRPr="0F788A02">
        <w:rPr>
          <w:rFonts w:cs="Arial"/>
          <w:color w:val="000000"/>
          <w:vertAlign w:val="subscript"/>
          <w:lang w:val="en-US"/>
        </w:rPr>
        <w:t xml:space="preserve"> </w:t>
      </w:r>
      <w:r w:rsidR="008040FA" w:rsidRPr="0F788A02">
        <w:rPr>
          <w:rFonts w:eastAsia="Calibri" w:cs="Arial"/>
          <w:color w:val="000000"/>
        </w:rPr>
        <w:t>is the estimated oxidation factor for PBOs or PBGs (to be determined according to equation 2 below).</w:t>
      </w:r>
    </w:p>
    <w:p w14:paraId="54C37772" w14:textId="77777777" w:rsidR="008040FA" w:rsidRPr="00BB26CD" w:rsidRDefault="00000000" w:rsidP="00E878D6">
      <w:pPr>
        <w:ind w:left="720"/>
        <w:rPr>
          <w:rFonts w:ascii="Arial" w:eastAsia="Calibri" w:hAnsi="Arial" w:cs="Arial"/>
          <w:color w:val="000000"/>
          <w:sz w:val="24"/>
          <w:szCs w:val="20"/>
        </w:rPr>
      </w:pPr>
      <m:oMath>
        <m:sSub>
          <m:sSubPr>
            <m:ctrlPr>
              <w:rPr>
                <w:rFonts w:ascii="Cambria Math" w:hAnsi="Cambria Math" w:cs="Arial"/>
                <w:bCs/>
                <w:i/>
              </w:rPr>
            </m:ctrlPr>
          </m:sSubPr>
          <m:e>
            <m:r>
              <w:rPr>
                <w:rFonts w:ascii="Cambria Math" w:hAnsi="Cambria Math" w:cs="Arial"/>
              </w:rPr>
              <m:t>EF</m:t>
            </m:r>
          </m:e>
          <m:sub>
            <m:r>
              <w:rPr>
                <w:rFonts w:ascii="Cambria Math" w:hAnsi="Cambria Math" w:cs="Arial"/>
              </w:rPr>
              <m:t>pogco</m:t>
            </m:r>
            <m:r>
              <w:rPr>
                <w:rFonts w:ascii="Cambria Math" w:hAnsi="Cambria Math" w:cs="Arial"/>
              </w:rPr>
              <m:t>2</m:t>
            </m:r>
            <m:r>
              <w:rPr>
                <w:rFonts w:ascii="Cambria Math" w:hAnsi="Cambria Math" w:cs="Arial"/>
              </w:rPr>
              <m:t>ec</m:t>
            </m:r>
            <m:r>
              <w:rPr>
                <w:rFonts w:ascii="Cambria Math" w:hAnsi="Cambria Math" w:cs="Arial"/>
              </w:rPr>
              <m:t xml:space="preserve"> </m:t>
            </m:r>
          </m:sub>
        </m:sSub>
      </m:oMath>
      <w:r w:rsidR="008040FA" w:rsidRPr="00E61EC9">
        <w:rPr>
          <w:rFonts w:eastAsia="Calibri" w:cs="Arial"/>
          <w:color w:val="000000"/>
        </w:rPr>
        <w:t>is 69.9</w:t>
      </w:r>
      <w:r w:rsidR="008040FA">
        <w:rPr>
          <w:rFonts w:eastAsia="Calibri" w:cs="Arial"/>
          <w:color w:val="000000"/>
        </w:rPr>
        <w:t>.</w:t>
      </w:r>
    </w:p>
    <w:p w14:paraId="69CA2AC6" w14:textId="77777777" w:rsidR="008040FA" w:rsidRPr="00BB26CD" w:rsidRDefault="008040FA" w:rsidP="00E878D6">
      <w:pPr>
        <w:suppressAutoHyphens/>
        <w:ind w:left="720"/>
        <w:rPr>
          <w:rFonts w:ascii="Arial" w:hAnsi="Arial" w:cs="Times New Roman"/>
          <w:color w:val="000000"/>
          <w:sz w:val="24"/>
          <w:lang w:val="en-US"/>
        </w:rPr>
      </w:pPr>
      <w:r w:rsidRPr="00777DCD">
        <w:rPr>
          <w:rFonts w:eastAsia="Arial" w:cstheme="majorBidi"/>
          <w:bCs/>
          <w:lang w:val="en-US"/>
        </w:rPr>
        <w:t>The facility</w:t>
      </w:r>
      <w:r w:rsidRPr="00777DCD">
        <w:rPr>
          <w:rFonts w:eastAsia="Arial" w:cstheme="majorBidi"/>
          <w:lang w:val="en-US"/>
        </w:rPr>
        <w:t xml:space="preserve"> specific oxidation </w:t>
      </w:r>
      <w:r w:rsidRPr="00777DCD">
        <w:rPr>
          <w:rFonts w:eastAsia="Arial" w:cstheme="majorBidi"/>
          <w:bCs/>
          <w:lang w:val="en-US"/>
        </w:rPr>
        <w:t>factor</w:t>
      </w:r>
      <w:r>
        <w:rPr>
          <w:rFonts w:eastAsia="Arial" w:cstheme="majorBidi"/>
          <w:bCs/>
          <w:lang w:val="en-US"/>
        </w:rPr>
        <w:t xml:space="preserve"> </w:t>
      </w:r>
      <w:r w:rsidRPr="00777DCD">
        <w:rPr>
          <w:rFonts w:eastAsia="Arial" w:cstheme="majorBidi"/>
          <w:bCs/>
          <w:lang w:val="en-US"/>
        </w:rPr>
        <w:t>is determine</w:t>
      </w:r>
      <w:r>
        <w:rPr>
          <w:rFonts w:eastAsia="Arial" w:cstheme="majorBidi"/>
          <w:bCs/>
          <w:lang w:val="en-US"/>
        </w:rPr>
        <w:t>d</w:t>
      </w:r>
      <w:r w:rsidRPr="00777DCD">
        <w:rPr>
          <w:rFonts w:eastAsia="Arial" w:cstheme="majorBidi"/>
          <w:bCs/>
          <w:lang w:val="en-US"/>
        </w:rPr>
        <w:t xml:space="preserve"> under</w:t>
      </w:r>
      <w:r w:rsidRPr="00777DCD">
        <w:rPr>
          <w:rFonts w:eastAsia="Arial" w:cstheme="majorBidi"/>
          <w:lang w:val="en-US"/>
        </w:rPr>
        <w:t xml:space="preserve"> section 2.48A (3) of the </w:t>
      </w:r>
      <w:r>
        <w:rPr>
          <w:rFonts w:eastAsia="Arial" w:cstheme="majorBidi"/>
          <w:lang w:val="en-US"/>
        </w:rPr>
        <w:t>NGER Measurement Determination</w:t>
      </w:r>
      <w:r w:rsidRPr="00777DCD">
        <w:rPr>
          <w:rFonts w:eastAsia="Arial" w:cstheme="majorBidi"/>
          <w:lang w:val="en-US"/>
        </w:rPr>
        <w:t>.</w:t>
      </w:r>
    </w:p>
    <w:p w14:paraId="0BD7F062" w14:textId="77777777" w:rsidR="008040FA" w:rsidRDefault="00000000" w:rsidP="008040FA">
      <w:pPr>
        <w:rPr>
          <w:rFonts w:ascii="Arial" w:hAnsi="Arial" w:cs="Arial"/>
          <w:color w:val="000000"/>
          <w:sz w:val="24"/>
          <w:lang w:val="en-US"/>
        </w:rPr>
      </w:pPr>
      <m:oMathPara>
        <m:oMath>
          <m:sSub>
            <m:sSubPr>
              <m:ctrlPr>
                <w:rPr>
                  <w:rFonts w:ascii="Cambria Math" w:hAnsi="Cambria Math"/>
                  <w:i/>
                </w:rPr>
              </m:ctrlPr>
            </m:sSubPr>
            <m:e>
              <m:r>
                <w:rPr>
                  <w:rFonts w:ascii="Cambria Math" w:hAnsi="Cambria Math"/>
                </w:rPr>
                <m:t>OF</m:t>
              </m:r>
            </m:e>
            <m:sub>
              <m:r>
                <w:rPr>
                  <w:rFonts w:ascii="Cambria Math" w:hAnsi="Cambria Math"/>
                </w:rPr>
                <m:t>pog</m:t>
              </m:r>
            </m:sub>
          </m:sSub>
          <m:r>
            <m:rPr>
              <m:sty m:val="p"/>
            </m:rPr>
            <w:rPr>
              <w:rFonts w:ascii="Cambria Math" w:hAnsi="Cambria Math" w:cs="Cambria Math"/>
            </w:rPr>
            <m:t>=</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pog</m:t>
                  </m:r>
                </m:sub>
              </m:sSub>
              <m:r>
                <w:rPr>
                  <w:rFonts w:ascii="Cambria Math" w:hAnsi="Cambria Math"/>
                </w:rPr>
                <m:t>-</m:t>
              </m:r>
              <m:r>
                <w:rPr>
                  <w:rFonts w:ascii="Cambria Math" w:hAnsi="Cambria Math"/>
                </w:rPr>
                <m:t>Oil</m:t>
              </m:r>
              <m:r>
                <w:rPr>
                  <w:rFonts w:ascii="Cambria Math" w:hAnsi="Cambria Math"/>
                </w:rPr>
                <m:t xml:space="preserve"> </m:t>
              </m:r>
              <m:r>
                <w:rPr>
                  <w:rFonts w:ascii="Cambria Math" w:hAnsi="Cambria Math"/>
                </w:rPr>
                <m:t>Transferred</m:t>
              </m:r>
              <m:r>
                <w:rPr>
                  <w:rFonts w:ascii="Cambria Math" w:hAnsi="Cambria Math"/>
                </w:rPr>
                <m:t xml:space="preserve"> </m:t>
              </m:r>
              <m:sSub>
                <m:sSubPr>
                  <m:ctrlPr>
                    <w:rPr>
                      <w:rFonts w:ascii="Cambria Math" w:hAnsi="Cambria Math"/>
                      <w:i/>
                    </w:rPr>
                  </m:ctrlPr>
                </m:sSubPr>
                <m:e>
                  <m:r>
                    <w:rPr>
                      <w:rFonts w:ascii="Cambria Math" w:hAnsi="Cambria Math"/>
                    </w:rPr>
                    <m:t>Offsite</m:t>
                  </m:r>
                </m:e>
                <m:sub>
                  <m:r>
                    <w:rPr>
                      <w:rFonts w:ascii="Cambria Math" w:hAnsi="Cambria Math"/>
                    </w:rPr>
                    <m:t>pog</m:t>
                  </m:r>
                </m:sub>
              </m:sSub>
            </m:num>
            <m:den>
              <m:sSub>
                <m:sSubPr>
                  <m:ctrlPr>
                    <w:rPr>
                      <w:rFonts w:ascii="Cambria Math" w:hAnsi="Cambria Math"/>
                      <w:i/>
                    </w:rPr>
                  </m:ctrlPr>
                </m:sSubPr>
                <m:e>
                  <m:r>
                    <w:rPr>
                      <w:rFonts w:ascii="Cambria Math" w:hAnsi="Cambria Math"/>
                    </w:rPr>
                    <m:t>Q</m:t>
                  </m:r>
                </m:e>
                <m:sub>
                  <m:r>
                    <w:rPr>
                      <w:rFonts w:ascii="Cambria Math" w:hAnsi="Cambria Math"/>
                    </w:rPr>
                    <m:t>pog</m:t>
                  </m:r>
                </m:sub>
              </m:sSub>
            </m:den>
          </m:f>
        </m:oMath>
      </m:oMathPara>
    </w:p>
    <w:p w14:paraId="762D9C24" w14:textId="77777777" w:rsidR="008040FA" w:rsidRPr="00BB26CD" w:rsidRDefault="008040FA" w:rsidP="00E878D6">
      <w:pPr>
        <w:ind w:left="720"/>
        <w:rPr>
          <w:lang w:val="en-US"/>
        </w:rPr>
      </w:pPr>
      <w:r w:rsidRPr="00BB26CD">
        <w:rPr>
          <w:lang w:val="en-US"/>
        </w:rPr>
        <w:t>Where:</w:t>
      </w:r>
    </w:p>
    <w:p w14:paraId="4ECC084A" w14:textId="77777777" w:rsidR="008040FA" w:rsidRPr="00E61EC9" w:rsidRDefault="008040FA" w:rsidP="00E878D6">
      <w:pPr>
        <w:ind w:left="720"/>
        <w:rPr>
          <w:rFonts w:cs="Arial"/>
          <w:color w:val="000000"/>
          <w:lang w:val="en-US"/>
        </w:rPr>
      </w:pPr>
      <m:oMath>
        <m:r>
          <w:rPr>
            <w:rFonts w:ascii="Cambria Math" w:hAnsi="Cambria Math" w:cs="Arial"/>
          </w:rPr>
          <m:t>Q</m:t>
        </m:r>
        <m:r>
          <w:rPr>
            <w:rFonts w:ascii="Cambria Math" w:hAnsi="Cambria Math" w:cs="Arial"/>
            <w:vertAlign w:val="subscript"/>
          </w:rPr>
          <m:t xml:space="preserve">pog </m:t>
        </m:r>
        <m:r>
          <w:rPr>
            <w:rFonts w:ascii="Cambria Math" w:hAnsi="Cambria Math" w:cs="Arial"/>
          </w:rPr>
          <m:t xml:space="preserve"> </m:t>
        </m:r>
      </m:oMath>
      <w:r>
        <w:rPr>
          <w:rFonts w:cs="Arial"/>
          <w:color w:val="000000"/>
          <w:lang w:val="en-US"/>
        </w:rPr>
        <w:t>is t</w:t>
      </w:r>
      <w:r w:rsidRPr="00E61EC9">
        <w:rPr>
          <w:rFonts w:cs="Arial"/>
          <w:color w:val="000000"/>
          <w:lang w:val="en-US"/>
        </w:rPr>
        <w:t xml:space="preserve">he quantity of PBOs or PBGs consumed from the operation of the facility, estimated in accordance with Division 2.4.6 of the </w:t>
      </w:r>
      <w:r>
        <w:rPr>
          <w:rFonts w:cs="Arial"/>
          <w:color w:val="000000"/>
          <w:lang w:val="en-US"/>
        </w:rPr>
        <w:t>NGER Measurement Determination</w:t>
      </w:r>
      <w:r w:rsidRPr="00E61EC9">
        <w:rPr>
          <w:rFonts w:cs="Arial"/>
          <w:color w:val="000000"/>
          <w:lang w:val="en-US"/>
        </w:rPr>
        <w:t xml:space="preserve">. </w:t>
      </w:r>
    </w:p>
    <w:p w14:paraId="0466D86D" w14:textId="77777777" w:rsidR="008040FA" w:rsidRPr="00E61EC9" w:rsidRDefault="00000000" w:rsidP="00E878D6">
      <w:pPr>
        <w:ind w:left="720"/>
        <w:rPr>
          <w:rFonts w:cs="Arial"/>
          <w:color w:val="000000"/>
          <w:lang w:val="en-US"/>
        </w:rPr>
      </w:pPr>
      <m:oMath>
        <m:sSub>
          <m:sSubPr>
            <m:ctrlPr>
              <w:rPr>
                <w:rFonts w:ascii="Cambria Math" w:hAnsi="Cambria Math" w:cs="Arial"/>
                <w:bCs/>
                <w:i/>
              </w:rPr>
            </m:ctrlPr>
          </m:sSubPr>
          <m:e>
            <m:r>
              <w:rPr>
                <w:rFonts w:ascii="Cambria Math" w:hAnsi="Cambria Math" w:cs="Arial"/>
              </w:rPr>
              <m:t>O</m:t>
            </m:r>
            <m:r>
              <w:rPr>
                <w:rFonts w:ascii="Cambria Math" w:hAnsi="Cambria Math" w:cs="Arial"/>
                <w:vertAlign w:val="subscript"/>
              </w:rPr>
              <m:t>il</m:t>
            </m:r>
            <m:r>
              <w:rPr>
                <w:rFonts w:ascii="Cambria Math" w:hAnsi="Cambria Math" w:cs="Arial"/>
                <w:vertAlign w:val="subscript"/>
              </w:rPr>
              <m:t xml:space="preserve"> </m:t>
            </m:r>
            <m:r>
              <w:rPr>
                <w:rFonts w:ascii="Cambria Math" w:hAnsi="Cambria Math" w:cs="Arial"/>
                <w:vertAlign w:val="subscript"/>
              </w:rPr>
              <m:t>Transferred</m:t>
            </m:r>
            <m:r>
              <w:rPr>
                <w:rFonts w:ascii="Cambria Math" w:hAnsi="Cambria Math" w:cs="Arial"/>
                <w:vertAlign w:val="subscript"/>
              </w:rPr>
              <m:t xml:space="preserve"> </m:t>
            </m:r>
            <m:r>
              <w:rPr>
                <w:rFonts w:ascii="Cambria Math" w:hAnsi="Cambria Math" w:cs="Arial"/>
                <w:vertAlign w:val="subscript"/>
              </w:rPr>
              <m:t>Offsite</m:t>
            </m:r>
          </m:e>
          <m:sub>
            <m:r>
              <w:rPr>
                <w:rFonts w:ascii="Cambria Math" w:hAnsi="Cambria Math" w:cs="Arial"/>
              </w:rPr>
              <m:t>pog</m:t>
            </m:r>
          </m:sub>
        </m:sSub>
      </m:oMath>
      <w:r w:rsidR="008040FA" w:rsidRPr="00E61EC9">
        <w:rPr>
          <w:rFonts w:cs="Arial"/>
          <w:color w:val="000000"/>
          <w:lang w:val="en-US"/>
        </w:rPr>
        <w:t xml:space="preserve"> </w:t>
      </w:r>
      <w:r w:rsidR="008040FA">
        <w:rPr>
          <w:rFonts w:cs="Arial"/>
          <w:color w:val="000000"/>
          <w:lang w:val="en-US"/>
        </w:rPr>
        <w:t xml:space="preserve">is </w:t>
      </w:r>
      <w:r w:rsidR="008040FA" w:rsidRPr="00E61EC9">
        <w:rPr>
          <w:rFonts w:cs="Arial"/>
          <w:color w:val="000000"/>
          <w:lang w:val="en-US"/>
        </w:rPr>
        <w:t xml:space="preserve">the quantity of oils, derived from PBOs or PBGs, transferred outside the facility, and estimated in accordance with Division 2.4.6 of the </w:t>
      </w:r>
      <w:r w:rsidR="008040FA">
        <w:rPr>
          <w:rFonts w:cs="Arial"/>
          <w:color w:val="000000"/>
          <w:lang w:val="en-US"/>
        </w:rPr>
        <w:t>NGER Measurement Determination</w:t>
      </w:r>
      <w:r w:rsidR="008040FA" w:rsidRPr="00E61EC9">
        <w:rPr>
          <w:rFonts w:cs="Arial"/>
          <w:color w:val="000000"/>
          <w:lang w:val="en-US"/>
        </w:rPr>
        <w:t>.</w:t>
      </w:r>
    </w:p>
    <w:p w14:paraId="78898365" w14:textId="77777777" w:rsidR="008040FA" w:rsidRPr="00E61EC9" w:rsidRDefault="008040FA" w:rsidP="008040FA">
      <w:pPr>
        <w:pStyle w:val="Heading2"/>
        <w:rPr>
          <w:lang w:val="en-US"/>
        </w:rPr>
      </w:pPr>
      <w:bookmarkStart w:id="51" w:name="_Toc388946927"/>
      <w:bookmarkStart w:id="52" w:name="_Toc463000938"/>
      <w:bookmarkStart w:id="53" w:name="_Toc48567586"/>
      <w:bookmarkStart w:id="54" w:name="_Toc106720701"/>
      <w:bookmarkStart w:id="55" w:name="_Toc206592319"/>
      <w:r w:rsidRPr="00E61EC9">
        <w:rPr>
          <w:lang w:val="en-US"/>
        </w:rPr>
        <w:lastRenderedPageBreak/>
        <w:t>Method 2</w:t>
      </w:r>
      <w:bookmarkEnd w:id="51"/>
      <w:bookmarkEnd w:id="52"/>
      <w:bookmarkEnd w:id="53"/>
      <w:bookmarkEnd w:id="54"/>
      <w:bookmarkEnd w:id="55"/>
    </w:p>
    <w:p w14:paraId="4E82A391" w14:textId="0A86EAC8" w:rsidR="008040FA" w:rsidRPr="00E61EC9" w:rsidRDefault="008040FA" w:rsidP="008040FA">
      <w:pPr>
        <w:rPr>
          <w:rFonts w:cs="Times New Roman"/>
          <w:color w:val="000000"/>
          <w:lang w:val="en-US"/>
        </w:rPr>
      </w:pPr>
      <w:r w:rsidRPr="00E61EC9">
        <w:rPr>
          <w:rFonts w:cs="Times New Roman"/>
          <w:color w:val="000000"/>
          <w:lang w:val="en-US"/>
        </w:rPr>
        <w:t xml:space="preserve">Method 2 is the same as </w:t>
      </w:r>
      <w:r w:rsidR="475EB875" w:rsidRPr="00E61EC9">
        <w:rPr>
          <w:rFonts w:cs="Times New Roman"/>
          <w:color w:val="000000"/>
          <w:lang w:val="en-US"/>
        </w:rPr>
        <w:t>M</w:t>
      </w:r>
      <w:r w:rsidRPr="00E61EC9">
        <w:rPr>
          <w:rFonts w:cs="Times New Roman"/>
          <w:color w:val="000000"/>
          <w:lang w:val="en-US"/>
        </w:rPr>
        <w:t xml:space="preserve">ethod 1, but a </w:t>
      </w:r>
      <w:r>
        <w:rPr>
          <w:rFonts w:cs="Times New Roman"/>
          <w:color w:val="000000"/>
          <w:lang w:val="en-US"/>
        </w:rPr>
        <w:t>facility</w:t>
      </w:r>
      <w:r w:rsidRPr="00E61EC9">
        <w:rPr>
          <w:rFonts w:cs="Times New Roman"/>
          <w:color w:val="000000"/>
          <w:lang w:val="en-US"/>
        </w:rPr>
        <w:t xml:space="preserve"> specific emission factor </w:t>
      </w:r>
      <m:oMath>
        <m:sSub>
          <m:sSubPr>
            <m:ctrlPr>
              <w:rPr>
                <w:rFonts w:ascii="Cambria Math" w:hAnsi="Cambria Math"/>
                <w:bCs/>
                <w:i/>
              </w:rPr>
            </m:ctrlPr>
          </m:sSubPr>
          <m:e>
            <m:r>
              <w:rPr>
                <w:rFonts w:ascii="Cambria Math" w:hAnsi="Cambria Math"/>
              </w:rPr>
              <m:t>EF</m:t>
            </m:r>
          </m:e>
          <m:sub>
            <m:r>
              <w:rPr>
                <w:rFonts w:ascii="Cambria Math" w:hAnsi="Cambria Math"/>
              </w:rPr>
              <m:t xml:space="preserve">pogco2ec </m:t>
            </m:r>
          </m:sub>
        </m:sSub>
      </m:oMath>
      <w:r w:rsidRPr="00E61EC9">
        <w:rPr>
          <w:rFonts w:cs="Times New Roman"/>
          <w:color w:val="000000"/>
          <w:lang w:val="en-US"/>
        </w:rPr>
        <w:t xml:space="preserve"> </w:t>
      </w:r>
      <w:r w:rsidRPr="00DA261C">
        <w:rPr>
          <w:rFonts w:cs="Times New Roman"/>
          <w:color w:val="000000"/>
          <w:lang w:val="en-US"/>
        </w:rPr>
        <w:t>must</w:t>
      </w:r>
      <w:r w:rsidRPr="00E61EC9">
        <w:rPr>
          <w:rFonts w:cs="Times New Roman"/>
          <w:color w:val="000000"/>
          <w:lang w:val="en-US"/>
        </w:rPr>
        <w:t xml:space="preserve"> be determined in accordance with Division 2.4.3 of the </w:t>
      </w:r>
      <w:r>
        <w:rPr>
          <w:rFonts w:cs="Times New Roman"/>
          <w:color w:val="000000"/>
          <w:lang w:val="en-US"/>
        </w:rPr>
        <w:t>NGER Measurement Determination</w:t>
      </w:r>
      <w:r w:rsidRPr="00E61EC9">
        <w:rPr>
          <w:rFonts w:cs="Times New Roman"/>
          <w:color w:val="000000"/>
          <w:lang w:val="en-US"/>
        </w:rPr>
        <w:t>.</w:t>
      </w:r>
    </w:p>
    <w:p w14:paraId="04C9BE7B" w14:textId="77777777" w:rsidR="008040FA" w:rsidRPr="00E61EC9" w:rsidRDefault="008040FA" w:rsidP="008040FA">
      <w:pPr>
        <w:pStyle w:val="Heading2"/>
        <w:rPr>
          <w:lang w:val="en-US"/>
        </w:rPr>
      </w:pPr>
      <w:bookmarkStart w:id="56" w:name="_Toc388946928"/>
      <w:bookmarkStart w:id="57" w:name="_Toc463000939"/>
      <w:bookmarkStart w:id="58" w:name="_Toc48567587"/>
      <w:bookmarkStart w:id="59" w:name="_Toc106720702"/>
      <w:bookmarkStart w:id="60" w:name="_Toc206592320"/>
      <w:r w:rsidRPr="00E61EC9">
        <w:rPr>
          <w:lang w:val="en-US"/>
        </w:rPr>
        <w:t>Method 3</w:t>
      </w:r>
      <w:bookmarkEnd w:id="56"/>
      <w:bookmarkEnd w:id="57"/>
      <w:bookmarkEnd w:id="58"/>
      <w:bookmarkEnd w:id="59"/>
      <w:bookmarkEnd w:id="60"/>
    </w:p>
    <w:p w14:paraId="4A9D2F21" w14:textId="74E9ABA8" w:rsidR="008040FA" w:rsidRPr="00E61EC9" w:rsidRDefault="008040FA" w:rsidP="0F788A02">
      <w:pPr>
        <w:rPr>
          <w:rFonts w:cs="Times New Roman"/>
          <w:i/>
          <w:iCs/>
          <w:color w:val="000000"/>
          <w:lang w:val="en-US"/>
        </w:rPr>
      </w:pPr>
      <w:r w:rsidRPr="00E61EC9">
        <w:rPr>
          <w:rFonts w:cs="Times New Roman"/>
          <w:color w:val="000000"/>
          <w:lang w:val="en-US"/>
        </w:rPr>
        <w:t xml:space="preserve">Method 3 is the same as </w:t>
      </w:r>
      <w:r w:rsidR="1515D03A" w:rsidRPr="0F788A02">
        <w:rPr>
          <w:rFonts w:cs="Times New Roman"/>
          <w:lang w:val="en-US"/>
        </w:rPr>
        <w:t>M</w:t>
      </w:r>
      <w:r w:rsidRPr="00E61EC9">
        <w:rPr>
          <w:rFonts w:cs="Times New Roman"/>
          <w:color w:val="000000"/>
          <w:lang w:val="en-US"/>
        </w:rPr>
        <w:t xml:space="preserve">ethod 1, but the </w:t>
      </w:r>
      <w:r>
        <w:rPr>
          <w:rFonts w:cs="Times New Roman"/>
          <w:color w:val="000000"/>
          <w:lang w:val="en-US"/>
        </w:rPr>
        <w:t>facility</w:t>
      </w:r>
      <w:r w:rsidRPr="00E61EC9">
        <w:rPr>
          <w:rFonts w:cs="Times New Roman"/>
          <w:color w:val="000000"/>
          <w:lang w:val="en-US"/>
        </w:rPr>
        <w:t xml:space="preserve"> specific emission factor </w:t>
      </w:r>
      <m:oMath>
        <m:sSub>
          <m:sSubPr>
            <m:ctrlPr>
              <w:rPr>
                <w:rFonts w:ascii="Cambria Math" w:hAnsi="Cambria Math"/>
                <w:bCs/>
                <w:i/>
              </w:rPr>
            </m:ctrlPr>
          </m:sSubPr>
          <m:e>
            <m:r>
              <w:rPr>
                <w:rFonts w:ascii="Cambria Math" w:hAnsi="Cambria Math"/>
              </w:rPr>
              <m:t>EF</m:t>
            </m:r>
          </m:e>
          <m:sub>
            <m:r>
              <w:rPr>
                <w:rFonts w:ascii="Cambria Math" w:hAnsi="Cambria Math"/>
              </w:rPr>
              <m:t xml:space="preserve">pogco2ec </m:t>
            </m:r>
          </m:sub>
        </m:sSub>
      </m:oMath>
      <w:r w:rsidRPr="00E61EC9">
        <w:rPr>
          <w:rFonts w:cs="Times New Roman"/>
          <w:color w:val="000000"/>
          <w:lang w:val="en-US"/>
        </w:rPr>
        <w:t xml:space="preserve"> </w:t>
      </w:r>
      <w:r w:rsidRPr="00DA261C">
        <w:rPr>
          <w:rFonts w:cs="Times New Roman"/>
          <w:color w:val="000000"/>
          <w:lang w:val="en-US"/>
        </w:rPr>
        <w:t>must</w:t>
      </w:r>
      <w:r w:rsidRPr="00E61EC9">
        <w:rPr>
          <w:rFonts w:cs="Times New Roman"/>
          <w:color w:val="000000"/>
          <w:lang w:val="en-US"/>
        </w:rPr>
        <w:t xml:space="preserve"> be determined in accordance with Division 2.4.4 of the </w:t>
      </w:r>
      <w:r>
        <w:rPr>
          <w:rFonts w:cs="Times New Roman"/>
          <w:color w:val="000000"/>
          <w:lang w:val="en-US"/>
        </w:rPr>
        <w:t>NGER Measurement Determination</w:t>
      </w:r>
      <w:r w:rsidRPr="00E61EC9">
        <w:rPr>
          <w:rFonts w:cs="Times New Roman"/>
          <w:color w:val="000000"/>
          <w:lang w:val="en-US"/>
        </w:rPr>
        <w:t xml:space="preserve">. </w:t>
      </w:r>
    </w:p>
    <w:p w14:paraId="196B72AD" w14:textId="7ED37A01" w:rsidR="00C04A84" w:rsidRPr="00627230" w:rsidRDefault="001C3D7C" w:rsidP="00B60D87">
      <w:pPr>
        <w:pStyle w:val="Heading1"/>
        <w:numPr>
          <w:ilvl w:val="0"/>
          <w:numId w:val="8"/>
        </w:numPr>
      </w:pPr>
      <w:bookmarkStart w:id="61" w:name="_6._Estimating_energy"/>
      <w:bookmarkStart w:id="62" w:name="_Toc388946926"/>
      <w:bookmarkStart w:id="63" w:name="_Toc106720703"/>
      <w:bookmarkStart w:id="64" w:name="_Toc206592321"/>
      <w:bookmarkEnd w:id="61"/>
      <w:r w:rsidRPr="00627230">
        <w:t xml:space="preserve">Estimating energy from the </w:t>
      </w:r>
      <w:r w:rsidR="002B3949" w:rsidRPr="00627230">
        <w:t>consumption</w:t>
      </w:r>
      <w:r w:rsidRPr="00627230">
        <w:t xml:space="preserve"> of PBOs and PBGs</w:t>
      </w:r>
      <w:r w:rsidR="002B3949" w:rsidRPr="00627230">
        <w:t xml:space="preserve"> without combustion</w:t>
      </w:r>
      <w:bookmarkEnd w:id="64"/>
      <w:r w:rsidRPr="00627230">
        <w:t xml:space="preserve"> </w:t>
      </w:r>
    </w:p>
    <w:p w14:paraId="5FE8AD4C" w14:textId="6C15C4C2" w:rsidR="00124F2B" w:rsidRDefault="00124F2B" w:rsidP="00B26A75">
      <w:pPr>
        <w:spacing w:before="240"/>
      </w:pPr>
      <w:r w:rsidRPr="006D32BD">
        <w:t xml:space="preserve">PBOGs </w:t>
      </w:r>
      <w:r>
        <w:t xml:space="preserve">may also be consumed without combustion. PBOGs </w:t>
      </w:r>
      <w:r w:rsidRPr="006D32BD">
        <w:t>that are consumed without combustion should be reported under section 2.68</w:t>
      </w:r>
      <w:r>
        <w:t xml:space="preserve"> of the NGER Measurement Determination</w:t>
      </w:r>
      <w:r w:rsidRPr="006D32BD">
        <w:t xml:space="preserve">. Some scenarios to which section 2.68 of the </w:t>
      </w:r>
      <w:r w:rsidRPr="006B6891">
        <w:t xml:space="preserve">NGER </w:t>
      </w:r>
      <w:r w:rsidRPr="00B94FE7">
        <w:t>Measurement Determination</w:t>
      </w:r>
      <w:r w:rsidRPr="006D32BD">
        <w:t xml:space="preserve"> </w:t>
      </w:r>
      <w:r w:rsidR="006623A7">
        <w:t>applies</w:t>
      </w:r>
      <w:r w:rsidRPr="006D32BD">
        <w:t xml:space="preserve"> include:</w:t>
      </w:r>
    </w:p>
    <w:p w14:paraId="7C4D3324" w14:textId="77777777" w:rsidR="00124F2B" w:rsidRPr="00F149D6" w:rsidRDefault="00124F2B" w:rsidP="00B60D87">
      <w:pPr>
        <w:pStyle w:val="CERbullets"/>
        <w:numPr>
          <w:ilvl w:val="0"/>
          <w:numId w:val="7"/>
        </w:numPr>
      </w:pPr>
      <w:r w:rsidRPr="00F149D6">
        <w:t>coating of metal products with petroleum-based oils for corrosion protection</w:t>
      </w:r>
    </w:p>
    <w:p w14:paraId="38AFF9EB" w14:textId="77777777" w:rsidR="00124F2B" w:rsidRPr="00F149D6" w:rsidRDefault="00124F2B" w:rsidP="00B60D87">
      <w:pPr>
        <w:pStyle w:val="CERbullets"/>
        <w:numPr>
          <w:ilvl w:val="0"/>
          <w:numId w:val="7"/>
        </w:numPr>
      </w:pPr>
      <w:r w:rsidRPr="00F149D6">
        <w:t>use of petroleum-based oils as hydraulic fluids (including brake fluids)</w:t>
      </w:r>
    </w:p>
    <w:p w14:paraId="481487CD" w14:textId="77777777" w:rsidR="00124F2B" w:rsidRPr="00F149D6" w:rsidRDefault="00124F2B" w:rsidP="00B60D87">
      <w:pPr>
        <w:pStyle w:val="CERbullets"/>
        <w:numPr>
          <w:ilvl w:val="0"/>
          <w:numId w:val="7"/>
        </w:numPr>
      </w:pPr>
      <w:r w:rsidRPr="00F149D6">
        <w:t>use of petroleum-based oils as components of products such as oil-extended polymers or elastomers, paints, solvents or sprays</w:t>
      </w:r>
    </w:p>
    <w:p w14:paraId="56AA9AD7" w14:textId="73B44094" w:rsidR="00124F2B" w:rsidRDefault="00124F2B" w:rsidP="00B60D87">
      <w:pPr>
        <w:pStyle w:val="CERbullets"/>
        <w:numPr>
          <w:ilvl w:val="0"/>
          <w:numId w:val="7"/>
        </w:numPr>
      </w:pPr>
      <w:r w:rsidRPr="00F149D6">
        <w:t>use of oils in electrical equipment (</w:t>
      </w:r>
      <w:r w:rsidR="00B20103">
        <w:t>for example,</w:t>
      </w:r>
      <w:r w:rsidRPr="00F149D6">
        <w:t xml:space="preserve"> transformer oil)</w:t>
      </w:r>
    </w:p>
    <w:p w14:paraId="6A02FC00" w14:textId="7D15BBF6" w:rsidR="00124F2B" w:rsidRPr="00F149D6" w:rsidRDefault="00124F2B" w:rsidP="00B60D87">
      <w:pPr>
        <w:pStyle w:val="CERbullets"/>
        <w:numPr>
          <w:ilvl w:val="0"/>
          <w:numId w:val="7"/>
        </w:numPr>
      </w:pPr>
      <w:r>
        <w:t xml:space="preserve">use of diesel or fuel oil </w:t>
      </w:r>
      <w:r w:rsidR="007A316F">
        <w:t xml:space="preserve">as </w:t>
      </w:r>
      <w:r w:rsidR="007A316F" w:rsidRPr="007A316F">
        <w:t>a surface modifier in coal froth floatation processe</w:t>
      </w:r>
      <w:r w:rsidR="007A316F">
        <w:t>s</w:t>
      </w:r>
    </w:p>
    <w:p w14:paraId="0F8A7A4C" w14:textId="1CF909AD" w:rsidR="00124F2B" w:rsidRPr="00F149D6" w:rsidRDefault="00124F2B" w:rsidP="00B60D87">
      <w:pPr>
        <w:pStyle w:val="CERbullets"/>
        <w:numPr>
          <w:ilvl w:val="0"/>
          <w:numId w:val="7"/>
        </w:numPr>
      </w:pPr>
      <w:r w:rsidRPr="00F149D6">
        <w:t>use of oils as heat transfer fluids or working fluids in industrial applications.</w:t>
      </w:r>
    </w:p>
    <w:p w14:paraId="0B25D28B" w14:textId="33F8864A" w:rsidR="008040FA" w:rsidRPr="009D003E" w:rsidRDefault="008040FA" w:rsidP="00B60D87">
      <w:pPr>
        <w:pStyle w:val="Heading1"/>
        <w:numPr>
          <w:ilvl w:val="0"/>
          <w:numId w:val="8"/>
        </w:numPr>
      </w:pPr>
      <w:bookmarkStart w:id="65" w:name="_Toc206592322"/>
      <w:r>
        <w:t>Measurement criteria for the</w:t>
      </w:r>
      <w:r w:rsidRPr="009D003E">
        <w:t xml:space="preserve"> quantity</w:t>
      </w:r>
      <w:bookmarkEnd w:id="62"/>
      <w:r>
        <w:t xml:space="preserve"> of PBOs and PBGs</w:t>
      </w:r>
      <w:r w:rsidRPr="009D003E">
        <w:t xml:space="preserve"> </w:t>
      </w:r>
      <w:r>
        <w:t>consumed</w:t>
      </w:r>
      <w:bookmarkEnd w:id="63"/>
      <w:bookmarkEnd w:id="65"/>
    </w:p>
    <w:p w14:paraId="450AD1E6" w14:textId="579ED76E" w:rsidR="008040FA" w:rsidRPr="00E61EC9" w:rsidRDefault="008040FA" w:rsidP="00B26A75">
      <w:pPr>
        <w:spacing w:before="240" w:after="0"/>
        <w:rPr>
          <w:rFonts w:cs="Arial"/>
          <w:color w:val="000000"/>
          <w:lang w:val="en-US"/>
        </w:rPr>
      </w:pPr>
      <w:r w:rsidRPr="00E61EC9">
        <w:rPr>
          <w:rFonts w:cs="Arial"/>
          <w:color w:val="000000"/>
          <w:lang w:val="en-US"/>
        </w:rPr>
        <w:t xml:space="preserve">Reporters must measure quantities consumed or transferred offsite, as noted in the above equations, in accordance with Division 2.4.6 of the </w:t>
      </w:r>
      <w:r>
        <w:rPr>
          <w:rFonts w:cs="Times New Roman"/>
          <w:color w:val="000000"/>
          <w:lang w:val="en-US"/>
        </w:rPr>
        <w:t>NGER Measurement Determination</w:t>
      </w:r>
      <w:r w:rsidRPr="00E61EC9">
        <w:rPr>
          <w:rFonts w:cs="Arial"/>
          <w:color w:val="000000"/>
          <w:lang w:val="en-US"/>
        </w:rPr>
        <w:t xml:space="preserve">. This Division describes </w:t>
      </w:r>
      <w:r w:rsidR="00DD7E00">
        <w:rPr>
          <w:rFonts w:cs="Arial"/>
          <w:color w:val="000000"/>
          <w:lang w:val="en-US"/>
        </w:rPr>
        <w:t>4</w:t>
      </w:r>
      <w:r w:rsidRPr="00E61EC9">
        <w:rPr>
          <w:rFonts w:cs="Arial"/>
          <w:color w:val="000000"/>
          <w:lang w:val="en-US"/>
        </w:rPr>
        <w:t xml:space="preserve"> criteria for measurement of liquid fuels. Th</w:t>
      </w:r>
      <w:r>
        <w:rPr>
          <w:rFonts w:cs="Arial"/>
          <w:color w:val="000000"/>
          <w:lang w:val="en-US"/>
        </w:rPr>
        <w:t>e NGER Measurement Determination</w:t>
      </w:r>
      <w:r w:rsidRPr="00E61EC9">
        <w:rPr>
          <w:rFonts w:cs="Arial"/>
          <w:color w:val="000000"/>
          <w:lang w:val="en-US"/>
        </w:rPr>
        <w:t xml:space="preserve"> </w:t>
      </w:r>
      <w:r w:rsidRPr="00E878D6">
        <w:rPr>
          <w:rFonts w:cs="Arial"/>
          <w:color w:val="000000"/>
        </w:rPr>
        <w:t>categorises</w:t>
      </w:r>
      <w:r w:rsidRPr="00E61EC9">
        <w:rPr>
          <w:rFonts w:cs="Arial"/>
          <w:color w:val="000000"/>
          <w:lang w:val="en-US"/>
        </w:rPr>
        <w:t xml:space="preserve"> PBOs and PBGs as liquid fuels. Accordingly, the measurement methodologies provided in Division 2.4.6, adapted to measurement of PBOs and PBGs</w:t>
      </w:r>
      <w:r>
        <w:rPr>
          <w:rFonts w:cs="Arial"/>
          <w:color w:val="000000"/>
          <w:lang w:val="en-US"/>
        </w:rPr>
        <w:t xml:space="preserve"> are</w:t>
      </w:r>
      <w:r w:rsidRPr="00E61EC9">
        <w:rPr>
          <w:rFonts w:cs="Arial"/>
          <w:color w:val="000000"/>
          <w:lang w:val="en-US"/>
        </w:rPr>
        <w:t xml:space="preserve"> as follows:</w:t>
      </w:r>
    </w:p>
    <w:p w14:paraId="4B232F42" w14:textId="77777777" w:rsidR="008040FA" w:rsidRPr="00DA261C" w:rsidRDefault="008040FA" w:rsidP="008040FA">
      <w:pPr>
        <w:autoSpaceDE w:val="0"/>
        <w:autoSpaceDN w:val="0"/>
        <w:adjustRightInd w:val="0"/>
        <w:spacing w:after="120"/>
        <w:ind w:left="714"/>
        <w:rPr>
          <w:rFonts w:eastAsia="Calibri" w:cs="Arial"/>
          <w:bCs/>
          <w:color w:val="000000"/>
        </w:rPr>
      </w:pPr>
    </w:p>
    <w:p w14:paraId="1FD8D47D" w14:textId="73C00E7F" w:rsidR="008040FA" w:rsidRPr="00DA261C" w:rsidRDefault="008040FA" w:rsidP="00B60D87">
      <w:pPr>
        <w:pStyle w:val="CERbullets"/>
        <w:numPr>
          <w:ilvl w:val="0"/>
          <w:numId w:val="5"/>
        </w:numPr>
        <w:rPr>
          <w:bCs/>
        </w:rPr>
      </w:pPr>
      <w:r w:rsidRPr="00DA261C">
        <w:rPr>
          <w:bCs/>
        </w:rPr>
        <w:t>Criterion A</w:t>
      </w:r>
      <w:r w:rsidRPr="00DA261C">
        <w:rPr>
          <w:bCs/>
          <w:lang w:val="en-US"/>
        </w:rPr>
        <w:t>:</w:t>
      </w:r>
      <w:r w:rsidRPr="006E3EB6">
        <w:rPr>
          <w:bCs/>
          <w:lang w:val="en-US"/>
        </w:rPr>
        <w:t xml:space="preserve"> </w:t>
      </w:r>
      <w:r w:rsidRPr="006E3EB6">
        <w:rPr>
          <w:bCs/>
        </w:rPr>
        <w:t xml:space="preserve">the amount of PBOs or PBGs delivered for </w:t>
      </w:r>
      <w:r w:rsidRPr="00DA261C">
        <w:rPr>
          <w:bCs/>
        </w:rPr>
        <w:t>the facility during the year as evidenced by invoices issued by the vendor of the PBO or PBGs.</w:t>
      </w:r>
    </w:p>
    <w:p w14:paraId="5C5C8D42" w14:textId="77777777" w:rsidR="008040FA" w:rsidRPr="00DB7205" w:rsidRDefault="008040FA" w:rsidP="00B60D87">
      <w:pPr>
        <w:pStyle w:val="CERbullets"/>
        <w:numPr>
          <w:ilvl w:val="0"/>
          <w:numId w:val="5"/>
        </w:numPr>
        <w:rPr>
          <w:bCs/>
          <w:lang w:val="en-US"/>
        </w:rPr>
      </w:pPr>
      <w:r w:rsidRPr="00DA261C">
        <w:rPr>
          <w:bCs/>
        </w:rPr>
        <w:t>Criterion AA:</w:t>
      </w:r>
      <w:r w:rsidRPr="006E3EB6">
        <w:rPr>
          <w:bCs/>
        </w:rPr>
        <w:t xml:space="preserve"> the amount of PBOs or PBGs combusted from the operation of the facility during the year based on amounts delivered during the year (evidenced by in</w:t>
      </w:r>
      <w:r w:rsidRPr="00EF56CE">
        <w:rPr>
          <w:bCs/>
        </w:rPr>
        <w:t xml:space="preserve">voices) as adjusted for the estimated change in the quantity of the stockpile of PBOs or PBGs for the facility during the year. </w:t>
      </w:r>
    </w:p>
    <w:p w14:paraId="65A4129D" w14:textId="77777777" w:rsidR="008040FA" w:rsidRPr="00E61EC9" w:rsidRDefault="008040FA" w:rsidP="00B60D87">
      <w:pPr>
        <w:pStyle w:val="CERbullets"/>
        <w:numPr>
          <w:ilvl w:val="0"/>
          <w:numId w:val="5"/>
        </w:numPr>
      </w:pPr>
      <w:r w:rsidRPr="00DA261C">
        <w:rPr>
          <w:bCs/>
        </w:rPr>
        <w:t>Criterion AAA</w:t>
      </w:r>
      <w:r w:rsidRPr="00E61EC9">
        <w:rPr>
          <w:b/>
        </w:rPr>
        <w:t>:</w:t>
      </w:r>
      <w:r w:rsidRPr="00E61EC9">
        <w:t xml:space="preserve"> the measurement during the year of the PBOs or PBGs co</w:t>
      </w:r>
      <w:r>
        <w:t xml:space="preserve">mbusted </w:t>
      </w:r>
      <w:r w:rsidRPr="00E61EC9">
        <w:t>from the operation of the facility</w:t>
      </w:r>
      <w:r>
        <w:t>.</w:t>
      </w:r>
      <w:r w:rsidRPr="00E61EC9">
        <w:t xml:space="preserve"> The measurement must be carried out:</w:t>
      </w:r>
    </w:p>
    <w:p w14:paraId="626AF19E" w14:textId="52D35C99" w:rsidR="008040FA" w:rsidRPr="004804F1" w:rsidRDefault="008040FA" w:rsidP="00B60D87">
      <w:pPr>
        <w:pStyle w:val="CERbullets"/>
        <w:numPr>
          <w:ilvl w:val="1"/>
          <w:numId w:val="1"/>
        </w:numPr>
      </w:pPr>
      <w:r w:rsidRPr="004804F1">
        <w:t>at the point of combustion at ambient temperatures and converted to standard temperatures, using measuring equipment calibrated to a measurement requirement, or</w:t>
      </w:r>
    </w:p>
    <w:p w14:paraId="11944D0D" w14:textId="436B444B" w:rsidR="00FD0542" w:rsidRPr="004804F1" w:rsidRDefault="00FD0542" w:rsidP="00B60D87">
      <w:pPr>
        <w:pStyle w:val="CERbullets"/>
        <w:numPr>
          <w:ilvl w:val="1"/>
          <w:numId w:val="1"/>
        </w:numPr>
      </w:pPr>
      <w:r w:rsidRPr="004804F1">
        <w:lastRenderedPageBreak/>
        <w:t>at ambient temperatures and converted to standard temperatures, at the point of sale of the PBOs or PBGs, using measurement equipment calibrated to a measurement requirement.</w:t>
      </w:r>
    </w:p>
    <w:p w14:paraId="3BC41968" w14:textId="2C38ECA4" w:rsidR="008040FA" w:rsidRPr="00E61EC9" w:rsidRDefault="00FE06A9" w:rsidP="00E878D6">
      <w:pPr>
        <w:pStyle w:val="CERbullets"/>
        <w:numPr>
          <w:ilvl w:val="0"/>
          <w:numId w:val="0"/>
        </w:numPr>
        <w:ind w:left="360"/>
      </w:pPr>
      <w:r>
        <w:t>The above point relating to</w:t>
      </w:r>
      <w:r w:rsidR="00F848A0">
        <w:t xml:space="preserve"> the </w:t>
      </w:r>
      <w:r w:rsidR="002D3CBC">
        <w:t>‘</w:t>
      </w:r>
      <w:r w:rsidR="00F848A0">
        <w:t>point of sale of the PBOs or PBGs</w:t>
      </w:r>
      <w:r w:rsidR="002D3CBC">
        <w:t>’</w:t>
      </w:r>
      <w:r w:rsidR="00F848A0">
        <w:t xml:space="preserve"> </w:t>
      </w:r>
      <w:r w:rsidR="00F150E4">
        <w:t xml:space="preserve">is </w:t>
      </w:r>
      <w:r w:rsidR="009A3630">
        <w:t xml:space="preserve">only </w:t>
      </w:r>
      <w:r w:rsidR="00F150E4">
        <w:t>available</w:t>
      </w:r>
      <w:r w:rsidR="009A3630">
        <w:t xml:space="preserve"> </w:t>
      </w:r>
      <w:r w:rsidR="008040FA" w:rsidRPr="00E61EC9">
        <w:t>if:</w:t>
      </w:r>
    </w:p>
    <w:p w14:paraId="6D0F90E8" w14:textId="77777777" w:rsidR="008040FA" w:rsidRPr="004804F1" w:rsidRDefault="008040FA" w:rsidP="00B60D87">
      <w:pPr>
        <w:pStyle w:val="CERbullets"/>
        <w:numPr>
          <w:ilvl w:val="1"/>
          <w:numId w:val="1"/>
        </w:numPr>
      </w:pPr>
      <w:r w:rsidRPr="004804F1">
        <w:t>the change in the stockpile of the PBOs or PBGs for the facility for the year is less than 1% of total combustion on average for the facility during the year, and</w:t>
      </w:r>
    </w:p>
    <w:p w14:paraId="0937043A" w14:textId="1EDB18A3" w:rsidR="008040FA" w:rsidRPr="004804F1" w:rsidRDefault="008040FA" w:rsidP="00B60D87">
      <w:pPr>
        <w:pStyle w:val="CERbullets"/>
        <w:numPr>
          <w:ilvl w:val="1"/>
          <w:numId w:val="1"/>
        </w:numPr>
      </w:pPr>
      <w:r w:rsidRPr="004804F1">
        <w:t>the stockpile of the PBOs or PBGs for the facility at the beginning of the year is less than 5% of the total combustion from the operation of the facility for the year</w:t>
      </w:r>
      <w:r w:rsidR="00CA1D06" w:rsidRPr="004804F1">
        <w:t>.</w:t>
      </w:r>
    </w:p>
    <w:p w14:paraId="1EA9E6EF" w14:textId="1D0EB967" w:rsidR="008040FA" w:rsidRDefault="008040FA" w:rsidP="008040FA">
      <w:pPr>
        <w:pStyle w:val="CERbullets"/>
        <w:numPr>
          <w:ilvl w:val="0"/>
          <w:numId w:val="0"/>
        </w:numPr>
        <w:ind w:left="720"/>
      </w:pPr>
    </w:p>
    <w:p w14:paraId="02D9F6C4" w14:textId="14CA033B" w:rsidR="007E37FF" w:rsidRDefault="008040FA" w:rsidP="00B60D87">
      <w:pPr>
        <w:pStyle w:val="CERbullets"/>
        <w:numPr>
          <w:ilvl w:val="0"/>
          <w:numId w:val="6"/>
        </w:numPr>
      </w:pPr>
      <w:r w:rsidRPr="00DA261C">
        <w:rPr>
          <w:bCs/>
        </w:rPr>
        <w:t>Criterion BBB:</w:t>
      </w:r>
      <w:r w:rsidRPr="00E61EC9">
        <w:t xml:space="preserve"> is the estimation of the co</w:t>
      </w:r>
      <w:r>
        <w:t xml:space="preserve">mbustion </w:t>
      </w:r>
      <w:r w:rsidRPr="00E61EC9">
        <w:t xml:space="preserve">of a PBO or PBG for the year using accepted industry measuring devices or, in the absence of such measuring devices, in accordance with industry practice if the equipment used to measure consumption of the fuel is not calibrated to a measurement requirement. </w:t>
      </w:r>
    </w:p>
    <w:p w14:paraId="4F5259CD" w14:textId="1CC1B34D" w:rsidR="008040FA" w:rsidRDefault="008040FA" w:rsidP="008040FA">
      <w:pPr>
        <w:autoSpaceDE w:val="0"/>
        <w:autoSpaceDN w:val="0"/>
        <w:adjustRightInd w:val="0"/>
        <w:spacing w:after="120"/>
        <w:rPr>
          <w:rFonts w:eastAsia="Calibri" w:cs="Arial"/>
          <w:color w:val="000000"/>
        </w:rPr>
      </w:pPr>
      <w:r w:rsidRPr="00E61EC9">
        <w:rPr>
          <w:rFonts w:eastAsia="Calibri" w:cs="Arial"/>
          <w:color w:val="000000"/>
        </w:rPr>
        <w:t>Criteri</w:t>
      </w:r>
      <w:r w:rsidR="002A0BF5">
        <w:rPr>
          <w:rFonts w:eastAsia="Calibri" w:cs="Arial"/>
          <w:color w:val="000000"/>
        </w:rPr>
        <w:t>on</w:t>
      </w:r>
      <w:r w:rsidRPr="00E61EC9">
        <w:rPr>
          <w:rFonts w:eastAsia="Calibri" w:cs="Arial"/>
          <w:color w:val="000000"/>
        </w:rPr>
        <w:t xml:space="preserve"> A, AA</w:t>
      </w:r>
      <w:r w:rsidR="00FA4C79">
        <w:rPr>
          <w:rFonts w:eastAsia="Calibri" w:cs="Arial"/>
          <w:color w:val="000000"/>
        </w:rPr>
        <w:t>,</w:t>
      </w:r>
      <w:r w:rsidRPr="00E61EC9">
        <w:rPr>
          <w:rFonts w:eastAsia="Calibri" w:cs="Arial"/>
          <w:color w:val="000000"/>
        </w:rPr>
        <w:t xml:space="preserve"> </w:t>
      </w:r>
      <w:r w:rsidR="002A0BF5">
        <w:rPr>
          <w:rFonts w:eastAsia="Calibri" w:cs="Arial"/>
          <w:color w:val="000000"/>
        </w:rPr>
        <w:t>or</w:t>
      </w:r>
      <w:r w:rsidRPr="00E61EC9">
        <w:rPr>
          <w:rFonts w:eastAsia="Calibri" w:cs="Arial"/>
          <w:color w:val="000000"/>
        </w:rPr>
        <w:t xml:space="preserve"> AAA </w:t>
      </w:r>
      <w:r>
        <w:rPr>
          <w:rFonts w:eastAsia="Calibri" w:cs="Arial"/>
          <w:color w:val="000000"/>
        </w:rPr>
        <w:t>must</w:t>
      </w:r>
      <w:r w:rsidRPr="00E61EC9">
        <w:rPr>
          <w:rFonts w:eastAsia="Calibri" w:cs="Arial"/>
          <w:color w:val="000000"/>
        </w:rPr>
        <w:t xml:space="preserve"> be used if the acquisition of the PBOs or PBGs involves a commercial transaction. </w:t>
      </w:r>
      <w:r w:rsidR="00532E19">
        <w:rPr>
          <w:rFonts w:eastAsia="Calibri" w:cs="Arial"/>
          <w:color w:val="000000"/>
        </w:rPr>
        <w:br/>
      </w:r>
    </w:p>
    <w:tbl>
      <w:tblPr>
        <w:tblStyle w:val="CERCallout"/>
        <w:tblW w:w="0" w:type="auto"/>
        <w:tblLook w:val="0480" w:firstRow="0" w:lastRow="0" w:firstColumn="1" w:lastColumn="0" w:noHBand="0" w:noVBand="1"/>
        <w:tblCaption w:val="test"/>
        <w:tblDescription w:val="tesst"/>
      </w:tblPr>
      <w:tblGrid>
        <w:gridCol w:w="9710"/>
      </w:tblGrid>
      <w:tr w:rsidR="00687171" w14:paraId="558BB4A3" w14:textId="77777777" w:rsidTr="00E878D6">
        <w:tc>
          <w:tcPr>
            <w:tcW w:w="9710" w:type="dxa"/>
          </w:tcPr>
          <w:p w14:paraId="389F6252" w14:textId="6B877167" w:rsidR="00687171" w:rsidRPr="0092568B" w:rsidRDefault="004E1FFB">
            <w:pPr>
              <w:spacing w:after="120"/>
            </w:pPr>
            <w:r w:rsidRPr="004E1FFB">
              <w:rPr>
                <w:rFonts w:asciiTheme="majorHAnsi" w:eastAsiaTheme="minorEastAsia" w:hAnsiTheme="majorHAnsi" w:cstheme="minorBidi"/>
                <w:b/>
                <w:sz w:val="24"/>
              </w:rPr>
              <w:t xml:space="preserve">Criterion AA and AAA </w:t>
            </w:r>
            <w:r>
              <w:br/>
            </w:r>
            <w:r w:rsidRPr="004E1FFB">
              <w:t>If, during a year, criterion AA, or criterion AAA using paragraph 2.52(2) (a) of the NGER Measurement Determination (</w:t>
            </w:r>
            <w:r w:rsidR="00D94DA5">
              <w:t>that is,</w:t>
            </w:r>
            <w:r w:rsidRPr="004E1FFB">
              <w:t xml:space="preserve"> measuring at the point of consumption or transfer), is used to estimate the quantity of PBOs or PBGs combusted then, in each year following that year, that same criterion must be used</w:t>
            </w:r>
          </w:p>
        </w:tc>
      </w:tr>
    </w:tbl>
    <w:p w14:paraId="27F21AD1" w14:textId="23069D7C" w:rsidR="00687171" w:rsidRPr="00E61EC9" w:rsidRDefault="00687171" w:rsidP="008040FA">
      <w:pPr>
        <w:autoSpaceDE w:val="0"/>
        <w:autoSpaceDN w:val="0"/>
        <w:adjustRightInd w:val="0"/>
        <w:spacing w:after="120"/>
        <w:rPr>
          <w:rFonts w:eastAsia="Calibri" w:cs="Arial"/>
          <w:color w:val="000000"/>
        </w:rPr>
      </w:pPr>
    </w:p>
    <w:p w14:paraId="254BFD58" w14:textId="4984BD64" w:rsidR="008040FA" w:rsidRPr="00E61EC9" w:rsidRDefault="008040FA" w:rsidP="008040FA">
      <w:pPr>
        <w:autoSpaceDE w:val="0"/>
        <w:autoSpaceDN w:val="0"/>
        <w:adjustRightInd w:val="0"/>
        <w:spacing w:after="120"/>
        <w:rPr>
          <w:rFonts w:eastAsia="Calibri" w:cs="Arial"/>
          <w:color w:val="000000"/>
        </w:rPr>
      </w:pPr>
      <w:r w:rsidRPr="00E61EC9">
        <w:rPr>
          <w:rFonts w:eastAsia="Calibri" w:cs="Arial"/>
          <w:color w:val="000000"/>
        </w:rPr>
        <w:t>Criteri</w:t>
      </w:r>
      <w:r w:rsidR="00F23044">
        <w:rPr>
          <w:rFonts w:eastAsia="Calibri" w:cs="Arial"/>
          <w:color w:val="000000"/>
        </w:rPr>
        <w:t>on</w:t>
      </w:r>
      <w:r w:rsidRPr="00E61EC9">
        <w:rPr>
          <w:rFonts w:eastAsia="Calibri" w:cs="Arial"/>
          <w:color w:val="000000"/>
        </w:rPr>
        <w:t xml:space="preserve"> AAA </w:t>
      </w:r>
      <w:r w:rsidR="00F23044">
        <w:rPr>
          <w:rFonts w:eastAsia="Calibri" w:cs="Arial"/>
          <w:color w:val="000000"/>
        </w:rPr>
        <w:t>or</w:t>
      </w:r>
      <w:r w:rsidRPr="00E61EC9">
        <w:rPr>
          <w:rFonts w:eastAsia="Calibri" w:cs="Arial"/>
          <w:color w:val="000000"/>
        </w:rPr>
        <w:t xml:space="preserve"> BBB </w:t>
      </w:r>
      <w:r>
        <w:rPr>
          <w:rFonts w:eastAsia="Calibri" w:cs="Arial"/>
          <w:color w:val="000000"/>
        </w:rPr>
        <w:t>must</w:t>
      </w:r>
      <w:r w:rsidRPr="00E61EC9">
        <w:rPr>
          <w:rFonts w:eastAsia="Calibri" w:cs="Arial"/>
          <w:color w:val="000000"/>
        </w:rPr>
        <w:t xml:space="preserve"> be used if the acquisition of the PBOs or PBGs </w:t>
      </w:r>
      <w:r w:rsidRPr="00DA261C">
        <w:rPr>
          <w:rFonts w:eastAsia="Calibri" w:cs="Arial"/>
          <w:color w:val="000000"/>
        </w:rPr>
        <w:t>does not</w:t>
      </w:r>
      <w:r w:rsidRPr="00E61EC9">
        <w:rPr>
          <w:rFonts w:eastAsia="Calibri" w:cs="Arial"/>
          <w:color w:val="000000"/>
        </w:rPr>
        <w:t xml:space="preserve"> involve a commercial transaction.</w:t>
      </w:r>
    </w:p>
    <w:p w14:paraId="71C0D68A" w14:textId="77777777" w:rsidR="008040FA" w:rsidRPr="000A4B8B" w:rsidRDefault="008040FA" w:rsidP="008040FA">
      <w:pPr>
        <w:rPr>
          <w:rFonts w:cs="Times New Roman"/>
          <w:color w:val="000000"/>
          <w:lang w:val="en-US"/>
        </w:rPr>
      </w:pPr>
      <w:r w:rsidRPr="00E61EC9">
        <w:rPr>
          <w:rFonts w:cs="Times New Roman"/>
          <w:color w:val="000000"/>
          <w:lang w:val="en-US"/>
        </w:rPr>
        <w:t xml:space="preserve">In accordance with the general principles of emissions reporting outlined in section 1.13 of the </w:t>
      </w:r>
      <w:r>
        <w:rPr>
          <w:rFonts w:cs="Times New Roman"/>
          <w:color w:val="000000"/>
          <w:lang w:val="en-US"/>
        </w:rPr>
        <w:t>NGER Measurement Determination</w:t>
      </w:r>
      <w:r w:rsidRPr="00E61EC9">
        <w:rPr>
          <w:rFonts w:cs="Times New Roman"/>
          <w:color w:val="000000"/>
          <w:lang w:val="en-US"/>
        </w:rPr>
        <w:t xml:space="preserve">, reporters must demonstrate that they have followed one of these criteria when estimating the amount of PBOs and PBGs consumed in or transferred from the facility. </w:t>
      </w:r>
    </w:p>
    <w:p w14:paraId="0DF35BDB" w14:textId="0FE77A87" w:rsidR="008040FA" w:rsidRPr="005D4879" w:rsidRDefault="008040FA" w:rsidP="00B60D87">
      <w:pPr>
        <w:pStyle w:val="Heading1"/>
        <w:numPr>
          <w:ilvl w:val="0"/>
          <w:numId w:val="8"/>
        </w:numPr>
      </w:pPr>
      <w:bookmarkStart w:id="66" w:name="_Toc48567588"/>
      <w:bookmarkStart w:id="67" w:name="_Toc106720704"/>
      <w:bookmarkStart w:id="68" w:name="_Toc206592323"/>
      <w:r>
        <w:t>More information</w:t>
      </w:r>
      <w:bookmarkEnd w:id="66"/>
      <w:bookmarkEnd w:id="67"/>
      <w:bookmarkEnd w:id="68"/>
    </w:p>
    <w:p w14:paraId="4C178D71" w14:textId="21D859BA" w:rsidR="008040FA" w:rsidRPr="00683A4B" w:rsidRDefault="008040FA" w:rsidP="00B26A75">
      <w:pPr>
        <w:spacing w:before="240"/>
      </w:pPr>
      <w:r w:rsidRPr="00683A4B">
        <w:t xml:space="preserve">Email: </w:t>
      </w:r>
      <w:hyperlink r:id="rId34" w:history="1">
        <w:r w:rsidR="006C6E51">
          <w:rPr>
            <w:rStyle w:val="Hyperlink"/>
          </w:rPr>
          <w:t>cer-nger-re</w:t>
        </w:r>
        <w:r w:rsidR="00557683">
          <w:rPr>
            <w:rStyle w:val="Hyperlink"/>
          </w:rPr>
          <w:t>porting@cer.gov.au</w:t>
        </w:r>
      </w:hyperlink>
    </w:p>
    <w:p w14:paraId="3E99FA53" w14:textId="77777777" w:rsidR="008040FA" w:rsidRPr="00683A4B" w:rsidRDefault="008040FA" w:rsidP="008040FA">
      <w:r w:rsidRPr="00683A4B">
        <w:t xml:space="preserve">Phone: </w:t>
      </w:r>
      <w:r w:rsidRPr="00100B77">
        <w:t>1300 553 542</w:t>
      </w:r>
      <w:r w:rsidRPr="00683A4B">
        <w:t xml:space="preserve"> within Australia </w:t>
      </w:r>
    </w:p>
    <w:p w14:paraId="40B874F5" w14:textId="6206DE3B" w:rsidR="00235142" w:rsidRDefault="008040FA" w:rsidP="00723FEA">
      <w:pPr>
        <w:spacing w:after="0"/>
      </w:pPr>
      <w:r w:rsidRPr="00683A4B">
        <w:t>Web</w:t>
      </w:r>
      <w:r>
        <w:t>site</w:t>
      </w:r>
      <w:r w:rsidRPr="00683A4B">
        <w:t xml:space="preserve">: </w:t>
      </w:r>
      <w:hyperlink r:id="rId35" w:tooltip="A link to the Clean Energy Regulator webiste" w:history="1">
        <w:r w:rsidR="00D87E72">
          <w:rPr>
            <w:rStyle w:val="Hyperlink"/>
          </w:rPr>
          <w:t>www.cer.gov.au</w:t>
        </w:r>
      </w:hyperlink>
    </w:p>
    <w:sectPr w:rsidR="00235142" w:rsidSect="00816A55">
      <w:headerReference w:type="default" r:id="rId36"/>
      <w:footerReference w:type="even" r:id="rId37"/>
      <w:footerReference w:type="default" r:id="rId38"/>
      <w:headerReference w:type="first" r:id="rId39"/>
      <w:footerReference w:type="first" r:id="rId40"/>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02F3" w14:textId="77777777" w:rsidR="00380C48" w:rsidRDefault="00380C48" w:rsidP="00176C28">
      <w:r>
        <w:separator/>
      </w:r>
    </w:p>
    <w:p w14:paraId="0D921C64" w14:textId="77777777" w:rsidR="00380C48" w:rsidRDefault="00380C48"/>
  </w:endnote>
  <w:endnote w:type="continuationSeparator" w:id="0">
    <w:p w14:paraId="7B953420" w14:textId="77777777" w:rsidR="00380C48" w:rsidRDefault="00380C48" w:rsidP="00176C28">
      <w:r>
        <w:continuationSeparator/>
      </w:r>
    </w:p>
    <w:p w14:paraId="25FD9DFF" w14:textId="77777777" w:rsidR="00380C48" w:rsidRDefault="00380C48"/>
  </w:endnote>
  <w:endnote w:type="continuationNotice" w:id="1">
    <w:p w14:paraId="428B8C38" w14:textId="77777777" w:rsidR="00380C48" w:rsidRDefault="00380C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9258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5A3" w14:textId="7C20A6BD"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4A6273" w:rsidRPr="002D18F3">
      <w:t>c</w:t>
    </w:r>
    <w:r w:rsidR="004A6273">
      <w:t>e</w:t>
    </w:r>
    <w:r w:rsidR="004A6273" w:rsidRPr="002D18F3">
      <w:t>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4A6273" w:rsidRPr="002D18F3">
      <w:rPr>
        <w:rStyle w:val="PageNumber"/>
      </w:rPr>
      <w:t>c</w:t>
    </w:r>
    <w:r w:rsidR="004A6273">
      <w:rPr>
        <w:rStyle w:val="PageNumber"/>
      </w:rPr>
      <w:t>e</w:t>
    </w:r>
    <w:r w:rsidR="004A6273" w:rsidRPr="002D18F3">
      <w:rPr>
        <w:rStyle w:val="PageNumber"/>
      </w:rPr>
      <w:t>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EDAB" w14:textId="77777777" w:rsidR="00380C48" w:rsidRDefault="00380C48" w:rsidP="00176C28">
      <w:r>
        <w:separator/>
      </w:r>
    </w:p>
    <w:p w14:paraId="7BC58F96" w14:textId="77777777" w:rsidR="00380C48" w:rsidRDefault="00380C48"/>
  </w:footnote>
  <w:footnote w:type="continuationSeparator" w:id="0">
    <w:p w14:paraId="729DF104" w14:textId="77777777" w:rsidR="00380C48" w:rsidRDefault="00380C48" w:rsidP="00176C28">
      <w:r>
        <w:continuationSeparator/>
      </w:r>
    </w:p>
    <w:p w14:paraId="30341127" w14:textId="77777777" w:rsidR="00380C48" w:rsidRDefault="00380C48"/>
  </w:footnote>
  <w:footnote w:type="continuationNotice" w:id="1">
    <w:p w14:paraId="2DB83829" w14:textId="77777777" w:rsidR="00380C48" w:rsidRDefault="00380C48">
      <w:pPr>
        <w:spacing w:after="0"/>
      </w:pPr>
    </w:p>
  </w:footnote>
  <w:footnote w:id="2">
    <w:p w14:paraId="16B71CE5" w14:textId="13470734" w:rsidR="003623BA" w:rsidRPr="00E878D6" w:rsidRDefault="003623BA">
      <w:pPr>
        <w:pStyle w:val="FootnoteText"/>
        <w:rPr>
          <w:lang w:val="en-AU"/>
        </w:rPr>
      </w:pPr>
      <w:r>
        <w:rPr>
          <w:rStyle w:val="FootnoteReference"/>
        </w:rPr>
        <w:footnoteRef/>
      </w:r>
      <w:r>
        <w:t xml:space="preserve"> </w:t>
      </w:r>
      <w:r w:rsidR="00042978" w:rsidRPr="00B26A75">
        <w:t>https://cer.gov.au/schemes/national-greenhouse-and-energy-reporting-scheme/assess-your-obligations#what-is-an-nger-facility</w:t>
      </w:r>
      <w:r w:rsidR="00DA194C" w:rsidRPr="00063A80">
        <w:rPr>
          <w:color w:val="000000"/>
          <w:shd w:val="clear" w:color="auto" w:fill="FFFFFF"/>
        </w:rPr>
        <w:t xml:space="preserve"> </w:t>
      </w:r>
    </w:p>
  </w:footnote>
  <w:footnote w:id="3">
    <w:p w14:paraId="33273B4F" w14:textId="3F82EE51" w:rsidR="00825977" w:rsidRPr="008F212C" w:rsidRDefault="00825977" w:rsidP="00825977">
      <w:pPr>
        <w:pStyle w:val="FootnoteText"/>
        <w:rPr>
          <w:lang w:val="en-AU"/>
        </w:rPr>
      </w:pPr>
      <w:r>
        <w:rPr>
          <w:rStyle w:val="FootnoteReference"/>
        </w:rPr>
        <w:footnoteRef/>
      </w:r>
      <w:r>
        <w:t xml:space="preserve"> </w:t>
      </w:r>
      <w:r w:rsidR="009D1CCF" w:rsidRPr="00B26A75">
        <w:t>https://www.legislation.gov.au/help-and-resources/understanding-legislation/reading-legislation</w:t>
      </w:r>
      <w:r>
        <w:t xml:space="preserve"> </w:t>
      </w:r>
    </w:p>
  </w:footnote>
  <w:footnote w:id="4">
    <w:p w14:paraId="00943DF8" w14:textId="058373B5" w:rsidR="008040FA" w:rsidRPr="00912B0F" w:rsidRDefault="008040FA" w:rsidP="008040FA">
      <w:pPr>
        <w:pStyle w:val="FootnoteText"/>
      </w:pPr>
      <w:r>
        <w:rPr>
          <w:rStyle w:val="FootnoteReference"/>
        </w:rPr>
        <w:footnoteRef/>
      </w:r>
      <w:r>
        <w:t xml:space="preserve"> </w:t>
      </w:r>
      <w:r w:rsidR="007604CE" w:rsidRPr="00B26A75">
        <w:t>https://www.legislation.gov.au/Series/C2007A00175</w:t>
      </w:r>
      <w:r w:rsidRPr="00912B0F">
        <w:t xml:space="preserve"> </w:t>
      </w:r>
    </w:p>
  </w:footnote>
  <w:footnote w:id="5">
    <w:p w14:paraId="521A0AC4" w14:textId="586B47A7" w:rsidR="008040FA" w:rsidRPr="00912B0F" w:rsidRDefault="008040FA" w:rsidP="008040FA">
      <w:pPr>
        <w:pStyle w:val="FootnoteText"/>
      </w:pPr>
      <w:r w:rsidRPr="00912B0F">
        <w:rPr>
          <w:rStyle w:val="FootnoteReference"/>
        </w:rPr>
        <w:footnoteRef/>
      </w:r>
      <w:r w:rsidRPr="00912B0F">
        <w:t xml:space="preserve"> </w:t>
      </w:r>
      <w:r w:rsidR="007604CE" w:rsidRPr="00B26A75">
        <w:t>https://www.legislation.gov.au/Series/F2008L0223</w:t>
      </w:r>
    </w:p>
  </w:footnote>
  <w:footnote w:id="6">
    <w:p w14:paraId="4C1BD978" w14:textId="18ABE573" w:rsidR="008040FA" w:rsidRPr="00912B0F" w:rsidRDefault="008040FA" w:rsidP="008040FA">
      <w:pPr>
        <w:pStyle w:val="FootnoteText"/>
      </w:pPr>
      <w:r w:rsidRPr="00912B0F">
        <w:rPr>
          <w:rStyle w:val="FootnoteReference"/>
        </w:rPr>
        <w:footnoteRef/>
      </w:r>
      <w:r w:rsidRPr="00912B0F">
        <w:t xml:space="preserve"> </w:t>
      </w:r>
      <w:r w:rsidR="007604CE" w:rsidRPr="00B26A75">
        <w:t>https://www.legislation.gov.au/Series/F2008L02309</w:t>
      </w:r>
      <w:r w:rsidRPr="00912B0F">
        <w:t xml:space="preserve"> </w:t>
      </w:r>
    </w:p>
  </w:footnote>
  <w:footnote w:id="7">
    <w:p w14:paraId="6372B4D9" w14:textId="0EC6F806" w:rsidR="008040FA" w:rsidRPr="00740092" w:rsidRDefault="008040FA" w:rsidP="008040FA">
      <w:pPr>
        <w:pStyle w:val="FootnoteText"/>
      </w:pPr>
      <w:r w:rsidRPr="00912B0F">
        <w:rPr>
          <w:rStyle w:val="FootnoteReference"/>
        </w:rPr>
        <w:footnoteRef/>
      </w:r>
      <w:r w:rsidRPr="00912B0F">
        <w:t xml:space="preserve"> </w:t>
      </w:r>
      <w:r w:rsidR="007604CE" w:rsidRPr="00B26A75">
        <w:t>https://cer.gov.au/schemes/national-greenhouse-and-energy-reporting-scheme</w:t>
      </w:r>
      <w:r w:rsidR="000352BB">
        <w:t xml:space="preserve"> </w:t>
      </w:r>
    </w:p>
  </w:footnote>
  <w:footnote w:id="8">
    <w:p w14:paraId="308438D6" w14:textId="17C3CB84" w:rsidR="00952E67" w:rsidRPr="00063A80" w:rsidRDefault="00952E67">
      <w:pPr>
        <w:pStyle w:val="FootnoteText"/>
        <w:rPr>
          <w:lang w:val="en-AU"/>
        </w:rPr>
      </w:pPr>
      <w:r>
        <w:rPr>
          <w:rStyle w:val="FootnoteReference"/>
        </w:rPr>
        <w:footnoteRef/>
      </w:r>
      <w:r>
        <w:t xml:space="preserve"> </w:t>
      </w:r>
      <w:r w:rsidR="004F3ADD" w:rsidRPr="00B26A75">
        <w:t>https://cer.gov.au/schemes/national-greenhouse-and-energy-reporting-scheme/report-emissions-and-energy/amendments</w:t>
      </w:r>
      <w:r>
        <w:t xml:space="preserve"> </w:t>
      </w:r>
    </w:p>
  </w:footnote>
  <w:footnote w:id="9">
    <w:p w14:paraId="5069897B" w14:textId="69895969" w:rsidR="00B00E8E" w:rsidRPr="00063A80" w:rsidRDefault="00B00E8E">
      <w:pPr>
        <w:pStyle w:val="FootnoteText"/>
        <w:rPr>
          <w:lang w:val="en-AU"/>
        </w:rPr>
      </w:pPr>
      <w:r>
        <w:rPr>
          <w:rStyle w:val="FootnoteReference"/>
        </w:rPr>
        <w:footnoteRef/>
      </w:r>
      <w:r>
        <w:t xml:space="preserve"> </w:t>
      </w:r>
      <w:r w:rsidR="004F3ADD" w:rsidRPr="00B26A75">
        <w:t>https://cer.gov.au/document_page/estimating-emissions-and-energy-fuel-combustion-guideline</w:t>
      </w:r>
      <w:r>
        <w:t xml:space="preserve"> </w:t>
      </w:r>
    </w:p>
  </w:footnote>
  <w:footnote w:id="10">
    <w:p w14:paraId="79A595C2" w14:textId="406FDA1B" w:rsidR="008040FA" w:rsidRPr="00961DD7" w:rsidRDefault="008040FA" w:rsidP="008040FA">
      <w:pPr>
        <w:pStyle w:val="FootnoteText"/>
      </w:pPr>
      <w:r w:rsidRPr="00961DD7">
        <w:rPr>
          <w:rStyle w:val="FootnoteReference"/>
        </w:rPr>
        <w:footnoteRef/>
      </w:r>
      <w:r w:rsidRPr="00961DD7">
        <w:t xml:space="preserve"> </w:t>
      </w:r>
      <w:r w:rsidR="004F3ADD" w:rsidRPr="00B26A75">
        <w:t>https://cer.gov.au/about-us/contact-us</w:t>
      </w:r>
      <w:r w:rsidR="00723FEA">
        <w:t xml:space="preserve"> </w:t>
      </w:r>
    </w:p>
  </w:footnote>
  <w:footnote w:id="11">
    <w:p w14:paraId="606F32A1" w14:textId="7EFA9C7F" w:rsidR="008040FA" w:rsidRDefault="008040FA" w:rsidP="008040FA">
      <w:pPr>
        <w:pStyle w:val="FootnoteText"/>
      </w:pPr>
      <w:r w:rsidRPr="00961DD7">
        <w:rPr>
          <w:rStyle w:val="FootnoteReference"/>
        </w:rPr>
        <w:footnoteRef/>
      </w:r>
      <w:r w:rsidRPr="00961DD7">
        <w:t xml:space="preserve"> </w:t>
      </w:r>
      <w:bookmarkStart w:id="22" w:name="_Hlk43901209"/>
      <w:r w:rsidR="004F3ADD" w:rsidRPr="00B26A75">
        <w:t>https://cer.gov.au/schemes/national-greenhouse-and-energy-reporting-scheme/report-emissions-and-energy/nger-reporting-guides</w:t>
      </w:r>
      <w:r w:rsidR="007C7D46">
        <w:rPr>
          <w:rFonts w:cstheme="minorBidi"/>
        </w:rPr>
        <w:t xml:space="preserve"> </w:t>
      </w:r>
      <w:bookmarkEnd w:id="22"/>
    </w:p>
  </w:footnote>
  <w:footnote w:id="12">
    <w:p w14:paraId="0B4DCCAD" w14:textId="0F1A933D" w:rsidR="002B6AF1" w:rsidRPr="00063A80" w:rsidRDefault="002B6AF1">
      <w:pPr>
        <w:pStyle w:val="FootnoteText"/>
        <w:rPr>
          <w:lang w:val="en-AU"/>
        </w:rPr>
      </w:pPr>
      <w:r>
        <w:rPr>
          <w:rStyle w:val="FootnoteReference"/>
        </w:rPr>
        <w:footnoteRef/>
      </w:r>
      <w:r>
        <w:t xml:space="preserve"> </w:t>
      </w:r>
      <w:r w:rsidR="00231C75" w:rsidRPr="00B26A75">
        <w:t>https://cer.gov.au/document_page/estimating-emissions-and-energy-fuel-combustion-guideline</w:t>
      </w:r>
      <w:r>
        <w:t xml:space="preserve"> </w:t>
      </w:r>
    </w:p>
  </w:footnote>
  <w:footnote w:id="13">
    <w:p w14:paraId="1346ABE5" w14:textId="62D9CBCE" w:rsidR="008040FA" w:rsidRPr="00961DD7" w:rsidRDefault="008040FA" w:rsidP="008040FA">
      <w:pPr>
        <w:pStyle w:val="FootnoteText"/>
      </w:pPr>
      <w:r w:rsidRPr="00961DD7">
        <w:rPr>
          <w:rStyle w:val="FootnoteReference"/>
        </w:rPr>
        <w:footnoteRef/>
      </w:r>
      <w:r w:rsidRPr="00961DD7">
        <w:t xml:space="preserve"> </w:t>
      </w:r>
      <w:r w:rsidR="00231C75" w:rsidRPr="00B26A75">
        <w:t>https://cer.gov.au/document_page/guidance-aggregated-facility-reporting-percentage-estimates-and-incidental-emissions-and-energy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0287" w14:textId="77777777" w:rsidR="00487B3D" w:rsidRDefault="00487B3D" w:rsidP="00E349EF">
    <w:pPr>
      <w:pStyle w:val="LegislativesecrecyACT"/>
    </w:pPr>
  </w:p>
  <w:p w14:paraId="1657C533" w14:textId="3B0281BD"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31480086">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5439"/>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1FB2691"/>
    <w:multiLevelType w:val="hybridMultilevel"/>
    <w:tmpl w:val="6C58D596"/>
    <w:name w:val="CERBullets223"/>
    <w:lvl w:ilvl="0" w:tplc="2AAA49CC">
      <w:start w:val="6"/>
      <w:numFmt w:val="decimal"/>
      <w:lvlText w:val="%1."/>
      <w:lvlJc w:val="left"/>
      <w:pPr>
        <w:ind w:left="680" w:hanging="6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755CDE"/>
    <w:multiLevelType w:val="multilevel"/>
    <w:tmpl w:val="9F342786"/>
    <w:lvl w:ilvl="0">
      <w:start w:val="1"/>
      <w:numFmt w:val="bullet"/>
      <w:lvlText w:val=""/>
      <w:lvlJc w:val="left"/>
      <w:pPr>
        <w:ind w:left="360" w:hanging="360"/>
      </w:pPr>
      <w:rPr>
        <w:rFonts w:ascii="Symbol" w:hAnsi="Symbol" w:hint="default"/>
        <w:b w:val="0"/>
        <w:color w:val="006C93" w:themeColor="accent3"/>
      </w:rPr>
    </w:lvl>
    <w:lvl w:ilvl="1">
      <w:start w:val="1"/>
      <w:numFmt w:val="decimal"/>
      <w:lvlText w:val="%2)"/>
      <w:lvlJc w:val="left"/>
      <w:pPr>
        <w:ind w:left="720" w:hanging="360"/>
      </w:pPr>
      <w:rPr>
        <w:rFonts w:hint="default"/>
        <w:color w:val="005874"/>
      </w:rPr>
    </w:lvl>
    <w:lvl w:ilvl="2">
      <w:start w:val="1"/>
      <w:numFmt w:val="lowerLetter"/>
      <w:lvlText w:val="%3)"/>
      <w:lvlJc w:val="left"/>
      <w:pPr>
        <w:ind w:left="1080" w:hanging="360"/>
      </w:pPr>
      <w:rPr>
        <w:rFonts w:hint="default"/>
        <w:b w:val="0"/>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15102A"/>
    <w:multiLevelType w:val="hybridMultilevel"/>
    <w:tmpl w:val="867CABFA"/>
    <w:name w:val="CERBullets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4E4040"/>
    <w:multiLevelType w:val="multilevel"/>
    <w:tmpl w:val="2092E474"/>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F43FBF"/>
    <w:multiLevelType w:val="multilevel"/>
    <w:tmpl w:val="26CCC764"/>
    <w:lvl w:ilvl="0">
      <w:start w:val="1"/>
      <w:numFmt w:val="bullet"/>
      <w:lvlText w:val=""/>
      <w:lvlJc w:val="left"/>
      <w:pPr>
        <w:ind w:left="360" w:hanging="360"/>
      </w:pPr>
      <w:rPr>
        <w:rFonts w:ascii="Symbol" w:hAnsi="Symbol" w:hint="default"/>
        <w:b w:val="0"/>
        <w:color w:val="006C93" w:themeColor="accent3"/>
      </w:rPr>
    </w:lvl>
    <w:lvl w:ilvl="1">
      <w:start w:val="1"/>
      <w:numFmt w:val="decimal"/>
      <w:lvlText w:val="%2)"/>
      <w:lvlJc w:val="left"/>
      <w:pPr>
        <w:ind w:left="720" w:hanging="360"/>
      </w:pPr>
      <w:rPr>
        <w:rFonts w:hint="default"/>
        <w:color w:val="005874"/>
      </w:rPr>
    </w:lvl>
    <w:lvl w:ilvl="2">
      <w:start w:val="1"/>
      <w:numFmt w:val="lowerLetter"/>
      <w:lvlText w:val="%3)"/>
      <w:lvlJc w:val="left"/>
      <w:pPr>
        <w:ind w:left="1080" w:hanging="360"/>
      </w:pPr>
      <w:rPr>
        <w:rFonts w:hint="default"/>
        <w:b w:val="0"/>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EB5AF1"/>
    <w:multiLevelType w:val="multilevel"/>
    <w:tmpl w:val="5860CE62"/>
    <w:lvl w:ilvl="0">
      <w:start w:val="1"/>
      <w:numFmt w:val="lowerLetter"/>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154EDF"/>
    <w:multiLevelType w:val="multilevel"/>
    <w:tmpl w:val="F0DA59F4"/>
    <w:name w:val="CERBullets22"/>
    <w:lvl w:ilvl="0">
      <w:start w:val="1"/>
      <w:numFmt w:val="lowerLetter"/>
      <w:lvlText w:val="%1)"/>
      <w:lvlJc w:val="left"/>
      <w:pPr>
        <w:ind w:left="360" w:hanging="360"/>
      </w:pPr>
      <w:rPr>
        <w:rFonts w:hint="default"/>
        <w:b w:val="0"/>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9DB23C0"/>
    <w:multiLevelType w:val="multilevel"/>
    <w:tmpl w:val="C994BF54"/>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8667943">
    <w:abstractNumId w:val="10"/>
  </w:num>
  <w:num w:numId="2" w16cid:durableId="1902210347">
    <w:abstractNumId w:val="0"/>
  </w:num>
  <w:num w:numId="3" w16cid:durableId="1426608711">
    <w:abstractNumId w:val="8"/>
  </w:num>
  <w:num w:numId="4" w16cid:durableId="276497600">
    <w:abstractNumId w:val="9"/>
  </w:num>
  <w:num w:numId="5" w16cid:durableId="1005323797">
    <w:abstractNumId w:val="7"/>
  </w:num>
  <w:num w:numId="6" w16cid:durableId="2092505377">
    <w:abstractNumId w:val="3"/>
  </w:num>
  <w:num w:numId="7" w16cid:durableId="1358391222">
    <w:abstractNumId w:val="6"/>
  </w:num>
  <w:num w:numId="8" w16cid:durableId="10592795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spinCount="100000" w:hashValue="vEOhnVQV4GF7R0B59bUe3EhH6DQWL4VYJJ/CS7nZfck=" w:saltValue="+tVnNocV4iHFm+gJjGLlx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20C0"/>
    <w:rsid w:val="00002D74"/>
    <w:rsid w:val="000060B2"/>
    <w:rsid w:val="00006AAB"/>
    <w:rsid w:val="000108E5"/>
    <w:rsid w:val="00011D1A"/>
    <w:rsid w:val="00014748"/>
    <w:rsid w:val="0001658D"/>
    <w:rsid w:val="000168D2"/>
    <w:rsid w:val="00016E98"/>
    <w:rsid w:val="00020E01"/>
    <w:rsid w:val="00020E78"/>
    <w:rsid w:val="0002210B"/>
    <w:rsid w:val="00024424"/>
    <w:rsid w:val="0002468B"/>
    <w:rsid w:val="00025ED9"/>
    <w:rsid w:val="00026684"/>
    <w:rsid w:val="00026726"/>
    <w:rsid w:val="00026A4F"/>
    <w:rsid w:val="00026CFA"/>
    <w:rsid w:val="00027F01"/>
    <w:rsid w:val="000300CC"/>
    <w:rsid w:val="000306C2"/>
    <w:rsid w:val="00030FE9"/>
    <w:rsid w:val="00031090"/>
    <w:rsid w:val="00032102"/>
    <w:rsid w:val="00032EC0"/>
    <w:rsid w:val="0003312D"/>
    <w:rsid w:val="00033489"/>
    <w:rsid w:val="000352BB"/>
    <w:rsid w:val="00035321"/>
    <w:rsid w:val="0003582F"/>
    <w:rsid w:val="0003756D"/>
    <w:rsid w:val="0003766C"/>
    <w:rsid w:val="000378B6"/>
    <w:rsid w:val="00041CB7"/>
    <w:rsid w:val="00042978"/>
    <w:rsid w:val="00043071"/>
    <w:rsid w:val="000431E4"/>
    <w:rsid w:val="000442F7"/>
    <w:rsid w:val="00046496"/>
    <w:rsid w:val="0004744B"/>
    <w:rsid w:val="00047D72"/>
    <w:rsid w:val="0005094E"/>
    <w:rsid w:val="0005097B"/>
    <w:rsid w:val="00051B45"/>
    <w:rsid w:val="000528C5"/>
    <w:rsid w:val="00053FDF"/>
    <w:rsid w:val="000561F3"/>
    <w:rsid w:val="00056BA3"/>
    <w:rsid w:val="00056FF0"/>
    <w:rsid w:val="00057F00"/>
    <w:rsid w:val="000600B4"/>
    <w:rsid w:val="000618C6"/>
    <w:rsid w:val="0006275F"/>
    <w:rsid w:val="00062D9B"/>
    <w:rsid w:val="00062FC4"/>
    <w:rsid w:val="00063831"/>
    <w:rsid w:val="00063A80"/>
    <w:rsid w:val="00064A93"/>
    <w:rsid w:val="00066CF7"/>
    <w:rsid w:val="000678AA"/>
    <w:rsid w:val="00067FEB"/>
    <w:rsid w:val="0007021C"/>
    <w:rsid w:val="00070900"/>
    <w:rsid w:val="00071857"/>
    <w:rsid w:val="000722F7"/>
    <w:rsid w:val="00072A15"/>
    <w:rsid w:val="00072EB9"/>
    <w:rsid w:val="000739DD"/>
    <w:rsid w:val="00075EA6"/>
    <w:rsid w:val="0007618B"/>
    <w:rsid w:val="00081FD7"/>
    <w:rsid w:val="00083FFC"/>
    <w:rsid w:val="00084420"/>
    <w:rsid w:val="00084770"/>
    <w:rsid w:val="00085926"/>
    <w:rsid w:val="00085AC8"/>
    <w:rsid w:val="00086392"/>
    <w:rsid w:val="00086C2D"/>
    <w:rsid w:val="000873E6"/>
    <w:rsid w:val="00087F20"/>
    <w:rsid w:val="000906DE"/>
    <w:rsid w:val="000941D8"/>
    <w:rsid w:val="000948D5"/>
    <w:rsid w:val="00095714"/>
    <w:rsid w:val="00096878"/>
    <w:rsid w:val="00097B84"/>
    <w:rsid w:val="000A0039"/>
    <w:rsid w:val="000A0DD5"/>
    <w:rsid w:val="000A1385"/>
    <w:rsid w:val="000A3563"/>
    <w:rsid w:val="000A597B"/>
    <w:rsid w:val="000A6711"/>
    <w:rsid w:val="000A7ECA"/>
    <w:rsid w:val="000B0C41"/>
    <w:rsid w:val="000B1328"/>
    <w:rsid w:val="000B1D0E"/>
    <w:rsid w:val="000B2225"/>
    <w:rsid w:val="000B2461"/>
    <w:rsid w:val="000B26DE"/>
    <w:rsid w:val="000B2849"/>
    <w:rsid w:val="000B2A1D"/>
    <w:rsid w:val="000B2E85"/>
    <w:rsid w:val="000B49A6"/>
    <w:rsid w:val="000B52B7"/>
    <w:rsid w:val="000B540B"/>
    <w:rsid w:val="000B56A4"/>
    <w:rsid w:val="000B6151"/>
    <w:rsid w:val="000B7755"/>
    <w:rsid w:val="000B7A79"/>
    <w:rsid w:val="000C0BA5"/>
    <w:rsid w:val="000C1D64"/>
    <w:rsid w:val="000C2BEE"/>
    <w:rsid w:val="000C2CBE"/>
    <w:rsid w:val="000C5516"/>
    <w:rsid w:val="000C595E"/>
    <w:rsid w:val="000C7DB2"/>
    <w:rsid w:val="000D061B"/>
    <w:rsid w:val="000D16C4"/>
    <w:rsid w:val="000D199F"/>
    <w:rsid w:val="000D6A82"/>
    <w:rsid w:val="000D7DFA"/>
    <w:rsid w:val="000E0669"/>
    <w:rsid w:val="000E173B"/>
    <w:rsid w:val="000E1DB9"/>
    <w:rsid w:val="000E2678"/>
    <w:rsid w:val="000E2F36"/>
    <w:rsid w:val="000E50C5"/>
    <w:rsid w:val="000E5148"/>
    <w:rsid w:val="000E5A13"/>
    <w:rsid w:val="000E644C"/>
    <w:rsid w:val="000F066A"/>
    <w:rsid w:val="000F1EB6"/>
    <w:rsid w:val="000F3715"/>
    <w:rsid w:val="000F3725"/>
    <w:rsid w:val="000F4536"/>
    <w:rsid w:val="000F606F"/>
    <w:rsid w:val="000F6B44"/>
    <w:rsid w:val="000F74FD"/>
    <w:rsid w:val="000F7619"/>
    <w:rsid w:val="00100112"/>
    <w:rsid w:val="0010038B"/>
    <w:rsid w:val="001022E1"/>
    <w:rsid w:val="001025BC"/>
    <w:rsid w:val="001026E1"/>
    <w:rsid w:val="00102F74"/>
    <w:rsid w:val="00102F98"/>
    <w:rsid w:val="00104E1F"/>
    <w:rsid w:val="0010678C"/>
    <w:rsid w:val="00110EE2"/>
    <w:rsid w:val="001115C2"/>
    <w:rsid w:val="00111B7D"/>
    <w:rsid w:val="00112E29"/>
    <w:rsid w:val="001133D9"/>
    <w:rsid w:val="00115389"/>
    <w:rsid w:val="001156CC"/>
    <w:rsid w:val="001206F4"/>
    <w:rsid w:val="0012089B"/>
    <w:rsid w:val="00121141"/>
    <w:rsid w:val="00122B43"/>
    <w:rsid w:val="00124754"/>
    <w:rsid w:val="00124F2B"/>
    <w:rsid w:val="001251E4"/>
    <w:rsid w:val="00125F04"/>
    <w:rsid w:val="001276AA"/>
    <w:rsid w:val="00130183"/>
    <w:rsid w:val="0013133D"/>
    <w:rsid w:val="001319DA"/>
    <w:rsid w:val="00131D01"/>
    <w:rsid w:val="00134DEF"/>
    <w:rsid w:val="00135C3A"/>
    <w:rsid w:val="00136524"/>
    <w:rsid w:val="00136FB6"/>
    <w:rsid w:val="00137CFE"/>
    <w:rsid w:val="00137D0F"/>
    <w:rsid w:val="00140939"/>
    <w:rsid w:val="00140D79"/>
    <w:rsid w:val="00143C3E"/>
    <w:rsid w:val="00144C1F"/>
    <w:rsid w:val="00144E13"/>
    <w:rsid w:val="00146229"/>
    <w:rsid w:val="00146FC8"/>
    <w:rsid w:val="00150113"/>
    <w:rsid w:val="001512C0"/>
    <w:rsid w:val="00156926"/>
    <w:rsid w:val="00157175"/>
    <w:rsid w:val="0016125B"/>
    <w:rsid w:val="00161E37"/>
    <w:rsid w:val="0016233A"/>
    <w:rsid w:val="001651F7"/>
    <w:rsid w:val="00166FC1"/>
    <w:rsid w:val="001672FC"/>
    <w:rsid w:val="00167972"/>
    <w:rsid w:val="001705B6"/>
    <w:rsid w:val="0017176C"/>
    <w:rsid w:val="00172F37"/>
    <w:rsid w:val="00172F96"/>
    <w:rsid w:val="00174901"/>
    <w:rsid w:val="00175E38"/>
    <w:rsid w:val="00176871"/>
    <w:rsid w:val="00176998"/>
    <w:rsid w:val="0017699B"/>
    <w:rsid w:val="00176C28"/>
    <w:rsid w:val="00180308"/>
    <w:rsid w:val="001813DE"/>
    <w:rsid w:val="001817B0"/>
    <w:rsid w:val="00181D17"/>
    <w:rsid w:val="00181DF8"/>
    <w:rsid w:val="0018409B"/>
    <w:rsid w:val="001848D6"/>
    <w:rsid w:val="001856C2"/>
    <w:rsid w:val="00185FE4"/>
    <w:rsid w:val="00186C00"/>
    <w:rsid w:val="001915D4"/>
    <w:rsid w:val="001918E1"/>
    <w:rsid w:val="00192219"/>
    <w:rsid w:val="001927C6"/>
    <w:rsid w:val="0019300E"/>
    <w:rsid w:val="00193A6C"/>
    <w:rsid w:val="00193AA7"/>
    <w:rsid w:val="00197F43"/>
    <w:rsid w:val="001A01DA"/>
    <w:rsid w:val="001A05AE"/>
    <w:rsid w:val="001A0E92"/>
    <w:rsid w:val="001A10C0"/>
    <w:rsid w:val="001A13B2"/>
    <w:rsid w:val="001A1D21"/>
    <w:rsid w:val="001A32BD"/>
    <w:rsid w:val="001A401C"/>
    <w:rsid w:val="001A5525"/>
    <w:rsid w:val="001A5C13"/>
    <w:rsid w:val="001A71A4"/>
    <w:rsid w:val="001B1D98"/>
    <w:rsid w:val="001B1E97"/>
    <w:rsid w:val="001B2104"/>
    <w:rsid w:val="001B32F9"/>
    <w:rsid w:val="001B4170"/>
    <w:rsid w:val="001B66AA"/>
    <w:rsid w:val="001C01A9"/>
    <w:rsid w:val="001C191F"/>
    <w:rsid w:val="001C2B51"/>
    <w:rsid w:val="001C3058"/>
    <w:rsid w:val="001C371C"/>
    <w:rsid w:val="001C3D7C"/>
    <w:rsid w:val="001C4016"/>
    <w:rsid w:val="001C49A9"/>
    <w:rsid w:val="001C64BB"/>
    <w:rsid w:val="001C76F3"/>
    <w:rsid w:val="001C7701"/>
    <w:rsid w:val="001C7DC6"/>
    <w:rsid w:val="001D10BD"/>
    <w:rsid w:val="001D2DB3"/>
    <w:rsid w:val="001D33A4"/>
    <w:rsid w:val="001D4C93"/>
    <w:rsid w:val="001D5E01"/>
    <w:rsid w:val="001D6F49"/>
    <w:rsid w:val="001E003F"/>
    <w:rsid w:val="001E2786"/>
    <w:rsid w:val="001E3FC7"/>
    <w:rsid w:val="001E51F0"/>
    <w:rsid w:val="001E6CFE"/>
    <w:rsid w:val="001F0C27"/>
    <w:rsid w:val="001F1A5A"/>
    <w:rsid w:val="001F21BF"/>
    <w:rsid w:val="001F41A3"/>
    <w:rsid w:val="001F46A1"/>
    <w:rsid w:val="001F4E49"/>
    <w:rsid w:val="0020089E"/>
    <w:rsid w:val="002018C3"/>
    <w:rsid w:val="00201F69"/>
    <w:rsid w:val="00203AF2"/>
    <w:rsid w:val="00203ECB"/>
    <w:rsid w:val="00204BD3"/>
    <w:rsid w:val="002066AC"/>
    <w:rsid w:val="00206B63"/>
    <w:rsid w:val="002118E5"/>
    <w:rsid w:val="002121AC"/>
    <w:rsid w:val="002129CE"/>
    <w:rsid w:val="00212C30"/>
    <w:rsid w:val="002149FF"/>
    <w:rsid w:val="00214A20"/>
    <w:rsid w:val="00216927"/>
    <w:rsid w:val="00216E5D"/>
    <w:rsid w:val="0021782A"/>
    <w:rsid w:val="00217C9F"/>
    <w:rsid w:val="00220DD8"/>
    <w:rsid w:val="002226FA"/>
    <w:rsid w:val="00222CDF"/>
    <w:rsid w:val="0022317F"/>
    <w:rsid w:val="00223676"/>
    <w:rsid w:val="002248FE"/>
    <w:rsid w:val="002250DF"/>
    <w:rsid w:val="0022699B"/>
    <w:rsid w:val="002302BD"/>
    <w:rsid w:val="00230382"/>
    <w:rsid w:val="00230F5C"/>
    <w:rsid w:val="00231BBF"/>
    <w:rsid w:val="00231C75"/>
    <w:rsid w:val="00235142"/>
    <w:rsid w:val="00235B98"/>
    <w:rsid w:val="002360A0"/>
    <w:rsid w:val="0023756C"/>
    <w:rsid w:val="00240332"/>
    <w:rsid w:val="002406BC"/>
    <w:rsid w:val="00241598"/>
    <w:rsid w:val="002444D8"/>
    <w:rsid w:val="00245194"/>
    <w:rsid w:val="002472EF"/>
    <w:rsid w:val="002512EA"/>
    <w:rsid w:val="0025224A"/>
    <w:rsid w:val="002537CF"/>
    <w:rsid w:val="00253FFC"/>
    <w:rsid w:val="00254872"/>
    <w:rsid w:val="00255B30"/>
    <w:rsid w:val="002622E9"/>
    <w:rsid w:val="00262902"/>
    <w:rsid w:val="002640FB"/>
    <w:rsid w:val="00267415"/>
    <w:rsid w:val="00270902"/>
    <w:rsid w:val="00270BFE"/>
    <w:rsid w:val="00270CED"/>
    <w:rsid w:val="0027299B"/>
    <w:rsid w:val="0027306B"/>
    <w:rsid w:val="002744C8"/>
    <w:rsid w:val="00276414"/>
    <w:rsid w:val="00276560"/>
    <w:rsid w:val="00280596"/>
    <w:rsid w:val="00280CD1"/>
    <w:rsid w:val="0028404F"/>
    <w:rsid w:val="00284848"/>
    <w:rsid w:val="00285020"/>
    <w:rsid w:val="002859A8"/>
    <w:rsid w:val="002870EB"/>
    <w:rsid w:val="00287CE5"/>
    <w:rsid w:val="00290A3E"/>
    <w:rsid w:val="00290E3D"/>
    <w:rsid w:val="0029262D"/>
    <w:rsid w:val="00293DD5"/>
    <w:rsid w:val="002946A0"/>
    <w:rsid w:val="00294703"/>
    <w:rsid w:val="00297170"/>
    <w:rsid w:val="002A049E"/>
    <w:rsid w:val="002A0BF5"/>
    <w:rsid w:val="002A30C8"/>
    <w:rsid w:val="002A31EB"/>
    <w:rsid w:val="002A52B4"/>
    <w:rsid w:val="002A71D5"/>
    <w:rsid w:val="002A72B0"/>
    <w:rsid w:val="002A7EA6"/>
    <w:rsid w:val="002B3141"/>
    <w:rsid w:val="002B3178"/>
    <w:rsid w:val="002B3949"/>
    <w:rsid w:val="002B5FEA"/>
    <w:rsid w:val="002B6AF1"/>
    <w:rsid w:val="002C02E1"/>
    <w:rsid w:val="002C0F3B"/>
    <w:rsid w:val="002C1304"/>
    <w:rsid w:val="002C19F9"/>
    <w:rsid w:val="002C263D"/>
    <w:rsid w:val="002C2A26"/>
    <w:rsid w:val="002C427B"/>
    <w:rsid w:val="002C5FA4"/>
    <w:rsid w:val="002C6ECC"/>
    <w:rsid w:val="002C702A"/>
    <w:rsid w:val="002C7445"/>
    <w:rsid w:val="002C7668"/>
    <w:rsid w:val="002D18F3"/>
    <w:rsid w:val="002D1FB9"/>
    <w:rsid w:val="002D24DA"/>
    <w:rsid w:val="002D30B2"/>
    <w:rsid w:val="002D3CBC"/>
    <w:rsid w:val="002D3D53"/>
    <w:rsid w:val="002D4CBB"/>
    <w:rsid w:val="002D5455"/>
    <w:rsid w:val="002D5CEA"/>
    <w:rsid w:val="002D5D4D"/>
    <w:rsid w:val="002D7AC8"/>
    <w:rsid w:val="002E026C"/>
    <w:rsid w:val="002E0F8C"/>
    <w:rsid w:val="002E3BBB"/>
    <w:rsid w:val="002E4196"/>
    <w:rsid w:val="002E4C62"/>
    <w:rsid w:val="002E76D7"/>
    <w:rsid w:val="002F05A0"/>
    <w:rsid w:val="002F1210"/>
    <w:rsid w:val="002F1467"/>
    <w:rsid w:val="002F1986"/>
    <w:rsid w:val="002F248B"/>
    <w:rsid w:val="002F27DF"/>
    <w:rsid w:val="002F75C1"/>
    <w:rsid w:val="002F7BEE"/>
    <w:rsid w:val="00300146"/>
    <w:rsid w:val="00300B01"/>
    <w:rsid w:val="00301754"/>
    <w:rsid w:val="00302C57"/>
    <w:rsid w:val="00303251"/>
    <w:rsid w:val="00303E88"/>
    <w:rsid w:val="00303F3C"/>
    <w:rsid w:val="00306DA8"/>
    <w:rsid w:val="0031155B"/>
    <w:rsid w:val="00311648"/>
    <w:rsid w:val="00313096"/>
    <w:rsid w:val="003138F0"/>
    <w:rsid w:val="003144D3"/>
    <w:rsid w:val="00314696"/>
    <w:rsid w:val="00314755"/>
    <w:rsid w:val="00314A0C"/>
    <w:rsid w:val="00314C3F"/>
    <w:rsid w:val="00315F84"/>
    <w:rsid w:val="00317580"/>
    <w:rsid w:val="00325844"/>
    <w:rsid w:val="00325BE2"/>
    <w:rsid w:val="003302FA"/>
    <w:rsid w:val="00334D42"/>
    <w:rsid w:val="00335D20"/>
    <w:rsid w:val="00335FF1"/>
    <w:rsid w:val="00336038"/>
    <w:rsid w:val="003368BF"/>
    <w:rsid w:val="00336F9E"/>
    <w:rsid w:val="00337CCB"/>
    <w:rsid w:val="00340162"/>
    <w:rsid w:val="003424DA"/>
    <w:rsid w:val="003456B2"/>
    <w:rsid w:val="00345AC2"/>
    <w:rsid w:val="00346AEF"/>
    <w:rsid w:val="0035046F"/>
    <w:rsid w:val="00350A9D"/>
    <w:rsid w:val="003521E2"/>
    <w:rsid w:val="0035224C"/>
    <w:rsid w:val="00360ABE"/>
    <w:rsid w:val="0036113A"/>
    <w:rsid w:val="003611F6"/>
    <w:rsid w:val="00361738"/>
    <w:rsid w:val="003623BA"/>
    <w:rsid w:val="003630F2"/>
    <w:rsid w:val="0036454A"/>
    <w:rsid w:val="003655EB"/>
    <w:rsid w:val="00365A37"/>
    <w:rsid w:val="00365CD3"/>
    <w:rsid w:val="003662BA"/>
    <w:rsid w:val="00366BF7"/>
    <w:rsid w:val="00370CE8"/>
    <w:rsid w:val="00370F32"/>
    <w:rsid w:val="00371059"/>
    <w:rsid w:val="003742D4"/>
    <w:rsid w:val="00375B71"/>
    <w:rsid w:val="00377D1C"/>
    <w:rsid w:val="00377D5D"/>
    <w:rsid w:val="00380C48"/>
    <w:rsid w:val="00380F41"/>
    <w:rsid w:val="00381C1C"/>
    <w:rsid w:val="00382E1C"/>
    <w:rsid w:val="00382E42"/>
    <w:rsid w:val="00382F6A"/>
    <w:rsid w:val="003849E6"/>
    <w:rsid w:val="0038782F"/>
    <w:rsid w:val="003909D3"/>
    <w:rsid w:val="0039142C"/>
    <w:rsid w:val="00391858"/>
    <w:rsid w:val="003931A9"/>
    <w:rsid w:val="003A0D22"/>
    <w:rsid w:val="003A3B9D"/>
    <w:rsid w:val="003A47FB"/>
    <w:rsid w:val="003A5454"/>
    <w:rsid w:val="003A5739"/>
    <w:rsid w:val="003A57FC"/>
    <w:rsid w:val="003A624D"/>
    <w:rsid w:val="003A760B"/>
    <w:rsid w:val="003A7828"/>
    <w:rsid w:val="003A7D00"/>
    <w:rsid w:val="003B0759"/>
    <w:rsid w:val="003B17C3"/>
    <w:rsid w:val="003B1985"/>
    <w:rsid w:val="003B2ED0"/>
    <w:rsid w:val="003B33AF"/>
    <w:rsid w:val="003B4C17"/>
    <w:rsid w:val="003B6192"/>
    <w:rsid w:val="003B7621"/>
    <w:rsid w:val="003B762C"/>
    <w:rsid w:val="003C05B9"/>
    <w:rsid w:val="003C176F"/>
    <w:rsid w:val="003C2378"/>
    <w:rsid w:val="003C2638"/>
    <w:rsid w:val="003C2AF8"/>
    <w:rsid w:val="003C41D5"/>
    <w:rsid w:val="003C589C"/>
    <w:rsid w:val="003C5BAC"/>
    <w:rsid w:val="003C74D9"/>
    <w:rsid w:val="003C7DAB"/>
    <w:rsid w:val="003D0C5A"/>
    <w:rsid w:val="003D2681"/>
    <w:rsid w:val="003D30BF"/>
    <w:rsid w:val="003D5C96"/>
    <w:rsid w:val="003D612D"/>
    <w:rsid w:val="003D7476"/>
    <w:rsid w:val="003D7C43"/>
    <w:rsid w:val="003E3A2C"/>
    <w:rsid w:val="003E53CC"/>
    <w:rsid w:val="003E5DB2"/>
    <w:rsid w:val="003E7795"/>
    <w:rsid w:val="003E7D05"/>
    <w:rsid w:val="003F135B"/>
    <w:rsid w:val="003F22D4"/>
    <w:rsid w:val="003F2574"/>
    <w:rsid w:val="003F5BF7"/>
    <w:rsid w:val="003F6796"/>
    <w:rsid w:val="004004E7"/>
    <w:rsid w:val="00400BA0"/>
    <w:rsid w:val="00400D4D"/>
    <w:rsid w:val="004019CE"/>
    <w:rsid w:val="00404940"/>
    <w:rsid w:val="00407A97"/>
    <w:rsid w:val="00410741"/>
    <w:rsid w:val="004108D3"/>
    <w:rsid w:val="00414E9F"/>
    <w:rsid w:val="0041571D"/>
    <w:rsid w:val="00416778"/>
    <w:rsid w:val="00416B5F"/>
    <w:rsid w:val="004178B2"/>
    <w:rsid w:val="00417AC3"/>
    <w:rsid w:val="0042080D"/>
    <w:rsid w:val="00420BF6"/>
    <w:rsid w:val="004217D2"/>
    <w:rsid w:val="00421D44"/>
    <w:rsid w:val="00421FA4"/>
    <w:rsid w:val="00422925"/>
    <w:rsid w:val="0042374C"/>
    <w:rsid w:val="00424CC6"/>
    <w:rsid w:val="0042510D"/>
    <w:rsid w:val="00425CF9"/>
    <w:rsid w:val="00426275"/>
    <w:rsid w:val="00427927"/>
    <w:rsid w:val="00431D17"/>
    <w:rsid w:val="00432264"/>
    <w:rsid w:val="004324C2"/>
    <w:rsid w:val="004325E2"/>
    <w:rsid w:val="00434154"/>
    <w:rsid w:val="00434A57"/>
    <w:rsid w:val="00435C1F"/>
    <w:rsid w:val="00440D57"/>
    <w:rsid w:val="00443796"/>
    <w:rsid w:val="00443975"/>
    <w:rsid w:val="0044409A"/>
    <w:rsid w:val="004447CF"/>
    <w:rsid w:val="004458B4"/>
    <w:rsid w:val="00450E51"/>
    <w:rsid w:val="0045504F"/>
    <w:rsid w:val="00455455"/>
    <w:rsid w:val="004559EF"/>
    <w:rsid w:val="004570BD"/>
    <w:rsid w:val="00457E30"/>
    <w:rsid w:val="0046019B"/>
    <w:rsid w:val="00461005"/>
    <w:rsid w:val="00461D85"/>
    <w:rsid w:val="00462A23"/>
    <w:rsid w:val="00462F7F"/>
    <w:rsid w:val="00463FF0"/>
    <w:rsid w:val="00465287"/>
    <w:rsid w:val="00471247"/>
    <w:rsid w:val="00471317"/>
    <w:rsid w:val="004713A6"/>
    <w:rsid w:val="00471682"/>
    <w:rsid w:val="00473725"/>
    <w:rsid w:val="00474E32"/>
    <w:rsid w:val="00480154"/>
    <w:rsid w:val="004804F1"/>
    <w:rsid w:val="0048085B"/>
    <w:rsid w:val="004810E6"/>
    <w:rsid w:val="004814DE"/>
    <w:rsid w:val="004824DF"/>
    <w:rsid w:val="00482903"/>
    <w:rsid w:val="00483828"/>
    <w:rsid w:val="00486234"/>
    <w:rsid w:val="00487B3D"/>
    <w:rsid w:val="00490FDD"/>
    <w:rsid w:val="00491BDC"/>
    <w:rsid w:val="00492457"/>
    <w:rsid w:val="00492861"/>
    <w:rsid w:val="00492A30"/>
    <w:rsid w:val="00493E8D"/>
    <w:rsid w:val="004946DB"/>
    <w:rsid w:val="00494B68"/>
    <w:rsid w:val="00494F07"/>
    <w:rsid w:val="00496ACD"/>
    <w:rsid w:val="004A10D6"/>
    <w:rsid w:val="004A11E9"/>
    <w:rsid w:val="004A1E81"/>
    <w:rsid w:val="004A28AA"/>
    <w:rsid w:val="004A2D11"/>
    <w:rsid w:val="004A3854"/>
    <w:rsid w:val="004A4ABA"/>
    <w:rsid w:val="004A523F"/>
    <w:rsid w:val="004A5791"/>
    <w:rsid w:val="004A581F"/>
    <w:rsid w:val="004A5F95"/>
    <w:rsid w:val="004A6273"/>
    <w:rsid w:val="004A735A"/>
    <w:rsid w:val="004A7E1F"/>
    <w:rsid w:val="004B3083"/>
    <w:rsid w:val="004B3AB0"/>
    <w:rsid w:val="004B458E"/>
    <w:rsid w:val="004B4850"/>
    <w:rsid w:val="004B4D3E"/>
    <w:rsid w:val="004B5549"/>
    <w:rsid w:val="004B6AF5"/>
    <w:rsid w:val="004B6C9E"/>
    <w:rsid w:val="004C04FA"/>
    <w:rsid w:val="004C0C54"/>
    <w:rsid w:val="004C194D"/>
    <w:rsid w:val="004C23A3"/>
    <w:rsid w:val="004C38E9"/>
    <w:rsid w:val="004C3B1D"/>
    <w:rsid w:val="004C5975"/>
    <w:rsid w:val="004C60BE"/>
    <w:rsid w:val="004C635B"/>
    <w:rsid w:val="004C65F5"/>
    <w:rsid w:val="004C6DF4"/>
    <w:rsid w:val="004D0162"/>
    <w:rsid w:val="004D02ED"/>
    <w:rsid w:val="004D051B"/>
    <w:rsid w:val="004D2CBC"/>
    <w:rsid w:val="004D36F4"/>
    <w:rsid w:val="004D3DF9"/>
    <w:rsid w:val="004D3F8B"/>
    <w:rsid w:val="004D532F"/>
    <w:rsid w:val="004D6F73"/>
    <w:rsid w:val="004D70CF"/>
    <w:rsid w:val="004E0B2C"/>
    <w:rsid w:val="004E1CF2"/>
    <w:rsid w:val="004E1FFB"/>
    <w:rsid w:val="004E3374"/>
    <w:rsid w:val="004E4A36"/>
    <w:rsid w:val="004E4DA2"/>
    <w:rsid w:val="004E4F7B"/>
    <w:rsid w:val="004E6538"/>
    <w:rsid w:val="004E6C25"/>
    <w:rsid w:val="004F0F48"/>
    <w:rsid w:val="004F1BDD"/>
    <w:rsid w:val="004F222C"/>
    <w:rsid w:val="004F2DB2"/>
    <w:rsid w:val="004F3ADD"/>
    <w:rsid w:val="004F3D11"/>
    <w:rsid w:val="004F6909"/>
    <w:rsid w:val="004F7182"/>
    <w:rsid w:val="00501D00"/>
    <w:rsid w:val="00502443"/>
    <w:rsid w:val="00503AD5"/>
    <w:rsid w:val="00503F78"/>
    <w:rsid w:val="0050451D"/>
    <w:rsid w:val="005051B9"/>
    <w:rsid w:val="00505F3F"/>
    <w:rsid w:val="00513334"/>
    <w:rsid w:val="005141D1"/>
    <w:rsid w:val="00516089"/>
    <w:rsid w:val="00516887"/>
    <w:rsid w:val="00521016"/>
    <w:rsid w:val="005213F5"/>
    <w:rsid w:val="00522B66"/>
    <w:rsid w:val="005230BD"/>
    <w:rsid w:val="0052457E"/>
    <w:rsid w:val="005257A9"/>
    <w:rsid w:val="005262FD"/>
    <w:rsid w:val="005309F8"/>
    <w:rsid w:val="00530C0F"/>
    <w:rsid w:val="00531F3B"/>
    <w:rsid w:val="00532E19"/>
    <w:rsid w:val="005370D2"/>
    <w:rsid w:val="0053730B"/>
    <w:rsid w:val="0054199F"/>
    <w:rsid w:val="00542C6B"/>
    <w:rsid w:val="005430A4"/>
    <w:rsid w:val="00550E6B"/>
    <w:rsid w:val="00550E9B"/>
    <w:rsid w:val="00550FFB"/>
    <w:rsid w:val="0055262B"/>
    <w:rsid w:val="00553413"/>
    <w:rsid w:val="00553808"/>
    <w:rsid w:val="00553A4E"/>
    <w:rsid w:val="00556493"/>
    <w:rsid w:val="00557683"/>
    <w:rsid w:val="00561845"/>
    <w:rsid w:val="005634AD"/>
    <w:rsid w:val="00563C92"/>
    <w:rsid w:val="0056406D"/>
    <w:rsid w:val="00564867"/>
    <w:rsid w:val="00564FF8"/>
    <w:rsid w:val="00565531"/>
    <w:rsid w:val="00570794"/>
    <w:rsid w:val="00570CAC"/>
    <w:rsid w:val="005733F9"/>
    <w:rsid w:val="005753FB"/>
    <w:rsid w:val="00575478"/>
    <w:rsid w:val="005800E5"/>
    <w:rsid w:val="005803F3"/>
    <w:rsid w:val="005807F6"/>
    <w:rsid w:val="00580A93"/>
    <w:rsid w:val="00580CA8"/>
    <w:rsid w:val="00581C14"/>
    <w:rsid w:val="00583064"/>
    <w:rsid w:val="005842D6"/>
    <w:rsid w:val="005844CE"/>
    <w:rsid w:val="00585C53"/>
    <w:rsid w:val="00585D42"/>
    <w:rsid w:val="00586E51"/>
    <w:rsid w:val="00586EAD"/>
    <w:rsid w:val="00586EDB"/>
    <w:rsid w:val="00587F61"/>
    <w:rsid w:val="0059166D"/>
    <w:rsid w:val="00594908"/>
    <w:rsid w:val="00596458"/>
    <w:rsid w:val="00596B7D"/>
    <w:rsid w:val="005973DF"/>
    <w:rsid w:val="005A1C86"/>
    <w:rsid w:val="005A2198"/>
    <w:rsid w:val="005A266D"/>
    <w:rsid w:val="005A2C68"/>
    <w:rsid w:val="005A3509"/>
    <w:rsid w:val="005A354E"/>
    <w:rsid w:val="005A47E1"/>
    <w:rsid w:val="005A629F"/>
    <w:rsid w:val="005A6335"/>
    <w:rsid w:val="005A6755"/>
    <w:rsid w:val="005A6806"/>
    <w:rsid w:val="005A6E4B"/>
    <w:rsid w:val="005A70F4"/>
    <w:rsid w:val="005A7469"/>
    <w:rsid w:val="005B0B29"/>
    <w:rsid w:val="005B0EEB"/>
    <w:rsid w:val="005B233A"/>
    <w:rsid w:val="005B2609"/>
    <w:rsid w:val="005B6CD7"/>
    <w:rsid w:val="005B6FEE"/>
    <w:rsid w:val="005B710F"/>
    <w:rsid w:val="005B796C"/>
    <w:rsid w:val="005B7EAB"/>
    <w:rsid w:val="005C0A94"/>
    <w:rsid w:val="005C16FB"/>
    <w:rsid w:val="005C1866"/>
    <w:rsid w:val="005C1AAD"/>
    <w:rsid w:val="005C484F"/>
    <w:rsid w:val="005C5489"/>
    <w:rsid w:val="005C5F06"/>
    <w:rsid w:val="005C61B3"/>
    <w:rsid w:val="005D0285"/>
    <w:rsid w:val="005D0464"/>
    <w:rsid w:val="005D0815"/>
    <w:rsid w:val="005D1524"/>
    <w:rsid w:val="005D2069"/>
    <w:rsid w:val="005D39F7"/>
    <w:rsid w:val="005D4D95"/>
    <w:rsid w:val="005D56B2"/>
    <w:rsid w:val="005D7299"/>
    <w:rsid w:val="005D7344"/>
    <w:rsid w:val="005D75EA"/>
    <w:rsid w:val="005E1DE5"/>
    <w:rsid w:val="005E4B50"/>
    <w:rsid w:val="005F0217"/>
    <w:rsid w:val="005F1F1F"/>
    <w:rsid w:val="005F39E7"/>
    <w:rsid w:val="005F3B8A"/>
    <w:rsid w:val="005F491D"/>
    <w:rsid w:val="005F4BE4"/>
    <w:rsid w:val="005F6384"/>
    <w:rsid w:val="005F661C"/>
    <w:rsid w:val="005F66E8"/>
    <w:rsid w:val="005F6E7C"/>
    <w:rsid w:val="005F72FA"/>
    <w:rsid w:val="005F74F9"/>
    <w:rsid w:val="005F7E77"/>
    <w:rsid w:val="00600013"/>
    <w:rsid w:val="00601A58"/>
    <w:rsid w:val="00601C6D"/>
    <w:rsid w:val="00601CDE"/>
    <w:rsid w:val="006020F9"/>
    <w:rsid w:val="00602E93"/>
    <w:rsid w:val="00602EDE"/>
    <w:rsid w:val="00605F76"/>
    <w:rsid w:val="0061010A"/>
    <w:rsid w:val="00610975"/>
    <w:rsid w:val="00611264"/>
    <w:rsid w:val="00611370"/>
    <w:rsid w:val="00613805"/>
    <w:rsid w:val="006138D8"/>
    <w:rsid w:val="006139DB"/>
    <w:rsid w:val="00613E22"/>
    <w:rsid w:val="00615E5A"/>
    <w:rsid w:val="00615FB6"/>
    <w:rsid w:val="00616BEB"/>
    <w:rsid w:val="00616C62"/>
    <w:rsid w:val="00617AD4"/>
    <w:rsid w:val="00617E5A"/>
    <w:rsid w:val="0062080A"/>
    <w:rsid w:val="00622DA5"/>
    <w:rsid w:val="00622FB8"/>
    <w:rsid w:val="00624AAE"/>
    <w:rsid w:val="0062620E"/>
    <w:rsid w:val="00626248"/>
    <w:rsid w:val="00626AB6"/>
    <w:rsid w:val="00627046"/>
    <w:rsid w:val="00627230"/>
    <w:rsid w:val="00627BC6"/>
    <w:rsid w:val="0063008B"/>
    <w:rsid w:val="0063029A"/>
    <w:rsid w:val="00630DD4"/>
    <w:rsid w:val="00632E89"/>
    <w:rsid w:val="006337AA"/>
    <w:rsid w:val="00633E19"/>
    <w:rsid w:val="006341C7"/>
    <w:rsid w:val="00634A24"/>
    <w:rsid w:val="00634D0D"/>
    <w:rsid w:val="00634FC6"/>
    <w:rsid w:val="00635ABD"/>
    <w:rsid w:val="00636665"/>
    <w:rsid w:val="0063670B"/>
    <w:rsid w:val="006401F5"/>
    <w:rsid w:val="006423DF"/>
    <w:rsid w:val="00645EB0"/>
    <w:rsid w:val="00645FBC"/>
    <w:rsid w:val="00646919"/>
    <w:rsid w:val="00646D86"/>
    <w:rsid w:val="0064759E"/>
    <w:rsid w:val="0065127F"/>
    <w:rsid w:val="00651402"/>
    <w:rsid w:val="00651C0E"/>
    <w:rsid w:val="00652398"/>
    <w:rsid w:val="006527A1"/>
    <w:rsid w:val="00652EFD"/>
    <w:rsid w:val="006530B0"/>
    <w:rsid w:val="00653767"/>
    <w:rsid w:val="00653E21"/>
    <w:rsid w:val="0065403F"/>
    <w:rsid w:val="006555AC"/>
    <w:rsid w:val="00655700"/>
    <w:rsid w:val="006570C1"/>
    <w:rsid w:val="0065750A"/>
    <w:rsid w:val="0066039F"/>
    <w:rsid w:val="00660EC2"/>
    <w:rsid w:val="00661A62"/>
    <w:rsid w:val="006623A7"/>
    <w:rsid w:val="00662ED8"/>
    <w:rsid w:val="00671726"/>
    <w:rsid w:val="006727C8"/>
    <w:rsid w:val="0067374C"/>
    <w:rsid w:val="00673BC7"/>
    <w:rsid w:val="0067404A"/>
    <w:rsid w:val="00674932"/>
    <w:rsid w:val="00675515"/>
    <w:rsid w:val="006756E2"/>
    <w:rsid w:val="006764FF"/>
    <w:rsid w:val="006768D5"/>
    <w:rsid w:val="006801FD"/>
    <w:rsid w:val="00680B5A"/>
    <w:rsid w:val="0068136B"/>
    <w:rsid w:val="006821A6"/>
    <w:rsid w:val="0068362A"/>
    <w:rsid w:val="00683F66"/>
    <w:rsid w:val="0068486A"/>
    <w:rsid w:val="00687171"/>
    <w:rsid w:val="00690B36"/>
    <w:rsid w:val="00692B33"/>
    <w:rsid w:val="006958BC"/>
    <w:rsid w:val="00695CA1"/>
    <w:rsid w:val="00696829"/>
    <w:rsid w:val="006A1549"/>
    <w:rsid w:val="006A1906"/>
    <w:rsid w:val="006A37D7"/>
    <w:rsid w:val="006A4AE3"/>
    <w:rsid w:val="006A58B7"/>
    <w:rsid w:val="006A64EB"/>
    <w:rsid w:val="006A68CE"/>
    <w:rsid w:val="006A6D0B"/>
    <w:rsid w:val="006A6DBB"/>
    <w:rsid w:val="006A6ED2"/>
    <w:rsid w:val="006A722F"/>
    <w:rsid w:val="006A7A4E"/>
    <w:rsid w:val="006B1014"/>
    <w:rsid w:val="006B24BB"/>
    <w:rsid w:val="006B24E1"/>
    <w:rsid w:val="006B7876"/>
    <w:rsid w:val="006B7A78"/>
    <w:rsid w:val="006C0378"/>
    <w:rsid w:val="006C0B2C"/>
    <w:rsid w:val="006C121A"/>
    <w:rsid w:val="006C58B9"/>
    <w:rsid w:val="006C673D"/>
    <w:rsid w:val="006C686B"/>
    <w:rsid w:val="006C6E51"/>
    <w:rsid w:val="006C70FF"/>
    <w:rsid w:val="006D40A1"/>
    <w:rsid w:val="006D7F4C"/>
    <w:rsid w:val="006E0381"/>
    <w:rsid w:val="006E1B14"/>
    <w:rsid w:val="006E20EA"/>
    <w:rsid w:val="006E27B2"/>
    <w:rsid w:val="006E3A3E"/>
    <w:rsid w:val="006E3CA9"/>
    <w:rsid w:val="006E61BC"/>
    <w:rsid w:val="006E78BF"/>
    <w:rsid w:val="006F3AA5"/>
    <w:rsid w:val="006F3DB2"/>
    <w:rsid w:val="006F52F7"/>
    <w:rsid w:val="006F6A4C"/>
    <w:rsid w:val="00702D68"/>
    <w:rsid w:val="00703991"/>
    <w:rsid w:val="00704EF7"/>
    <w:rsid w:val="007050FF"/>
    <w:rsid w:val="00707B2E"/>
    <w:rsid w:val="00707C93"/>
    <w:rsid w:val="00710B97"/>
    <w:rsid w:val="00712705"/>
    <w:rsid w:val="0071398E"/>
    <w:rsid w:val="00713A5B"/>
    <w:rsid w:val="00714069"/>
    <w:rsid w:val="00716E96"/>
    <w:rsid w:val="00717A00"/>
    <w:rsid w:val="00717F3A"/>
    <w:rsid w:val="00723DE0"/>
    <w:rsid w:val="00723FEA"/>
    <w:rsid w:val="00724753"/>
    <w:rsid w:val="00724B10"/>
    <w:rsid w:val="00724E05"/>
    <w:rsid w:val="00726E97"/>
    <w:rsid w:val="007270A5"/>
    <w:rsid w:val="00727994"/>
    <w:rsid w:val="0073130E"/>
    <w:rsid w:val="007315AB"/>
    <w:rsid w:val="00731CFF"/>
    <w:rsid w:val="007338F6"/>
    <w:rsid w:val="00733C45"/>
    <w:rsid w:val="00733E23"/>
    <w:rsid w:val="007357F1"/>
    <w:rsid w:val="00736896"/>
    <w:rsid w:val="00737635"/>
    <w:rsid w:val="00744495"/>
    <w:rsid w:val="007520DA"/>
    <w:rsid w:val="00756584"/>
    <w:rsid w:val="00760346"/>
    <w:rsid w:val="007604CE"/>
    <w:rsid w:val="0076066F"/>
    <w:rsid w:val="007617D2"/>
    <w:rsid w:val="00762B98"/>
    <w:rsid w:val="00762C8F"/>
    <w:rsid w:val="00763942"/>
    <w:rsid w:val="0076397A"/>
    <w:rsid w:val="00763BAF"/>
    <w:rsid w:val="007643A9"/>
    <w:rsid w:val="0076481F"/>
    <w:rsid w:val="0076569A"/>
    <w:rsid w:val="00765B78"/>
    <w:rsid w:val="007667E7"/>
    <w:rsid w:val="00766B34"/>
    <w:rsid w:val="00767130"/>
    <w:rsid w:val="00767FAB"/>
    <w:rsid w:val="00771C80"/>
    <w:rsid w:val="00773147"/>
    <w:rsid w:val="007737E8"/>
    <w:rsid w:val="007740F9"/>
    <w:rsid w:val="00775330"/>
    <w:rsid w:val="00775A08"/>
    <w:rsid w:val="0077677A"/>
    <w:rsid w:val="007773D1"/>
    <w:rsid w:val="007813BA"/>
    <w:rsid w:val="007813EC"/>
    <w:rsid w:val="00781D14"/>
    <w:rsid w:val="007865AC"/>
    <w:rsid w:val="00786E16"/>
    <w:rsid w:val="00787D33"/>
    <w:rsid w:val="00790BBC"/>
    <w:rsid w:val="00790E79"/>
    <w:rsid w:val="00795ED4"/>
    <w:rsid w:val="00796CF8"/>
    <w:rsid w:val="00796D0A"/>
    <w:rsid w:val="00797904"/>
    <w:rsid w:val="00797A81"/>
    <w:rsid w:val="007A0B5E"/>
    <w:rsid w:val="007A0E99"/>
    <w:rsid w:val="007A1209"/>
    <w:rsid w:val="007A1733"/>
    <w:rsid w:val="007A25E1"/>
    <w:rsid w:val="007A316F"/>
    <w:rsid w:val="007A3757"/>
    <w:rsid w:val="007A3E41"/>
    <w:rsid w:val="007A463A"/>
    <w:rsid w:val="007A4803"/>
    <w:rsid w:val="007A5A2E"/>
    <w:rsid w:val="007A5CF8"/>
    <w:rsid w:val="007B2652"/>
    <w:rsid w:val="007B31E7"/>
    <w:rsid w:val="007B3359"/>
    <w:rsid w:val="007B439A"/>
    <w:rsid w:val="007B50A5"/>
    <w:rsid w:val="007B5649"/>
    <w:rsid w:val="007B6D0B"/>
    <w:rsid w:val="007B6EED"/>
    <w:rsid w:val="007B7CD5"/>
    <w:rsid w:val="007C0557"/>
    <w:rsid w:val="007C076E"/>
    <w:rsid w:val="007C149C"/>
    <w:rsid w:val="007C310C"/>
    <w:rsid w:val="007C387A"/>
    <w:rsid w:val="007C3938"/>
    <w:rsid w:val="007C3E2D"/>
    <w:rsid w:val="007C5686"/>
    <w:rsid w:val="007C5C28"/>
    <w:rsid w:val="007C6CD5"/>
    <w:rsid w:val="007C7046"/>
    <w:rsid w:val="007C7D46"/>
    <w:rsid w:val="007D26F8"/>
    <w:rsid w:val="007D2A58"/>
    <w:rsid w:val="007D2B2C"/>
    <w:rsid w:val="007D3D2A"/>
    <w:rsid w:val="007D40F4"/>
    <w:rsid w:val="007D4418"/>
    <w:rsid w:val="007D657C"/>
    <w:rsid w:val="007D6857"/>
    <w:rsid w:val="007D6BC2"/>
    <w:rsid w:val="007D7B30"/>
    <w:rsid w:val="007E009E"/>
    <w:rsid w:val="007E232B"/>
    <w:rsid w:val="007E2611"/>
    <w:rsid w:val="007E27E1"/>
    <w:rsid w:val="007E31A6"/>
    <w:rsid w:val="007E37FF"/>
    <w:rsid w:val="007E4004"/>
    <w:rsid w:val="007E4299"/>
    <w:rsid w:val="007E5B60"/>
    <w:rsid w:val="007E5BB0"/>
    <w:rsid w:val="007E695A"/>
    <w:rsid w:val="007E6A97"/>
    <w:rsid w:val="007E6E5D"/>
    <w:rsid w:val="007E7A8D"/>
    <w:rsid w:val="007F0409"/>
    <w:rsid w:val="007F066D"/>
    <w:rsid w:val="007F0FE1"/>
    <w:rsid w:val="007F11AF"/>
    <w:rsid w:val="007F3928"/>
    <w:rsid w:val="007F44D7"/>
    <w:rsid w:val="007F5ABA"/>
    <w:rsid w:val="00800528"/>
    <w:rsid w:val="00800E93"/>
    <w:rsid w:val="00801198"/>
    <w:rsid w:val="00801EDE"/>
    <w:rsid w:val="00802387"/>
    <w:rsid w:val="00803A34"/>
    <w:rsid w:val="008040FA"/>
    <w:rsid w:val="00804CDE"/>
    <w:rsid w:val="00805956"/>
    <w:rsid w:val="00807302"/>
    <w:rsid w:val="00810D1A"/>
    <w:rsid w:val="00810F9A"/>
    <w:rsid w:val="00812989"/>
    <w:rsid w:val="00813ED4"/>
    <w:rsid w:val="00815C02"/>
    <w:rsid w:val="008162E0"/>
    <w:rsid w:val="00816A55"/>
    <w:rsid w:val="00816B10"/>
    <w:rsid w:val="00816D8B"/>
    <w:rsid w:val="00817934"/>
    <w:rsid w:val="008202A1"/>
    <w:rsid w:val="00821D15"/>
    <w:rsid w:val="0082226C"/>
    <w:rsid w:val="00823A1C"/>
    <w:rsid w:val="00823B68"/>
    <w:rsid w:val="00823CFD"/>
    <w:rsid w:val="00825977"/>
    <w:rsid w:val="00826A84"/>
    <w:rsid w:val="00826EF1"/>
    <w:rsid w:val="00827CF7"/>
    <w:rsid w:val="00832FC5"/>
    <w:rsid w:val="008352D1"/>
    <w:rsid w:val="008353AE"/>
    <w:rsid w:val="0083541D"/>
    <w:rsid w:val="0083796D"/>
    <w:rsid w:val="00841DA4"/>
    <w:rsid w:val="00844377"/>
    <w:rsid w:val="008444A8"/>
    <w:rsid w:val="008508D2"/>
    <w:rsid w:val="00850A60"/>
    <w:rsid w:val="00851166"/>
    <w:rsid w:val="008513D2"/>
    <w:rsid w:val="00853017"/>
    <w:rsid w:val="008549C0"/>
    <w:rsid w:val="00854A95"/>
    <w:rsid w:val="008554CE"/>
    <w:rsid w:val="00855668"/>
    <w:rsid w:val="00855F92"/>
    <w:rsid w:val="008563C8"/>
    <w:rsid w:val="008564E6"/>
    <w:rsid w:val="0085683F"/>
    <w:rsid w:val="008568F0"/>
    <w:rsid w:val="00856CC9"/>
    <w:rsid w:val="00857A09"/>
    <w:rsid w:val="00857A6E"/>
    <w:rsid w:val="0086039E"/>
    <w:rsid w:val="00860401"/>
    <w:rsid w:val="00861B94"/>
    <w:rsid w:val="008623EC"/>
    <w:rsid w:val="00862D08"/>
    <w:rsid w:val="008646C6"/>
    <w:rsid w:val="008649FE"/>
    <w:rsid w:val="00865573"/>
    <w:rsid w:val="00865C91"/>
    <w:rsid w:val="00866F56"/>
    <w:rsid w:val="0086777B"/>
    <w:rsid w:val="008677BB"/>
    <w:rsid w:val="008711F5"/>
    <w:rsid w:val="00873EDC"/>
    <w:rsid w:val="008758D1"/>
    <w:rsid w:val="00876C1D"/>
    <w:rsid w:val="008806A2"/>
    <w:rsid w:val="00880E60"/>
    <w:rsid w:val="00881120"/>
    <w:rsid w:val="00883948"/>
    <w:rsid w:val="008839B1"/>
    <w:rsid w:val="008840C2"/>
    <w:rsid w:val="00885AB6"/>
    <w:rsid w:val="00886287"/>
    <w:rsid w:val="00890472"/>
    <w:rsid w:val="008930F4"/>
    <w:rsid w:val="008936F8"/>
    <w:rsid w:val="00894E11"/>
    <w:rsid w:val="00895C8F"/>
    <w:rsid w:val="008A032B"/>
    <w:rsid w:val="008A297B"/>
    <w:rsid w:val="008A3FEE"/>
    <w:rsid w:val="008A4F2A"/>
    <w:rsid w:val="008A585F"/>
    <w:rsid w:val="008A667E"/>
    <w:rsid w:val="008A7240"/>
    <w:rsid w:val="008A789C"/>
    <w:rsid w:val="008A7E2E"/>
    <w:rsid w:val="008B0335"/>
    <w:rsid w:val="008B0D79"/>
    <w:rsid w:val="008B1D1D"/>
    <w:rsid w:val="008B2D3D"/>
    <w:rsid w:val="008B434A"/>
    <w:rsid w:val="008B4BA0"/>
    <w:rsid w:val="008B5143"/>
    <w:rsid w:val="008B516E"/>
    <w:rsid w:val="008B51DD"/>
    <w:rsid w:val="008B564A"/>
    <w:rsid w:val="008B5B53"/>
    <w:rsid w:val="008C1A74"/>
    <w:rsid w:val="008C515B"/>
    <w:rsid w:val="008C63A1"/>
    <w:rsid w:val="008C651C"/>
    <w:rsid w:val="008C66DA"/>
    <w:rsid w:val="008C690F"/>
    <w:rsid w:val="008C6F3D"/>
    <w:rsid w:val="008C71CB"/>
    <w:rsid w:val="008C72EC"/>
    <w:rsid w:val="008C7833"/>
    <w:rsid w:val="008C7A00"/>
    <w:rsid w:val="008C7A0A"/>
    <w:rsid w:val="008D1753"/>
    <w:rsid w:val="008D1F34"/>
    <w:rsid w:val="008D2265"/>
    <w:rsid w:val="008D23ED"/>
    <w:rsid w:val="008D3D01"/>
    <w:rsid w:val="008D3D99"/>
    <w:rsid w:val="008D41FF"/>
    <w:rsid w:val="008D5190"/>
    <w:rsid w:val="008D6B0E"/>
    <w:rsid w:val="008D7AAA"/>
    <w:rsid w:val="008D7C0D"/>
    <w:rsid w:val="008E053C"/>
    <w:rsid w:val="008E089F"/>
    <w:rsid w:val="008E14BE"/>
    <w:rsid w:val="008E15DF"/>
    <w:rsid w:val="008E17E9"/>
    <w:rsid w:val="008E212B"/>
    <w:rsid w:val="008E3B5D"/>
    <w:rsid w:val="008E3E78"/>
    <w:rsid w:val="008E421D"/>
    <w:rsid w:val="008E4A50"/>
    <w:rsid w:val="008E4D25"/>
    <w:rsid w:val="008E6CE0"/>
    <w:rsid w:val="008E6D95"/>
    <w:rsid w:val="008E714F"/>
    <w:rsid w:val="008E7B77"/>
    <w:rsid w:val="008F11D1"/>
    <w:rsid w:val="008F3999"/>
    <w:rsid w:val="008F548E"/>
    <w:rsid w:val="008F5630"/>
    <w:rsid w:val="008F6BA7"/>
    <w:rsid w:val="008F6BF2"/>
    <w:rsid w:val="008F6CF0"/>
    <w:rsid w:val="008F7033"/>
    <w:rsid w:val="008F75C5"/>
    <w:rsid w:val="008F7E54"/>
    <w:rsid w:val="0090071D"/>
    <w:rsid w:val="00905297"/>
    <w:rsid w:val="009064B2"/>
    <w:rsid w:val="00906DED"/>
    <w:rsid w:val="009103AD"/>
    <w:rsid w:val="009107C2"/>
    <w:rsid w:val="00911B6C"/>
    <w:rsid w:val="00912B77"/>
    <w:rsid w:val="00913B8A"/>
    <w:rsid w:val="00914065"/>
    <w:rsid w:val="00914B76"/>
    <w:rsid w:val="009159B3"/>
    <w:rsid w:val="00916401"/>
    <w:rsid w:val="00921A0E"/>
    <w:rsid w:val="00922447"/>
    <w:rsid w:val="00925674"/>
    <w:rsid w:val="0092568B"/>
    <w:rsid w:val="009258A5"/>
    <w:rsid w:val="00926AAC"/>
    <w:rsid w:val="00927275"/>
    <w:rsid w:val="00930D2E"/>
    <w:rsid w:val="00930DC6"/>
    <w:rsid w:val="0093226C"/>
    <w:rsid w:val="00932500"/>
    <w:rsid w:val="00932B55"/>
    <w:rsid w:val="009338F1"/>
    <w:rsid w:val="00933DE2"/>
    <w:rsid w:val="0093515F"/>
    <w:rsid w:val="009361C0"/>
    <w:rsid w:val="00937242"/>
    <w:rsid w:val="00937DEE"/>
    <w:rsid w:val="00940079"/>
    <w:rsid w:val="009408A9"/>
    <w:rsid w:val="009430DF"/>
    <w:rsid w:val="00945FF9"/>
    <w:rsid w:val="0094613A"/>
    <w:rsid w:val="009468F8"/>
    <w:rsid w:val="00946C2D"/>
    <w:rsid w:val="00947C13"/>
    <w:rsid w:val="0095000A"/>
    <w:rsid w:val="00952750"/>
    <w:rsid w:val="00952E3F"/>
    <w:rsid w:val="00952E67"/>
    <w:rsid w:val="00953B94"/>
    <w:rsid w:val="00954038"/>
    <w:rsid w:val="00954935"/>
    <w:rsid w:val="00956471"/>
    <w:rsid w:val="00956756"/>
    <w:rsid w:val="00956BDA"/>
    <w:rsid w:val="009575D1"/>
    <w:rsid w:val="0096029C"/>
    <w:rsid w:val="00960D27"/>
    <w:rsid w:val="00961FB6"/>
    <w:rsid w:val="009623B1"/>
    <w:rsid w:val="00962E09"/>
    <w:rsid w:val="009633DE"/>
    <w:rsid w:val="009639A1"/>
    <w:rsid w:val="00963AED"/>
    <w:rsid w:val="00963F44"/>
    <w:rsid w:val="009642B8"/>
    <w:rsid w:val="00964677"/>
    <w:rsid w:val="0096645E"/>
    <w:rsid w:val="00970313"/>
    <w:rsid w:val="00970560"/>
    <w:rsid w:val="00970BBF"/>
    <w:rsid w:val="009717D9"/>
    <w:rsid w:val="00972242"/>
    <w:rsid w:val="009722EA"/>
    <w:rsid w:val="0097407C"/>
    <w:rsid w:val="009742E8"/>
    <w:rsid w:val="009745E1"/>
    <w:rsid w:val="0097552F"/>
    <w:rsid w:val="009757EB"/>
    <w:rsid w:val="00977234"/>
    <w:rsid w:val="009776F5"/>
    <w:rsid w:val="00977917"/>
    <w:rsid w:val="009801E4"/>
    <w:rsid w:val="00980C32"/>
    <w:rsid w:val="009813F2"/>
    <w:rsid w:val="00985E15"/>
    <w:rsid w:val="009870C4"/>
    <w:rsid w:val="00987348"/>
    <w:rsid w:val="00990555"/>
    <w:rsid w:val="00990B1D"/>
    <w:rsid w:val="00990C52"/>
    <w:rsid w:val="00991516"/>
    <w:rsid w:val="0099155E"/>
    <w:rsid w:val="00991909"/>
    <w:rsid w:val="0099242C"/>
    <w:rsid w:val="009926BC"/>
    <w:rsid w:val="0099288B"/>
    <w:rsid w:val="009955FF"/>
    <w:rsid w:val="00996015"/>
    <w:rsid w:val="00996297"/>
    <w:rsid w:val="00996C34"/>
    <w:rsid w:val="00997850"/>
    <w:rsid w:val="009A1A9F"/>
    <w:rsid w:val="009A2199"/>
    <w:rsid w:val="009A2E7F"/>
    <w:rsid w:val="009A34DB"/>
    <w:rsid w:val="009A3630"/>
    <w:rsid w:val="009A4155"/>
    <w:rsid w:val="009A451C"/>
    <w:rsid w:val="009A4617"/>
    <w:rsid w:val="009B2171"/>
    <w:rsid w:val="009B23CB"/>
    <w:rsid w:val="009B378C"/>
    <w:rsid w:val="009B4CC6"/>
    <w:rsid w:val="009B6A63"/>
    <w:rsid w:val="009B76C1"/>
    <w:rsid w:val="009C020E"/>
    <w:rsid w:val="009C040A"/>
    <w:rsid w:val="009C0442"/>
    <w:rsid w:val="009C0820"/>
    <w:rsid w:val="009C094A"/>
    <w:rsid w:val="009C125A"/>
    <w:rsid w:val="009C30B4"/>
    <w:rsid w:val="009C3E43"/>
    <w:rsid w:val="009C4196"/>
    <w:rsid w:val="009C4422"/>
    <w:rsid w:val="009C4C09"/>
    <w:rsid w:val="009C4C60"/>
    <w:rsid w:val="009C5268"/>
    <w:rsid w:val="009C6AF5"/>
    <w:rsid w:val="009D01EB"/>
    <w:rsid w:val="009D1CCF"/>
    <w:rsid w:val="009D4D75"/>
    <w:rsid w:val="009D5F3F"/>
    <w:rsid w:val="009D67EC"/>
    <w:rsid w:val="009D6CB9"/>
    <w:rsid w:val="009E0540"/>
    <w:rsid w:val="009E23BB"/>
    <w:rsid w:val="009E3B76"/>
    <w:rsid w:val="009E62A7"/>
    <w:rsid w:val="009E702A"/>
    <w:rsid w:val="009E70B5"/>
    <w:rsid w:val="009E7D96"/>
    <w:rsid w:val="009F1328"/>
    <w:rsid w:val="009F3196"/>
    <w:rsid w:val="009F4AB1"/>
    <w:rsid w:val="009F50F7"/>
    <w:rsid w:val="00A016CE"/>
    <w:rsid w:val="00A03B7C"/>
    <w:rsid w:val="00A0509F"/>
    <w:rsid w:val="00A105B1"/>
    <w:rsid w:val="00A114F2"/>
    <w:rsid w:val="00A1373A"/>
    <w:rsid w:val="00A13ABB"/>
    <w:rsid w:val="00A14A09"/>
    <w:rsid w:val="00A1745B"/>
    <w:rsid w:val="00A23C1D"/>
    <w:rsid w:val="00A23F4C"/>
    <w:rsid w:val="00A27D0D"/>
    <w:rsid w:val="00A308E3"/>
    <w:rsid w:val="00A3641A"/>
    <w:rsid w:val="00A372FC"/>
    <w:rsid w:val="00A404F2"/>
    <w:rsid w:val="00A40E9D"/>
    <w:rsid w:val="00A419EB"/>
    <w:rsid w:val="00A41A11"/>
    <w:rsid w:val="00A42473"/>
    <w:rsid w:val="00A42B86"/>
    <w:rsid w:val="00A42D11"/>
    <w:rsid w:val="00A44C0C"/>
    <w:rsid w:val="00A50A9D"/>
    <w:rsid w:val="00A538FF"/>
    <w:rsid w:val="00A55A8E"/>
    <w:rsid w:val="00A56E98"/>
    <w:rsid w:val="00A571B9"/>
    <w:rsid w:val="00A57FEB"/>
    <w:rsid w:val="00A64763"/>
    <w:rsid w:val="00A65860"/>
    <w:rsid w:val="00A66726"/>
    <w:rsid w:val="00A66D41"/>
    <w:rsid w:val="00A71878"/>
    <w:rsid w:val="00A7192E"/>
    <w:rsid w:val="00A72DB8"/>
    <w:rsid w:val="00A72DCD"/>
    <w:rsid w:val="00A746F5"/>
    <w:rsid w:val="00A75260"/>
    <w:rsid w:val="00A75817"/>
    <w:rsid w:val="00A75914"/>
    <w:rsid w:val="00A760A9"/>
    <w:rsid w:val="00A76607"/>
    <w:rsid w:val="00A76FE3"/>
    <w:rsid w:val="00A7730D"/>
    <w:rsid w:val="00A77354"/>
    <w:rsid w:val="00A77A67"/>
    <w:rsid w:val="00A80907"/>
    <w:rsid w:val="00A81C46"/>
    <w:rsid w:val="00A8311B"/>
    <w:rsid w:val="00A833EB"/>
    <w:rsid w:val="00A8503A"/>
    <w:rsid w:val="00A85D21"/>
    <w:rsid w:val="00A87D11"/>
    <w:rsid w:val="00A90063"/>
    <w:rsid w:val="00A909DC"/>
    <w:rsid w:val="00A91399"/>
    <w:rsid w:val="00A923EF"/>
    <w:rsid w:val="00A93076"/>
    <w:rsid w:val="00A939ED"/>
    <w:rsid w:val="00A93B8D"/>
    <w:rsid w:val="00A94254"/>
    <w:rsid w:val="00A94652"/>
    <w:rsid w:val="00A949EB"/>
    <w:rsid w:val="00A9605C"/>
    <w:rsid w:val="00AA1F80"/>
    <w:rsid w:val="00AA252E"/>
    <w:rsid w:val="00AA2792"/>
    <w:rsid w:val="00AA2D10"/>
    <w:rsid w:val="00AA332C"/>
    <w:rsid w:val="00AA395F"/>
    <w:rsid w:val="00AA5013"/>
    <w:rsid w:val="00AA531C"/>
    <w:rsid w:val="00AA565A"/>
    <w:rsid w:val="00AA574B"/>
    <w:rsid w:val="00AA57EE"/>
    <w:rsid w:val="00AA6798"/>
    <w:rsid w:val="00AA705A"/>
    <w:rsid w:val="00AB008A"/>
    <w:rsid w:val="00AB00A4"/>
    <w:rsid w:val="00AB04A4"/>
    <w:rsid w:val="00AB0BE9"/>
    <w:rsid w:val="00AB1D66"/>
    <w:rsid w:val="00AB248A"/>
    <w:rsid w:val="00AB420F"/>
    <w:rsid w:val="00AB66B1"/>
    <w:rsid w:val="00AB7F0E"/>
    <w:rsid w:val="00AC2F10"/>
    <w:rsid w:val="00AC47A9"/>
    <w:rsid w:val="00AC4AE5"/>
    <w:rsid w:val="00AC5C9B"/>
    <w:rsid w:val="00AC5D89"/>
    <w:rsid w:val="00AC647C"/>
    <w:rsid w:val="00AD0CF0"/>
    <w:rsid w:val="00AD1541"/>
    <w:rsid w:val="00AD1550"/>
    <w:rsid w:val="00AD22B8"/>
    <w:rsid w:val="00AD3999"/>
    <w:rsid w:val="00AD649E"/>
    <w:rsid w:val="00AD6811"/>
    <w:rsid w:val="00AD7457"/>
    <w:rsid w:val="00AD7CBE"/>
    <w:rsid w:val="00AE013C"/>
    <w:rsid w:val="00AE35EA"/>
    <w:rsid w:val="00AE7538"/>
    <w:rsid w:val="00AE770B"/>
    <w:rsid w:val="00AE7E5E"/>
    <w:rsid w:val="00AF051E"/>
    <w:rsid w:val="00AF05CF"/>
    <w:rsid w:val="00AF083C"/>
    <w:rsid w:val="00AF1282"/>
    <w:rsid w:val="00AF134C"/>
    <w:rsid w:val="00AF348D"/>
    <w:rsid w:val="00AF38CE"/>
    <w:rsid w:val="00AF3FCB"/>
    <w:rsid w:val="00AF560A"/>
    <w:rsid w:val="00AF5F77"/>
    <w:rsid w:val="00AF64A5"/>
    <w:rsid w:val="00AF69FC"/>
    <w:rsid w:val="00B00E8E"/>
    <w:rsid w:val="00B011E5"/>
    <w:rsid w:val="00B02E16"/>
    <w:rsid w:val="00B03F67"/>
    <w:rsid w:val="00B0455A"/>
    <w:rsid w:val="00B10856"/>
    <w:rsid w:val="00B125E4"/>
    <w:rsid w:val="00B16D30"/>
    <w:rsid w:val="00B17C5D"/>
    <w:rsid w:val="00B20103"/>
    <w:rsid w:val="00B2054E"/>
    <w:rsid w:val="00B205AF"/>
    <w:rsid w:val="00B20AAD"/>
    <w:rsid w:val="00B2155E"/>
    <w:rsid w:val="00B21AFB"/>
    <w:rsid w:val="00B21BC6"/>
    <w:rsid w:val="00B21EEA"/>
    <w:rsid w:val="00B22E3D"/>
    <w:rsid w:val="00B2328D"/>
    <w:rsid w:val="00B234F3"/>
    <w:rsid w:val="00B26833"/>
    <w:rsid w:val="00B26A75"/>
    <w:rsid w:val="00B329CB"/>
    <w:rsid w:val="00B33102"/>
    <w:rsid w:val="00B33C76"/>
    <w:rsid w:val="00B33F65"/>
    <w:rsid w:val="00B342D1"/>
    <w:rsid w:val="00B35FA5"/>
    <w:rsid w:val="00B362B9"/>
    <w:rsid w:val="00B368C0"/>
    <w:rsid w:val="00B36B9B"/>
    <w:rsid w:val="00B36F87"/>
    <w:rsid w:val="00B4052B"/>
    <w:rsid w:val="00B4062C"/>
    <w:rsid w:val="00B42777"/>
    <w:rsid w:val="00B44479"/>
    <w:rsid w:val="00B45921"/>
    <w:rsid w:val="00B5070A"/>
    <w:rsid w:val="00B5234E"/>
    <w:rsid w:val="00B531D4"/>
    <w:rsid w:val="00B53C5E"/>
    <w:rsid w:val="00B56A39"/>
    <w:rsid w:val="00B57C6B"/>
    <w:rsid w:val="00B57E94"/>
    <w:rsid w:val="00B60D87"/>
    <w:rsid w:val="00B61213"/>
    <w:rsid w:val="00B630E6"/>
    <w:rsid w:val="00B63A63"/>
    <w:rsid w:val="00B64298"/>
    <w:rsid w:val="00B65070"/>
    <w:rsid w:val="00B66950"/>
    <w:rsid w:val="00B70590"/>
    <w:rsid w:val="00B70738"/>
    <w:rsid w:val="00B70C7E"/>
    <w:rsid w:val="00B71115"/>
    <w:rsid w:val="00B7119D"/>
    <w:rsid w:val="00B71520"/>
    <w:rsid w:val="00B719AD"/>
    <w:rsid w:val="00B71A11"/>
    <w:rsid w:val="00B72B5E"/>
    <w:rsid w:val="00B7412B"/>
    <w:rsid w:val="00B74420"/>
    <w:rsid w:val="00B75E51"/>
    <w:rsid w:val="00B765C9"/>
    <w:rsid w:val="00B77004"/>
    <w:rsid w:val="00B77BE2"/>
    <w:rsid w:val="00B801CC"/>
    <w:rsid w:val="00B822A4"/>
    <w:rsid w:val="00B8288E"/>
    <w:rsid w:val="00B832A4"/>
    <w:rsid w:val="00B848E6"/>
    <w:rsid w:val="00B85C8F"/>
    <w:rsid w:val="00B86E0A"/>
    <w:rsid w:val="00B87D52"/>
    <w:rsid w:val="00B90231"/>
    <w:rsid w:val="00B90F32"/>
    <w:rsid w:val="00B914D2"/>
    <w:rsid w:val="00B92375"/>
    <w:rsid w:val="00B92A35"/>
    <w:rsid w:val="00B94068"/>
    <w:rsid w:val="00B9465F"/>
    <w:rsid w:val="00B94B75"/>
    <w:rsid w:val="00B955CF"/>
    <w:rsid w:val="00B957D6"/>
    <w:rsid w:val="00B97256"/>
    <w:rsid w:val="00B97DFF"/>
    <w:rsid w:val="00BA0159"/>
    <w:rsid w:val="00BA0B4F"/>
    <w:rsid w:val="00BA1643"/>
    <w:rsid w:val="00BA285F"/>
    <w:rsid w:val="00BA3D6B"/>
    <w:rsid w:val="00BA51B8"/>
    <w:rsid w:val="00BA631B"/>
    <w:rsid w:val="00BA78D0"/>
    <w:rsid w:val="00BA7B77"/>
    <w:rsid w:val="00BA7E1C"/>
    <w:rsid w:val="00BB07B4"/>
    <w:rsid w:val="00BB3588"/>
    <w:rsid w:val="00BB3B31"/>
    <w:rsid w:val="00BB3C43"/>
    <w:rsid w:val="00BB6C26"/>
    <w:rsid w:val="00BC20C1"/>
    <w:rsid w:val="00BC2100"/>
    <w:rsid w:val="00BC3509"/>
    <w:rsid w:val="00BC6DE5"/>
    <w:rsid w:val="00BC6F71"/>
    <w:rsid w:val="00BC7857"/>
    <w:rsid w:val="00BD16D5"/>
    <w:rsid w:val="00BD3934"/>
    <w:rsid w:val="00BD4C0D"/>
    <w:rsid w:val="00BD5ED5"/>
    <w:rsid w:val="00BD7E39"/>
    <w:rsid w:val="00BE12BB"/>
    <w:rsid w:val="00BE2841"/>
    <w:rsid w:val="00BE2900"/>
    <w:rsid w:val="00BE2B1D"/>
    <w:rsid w:val="00BE2FE0"/>
    <w:rsid w:val="00BE31A7"/>
    <w:rsid w:val="00BE3A7A"/>
    <w:rsid w:val="00BE6476"/>
    <w:rsid w:val="00BE7E6B"/>
    <w:rsid w:val="00BF0D6B"/>
    <w:rsid w:val="00C00A2B"/>
    <w:rsid w:val="00C019E5"/>
    <w:rsid w:val="00C02C4A"/>
    <w:rsid w:val="00C02DBE"/>
    <w:rsid w:val="00C033D8"/>
    <w:rsid w:val="00C0417E"/>
    <w:rsid w:val="00C0499C"/>
    <w:rsid w:val="00C04A84"/>
    <w:rsid w:val="00C05DE4"/>
    <w:rsid w:val="00C062B6"/>
    <w:rsid w:val="00C067A3"/>
    <w:rsid w:val="00C06FDE"/>
    <w:rsid w:val="00C128F8"/>
    <w:rsid w:val="00C13A44"/>
    <w:rsid w:val="00C14A85"/>
    <w:rsid w:val="00C15E8E"/>
    <w:rsid w:val="00C17C93"/>
    <w:rsid w:val="00C20289"/>
    <w:rsid w:val="00C214EE"/>
    <w:rsid w:val="00C215DE"/>
    <w:rsid w:val="00C2266A"/>
    <w:rsid w:val="00C22A2D"/>
    <w:rsid w:val="00C22B52"/>
    <w:rsid w:val="00C22F84"/>
    <w:rsid w:val="00C243C5"/>
    <w:rsid w:val="00C253D6"/>
    <w:rsid w:val="00C2721E"/>
    <w:rsid w:val="00C27341"/>
    <w:rsid w:val="00C3122E"/>
    <w:rsid w:val="00C33018"/>
    <w:rsid w:val="00C33081"/>
    <w:rsid w:val="00C33420"/>
    <w:rsid w:val="00C33879"/>
    <w:rsid w:val="00C3395C"/>
    <w:rsid w:val="00C34314"/>
    <w:rsid w:val="00C34B27"/>
    <w:rsid w:val="00C371E3"/>
    <w:rsid w:val="00C40CF0"/>
    <w:rsid w:val="00C414FB"/>
    <w:rsid w:val="00C41D1F"/>
    <w:rsid w:val="00C42D15"/>
    <w:rsid w:val="00C434A0"/>
    <w:rsid w:val="00C455C8"/>
    <w:rsid w:val="00C4631B"/>
    <w:rsid w:val="00C47609"/>
    <w:rsid w:val="00C47687"/>
    <w:rsid w:val="00C50549"/>
    <w:rsid w:val="00C52892"/>
    <w:rsid w:val="00C53072"/>
    <w:rsid w:val="00C53A00"/>
    <w:rsid w:val="00C541D2"/>
    <w:rsid w:val="00C542E3"/>
    <w:rsid w:val="00C5430D"/>
    <w:rsid w:val="00C54935"/>
    <w:rsid w:val="00C54A20"/>
    <w:rsid w:val="00C5614A"/>
    <w:rsid w:val="00C56A78"/>
    <w:rsid w:val="00C56BEA"/>
    <w:rsid w:val="00C602E5"/>
    <w:rsid w:val="00C626A2"/>
    <w:rsid w:val="00C626F0"/>
    <w:rsid w:val="00C6650D"/>
    <w:rsid w:val="00C6700B"/>
    <w:rsid w:val="00C67E1B"/>
    <w:rsid w:val="00C70399"/>
    <w:rsid w:val="00C73199"/>
    <w:rsid w:val="00C7399C"/>
    <w:rsid w:val="00C75083"/>
    <w:rsid w:val="00C75681"/>
    <w:rsid w:val="00C75688"/>
    <w:rsid w:val="00C76589"/>
    <w:rsid w:val="00C77085"/>
    <w:rsid w:val="00C77668"/>
    <w:rsid w:val="00C7796C"/>
    <w:rsid w:val="00C822E3"/>
    <w:rsid w:val="00C82F9F"/>
    <w:rsid w:val="00C84432"/>
    <w:rsid w:val="00C84947"/>
    <w:rsid w:val="00C8494A"/>
    <w:rsid w:val="00C84BF4"/>
    <w:rsid w:val="00C8601B"/>
    <w:rsid w:val="00C86B48"/>
    <w:rsid w:val="00C86E5A"/>
    <w:rsid w:val="00C873CA"/>
    <w:rsid w:val="00C91ED2"/>
    <w:rsid w:val="00C93328"/>
    <w:rsid w:val="00C933AE"/>
    <w:rsid w:val="00C9381A"/>
    <w:rsid w:val="00C941B2"/>
    <w:rsid w:val="00C9777F"/>
    <w:rsid w:val="00C978D4"/>
    <w:rsid w:val="00CA19CF"/>
    <w:rsid w:val="00CA1BA5"/>
    <w:rsid w:val="00CA1D06"/>
    <w:rsid w:val="00CA2954"/>
    <w:rsid w:val="00CA2A97"/>
    <w:rsid w:val="00CA3DBC"/>
    <w:rsid w:val="00CA48C0"/>
    <w:rsid w:val="00CA5049"/>
    <w:rsid w:val="00CA5FFF"/>
    <w:rsid w:val="00CA63D2"/>
    <w:rsid w:val="00CA6D37"/>
    <w:rsid w:val="00CA7E85"/>
    <w:rsid w:val="00CB045E"/>
    <w:rsid w:val="00CB0E25"/>
    <w:rsid w:val="00CB0E82"/>
    <w:rsid w:val="00CB1E1B"/>
    <w:rsid w:val="00CB34EC"/>
    <w:rsid w:val="00CB37AC"/>
    <w:rsid w:val="00CB6001"/>
    <w:rsid w:val="00CB6202"/>
    <w:rsid w:val="00CB630C"/>
    <w:rsid w:val="00CB70EA"/>
    <w:rsid w:val="00CB7CEF"/>
    <w:rsid w:val="00CB7ED6"/>
    <w:rsid w:val="00CC187B"/>
    <w:rsid w:val="00CC1BAA"/>
    <w:rsid w:val="00CC2B1A"/>
    <w:rsid w:val="00CC328B"/>
    <w:rsid w:val="00CC3E48"/>
    <w:rsid w:val="00CC40BB"/>
    <w:rsid w:val="00CC5073"/>
    <w:rsid w:val="00CD04E9"/>
    <w:rsid w:val="00CD1F9E"/>
    <w:rsid w:val="00CD2D25"/>
    <w:rsid w:val="00CD2FE0"/>
    <w:rsid w:val="00CD4E5B"/>
    <w:rsid w:val="00CD56C3"/>
    <w:rsid w:val="00CD78C9"/>
    <w:rsid w:val="00CD7A32"/>
    <w:rsid w:val="00CDB133"/>
    <w:rsid w:val="00CE0122"/>
    <w:rsid w:val="00CE08B3"/>
    <w:rsid w:val="00CE2CE2"/>
    <w:rsid w:val="00CE3E30"/>
    <w:rsid w:val="00CE3F0D"/>
    <w:rsid w:val="00CE4FDD"/>
    <w:rsid w:val="00CE5430"/>
    <w:rsid w:val="00CE5C6F"/>
    <w:rsid w:val="00CE6405"/>
    <w:rsid w:val="00CE7D0D"/>
    <w:rsid w:val="00CF0F85"/>
    <w:rsid w:val="00CF18F4"/>
    <w:rsid w:val="00CF3691"/>
    <w:rsid w:val="00CF45D9"/>
    <w:rsid w:val="00CF4C7F"/>
    <w:rsid w:val="00CF4EC5"/>
    <w:rsid w:val="00CF56F5"/>
    <w:rsid w:val="00CF646E"/>
    <w:rsid w:val="00CF6DFA"/>
    <w:rsid w:val="00CF7900"/>
    <w:rsid w:val="00D00B18"/>
    <w:rsid w:val="00D01095"/>
    <w:rsid w:val="00D01583"/>
    <w:rsid w:val="00D01B66"/>
    <w:rsid w:val="00D01BCF"/>
    <w:rsid w:val="00D03A68"/>
    <w:rsid w:val="00D05CF0"/>
    <w:rsid w:val="00D06EA8"/>
    <w:rsid w:val="00D07937"/>
    <w:rsid w:val="00D102D0"/>
    <w:rsid w:val="00D10563"/>
    <w:rsid w:val="00D105B3"/>
    <w:rsid w:val="00D11855"/>
    <w:rsid w:val="00D11AA5"/>
    <w:rsid w:val="00D124A3"/>
    <w:rsid w:val="00D14D6A"/>
    <w:rsid w:val="00D15B6C"/>
    <w:rsid w:val="00D16944"/>
    <w:rsid w:val="00D214F0"/>
    <w:rsid w:val="00D245AA"/>
    <w:rsid w:val="00D24F7E"/>
    <w:rsid w:val="00D266F0"/>
    <w:rsid w:val="00D27359"/>
    <w:rsid w:val="00D318A8"/>
    <w:rsid w:val="00D3427E"/>
    <w:rsid w:val="00D35531"/>
    <w:rsid w:val="00D37F75"/>
    <w:rsid w:val="00D4086D"/>
    <w:rsid w:val="00D4087E"/>
    <w:rsid w:val="00D42363"/>
    <w:rsid w:val="00D4317B"/>
    <w:rsid w:val="00D435BB"/>
    <w:rsid w:val="00D44168"/>
    <w:rsid w:val="00D4643C"/>
    <w:rsid w:val="00D46C53"/>
    <w:rsid w:val="00D47EF5"/>
    <w:rsid w:val="00D5130D"/>
    <w:rsid w:val="00D5163E"/>
    <w:rsid w:val="00D5177E"/>
    <w:rsid w:val="00D54937"/>
    <w:rsid w:val="00D579C1"/>
    <w:rsid w:val="00D61002"/>
    <w:rsid w:val="00D610D3"/>
    <w:rsid w:val="00D61CCE"/>
    <w:rsid w:val="00D653E7"/>
    <w:rsid w:val="00D6565F"/>
    <w:rsid w:val="00D65757"/>
    <w:rsid w:val="00D70FFF"/>
    <w:rsid w:val="00D71BFA"/>
    <w:rsid w:val="00D722FC"/>
    <w:rsid w:val="00D72A6E"/>
    <w:rsid w:val="00D736C3"/>
    <w:rsid w:val="00D73DAE"/>
    <w:rsid w:val="00D73DE8"/>
    <w:rsid w:val="00D74859"/>
    <w:rsid w:val="00D74A24"/>
    <w:rsid w:val="00D75F30"/>
    <w:rsid w:val="00D76125"/>
    <w:rsid w:val="00D80539"/>
    <w:rsid w:val="00D80DF0"/>
    <w:rsid w:val="00D81782"/>
    <w:rsid w:val="00D82143"/>
    <w:rsid w:val="00D847B5"/>
    <w:rsid w:val="00D84B0A"/>
    <w:rsid w:val="00D87E72"/>
    <w:rsid w:val="00D9140C"/>
    <w:rsid w:val="00D9154A"/>
    <w:rsid w:val="00D93D1C"/>
    <w:rsid w:val="00D94DA5"/>
    <w:rsid w:val="00D97D1E"/>
    <w:rsid w:val="00DA0428"/>
    <w:rsid w:val="00DA0DF3"/>
    <w:rsid w:val="00DA104E"/>
    <w:rsid w:val="00DA194C"/>
    <w:rsid w:val="00DA2378"/>
    <w:rsid w:val="00DA23BA"/>
    <w:rsid w:val="00DA49A6"/>
    <w:rsid w:val="00DA4B18"/>
    <w:rsid w:val="00DA7927"/>
    <w:rsid w:val="00DA7993"/>
    <w:rsid w:val="00DB090F"/>
    <w:rsid w:val="00DB16FB"/>
    <w:rsid w:val="00DB353D"/>
    <w:rsid w:val="00DB3A2B"/>
    <w:rsid w:val="00DC2A8B"/>
    <w:rsid w:val="00DC323D"/>
    <w:rsid w:val="00DC3A30"/>
    <w:rsid w:val="00DC42C8"/>
    <w:rsid w:val="00DC6B8B"/>
    <w:rsid w:val="00DD094F"/>
    <w:rsid w:val="00DD2148"/>
    <w:rsid w:val="00DD2C10"/>
    <w:rsid w:val="00DD44E0"/>
    <w:rsid w:val="00DD61F7"/>
    <w:rsid w:val="00DD73DF"/>
    <w:rsid w:val="00DD7E00"/>
    <w:rsid w:val="00DE020B"/>
    <w:rsid w:val="00DE1DBF"/>
    <w:rsid w:val="00DE4037"/>
    <w:rsid w:val="00DE4F6B"/>
    <w:rsid w:val="00DE5A6C"/>
    <w:rsid w:val="00DF0518"/>
    <w:rsid w:val="00DF0F4C"/>
    <w:rsid w:val="00DF28AD"/>
    <w:rsid w:val="00DF4111"/>
    <w:rsid w:val="00DF4814"/>
    <w:rsid w:val="00DF4D8D"/>
    <w:rsid w:val="00DF5B1D"/>
    <w:rsid w:val="00DF7129"/>
    <w:rsid w:val="00E00574"/>
    <w:rsid w:val="00E00E9E"/>
    <w:rsid w:val="00E01595"/>
    <w:rsid w:val="00E02E48"/>
    <w:rsid w:val="00E0382F"/>
    <w:rsid w:val="00E07927"/>
    <w:rsid w:val="00E07D4C"/>
    <w:rsid w:val="00E11336"/>
    <w:rsid w:val="00E11BD7"/>
    <w:rsid w:val="00E12286"/>
    <w:rsid w:val="00E12F15"/>
    <w:rsid w:val="00E13B5F"/>
    <w:rsid w:val="00E141EF"/>
    <w:rsid w:val="00E14BCD"/>
    <w:rsid w:val="00E162F1"/>
    <w:rsid w:val="00E17851"/>
    <w:rsid w:val="00E17A35"/>
    <w:rsid w:val="00E21090"/>
    <w:rsid w:val="00E21BC9"/>
    <w:rsid w:val="00E22A6C"/>
    <w:rsid w:val="00E24CEE"/>
    <w:rsid w:val="00E25487"/>
    <w:rsid w:val="00E257D0"/>
    <w:rsid w:val="00E2635F"/>
    <w:rsid w:val="00E26ABB"/>
    <w:rsid w:val="00E26D28"/>
    <w:rsid w:val="00E34869"/>
    <w:rsid w:val="00E349EF"/>
    <w:rsid w:val="00E365B9"/>
    <w:rsid w:val="00E36DF9"/>
    <w:rsid w:val="00E40CFC"/>
    <w:rsid w:val="00E42447"/>
    <w:rsid w:val="00E42A25"/>
    <w:rsid w:val="00E43BFC"/>
    <w:rsid w:val="00E4486C"/>
    <w:rsid w:val="00E45CBB"/>
    <w:rsid w:val="00E461CC"/>
    <w:rsid w:val="00E47A79"/>
    <w:rsid w:val="00E503FE"/>
    <w:rsid w:val="00E54BCB"/>
    <w:rsid w:val="00E550F8"/>
    <w:rsid w:val="00E605B7"/>
    <w:rsid w:val="00E6101B"/>
    <w:rsid w:val="00E6131D"/>
    <w:rsid w:val="00E615E0"/>
    <w:rsid w:val="00E6165C"/>
    <w:rsid w:val="00E6333D"/>
    <w:rsid w:val="00E63438"/>
    <w:rsid w:val="00E635C8"/>
    <w:rsid w:val="00E63759"/>
    <w:rsid w:val="00E639FF"/>
    <w:rsid w:val="00E65426"/>
    <w:rsid w:val="00E6563B"/>
    <w:rsid w:val="00E6587E"/>
    <w:rsid w:val="00E70C41"/>
    <w:rsid w:val="00E71BAE"/>
    <w:rsid w:val="00E73AA8"/>
    <w:rsid w:val="00E75B52"/>
    <w:rsid w:val="00E761C2"/>
    <w:rsid w:val="00E770EC"/>
    <w:rsid w:val="00E80A4A"/>
    <w:rsid w:val="00E815ED"/>
    <w:rsid w:val="00E834FC"/>
    <w:rsid w:val="00E85824"/>
    <w:rsid w:val="00E85BF6"/>
    <w:rsid w:val="00E8658E"/>
    <w:rsid w:val="00E87543"/>
    <w:rsid w:val="00E878D6"/>
    <w:rsid w:val="00E87E7F"/>
    <w:rsid w:val="00E909F9"/>
    <w:rsid w:val="00E91F1A"/>
    <w:rsid w:val="00E93336"/>
    <w:rsid w:val="00E94FFF"/>
    <w:rsid w:val="00E956A9"/>
    <w:rsid w:val="00E95BD0"/>
    <w:rsid w:val="00E96826"/>
    <w:rsid w:val="00EA07ED"/>
    <w:rsid w:val="00EA3F35"/>
    <w:rsid w:val="00EA4876"/>
    <w:rsid w:val="00EA4E25"/>
    <w:rsid w:val="00EA7A28"/>
    <w:rsid w:val="00EA7C35"/>
    <w:rsid w:val="00EB0A89"/>
    <w:rsid w:val="00EB1076"/>
    <w:rsid w:val="00EB198A"/>
    <w:rsid w:val="00EB28B8"/>
    <w:rsid w:val="00EB4068"/>
    <w:rsid w:val="00EB43F0"/>
    <w:rsid w:val="00EB4E02"/>
    <w:rsid w:val="00EB5F83"/>
    <w:rsid w:val="00EB7301"/>
    <w:rsid w:val="00EB73C5"/>
    <w:rsid w:val="00EB7F5F"/>
    <w:rsid w:val="00EC0480"/>
    <w:rsid w:val="00EC6201"/>
    <w:rsid w:val="00EC6919"/>
    <w:rsid w:val="00ED05A4"/>
    <w:rsid w:val="00ED07A3"/>
    <w:rsid w:val="00ED20ED"/>
    <w:rsid w:val="00ED3114"/>
    <w:rsid w:val="00ED33BD"/>
    <w:rsid w:val="00ED6B25"/>
    <w:rsid w:val="00ED7504"/>
    <w:rsid w:val="00ED79F2"/>
    <w:rsid w:val="00ED7C48"/>
    <w:rsid w:val="00EE1211"/>
    <w:rsid w:val="00EE1815"/>
    <w:rsid w:val="00EE1D16"/>
    <w:rsid w:val="00EE34BB"/>
    <w:rsid w:val="00EE39B3"/>
    <w:rsid w:val="00EF122C"/>
    <w:rsid w:val="00EF1601"/>
    <w:rsid w:val="00EF1EFB"/>
    <w:rsid w:val="00EF2AFA"/>
    <w:rsid w:val="00EF2C54"/>
    <w:rsid w:val="00EF60F4"/>
    <w:rsid w:val="00EF69DA"/>
    <w:rsid w:val="00EF6CFA"/>
    <w:rsid w:val="00EF6D87"/>
    <w:rsid w:val="00F007D1"/>
    <w:rsid w:val="00F0088A"/>
    <w:rsid w:val="00F00C68"/>
    <w:rsid w:val="00F0277E"/>
    <w:rsid w:val="00F0485E"/>
    <w:rsid w:val="00F056B5"/>
    <w:rsid w:val="00F06E4D"/>
    <w:rsid w:val="00F0723A"/>
    <w:rsid w:val="00F07553"/>
    <w:rsid w:val="00F1084B"/>
    <w:rsid w:val="00F10A8C"/>
    <w:rsid w:val="00F128E2"/>
    <w:rsid w:val="00F13ED9"/>
    <w:rsid w:val="00F150E4"/>
    <w:rsid w:val="00F17D60"/>
    <w:rsid w:val="00F20E8C"/>
    <w:rsid w:val="00F220E4"/>
    <w:rsid w:val="00F23044"/>
    <w:rsid w:val="00F234A0"/>
    <w:rsid w:val="00F23568"/>
    <w:rsid w:val="00F244EC"/>
    <w:rsid w:val="00F24F5B"/>
    <w:rsid w:val="00F25883"/>
    <w:rsid w:val="00F25B25"/>
    <w:rsid w:val="00F26CB3"/>
    <w:rsid w:val="00F2767A"/>
    <w:rsid w:val="00F30576"/>
    <w:rsid w:val="00F32404"/>
    <w:rsid w:val="00F32A10"/>
    <w:rsid w:val="00F32CF9"/>
    <w:rsid w:val="00F3522B"/>
    <w:rsid w:val="00F353EB"/>
    <w:rsid w:val="00F36A6F"/>
    <w:rsid w:val="00F36DA6"/>
    <w:rsid w:val="00F42B18"/>
    <w:rsid w:val="00F440F6"/>
    <w:rsid w:val="00F457C6"/>
    <w:rsid w:val="00F45962"/>
    <w:rsid w:val="00F46F19"/>
    <w:rsid w:val="00F50E41"/>
    <w:rsid w:val="00F5378F"/>
    <w:rsid w:val="00F5685E"/>
    <w:rsid w:val="00F574EA"/>
    <w:rsid w:val="00F62B3C"/>
    <w:rsid w:val="00F67F4E"/>
    <w:rsid w:val="00F7038B"/>
    <w:rsid w:val="00F70B17"/>
    <w:rsid w:val="00F70F78"/>
    <w:rsid w:val="00F71BDF"/>
    <w:rsid w:val="00F71D97"/>
    <w:rsid w:val="00F722A0"/>
    <w:rsid w:val="00F72961"/>
    <w:rsid w:val="00F74294"/>
    <w:rsid w:val="00F746E0"/>
    <w:rsid w:val="00F7470E"/>
    <w:rsid w:val="00F75A4F"/>
    <w:rsid w:val="00F75DA7"/>
    <w:rsid w:val="00F76419"/>
    <w:rsid w:val="00F76AAD"/>
    <w:rsid w:val="00F8070C"/>
    <w:rsid w:val="00F81858"/>
    <w:rsid w:val="00F82C28"/>
    <w:rsid w:val="00F831A1"/>
    <w:rsid w:val="00F838E5"/>
    <w:rsid w:val="00F83B16"/>
    <w:rsid w:val="00F848A0"/>
    <w:rsid w:val="00F84C85"/>
    <w:rsid w:val="00F877D9"/>
    <w:rsid w:val="00F87BCA"/>
    <w:rsid w:val="00F91A3A"/>
    <w:rsid w:val="00F9412E"/>
    <w:rsid w:val="00F94246"/>
    <w:rsid w:val="00F94571"/>
    <w:rsid w:val="00F95370"/>
    <w:rsid w:val="00F9726F"/>
    <w:rsid w:val="00FA0137"/>
    <w:rsid w:val="00FA0408"/>
    <w:rsid w:val="00FA15EC"/>
    <w:rsid w:val="00FA19D4"/>
    <w:rsid w:val="00FA217F"/>
    <w:rsid w:val="00FA391F"/>
    <w:rsid w:val="00FA4108"/>
    <w:rsid w:val="00FA4C79"/>
    <w:rsid w:val="00FA5B56"/>
    <w:rsid w:val="00FA6B35"/>
    <w:rsid w:val="00FA7296"/>
    <w:rsid w:val="00FA7635"/>
    <w:rsid w:val="00FA7874"/>
    <w:rsid w:val="00FB0131"/>
    <w:rsid w:val="00FB08AC"/>
    <w:rsid w:val="00FB220B"/>
    <w:rsid w:val="00FB26CE"/>
    <w:rsid w:val="00FB2F77"/>
    <w:rsid w:val="00FB4310"/>
    <w:rsid w:val="00FB4786"/>
    <w:rsid w:val="00FB5807"/>
    <w:rsid w:val="00FB5EDF"/>
    <w:rsid w:val="00FB72C4"/>
    <w:rsid w:val="00FB72CF"/>
    <w:rsid w:val="00FC0CE2"/>
    <w:rsid w:val="00FC0D5C"/>
    <w:rsid w:val="00FC17D5"/>
    <w:rsid w:val="00FC20CB"/>
    <w:rsid w:val="00FC3890"/>
    <w:rsid w:val="00FC3CD6"/>
    <w:rsid w:val="00FC418A"/>
    <w:rsid w:val="00FC4227"/>
    <w:rsid w:val="00FC495E"/>
    <w:rsid w:val="00FC523C"/>
    <w:rsid w:val="00FC5CAA"/>
    <w:rsid w:val="00FC60C3"/>
    <w:rsid w:val="00FC6740"/>
    <w:rsid w:val="00FC7108"/>
    <w:rsid w:val="00FD04AF"/>
    <w:rsid w:val="00FD0542"/>
    <w:rsid w:val="00FD234B"/>
    <w:rsid w:val="00FD2635"/>
    <w:rsid w:val="00FD7D11"/>
    <w:rsid w:val="00FE06A9"/>
    <w:rsid w:val="00FE07BB"/>
    <w:rsid w:val="00FE08CE"/>
    <w:rsid w:val="00FE2145"/>
    <w:rsid w:val="00FE2F68"/>
    <w:rsid w:val="00FE36FB"/>
    <w:rsid w:val="00FE43DB"/>
    <w:rsid w:val="00FE44CA"/>
    <w:rsid w:val="00FE682F"/>
    <w:rsid w:val="00FE7205"/>
    <w:rsid w:val="00FF0A8A"/>
    <w:rsid w:val="00FF15A7"/>
    <w:rsid w:val="00FF1A43"/>
    <w:rsid w:val="00FF1F7C"/>
    <w:rsid w:val="00FF204D"/>
    <w:rsid w:val="00FF4463"/>
    <w:rsid w:val="00FF7275"/>
    <w:rsid w:val="0204D4DC"/>
    <w:rsid w:val="04192C91"/>
    <w:rsid w:val="043634BE"/>
    <w:rsid w:val="0469B1DB"/>
    <w:rsid w:val="06A5F7F0"/>
    <w:rsid w:val="07125180"/>
    <w:rsid w:val="0B362A00"/>
    <w:rsid w:val="0F788A02"/>
    <w:rsid w:val="11AB016B"/>
    <w:rsid w:val="149641C1"/>
    <w:rsid w:val="1515D03A"/>
    <w:rsid w:val="15B5C0FA"/>
    <w:rsid w:val="17E21609"/>
    <w:rsid w:val="1AF8F40E"/>
    <w:rsid w:val="1C1629A7"/>
    <w:rsid w:val="1C263ADF"/>
    <w:rsid w:val="1C26D507"/>
    <w:rsid w:val="1DA29827"/>
    <w:rsid w:val="259C7EFB"/>
    <w:rsid w:val="279C7054"/>
    <w:rsid w:val="296C8E4F"/>
    <w:rsid w:val="2AAC5139"/>
    <w:rsid w:val="2AB8BFED"/>
    <w:rsid w:val="2ADB51F5"/>
    <w:rsid w:val="30CFE26C"/>
    <w:rsid w:val="30DE96B2"/>
    <w:rsid w:val="34404C96"/>
    <w:rsid w:val="36C8507E"/>
    <w:rsid w:val="37451148"/>
    <w:rsid w:val="3ABEFC7D"/>
    <w:rsid w:val="3AD70538"/>
    <w:rsid w:val="3C995B67"/>
    <w:rsid w:val="3ED0AAF8"/>
    <w:rsid w:val="40EF97D9"/>
    <w:rsid w:val="40FCB753"/>
    <w:rsid w:val="41D15D11"/>
    <w:rsid w:val="436356BA"/>
    <w:rsid w:val="45147350"/>
    <w:rsid w:val="451E6667"/>
    <w:rsid w:val="465F89CE"/>
    <w:rsid w:val="475EB875"/>
    <w:rsid w:val="48C4C5D8"/>
    <w:rsid w:val="4A198231"/>
    <w:rsid w:val="4B56ED88"/>
    <w:rsid w:val="4FFB86F4"/>
    <w:rsid w:val="50293BAD"/>
    <w:rsid w:val="517BDF2D"/>
    <w:rsid w:val="54F733B0"/>
    <w:rsid w:val="55417DE4"/>
    <w:rsid w:val="568FFD4D"/>
    <w:rsid w:val="59ACA668"/>
    <w:rsid w:val="5AA90172"/>
    <w:rsid w:val="5B83FF06"/>
    <w:rsid w:val="5B95EEAD"/>
    <w:rsid w:val="5D2E7432"/>
    <w:rsid w:val="5D9D73D6"/>
    <w:rsid w:val="5E8491F0"/>
    <w:rsid w:val="5ED896E8"/>
    <w:rsid w:val="5F1BACCF"/>
    <w:rsid w:val="6037B9B6"/>
    <w:rsid w:val="6377D72D"/>
    <w:rsid w:val="6453E45B"/>
    <w:rsid w:val="655E21BC"/>
    <w:rsid w:val="6877E9FE"/>
    <w:rsid w:val="68BEA340"/>
    <w:rsid w:val="6A2772EC"/>
    <w:rsid w:val="6AA73DEE"/>
    <w:rsid w:val="6CD4694D"/>
    <w:rsid w:val="6DE6F31B"/>
    <w:rsid w:val="6E6BA730"/>
    <w:rsid w:val="720E9B86"/>
    <w:rsid w:val="72C7315F"/>
    <w:rsid w:val="74E0E95B"/>
    <w:rsid w:val="75BF4044"/>
    <w:rsid w:val="7746C487"/>
    <w:rsid w:val="7797E508"/>
    <w:rsid w:val="77A43B23"/>
    <w:rsid w:val="7819220E"/>
    <w:rsid w:val="78D729AB"/>
    <w:rsid w:val="797D2602"/>
    <w:rsid w:val="7B27F2BA"/>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14069"/>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customStyle="1" w:styleId="Default">
    <w:name w:val="Default"/>
    <w:rsid w:val="008040FA"/>
    <w:pPr>
      <w:autoSpaceDE w:val="0"/>
      <w:autoSpaceDN w:val="0"/>
      <w:adjustRightInd w:val="0"/>
    </w:pPr>
    <w:rPr>
      <w:rFonts w:ascii="Calibri" w:eastAsiaTheme="minorHAnsi" w:hAnsi="Calibri" w:cs="Calibri"/>
      <w:color w:val="000000"/>
      <w:sz w:val="24"/>
      <w:szCs w:val="24"/>
      <w:lang w:eastAsia="en-US"/>
    </w:rPr>
  </w:style>
  <w:style w:type="character" w:styleId="Mention">
    <w:name w:val="Mention"/>
    <w:basedOn w:val="DefaultParagraphFont"/>
    <w:uiPriority w:val="99"/>
    <w:unhideWhenUsed/>
    <w:rsid w:val="008040FA"/>
    <w:rPr>
      <w:color w:val="2B579A"/>
      <w:shd w:val="clear" w:color="auto" w:fill="E1DFDD"/>
    </w:rPr>
  </w:style>
  <w:style w:type="paragraph" w:styleId="Revision">
    <w:name w:val="Revision"/>
    <w:hidden/>
    <w:semiHidden/>
    <w:rsid w:val="00613E22"/>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613E22"/>
    <w:rPr>
      <w:b/>
      <w:bCs/>
      <w:lang w:val="en-AU"/>
    </w:rPr>
  </w:style>
  <w:style w:type="character" w:customStyle="1" w:styleId="CommentSubjectChar">
    <w:name w:val="Comment Subject Char"/>
    <w:basedOn w:val="CommentTextChar"/>
    <w:link w:val="CommentSubject"/>
    <w:uiPriority w:val="99"/>
    <w:semiHidden/>
    <w:rsid w:val="00613E22"/>
    <w:rPr>
      <w:rFonts w:asciiTheme="minorHAnsi" w:hAnsiTheme="minorHAnsi" w:cstheme="minorHAnsi"/>
      <w:b/>
      <w:bCs/>
      <w:color w:val="000000" w:themeColor="text1"/>
      <w:lang w:val="en-GB" w:eastAsia="en-US"/>
    </w:rPr>
  </w:style>
  <w:style w:type="character" w:styleId="UnresolvedMention">
    <w:name w:val="Unresolved Mention"/>
    <w:basedOn w:val="DefaultParagraphFont"/>
    <w:uiPriority w:val="99"/>
    <w:semiHidden/>
    <w:unhideWhenUsed/>
    <w:rsid w:val="00F07553"/>
    <w:rPr>
      <w:color w:val="605E5C"/>
      <w:shd w:val="clear" w:color="auto" w:fill="E1DFDD"/>
    </w:rPr>
  </w:style>
  <w:style w:type="paragraph" w:customStyle="1" w:styleId="paragraph">
    <w:name w:val="paragraph"/>
    <w:basedOn w:val="Normal"/>
    <w:rsid w:val="00727994"/>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727994"/>
  </w:style>
  <w:style w:type="character" w:customStyle="1" w:styleId="ui-provider">
    <w:name w:val="ui-provider"/>
    <w:basedOn w:val="DefaultParagraphFont"/>
    <w:rsid w:val="00DC42C8"/>
  </w:style>
  <w:style w:type="character" w:customStyle="1" w:styleId="scxw69614514">
    <w:name w:val="scxw69614514"/>
    <w:basedOn w:val="DefaultParagraphFont"/>
    <w:rsid w:val="007D26F8"/>
  </w:style>
  <w:style w:type="character" w:customStyle="1" w:styleId="eop">
    <w:name w:val="eop"/>
    <w:basedOn w:val="DefaultParagraphFont"/>
    <w:rsid w:val="007D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222837038">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legislation.gov.au/F2008L02309/latest/versions" TargetMode="External"/><Relationship Id="rId39" Type="http://schemas.openxmlformats.org/officeDocument/2006/relationships/header" Target="header2.xml"/><Relationship Id="rId21" Type="http://schemas.openxmlformats.org/officeDocument/2006/relationships/image" Target="media/image12.png"/><Relationship Id="rId34" Type="http://schemas.openxmlformats.org/officeDocument/2006/relationships/hyperlink" Target="http://www.cleanenergyregulator.gov.au/NGER/Pages/default.aspx"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hyperlink" Target="https://cer.gov.au/document_page/estimating-emissions-and-energy-fuel-combustion-guidelin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C2007A00175/latest/versions" TargetMode="External"/><Relationship Id="rId32" Type="http://schemas.openxmlformats.org/officeDocument/2006/relationships/hyperlink" Target="https://cer.gov.au/document_page/estimating-emissions-and-energy-fuel-combustion-guidelin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help-and-resources/understanding-legislation/reading-legislation" TargetMode="External"/><Relationship Id="rId28" Type="http://schemas.openxmlformats.org/officeDocument/2006/relationships/hyperlink" Target="https://cer.gov.au/schemes/national-greenhouse-and-energy-reporting-scheme/report-emissions-and-energy/amendments" TargetMode="External"/><Relationship Id="rId36"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schemes/national-greenhouse-and-energy-reporting-scheme/report-emissions-and-energy/nger-reporting-guid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national-greenhouse-and-energy-reporting-scheme/assess-your-obligations" TargetMode="External"/><Relationship Id="rId27" Type="http://schemas.openxmlformats.org/officeDocument/2006/relationships/hyperlink" Target="https://cer.gov.au/schemes/national-greenhouse-and-energy-reporting-scheme" TargetMode="External"/><Relationship Id="rId30" Type="http://schemas.openxmlformats.org/officeDocument/2006/relationships/hyperlink" Target="https://cer.gov.au/about-us/contact-us" TargetMode="External"/><Relationship Id="rId35" Type="http://schemas.openxmlformats.org/officeDocument/2006/relationships/hyperlink" Target="http://www.cer.gov.au/" TargetMode="Externa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F2008L02309" TargetMode="External"/><Relationship Id="rId33" Type="http://schemas.openxmlformats.org/officeDocument/2006/relationships/hyperlink" Target="https://cer.gov.au/document_page/guidance-aggregated-facility-reporting-percentage-estimates-and-incidental-emissions-and-energy"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3243</Words>
  <Characters>18487</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Links>
    <vt:vector size="156" baseType="variant">
      <vt:variant>
        <vt:i4>6619183</vt:i4>
      </vt:variant>
      <vt:variant>
        <vt:i4>102</vt:i4>
      </vt:variant>
      <vt:variant>
        <vt:i4>0</vt:i4>
      </vt:variant>
      <vt:variant>
        <vt:i4>5</vt:i4>
      </vt:variant>
      <vt:variant>
        <vt:lpwstr>http://www.cer.gov.au/</vt:lpwstr>
      </vt:variant>
      <vt:variant>
        <vt:lpwstr/>
      </vt:variant>
      <vt:variant>
        <vt:i4>6291577</vt:i4>
      </vt:variant>
      <vt:variant>
        <vt:i4>99</vt:i4>
      </vt:variant>
      <vt:variant>
        <vt:i4>0</vt:i4>
      </vt:variant>
      <vt:variant>
        <vt:i4>5</vt:i4>
      </vt:variant>
      <vt:variant>
        <vt:lpwstr>http://www.cleanenergyregulator.gov.au/NGER/Pages/default.aspx</vt:lpwstr>
      </vt:variant>
      <vt:variant>
        <vt:lpwstr/>
      </vt:variant>
      <vt:variant>
        <vt:i4>3342425</vt:i4>
      </vt:variant>
      <vt:variant>
        <vt:i4>93</vt:i4>
      </vt:variant>
      <vt:variant>
        <vt:i4>0</vt:i4>
      </vt:variant>
      <vt:variant>
        <vt:i4>5</vt:i4>
      </vt:variant>
      <vt:variant>
        <vt:lpwstr>https://cer.gov.au/document_page/guidance-aggregated-facility-reporting-percentage-estimates-and-incidental-emissions-and-energy</vt:lpwstr>
      </vt:variant>
      <vt:variant>
        <vt:lpwstr/>
      </vt:variant>
      <vt:variant>
        <vt:i4>5767203</vt:i4>
      </vt:variant>
      <vt:variant>
        <vt:i4>90</vt:i4>
      </vt:variant>
      <vt:variant>
        <vt:i4>0</vt:i4>
      </vt:variant>
      <vt:variant>
        <vt:i4>5</vt:i4>
      </vt:variant>
      <vt:variant>
        <vt:lpwstr>https://cer.gov.au/document_page/estimating-emissions-and-energy-fuel-combustion-guideline</vt:lpwstr>
      </vt:variant>
      <vt:variant>
        <vt:lpwstr/>
      </vt:variant>
      <vt:variant>
        <vt:i4>8061012</vt:i4>
      </vt:variant>
      <vt:variant>
        <vt:i4>87</vt:i4>
      </vt:variant>
      <vt:variant>
        <vt:i4>0</vt:i4>
      </vt:variant>
      <vt:variant>
        <vt:i4>5</vt:i4>
      </vt:variant>
      <vt:variant>
        <vt:lpwstr/>
      </vt:variant>
      <vt:variant>
        <vt:lpwstr>_6._Estimating_energy</vt:lpwstr>
      </vt:variant>
      <vt:variant>
        <vt:i4>8126545</vt:i4>
      </vt:variant>
      <vt:variant>
        <vt:i4>84</vt:i4>
      </vt:variant>
      <vt:variant>
        <vt:i4>0</vt:i4>
      </vt:variant>
      <vt:variant>
        <vt:i4>5</vt:i4>
      </vt:variant>
      <vt:variant>
        <vt:lpwstr/>
      </vt:variant>
      <vt:variant>
        <vt:lpwstr>_5._Estimating_emissions</vt:lpwstr>
      </vt:variant>
      <vt:variant>
        <vt:i4>1704004</vt:i4>
      </vt:variant>
      <vt:variant>
        <vt:i4>81</vt:i4>
      </vt:variant>
      <vt:variant>
        <vt:i4>0</vt:i4>
      </vt:variant>
      <vt:variant>
        <vt:i4>5</vt:i4>
      </vt:variant>
      <vt:variant>
        <vt:lpwstr>https://cer.gov.au/schemes/national-greenhouse-and-energy-reporting-scheme/report-emissions-and-energy/nger-reporting-guides</vt:lpwstr>
      </vt:variant>
      <vt:variant>
        <vt:lpwstr/>
      </vt:variant>
      <vt:variant>
        <vt:i4>6815786</vt:i4>
      </vt:variant>
      <vt:variant>
        <vt:i4>78</vt:i4>
      </vt:variant>
      <vt:variant>
        <vt:i4>0</vt:i4>
      </vt:variant>
      <vt:variant>
        <vt:i4>5</vt:i4>
      </vt:variant>
      <vt:variant>
        <vt:lpwstr>https://cer.gov.au/about-us/contact-us</vt:lpwstr>
      </vt:variant>
      <vt:variant>
        <vt:lpwstr/>
      </vt:variant>
      <vt:variant>
        <vt:i4>5767203</vt:i4>
      </vt:variant>
      <vt:variant>
        <vt:i4>75</vt:i4>
      </vt:variant>
      <vt:variant>
        <vt:i4>0</vt:i4>
      </vt:variant>
      <vt:variant>
        <vt:i4>5</vt:i4>
      </vt:variant>
      <vt:variant>
        <vt:lpwstr>https://cer.gov.au/document_page/estimating-emissions-and-energy-fuel-combustion-guideline</vt:lpwstr>
      </vt:variant>
      <vt:variant>
        <vt:lpwstr/>
      </vt:variant>
      <vt:variant>
        <vt:i4>1179716</vt:i4>
      </vt:variant>
      <vt:variant>
        <vt:i4>72</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63</vt:i4>
      </vt:variant>
      <vt:variant>
        <vt:i4>0</vt:i4>
      </vt:variant>
      <vt:variant>
        <vt:i4>5</vt:i4>
      </vt:variant>
      <vt:variant>
        <vt:lpwstr>https://cer.gov.au/schemes/national-greenhouse-and-energy-reporting-scheme</vt:lpwstr>
      </vt:variant>
      <vt:variant>
        <vt:lpwstr/>
      </vt:variant>
      <vt:variant>
        <vt:i4>3342385</vt:i4>
      </vt:variant>
      <vt:variant>
        <vt:i4>60</vt:i4>
      </vt:variant>
      <vt:variant>
        <vt:i4>0</vt:i4>
      </vt:variant>
      <vt:variant>
        <vt:i4>5</vt:i4>
      </vt:variant>
      <vt:variant>
        <vt:lpwstr>https://www.legislation.gov.au/F2008L02309/latest/versions</vt:lpwstr>
      </vt:variant>
      <vt:variant>
        <vt:lpwstr/>
      </vt:variant>
      <vt:variant>
        <vt:i4>917523</vt:i4>
      </vt:variant>
      <vt:variant>
        <vt:i4>57</vt:i4>
      </vt:variant>
      <vt:variant>
        <vt:i4>0</vt:i4>
      </vt:variant>
      <vt:variant>
        <vt:i4>5</vt:i4>
      </vt:variant>
      <vt:variant>
        <vt:lpwstr>https://www.legislation.gov.au/Series/F2008L02309</vt:lpwstr>
      </vt:variant>
      <vt:variant>
        <vt:lpwstr/>
      </vt:variant>
      <vt:variant>
        <vt:i4>3604537</vt:i4>
      </vt:variant>
      <vt:variant>
        <vt:i4>54</vt:i4>
      </vt:variant>
      <vt:variant>
        <vt:i4>0</vt:i4>
      </vt:variant>
      <vt:variant>
        <vt:i4>5</vt:i4>
      </vt:variant>
      <vt:variant>
        <vt:lpwstr>https://www.legislation.gov.au/C2007A00175/latest/versions</vt:lpwstr>
      </vt:variant>
      <vt:variant>
        <vt:lpwstr/>
      </vt:variant>
      <vt:variant>
        <vt:i4>7929905</vt:i4>
      </vt:variant>
      <vt:variant>
        <vt:i4>51</vt:i4>
      </vt:variant>
      <vt:variant>
        <vt:i4>0</vt:i4>
      </vt:variant>
      <vt:variant>
        <vt:i4>5</vt:i4>
      </vt:variant>
      <vt:variant>
        <vt:lpwstr>https://cer.gov.au/schemes/national-greenhouse-and-energy-reporting-scheme/assess-your-obligations</vt:lpwstr>
      </vt:variant>
      <vt:variant>
        <vt:lpwstr>what-is-an-nger-facility</vt:lpwstr>
      </vt:variant>
      <vt:variant>
        <vt:i4>3342425</vt:i4>
      </vt:variant>
      <vt:variant>
        <vt:i4>36</vt:i4>
      </vt:variant>
      <vt:variant>
        <vt:i4>0</vt:i4>
      </vt:variant>
      <vt:variant>
        <vt:i4>5</vt:i4>
      </vt:variant>
      <vt:variant>
        <vt:lpwstr>https://cer.gov.au/document_page/guidance-aggregated-facility-reporting-percentage-estimates-and-incidental-emissions-and-energy</vt:lpwstr>
      </vt:variant>
      <vt:variant>
        <vt:lpwstr/>
      </vt:variant>
      <vt:variant>
        <vt:i4>5767203</vt:i4>
      </vt:variant>
      <vt:variant>
        <vt:i4>33</vt:i4>
      </vt:variant>
      <vt:variant>
        <vt:i4>0</vt:i4>
      </vt:variant>
      <vt:variant>
        <vt:i4>5</vt:i4>
      </vt:variant>
      <vt:variant>
        <vt:lpwstr>https://cer.gov.au/document_page/estimating-emissions-and-energy-fuel-combustion-guideline</vt:lpwstr>
      </vt:variant>
      <vt:variant>
        <vt:lpwstr/>
      </vt:variant>
      <vt:variant>
        <vt:i4>1704004</vt:i4>
      </vt:variant>
      <vt:variant>
        <vt:i4>27</vt:i4>
      </vt:variant>
      <vt:variant>
        <vt:i4>0</vt:i4>
      </vt:variant>
      <vt:variant>
        <vt:i4>5</vt:i4>
      </vt:variant>
      <vt:variant>
        <vt:lpwstr>https://cer.gov.au/schemes/national-greenhouse-and-energy-reporting-scheme/report-emissions-and-energy/nger-reporting-guides</vt:lpwstr>
      </vt:variant>
      <vt:variant>
        <vt:lpwstr/>
      </vt:variant>
      <vt:variant>
        <vt:i4>6815786</vt:i4>
      </vt:variant>
      <vt:variant>
        <vt:i4>24</vt:i4>
      </vt:variant>
      <vt:variant>
        <vt:i4>0</vt:i4>
      </vt:variant>
      <vt:variant>
        <vt:i4>5</vt:i4>
      </vt:variant>
      <vt:variant>
        <vt:lpwstr>https://cer.gov.au/about-us/contact-us</vt:lpwstr>
      </vt:variant>
      <vt:variant>
        <vt:lpwstr/>
      </vt:variant>
      <vt:variant>
        <vt:i4>5767203</vt:i4>
      </vt:variant>
      <vt:variant>
        <vt:i4>21</vt:i4>
      </vt:variant>
      <vt:variant>
        <vt:i4>0</vt:i4>
      </vt:variant>
      <vt:variant>
        <vt:i4>5</vt:i4>
      </vt:variant>
      <vt:variant>
        <vt:lpwstr>https://cer.gov.au/document_page/estimating-emissions-and-energy-fuel-combustion-guideline</vt:lpwstr>
      </vt:variant>
      <vt:variant>
        <vt:lpwstr/>
      </vt:variant>
      <vt:variant>
        <vt:i4>1179716</vt:i4>
      </vt:variant>
      <vt:variant>
        <vt:i4>18</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12</vt:i4>
      </vt:variant>
      <vt:variant>
        <vt:i4>0</vt:i4>
      </vt:variant>
      <vt:variant>
        <vt:i4>5</vt:i4>
      </vt:variant>
      <vt:variant>
        <vt:lpwstr>https://cer.gov.au/schemes/national-greenhouse-and-energy-reporting-scheme</vt:lpwstr>
      </vt:variant>
      <vt:variant>
        <vt:lpwstr/>
      </vt:variant>
      <vt:variant>
        <vt:i4>917523</vt:i4>
      </vt:variant>
      <vt:variant>
        <vt:i4>9</vt:i4>
      </vt:variant>
      <vt:variant>
        <vt:i4>0</vt:i4>
      </vt:variant>
      <vt:variant>
        <vt:i4>5</vt:i4>
      </vt:variant>
      <vt:variant>
        <vt:lpwstr>https://www.legislation.gov.au/Series/F2008L02309</vt:lpwstr>
      </vt:variant>
      <vt:variant>
        <vt:lpwstr/>
      </vt:variant>
      <vt:variant>
        <vt:i4>851986</vt:i4>
      </vt:variant>
      <vt:variant>
        <vt:i4>6</vt:i4>
      </vt:variant>
      <vt:variant>
        <vt:i4>0</vt:i4>
      </vt:variant>
      <vt:variant>
        <vt:i4>5</vt:i4>
      </vt:variant>
      <vt:variant>
        <vt:lpwstr>https://www.legislation.gov.au/Series/F2008L02230</vt:lpwstr>
      </vt:variant>
      <vt:variant>
        <vt:lpwstr/>
      </vt:variant>
      <vt:variant>
        <vt:i4>393243</vt:i4>
      </vt:variant>
      <vt:variant>
        <vt:i4>3</vt:i4>
      </vt:variant>
      <vt:variant>
        <vt:i4>0</vt:i4>
      </vt:variant>
      <vt:variant>
        <vt:i4>5</vt:i4>
      </vt:variant>
      <vt:variant>
        <vt:lpwstr>https://www.legislation.gov.au/Series/C2007A00175</vt:lpwstr>
      </vt:variant>
      <vt:variant>
        <vt:lpwstr/>
      </vt:variant>
      <vt:variant>
        <vt:i4>7929905</vt:i4>
      </vt:variant>
      <vt:variant>
        <vt:i4>0</vt:i4>
      </vt:variant>
      <vt:variant>
        <vt:i4>0</vt:i4>
      </vt:variant>
      <vt:variant>
        <vt:i4>5</vt:i4>
      </vt:variant>
      <vt:variant>
        <vt:lpwstr>https://cer.gov.au/schemes/national-greenhouse-and-energy-reporting-scheme/assess-your-obligations</vt:lpwstr>
      </vt:variant>
      <vt:variant>
        <vt:lpwstr>what-is-an-nger-facility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2025-08-20T04:24:00Z</dcterms:created>
  <dcterms:modified xsi:type="dcterms:W3CDTF">2025-08-20T05:34:00Z</dcterms:modified>
  <cp:contentStatus/>
</cp:coreProperties>
</file>