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5F6A67FA" w:rsidR="00977234" w:rsidRDefault="00B16D30" w:rsidP="00146FC8">
      <w:pPr>
        <w:pStyle w:val="CERcovertitle"/>
        <w:tabs>
          <w:tab w:val="left" w:pos="5103"/>
        </w:tabs>
        <w:spacing w:before="2520"/>
        <w:ind w:left="5103" w:right="-41"/>
      </w:pPr>
      <w:r>
        <w:drawing>
          <wp:anchor distT="0" distB="0" distL="114300" distR="114300" simplePos="0" relativeHeight="251658243" behindDoc="0" locked="0" layoutInCell="1" allowOverlap="1" wp14:anchorId="711A514B" wp14:editId="491A345E">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58240" behindDoc="0" locked="0" layoutInCell="1" allowOverlap="1" wp14:anchorId="41A7BA9F" wp14:editId="000CED00">
                <wp:simplePos x="0" y="0"/>
                <wp:positionH relativeFrom="column">
                  <wp:posOffset>-19050</wp:posOffset>
                </wp:positionH>
                <wp:positionV relativeFrom="paragraph">
                  <wp:posOffset>893445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9FB76F"/>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221DA524" id="Freeform: Shape 15" o:spid="_x0000_s1026" alt="&quot;&quot;" style="position:absolute;margin-left:-1.5pt;margin-top:70.35pt;width:487.55pt;height:4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9fb76f"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DE10E8" w:rsidRPr="00DE10E8">
        <w:rPr>
          <w:rFonts w:asciiTheme="minorHAnsi" w:hAnsiTheme="minorHAnsi"/>
          <w:sz w:val="54"/>
          <w:szCs w:val="54"/>
        </w:rPr>
        <w:t>Reporting energy production and consumption guideline</w:t>
      </w:r>
    </w:p>
    <w:p w14:paraId="3B543F96" w14:textId="58C564F6" w:rsidR="003A5739" w:rsidRPr="00531F3B" w:rsidRDefault="00BC31E5" w:rsidP="001813DE">
      <w:pPr>
        <w:pStyle w:val="BodyText1"/>
        <w:tabs>
          <w:tab w:val="left" w:pos="3969"/>
        </w:tabs>
        <w:ind w:left="5103" w:right="101"/>
      </w:pPr>
      <w:r>
        <w:t>August</w:t>
      </w:r>
      <w:r w:rsidR="00041BA1">
        <w:t xml:space="preserve"> </w:t>
      </w:r>
      <w:r w:rsidR="0068486A">
        <w:t>202</w:t>
      </w:r>
      <w:r w:rsidR="00C86B21">
        <w:t>5</w:t>
      </w:r>
    </w:p>
    <w:p w14:paraId="6519C78F" w14:textId="03C371E9" w:rsidR="00235142" w:rsidRPr="00874B8F" w:rsidRDefault="00346AEF" w:rsidP="005B2609">
      <w:pPr>
        <w:pStyle w:val="Heading1"/>
      </w:pPr>
      <w:bookmarkStart w:id="0" w:name="_Toc108025304"/>
      <w:bookmarkStart w:id="1" w:name="_Toc141175693"/>
      <w:bookmarkStart w:id="2" w:name="_Toc205826927"/>
      <w:r>
        <w:rPr>
          <w:noProof/>
        </w:rPr>
        <w:drawing>
          <wp:anchor distT="0" distB="0" distL="114300" distR="114300" simplePos="0" relativeHeight="251658241" behindDoc="0" locked="0" layoutInCell="1" allowOverlap="1" wp14:anchorId="68F54FFC" wp14:editId="5A2FA83C">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1">
                          <a:lumMod val="60000"/>
                          <a:lumOff val="40000"/>
                          <a:tint val="45000"/>
                          <a:satMod val="400000"/>
                        </a:schemeClr>
                      </a:duotone>
                      <a:extLst>
                        <a:ext uri="{BEBA8EAE-BF5A-486C-A8C5-ECC9F3942E4B}">
                          <a14:imgProps xmlns:a14="http://schemas.microsoft.com/office/drawing/2010/main">
                            <a14:imgLayer r:embed="rId12">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58244"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58245"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58246" behindDoc="0" locked="0" layoutInCell="1" allowOverlap="1" wp14:anchorId="51D0E73D" wp14:editId="4687BAD5">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7"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2" behindDoc="0" locked="0" layoutInCell="1" allowOverlap="1" wp14:anchorId="27AA53C8" wp14:editId="3178DEBE">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bookmarkStart w:id="3" w:name="_Toc447009035"/>
      <w:bookmarkStart w:id="4" w:name="_Toc413749884"/>
      <w:r w:rsidR="00235142" w:rsidRPr="00874B8F">
        <w:lastRenderedPageBreak/>
        <w:t>Contents</w:t>
      </w:r>
      <w:bookmarkEnd w:id="0"/>
      <w:bookmarkEnd w:id="1"/>
      <w:bookmarkEnd w:id="2"/>
    </w:p>
    <w:p w14:paraId="71C42D97" w14:textId="2FF6D3FD" w:rsidR="00415B57" w:rsidRDefault="00235142">
      <w:pPr>
        <w:pStyle w:val="TOC1"/>
        <w:rPr>
          <w:rFonts w:eastAsiaTheme="minorEastAsia" w:cstheme="minorBidi"/>
          <w:b w:val="0"/>
          <w:noProof/>
          <w:color w:val="auto"/>
          <w:kern w:val="2"/>
          <w:sz w:val="24"/>
          <w:lang w:eastAsia="en-AU"/>
          <w14:ligatures w14:val="standardContextual"/>
        </w:rPr>
      </w:pPr>
      <w:r>
        <w:fldChar w:fldCharType="begin"/>
      </w:r>
      <w:r>
        <w:instrText xml:space="preserve"> TOC  \* MERGEFORMAT </w:instrText>
      </w:r>
      <w:r>
        <w:fldChar w:fldCharType="separate"/>
      </w:r>
      <w:r w:rsidR="00415B57">
        <w:rPr>
          <w:noProof/>
        </w:rPr>
        <w:t>Contents</w:t>
      </w:r>
      <w:r w:rsidR="00415B57">
        <w:rPr>
          <w:noProof/>
        </w:rPr>
        <w:tab/>
      </w:r>
      <w:r w:rsidR="00415B57">
        <w:rPr>
          <w:noProof/>
        </w:rPr>
        <w:fldChar w:fldCharType="begin"/>
      </w:r>
      <w:r w:rsidR="00415B57">
        <w:rPr>
          <w:noProof/>
        </w:rPr>
        <w:instrText xml:space="preserve"> PAGEREF _Toc205826927 \h </w:instrText>
      </w:r>
      <w:r w:rsidR="00415B57">
        <w:rPr>
          <w:noProof/>
        </w:rPr>
      </w:r>
      <w:r w:rsidR="00415B57">
        <w:rPr>
          <w:noProof/>
        </w:rPr>
        <w:fldChar w:fldCharType="separate"/>
      </w:r>
      <w:r w:rsidR="008E5FE1">
        <w:rPr>
          <w:noProof/>
        </w:rPr>
        <w:t>1</w:t>
      </w:r>
      <w:r w:rsidR="00415B57">
        <w:rPr>
          <w:noProof/>
        </w:rPr>
        <w:fldChar w:fldCharType="end"/>
      </w:r>
    </w:p>
    <w:p w14:paraId="0E15FCAF" w14:textId="557DF527" w:rsidR="00415B57" w:rsidRDefault="00415B57">
      <w:pPr>
        <w:pStyle w:val="TOC1"/>
        <w:rPr>
          <w:rFonts w:eastAsiaTheme="minorEastAsia" w:cstheme="minorBidi"/>
          <w:b w:val="0"/>
          <w:noProof/>
          <w:color w:val="auto"/>
          <w:kern w:val="2"/>
          <w:sz w:val="24"/>
          <w:lang w:eastAsia="en-AU"/>
          <w14:ligatures w14:val="standardContextual"/>
        </w:rPr>
      </w:pPr>
      <w:r>
        <w:rPr>
          <w:noProof/>
        </w:rPr>
        <w:t>Definitions and abbreviations</w:t>
      </w:r>
      <w:r>
        <w:rPr>
          <w:noProof/>
        </w:rPr>
        <w:tab/>
      </w:r>
      <w:r>
        <w:rPr>
          <w:noProof/>
        </w:rPr>
        <w:fldChar w:fldCharType="begin"/>
      </w:r>
      <w:r>
        <w:rPr>
          <w:noProof/>
        </w:rPr>
        <w:instrText xml:space="preserve"> PAGEREF _Toc205826928 \h </w:instrText>
      </w:r>
      <w:r>
        <w:rPr>
          <w:noProof/>
        </w:rPr>
      </w:r>
      <w:r>
        <w:rPr>
          <w:noProof/>
        </w:rPr>
        <w:fldChar w:fldCharType="separate"/>
      </w:r>
      <w:r w:rsidR="008E5FE1">
        <w:rPr>
          <w:noProof/>
        </w:rPr>
        <w:t>3</w:t>
      </w:r>
      <w:r>
        <w:rPr>
          <w:noProof/>
        </w:rPr>
        <w:fldChar w:fldCharType="end"/>
      </w:r>
    </w:p>
    <w:p w14:paraId="7C8B7EBE" w14:textId="2296A80B" w:rsidR="00415B57" w:rsidRDefault="00415B57">
      <w:pPr>
        <w:pStyle w:val="TOC1"/>
        <w:rPr>
          <w:rFonts w:eastAsiaTheme="minorEastAsia" w:cstheme="minorBidi"/>
          <w:b w:val="0"/>
          <w:noProof/>
          <w:color w:val="auto"/>
          <w:kern w:val="2"/>
          <w:sz w:val="24"/>
          <w:lang w:eastAsia="en-AU"/>
          <w14:ligatures w14:val="standardContextual"/>
        </w:rPr>
      </w:pPr>
      <w:r>
        <w:rPr>
          <w:noProof/>
        </w:rPr>
        <w:t>Disclaimer</w:t>
      </w:r>
      <w:r>
        <w:rPr>
          <w:noProof/>
        </w:rPr>
        <w:tab/>
      </w:r>
      <w:r>
        <w:rPr>
          <w:noProof/>
        </w:rPr>
        <w:fldChar w:fldCharType="begin"/>
      </w:r>
      <w:r>
        <w:rPr>
          <w:noProof/>
        </w:rPr>
        <w:instrText xml:space="preserve"> PAGEREF _Toc205826929 \h </w:instrText>
      </w:r>
      <w:r>
        <w:rPr>
          <w:noProof/>
        </w:rPr>
      </w:r>
      <w:r>
        <w:rPr>
          <w:noProof/>
        </w:rPr>
        <w:fldChar w:fldCharType="separate"/>
      </w:r>
      <w:r w:rsidR="008E5FE1">
        <w:rPr>
          <w:noProof/>
        </w:rPr>
        <w:t>5</w:t>
      </w:r>
      <w:r>
        <w:rPr>
          <w:noProof/>
        </w:rPr>
        <w:fldChar w:fldCharType="end"/>
      </w:r>
    </w:p>
    <w:p w14:paraId="0E8A2F92" w14:textId="4E5568AB" w:rsidR="00415B57" w:rsidRDefault="00415B57">
      <w:pPr>
        <w:pStyle w:val="TOC1"/>
        <w:rPr>
          <w:rFonts w:eastAsiaTheme="minorEastAsia" w:cstheme="minorBidi"/>
          <w:b w:val="0"/>
          <w:noProof/>
          <w:color w:val="auto"/>
          <w:kern w:val="2"/>
          <w:sz w:val="24"/>
          <w:lang w:eastAsia="en-AU"/>
          <w14:ligatures w14:val="standardContextual"/>
        </w:rPr>
      </w:pPr>
      <w:r>
        <w:rPr>
          <w:noProof/>
        </w:rPr>
        <w:t>2024–25 updates</w:t>
      </w:r>
      <w:r>
        <w:rPr>
          <w:noProof/>
        </w:rPr>
        <w:tab/>
      </w:r>
      <w:r>
        <w:rPr>
          <w:noProof/>
        </w:rPr>
        <w:fldChar w:fldCharType="begin"/>
      </w:r>
      <w:r>
        <w:rPr>
          <w:noProof/>
        </w:rPr>
        <w:instrText xml:space="preserve"> PAGEREF _Toc205826930 \h </w:instrText>
      </w:r>
      <w:r>
        <w:rPr>
          <w:noProof/>
        </w:rPr>
      </w:r>
      <w:r>
        <w:rPr>
          <w:noProof/>
        </w:rPr>
        <w:fldChar w:fldCharType="separate"/>
      </w:r>
      <w:r w:rsidR="008E5FE1">
        <w:rPr>
          <w:noProof/>
        </w:rPr>
        <w:t>6</w:t>
      </w:r>
      <w:r>
        <w:rPr>
          <w:noProof/>
        </w:rPr>
        <w:fldChar w:fldCharType="end"/>
      </w:r>
    </w:p>
    <w:p w14:paraId="664FA0EB" w14:textId="53CA799E" w:rsidR="00415B57" w:rsidRDefault="00415B57">
      <w:pPr>
        <w:pStyle w:val="TOC1"/>
        <w:rPr>
          <w:rFonts w:eastAsiaTheme="minorEastAsia" w:cstheme="minorBidi"/>
          <w:b w:val="0"/>
          <w:noProof/>
          <w:color w:val="auto"/>
          <w:kern w:val="2"/>
          <w:sz w:val="24"/>
          <w:lang w:eastAsia="en-AU"/>
          <w14:ligatures w14:val="standardContextual"/>
        </w:rPr>
      </w:pPr>
      <w:r>
        <w:rPr>
          <w:noProof/>
        </w:rPr>
        <w:t>1.</w:t>
      </w:r>
      <w:r>
        <w:rPr>
          <w:rFonts w:eastAsiaTheme="minorEastAsia" w:cstheme="minorBidi"/>
          <w:b w:val="0"/>
          <w:noProof/>
          <w:color w:val="auto"/>
          <w:kern w:val="2"/>
          <w:sz w:val="24"/>
          <w:lang w:eastAsia="en-AU"/>
          <w14:ligatures w14:val="standardContextual"/>
        </w:rPr>
        <w:tab/>
      </w:r>
      <w:r>
        <w:rPr>
          <w:noProof/>
        </w:rPr>
        <w:t>Introduction</w:t>
      </w:r>
      <w:r>
        <w:rPr>
          <w:noProof/>
        </w:rPr>
        <w:tab/>
      </w:r>
      <w:r>
        <w:rPr>
          <w:noProof/>
        </w:rPr>
        <w:fldChar w:fldCharType="begin"/>
      </w:r>
      <w:r>
        <w:rPr>
          <w:noProof/>
        </w:rPr>
        <w:instrText xml:space="preserve"> PAGEREF _Toc205826931 \h </w:instrText>
      </w:r>
      <w:r>
        <w:rPr>
          <w:noProof/>
        </w:rPr>
      </w:r>
      <w:r>
        <w:rPr>
          <w:noProof/>
        </w:rPr>
        <w:fldChar w:fldCharType="separate"/>
      </w:r>
      <w:r w:rsidR="008E5FE1">
        <w:rPr>
          <w:noProof/>
        </w:rPr>
        <w:t>6</w:t>
      </w:r>
      <w:r>
        <w:rPr>
          <w:noProof/>
        </w:rPr>
        <w:fldChar w:fldCharType="end"/>
      </w:r>
    </w:p>
    <w:p w14:paraId="17DD5002" w14:textId="713CD01D" w:rsidR="00415B57" w:rsidRDefault="00415B57">
      <w:pPr>
        <w:pStyle w:val="TOC2"/>
        <w:rPr>
          <w:rFonts w:eastAsiaTheme="minorEastAsia" w:cstheme="minorBidi"/>
          <w:noProof/>
          <w:color w:val="auto"/>
          <w:kern w:val="2"/>
          <w:sz w:val="24"/>
          <w:lang w:eastAsia="en-AU"/>
          <w14:ligatures w14:val="standardContextual"/>
        </w:rPr>
      </w:pPr>
      <w:r>
        <w:rPr>
          <w:noProof/>
        </w:rPr>
        <w:t>1.1.</w:t>
      </w:r>
      <w:r>
        <w:rPr>
          <w:rFonts w:eastAsiaTheme="minorEastAsia" w:cstheme="minorBidi"/>
          <w:noProof/>
          <w:color w:val="auto"/>
          <w:kern w:val="2"/>
          <w:sz w:val="24"/>
          <w:lang w:eastAsia="en-AU"/>
          <w14:ligatures w14:val="standardContextual"/>
        </w:rPr>
        <w:tab/>
      </w:r>
      <w:r>
        <w:rPr>
          <w:noProof/>
        </w:rPr>
        <w:t>What is energy production and consumption?</w:t>
      </w:r>
      <w:r>
        <w:rPr>
          <w:noProof/>
        </w:rPr>
        <w:tab/>
      </w:r>
      <w:r>
        <w:rPr>
          <w:noProof/>
        </w:rPr>
        <w:fldChar w:fldCharType="begin"/>
      </w:r>
      <w:r>
        <w:rPr>
          <w:noProof/>
        </w:rPr>
        <w:instrText xml:space="preserve"> PAGEREF _Toc205826932 \h </w:instrText>
      </w:r>
      <w:r>
        <w:rPr>
          <w:noProof/>
        </w:rPr>
      </w:r>
      <w:r>
        <w:rPr>
          <w:noProof/>
        </w:rPr>
        <w:fldChar w:fldCharType="separate"/>
      </w:r>
      <w:r w:rsidR="008E5FE1">
        <w:rPr>
          <w:noProof/>
        </w:rPr>
        <w:t>6</w:t>
      </w:r>
      <w:r>
        <w:rPr>
          <w:noProof/>
        </w:rPr>
        <w:fldChar w:fldCharType="end"/>
      </w:r>
    </w:p>
    <w:p w14:paraId="20532123" w14:textId="7DA53CB8" w:rsidR="00415B57" w:rsidRDefault="00415B57">
      <w:pPr>
        <w:pStyle w:val="TOC2"/>
        <w:rPr>
          <w:rFonts w:eastAsiaTheme="minorEastAsia" w:cstheme="minorBidi"/>
          <w:noProof/>
          <w:color w:val="auto"/>
          <w:kern w:val="2"/>
          <w:sz w:val="24"/>
          <w:lang w:eastAsia="en-AU"/>
          <w14:ligatures w14:val="standardContextual"/>
        </w:rPr>
      </w:pPr>
      <w:r>
        <w:rPr>
          <w:noProof/>
        </w:rPr>
        <w:t>1.1.</w:t>
      </w:r>
      <w:r>
        <w:rPr>
          <w:rFonts w:eastAsiaTheme="minorEastAsia" w:cstheme="minorBidi"/>
          <w:noProof/>
          <w:color w:val="auto"/>
          <w:kern w:val="2"/>
          <w:sz w:val="24"/>
          <w:lang w:eastAsia="en-AU"/>
          <w14:ligatures w14:val="standardContextual"/>
        </w:rPr>
        <w:tab/>
      </w:r>
      <w:r>
        <w:rPr>
          <w:noProof/>
        </w:rPr>
        <w:t>Primary and secondary fuels and energy commodities</w:t>
      </w:r>
      <w:r>
        <w:rPr>
          <w:noProof/>
        </w:rPr>
        <w:tab/>
      </w:r>
      <w:r>
        <w:rPr>
          <w:noProof/>
        </w:rPr>
        <w:fldChar w:fldCharType="begin"/>
      </w:r>
      <w:r>
        <w:rPr>
          <w:noProof/>
        </w:rPr>
        <w:instrText xml:space="preserve"> PAGEREF _Toc205826933 \h </w:instrText>
      </w:r>
      <w:r>
        <w:rPr>
          <w:noProof/>
        </w:rPr>
      </w:r>
      <w:r>
        <w:rPr>
          <w:noProof/>
        </w:rPr>
        <w:fldChar w:fldCharType="separate"/>
      </w:r>
      <w:r w:rsidR="008E5FE1">
        <w:rPr>
          <w:noProof/>
        </w:rPr>
        <w:t>7</w:t>
      </w:r>
      <w:r>
        <w:rPr>
          <w:noProof/>
        </w:rPr>
        <w:fldChar w:fldCharType="end"/>
      </w:r>
    </w:p>
    <w:p w14:paraId="302B0F56" w14:textId="63506797" w:rsidR="00415B57" w:rsidRDefault="00415B57">
      <w:pPr>
        <w:pStyle w:val="TOC1"/>
        <w:rPr>
          <w:rFonts w:eastAsiaTheme="minorEastAsia" w:cstheme="minorBidi"/>
          <w:b w:val="0"/>
          <w:noProof/>
          <w:color w:val="auto"/>
          <w:kern w:val="2"/>
          <w:sz w:val="24"/>
          <w:lang w:eastAsia="en-AU"/>
          <w14:ligatures w14:val="standardContextual"/>
        </w:rPr>
      </w:pPr>
      <w:r>
        <w:rPr>
          <w:noProof/>
        </w:rPr>
        <w:t>2.</w:t>
      </w:r>
      <w:r>
        <w:rPr>
          <w:rFonts w:eastAsiaTheme="minorEastAsia" w:cstheme="minorBidi"/>
          <w:b w:val="0"/>
          <w:noProof/>
          <w:color w:val="auto"/>
          <w:kern w:val="2"/>
          <w:sz w:val="24"/>
          <w:lang w:eastAsia="en-AU"/>
          <w14:ligatures w14:val="standardContextual"/>
        </w:rPr>
        <w:tab/>
      </w:r>
      <w:r>
        <w:rPr>
          <w:noProof/>
        </w:rPr>
        <w:t>Reporting energy from production and consumption of fuels</w:t>
      </w:r>
      <w:r>
        <w:rPr>
          <w:noProof/>
        </w:rPr>
        <w:tab/>
      </w:r>
      <w:r>
        <w:rPr>
          <w:noProof/>
        </w:rPr>
        <w:fldChar w:fldCharType="begin"/>
      </w:r>
      <w:r>
        <w:rPr>
          <w:noProof/>
        </w:rPr>
        <w:instrText xml:space="preserve"> PAGEREF _Toc205826934 \h </w:instrText>
      </w:r>
      <w:r>
        <w:rPr>
          <w:noProof/>
        </w:rPr>
      </w:r>
      <w:r>
        <w:rPr>
          <w:noProof/>
        </w:rPr>
        <w:fldChar w:fldCharType="separate"/>
      </w:r>
      <w:r w:rsidR="008E5FE1">
        <w:rPr>
          <w:noProof/>
        </w:rPr>
        <w:t>8</w:t>
      </w:r>
      <w:r>
        <w:rPr>
          <w:noProof/>
        </w:rPr>
        <w:fldChar w:fldCharType="end"/>
      </w:r>
    </w:p>
    <w:p w14:paraId="7EF824FD" w14:textId="6BCB3E64" w:rsidR="00415B57" w:rsidRDefault="00415B57">
      <w:pPr>
        <w:pStyle w:val="TOC3"/>
        <w:rPr>
          <w:rFonts w:eastAsiaTheme="minorEastAsia" w:cstheme="minorBidi"/>
          <w:noProof/>
          <w:color w:val="auto"/>
          <w:kern w:val="2"/>
          <w:sz w:val="24"/>
          <w:lang w:eastAsia="en-AU"/>
          <w14:ligatures w14:val="standardContextual"/>
        </w:rPr>
      </w:pPr>
      <w:r w:rsidRPr="008A710F">
        <w:rPr>
          <w:i/>
          <w:noProof/>
        </w:rPr>
        <w:t>Table 1 – Thresholds for fuel production and consumption.</w:t>
      </w:r>
      <w:r>
        <w:rPr>
          <w:noProof/>
        </w:rPr>
        <w:tab/>
      </w:r>
      <w:r>
        <w:rPr>
          <w:noProof/>
        </w:rPr>
        <w:fldChar w:fldCharType="begin"/>
      </w:r>
      <w:r>
        <w:rPr>
          <w:noProof/>
        </w:rPr>
        <w:instrText xml:space="preserve"> PAGEREF _Toc205826935 \h </w:instrText>
      </w:r>
      <w:r>
        <w:rPr>
          <w:noProof/>
        </w:rPr>
      </w:r>
      <w:r>
        <w:rPr>
          <w:noProof/>
        </w:rPr>
        <w:fldChar w:fldCharType="separate"/>
      </w:r>
      <w:r w:rsidR="008E5FE1">
        <w:rPr>
          <w:noProof/>
        </w:rPr>
        <w:t>8</w:t>
      </w:r>
      <w:r>
        <w:rPr>
          <w:noProof/>
        </w:rPr>
        <w:fldChar w:fldCharType="end"/>
      </w:r>
    </w:p>
    <w:p w14:paraId="10AFFA72" w14:textId="0C91D2A4" w:rsidR="00415B57" w:rsidRDefault="00415B57">
      <w:pPr>
        <w:pStyle w:val="TOC2"/>
        <w:rPr>
          <w:rFonts w:eastAsiaTheme="minorEastAsia" w:cstheme="minorBidi"/>
          <w:noProof/>
          <w:color w:val="auto"/>
          <w:kern w:val="2"/>
          <w:sz w:val="24"/>
          <w:lang w:eastAsia="en-AU"/>
          <w14:ligatures w14:val="standardContextual"/>
        </w:rPr>
      </w:pPr>
      <w:r>
        <w:rPr>
          <w:noProof/>
        </w:rPr>
        <w:t>2.1.</w:t>
      </w:r>
      <w:r>
        <w:rPr>
          <w:rFonts w:eastAsiaTheme="minorEastAsia" w:cstheme="minorBidi"/>
          <w:noProof/>
          <w:color w:val="auto"/>
          <w:kern w:val="2"/>
          <w:sz w:val="24"/>
          <w:lang w:eastAsia="en-AU"/>
          <w14:ligatures w14:val="standardContextual"/>
        </w:rPr>
        <w:tab/>
      </w:r>
      <w:r>
        <w:rPr>
          <w:noProof/>
        </w:rPr>
        <w:t>Reporting energy from production and consumption of biomethane</w:t>
      </w:r>
      <w:r>
        <w:rPr>
          <w:noProof/>
        </w:rPr>
        <w:tab/>
      </w:r>
      <w:r>
        <w:rPr>
          <w:noProof/>
        </w:rPr>
        <w:fldChar w:fldCharType="begin"/>
      </w:r>
      <w:r>
        <w:rPr>
          <w:noProof/>
        </w:rPr>
        <w:instrText xml:space="preserve"> PAGEREF _Toc205826936 \h </w:instrText>
      </w:r>
      <w:r>
        <w:rPr>
          <w:noProof/>
        </w:rPr>
      </w:r>
      <w:r>
        <w:rPr>
          <w:noProof/>
        </w:rPr>
        <w:fldChar w:fldCharType="separate"/>
      </w:r>
      <w:r w:rsidR="008E5FE1">
        <w:rPr>
          <w:noProof/>
        </w:rPr>
        <w:t>9</w:t>
      </w:r>
      <w:r>
        <w:rPr>
          <w:noProof/>
        </w:rPr>
        <w:fldChar w:fldCharType="end"/>
      </w:r>
    </w:p>
    <w:p w14:paraId="4A2796B2" w14:textId="382C6F69" w:rsidR="00415B57" w:rsidRDefault="00415B57">
      <w:pPr>
        <w:pStyle w:val="TOC2"/>
        <w:rPr>
          <w:rFonts w:eastAsiaTheme="minorEastAsia" w:cstheme="minorBidi"/>
          <w:noProof/>
          <w:color w:val="auto"/>
          <w:kern w:val="2"/>
          <w:sz w:val="24"/>
          <w:lang w:eastAsia="en-AU"/>
          <w14:ligatures w14:val="standardContextual"/>
        </w:rPr>
      </w:pPr>
      <w:r>
        <w:rPr>
          <w:noProof/>
        </w:rPr>
        <w:t>2.2.</w:t>
      </w:r>
      <w:r>
        <w:rPr>
          <w:rFonts w:eastAsiaTheme="minorEastAsia" w:cstheme="minorBidi"/>
          <w:noProof/>
          <w:color w:val="auto"/>
          <w:kern w:val="2"/>
          <w:sz w:val="24"/>
          <w:lang w:eastAsia="en-AU"/>
          <w14:ligatures w14:val="standardContextual"/>
        </w:rPr>
        <w:tab/>
      </w:r>
      <w:r>
        <w:rPr>
          <w:noProof/>
        </w:rPr>
        <w:t>Energy production and consumption of certain gases that have been captured for combustion</w:t>
      </w:r>
      <w:r>
        <w:rPr>
          <w:noProof/>
        </w:rPr>
        <w:tab/>
      </w:r>
      <w:r>
        <w:rPr>
          <w:noProof/>
        </w:rPr>
        <w:fldChar w:fldCharType="begin"/>
      </w:r>
      <w:r>
        <w:rPr>
          <w:noProof/>
        </w:rPr>
        <w:instrText xml:space="preserve"> PAGEREF _Toc205826937 \h </w:instrText>
      </w:r>
      <w:r>
        <w:rPr>
          <w:noProof/>
        </w:rPr>
      </w:r>
      <w:r>
        <w:rPr>
          <w:noProof/>
        </w:rPr>
        <w:fldChar w:fldCharType="separate"/>
      </w:r>
      <w:r w:rsidR="008E5FE1">
        <w:rPr>
          <w:noProof/>
        </w:rPr>
        <w:t>9</w:t>
      </w:r>
      <w:r>
        <w:rPr>
          <w:noProof/>
        </w:rPr>
        <w:fldChar w:fldCharType="end"/>
      </w:r>
    </w:p>
    <w:p w14:paraId="6BCCF5BD" w14:textId="6980C022" w:rsidR="00415B57" w:rsidRDefault="00415B57">
      <w:pPr>
        <w:pStyle w:val="TOC5"/>
        <w:rPr>
          <w:rFonts w:eastAsiaTheme="minorEastAsia" w:cstheme="minorBidi"/>
          <w:noProof/>
          <w:color w:val="auto"/>
          <w:kern w:val="2"/>
          <w:sz w:val="24"/>
          <w:lang w:eastAsia="en-AU"/>
          <w14:ligatures w14:val="standardContextual"/>
        </w:rPr>
      </w:pPr>
      <w:r>
        <w:rPr>
          <w:noProof/>
        </w:rPr>
        <w:t>Example 1</w:t>
      </w:r>
      <w:r>
        <w:rPr>
          <w:noProof/>
        </w:rPr>
        <w:tab/>
      </w:r>
      <w:r>
        <w:rPr>
          <w:noProof/>
        </w:rPr>
        <w:fldChar w:fldCharType="begin"/>
      </w:r>
      <w:r>
        <w:rPr>
          <w:noProof/>
        </w:rPr>
        <w:instrText xml:space="preserve"> PAGEREF _Toc205826938 \h </w:instrText>
      </w:r>
      <w:r>
        <w:rPr>
          <w:noProof/>
        </w:rPr>
      </w:r>
      <w:r>
        <w:rPr>
          <w:noProof/>
        </w:rPr>
        <w:fldChar w:fldCharType="separate"/>
      </w:r>
      <w:r w:rsidR="008E5FE1">
        <w:rPr>
          <w:noProof/>
        </w:rPr>
        <w:t>11</w:t>
      </w:r>
      <w:r>
        <w:rPr>
          <w:noProof/>
        </w:rPr>
        <w:fldChar w:fldCharType="end"/>
      </w:r>
    </w:p>
    <w:p w14:paraId="30FC5403" w14:textId="441011C6" w:rsidR="00415B57" w:rsidRDefault="00415B57">
      <w:pPr>
        <w:pStyle w:val="TOC5"/>
        <w:rPr>
          <w:rFonts w:eastAsiaTheme="minorEastAsia" w:cstheme="minorBidi"/>
          <w:noProof/>
          <w:color w:val="auto"/>
          <w:kern w:val="2"/>
          <w:sz w:val="24"/>
          <w:lang w:eastAsia="en-AU"/>
          <w14:ligatures w14:val="standardContextual"/>
        </w:rPr>
      </w:pPr>
      <w:r w:rsidRPr="008A710F">
        <w:rPr>
          <w:b/>
          <w:noProof/>
        </w:rPr>
        <w:t>Example 2</w:t>
      </w:r>
      <w:r>
        <w:rPr>
          <w:noProof/>
        </w:rPr>
        <w:tab/>
      </w:r>
      <w:r>
        <w:rPr>
          <w:noProof/>
        </w:rPr>
        <w:fldChar w:fldCharType="begin"/>
      </w:r>
      <w:r>
        <w:rPr>
          <w:noProof/>
        </w:rPr>
        <w:instrText xml:space="preserve"> PAGEREF _Toc205826939 \h </w:instrText>
      </w:r>
      <w:r>
        <w:rPr>
          <w:noProof/>
        </w:rPr>
      </w:r>
      <w:r>
        <w:rPr>
          <w:noProof/>
        </w:rPr>
        <w:fldChar w:fldCharType="separate"/>
      </w:r>
      <w:r w:rsidR="008E5FE1">
        <w:rPr>
          <w:noProof/>
        </w:rPr>
        <w:t>12</w:t>
      </w:r>
      <w:r>
        <w:rPr>
          <w:noProof/>
        </w:rPr>
        <w:fldChar w:fldCharType="end"/>
      </w:r>
    </w:p>
    <w:p w14:paraId="5B2FD6C6" w14:textId="47EC2590" w:rsidR="00415B57" w:rsidRDefault="00415B57">
      <w:pPr>
        <w:pStyle w:val="TOC5"/>
        <w:rPr>
          <w:rFonts w:eastAsiaTheme="minorEastAsia" w:cstheme="minorBidi"/>
          <w:noProof/>
          <w:color w:val="auto"/>
          <w:kern w:val="2"/>
          <w:sz w:val="24"/>
          <w:lang w:eastAsia="en-AU"/>
          <w14:ligatures w14:val="standardContextual"/>
        </w:rPr>
      </w:pPr>
      <w:r w:rsidRPr="008A710F">
        <w:rPr>
          <w:b/>
          <w:bCs/>
          <w:noProof/>
        </w:rPr>
        <w:t>Example 3</w:t>
      </w:r>
      <w:r>
        <w:rPr>
          <w:noProof/>
        </w:rPr>
        <w:tab/>
      </w:r>
      <w:r>
        <w:rPr>
          <w:noProof/>
        </w:rPr>
        <w:fldChar w:fldCharType="begin"/>
      </w:r>
      <w:r>
        <w:rPr>
          <w:noProof/>
        </w:rPr>
        <w:instrText xml:space="preserve"> PAGEREF _Toc205826940 \h </w:instrText>
      </w:r>
      <w:r>
        <w:rPr>
          <w:noProof/>
        </w:rPr>
      </w:r>
      <w:r>
        <w:rPr>
          <w:noProof/>
        </w:rPr>
        <w:fldChar w:fldCharType="separate"/>
      </w:r>
      <w:r w:rsidR="008E5FE1">
        <w:rPr>
          <w:noProof/>
        </w:rPr>
        <w:t>13</w:t>
      </w:r>
      <w:r>
        <w:rPr>
          <w:noProof/>
        </w:rPr>
        <w:fldChar w:fldCharType="end"/>
      </w:r>
    </w:p>
    <w:p w14:paraId="554F420B" w14:textId="7DA2ACD6" w:rsidR="00415B57" w:rsidRDefault="00415B57">
      <w:pPr>
        <w:pStyle w:val="TOC2"/>
        <w:rPr>
          <w:rFonts w:eastAsiaTheme="minorEastAsia" w:cstheme="minorBidi"/>
          <w:noProof/>
          <w:color w:val="auto"/>
          <w:kern w:val="2"/>
          <w:sz w:val="24"/>
          <w:lang w:eastAsia="en-AU"/>
          <w14:ligatures w14:val="standardContextual"/>
        </w:rPr>
      </w:pPr>
      <w:r>
        <w:rPr>
          <w:noProof/>
        </w:rPr>
        <w:t>2.3.</w:t>
      </w:r>
      <w:r>
        <w:rPr>
          <w:rFonts w:eastAsiaTheme="minorEastAsia" w:cstheme="minorBidi"/>
          <w:noProof/>
          <w:color w:val="auto"/>
          <w:kern w:val="2"/>
          <w:sz w:val="24"/>
          <w:lang w:eastAsia="en-AU"/>
          <w14:ligatures w14:val="standardContextual"/>
        </w:rPr>
        <w:tab/>
      </w:r>
      <w:r>
        <w:rPr>
          <w:noProof/>
        </w:rPr>
        <w:t>Estimating energy content of fuel produced</w:t>
      </w:r>
      <w:r>
        <w:rPr>
          <w:noProof/>
        </w:rPr>
        <w:tab/>
      </w:r>
      <w:r>
        <w:rPr>
          <w:noProof/>
        </w:rPr>
        <w:fldChar w:fldCharType="begin"/>
      </w:r>
      <w:r>
        <w:rPr>
          <w:noProof/>
        </w:rPr>
        <w:instrText xml:space="preserve"> PAGEREF _Toc205826941 \h </w:instrText>
      </w:r>
      <w:r>
        <w:rPr>
          <w:noProof/>
        </w:rPr>
      </w:r>
      <w:r>
        <w:rPr>
          <w:noProof/>
        </w:rPr>
        <w:fldChar w:fldCharType="separate"/>
      </w:r>
      <w:r w:rsidR="008E5FE1">
        <w:rPr>
          <w:noProof/>
        </w:rPr>
        <w:t>13</w:t>
      </w:r>
      <w:r>
        <w:rPr>
          <w:noProof/>
        </w:rPr>
        <w:fldChar w:fldCharType="end"/>
      </w:r>
    </w:p>
    <w:p w14:paraId="5CA59136" w14:textId="3CBA0F70" w:rsidR="00415B57" w:rsidRDefault="00415B57">
      <w:pPr>
        <w:pStyle w:val="TOC2"/>
        <w:rPr>
          <w:rFonts w:eastAsiaTheme="minorEastAsia" w:cstheme="minorBidi"/>
          <w:noProof/>
          <w:color w:val="auto"/>
          <w:kern w:val="2"/>
          <w:sz w:val="24"/>
          <w:lang w:eastAsia="en-AU"/>
          <w14:ligatures w14:val="standardContextual"/>
        </w:rPr>
      </w:pPr>
      <w:r>
        <w:rPr>
          <w:noProof/>
        </w:rPr>
        <w:t>2.4.</w:t>
      </w:r>
      <w:r>
        <w:rPr>
          <w:rFonts w:eastAsiaTheme="minorEastAsia" w:cstheme="minorBidi"/>
          <w:noProof/>
          <w:color w:val="auto"/>
          <w:kern w:val="2"/>
          <w:sz w:val="24"/>
          <w:lang w:eastAsia="en-AU"/>
          <w14:ligatures w14:val="standardContextual"/>
        </w:rPr>
        <w:tab/>
      </w:r>
      <w:r>
        <w:rPr>
          <w:noProof/>
        </w:rPr>
        <w:t>Estimating energy content of fuel consumed</w:t>
      </w:r>
      <w:r>
        <w:rPr>
          <w:noProof/>
        </w:rPr>
        <w:tab/>
      </w:r>
      <w:r>
        <w:rPr>
          <w:noProof/>
        </w:rPr>
        <w:fldChar w:fldCharType="begin"/>
      </w:r>
      <w:r>
        <w:rPr>
          <w:noProof/>
        </w:rPr>
        <w:instrText xml:space="preserve"> PAGEREF _Toc205826942 \h </w:instrText>
      </w:r>
      <w:r>
        <w:rPr>
          <w:noProof/>
        </w:rPr>
      </w:r>
      <w:r>
        <w:rPr>
          <w:noProof/>
        </w:rPr>
        <w:fldChar w:fldCharType="separate"/>
      </w:r>
      <w:r w:rsidR="008E5FE1">
        <w:rPr>
          <w:noProof/>
        </w:rPr>
        <w:t>14</w:t>
      </w:r>
      <w:r>
        <w:rPr>
          <w:noProof/>
        </w:rPr>
        <w:fldChar w:fldCharType="end"/>
      </w:r>
    </w:p>
    <w:p w14:paraId="56C0B010" w14:textId="16089A01" w:rsidR="00415B57" w:rsidRDefault="00415B57">
      <w:pPr>
        <w:pStyle w:val="TOC1"/>
        <w:rPr>
          <w:rFonts w:eastAsiaTheme="minorEastAsia" w:cstheme="minorBidi"/>
          <w:b w:val="0"/>
          <w:noProof/>
          <w:color w:val="auto"/>
          <w:kern w:val="2"/>
          <w:sz w:val="24"/>
          <w:lang w:eastAsia="en-AU"/>
          <w14:ligatures w14:val="standardContextual"/>
        </w:rPr>
      </w:pPr>
      <w:r>
        <w:rPr>
          <w:noProof/>
        </w:rPr>
        <w:t>3.</w:t>
      </w:r>
      <w:r>
        <w:rPr>
          <w:rFonts w:eastAsiaTheme="minorEastAsia" w:cstheme="minorBidi"/>
          <w:b w:val="0"/>
          <w:noProof/>
          <w:color w:val="auto"/>
          <w:kern w:val="2"/>
          <w:sz w:val="24"/>
          <w:lang w:eastAsia="en-AU"/>
          <w14:ligatures w14:val="standardContextual"/>
        </w:rPr>
        <w:tab/>
      </w:r>
      <w:r>
        <w:rPr>
          <w:noProof/>
        </w:rPr>
        <w:t>Reporting energy from production and consumption of energy commodities</w:t>
      </w:r>
      <w:r>
        <w:rPr>
          <w:noProof/>
        </w:rPr>
        <w:tab/>
      </w:r>
      <w:r>
        <w:rPr>
          <w:noProof/>
        </w:rPr>
        <w:fldChar w:fldCharType="begin"/>
      </w:r>
      <w:r>
        <w:rPr>
          <w:noProof/>
        </w:rPr>
        <w:instrText xml:space="preserve"> PAGEREF _Toc205826943 \h </w:instrText>
      </w:r>
      <w:r>
        <w:rPr>
          <w:noProof/>
        </w:rPr>
      </w:r>
      <w:r>
        <w:rPr>
          <w:noProof/>
        </w:rPr>
        <w:fldChar w:fldCharType="separate"/>
      </w:r>
      <w:r w:rsidR="008E5FE1">
        <w:rPr>
          <w:noProof/>
        </w:rPr>
        <w:t>15</w:t>
      </w:r>
      <w:r>
        <w:rPr>
          <w:noProof/>
        </w:rPr>
        <w:fldChar w:fldCharType="end"/>
      </w:r>
    </w:p>
    <w:p w14:paraId="392F41C9" w14:textId="649D5BF9" w:rsidR="00415B57" w:rsidRDefault="00415B57">
      <w:pPr>
        <w:pStyle w:val="TOC2"/>
        <w:rPr>
          <w:rFonts w:eastAsiaTheme="minorEastAsia" w:cstheme="minorBidi"/>
          <w:noProof/>
          <w:color w:val="auto"/>
          <w:kern w:val="2"/>
          <w:sz w:val="24"/>
          <w:lang w:eastAsia="en-AU"/>
          <w14:ligatures w14:val="standardContextual"/>
        </w:rPr>
      </w:pPr>
      <w:r>
        <w:rPr>
          <w:noProof/>
        </w:rPr>
        <w:t>3.1.</w:t>
      </w:r>
      <w:r>
        <w:rPr>
          <w:rFonts w:eastAsiaTheme="minorEastAsia" w:cstheme="minorBidi"/>
          <w:noProof/>
          <w:color w:val="auto"/>
          <w:kern w:val="2"/>
          <w:sz w:val="24"/>
          <w:lang w:eastAsia="en-AU"/>
          <w14:ligatures w14:val="standardContextual"/>
        </w:rPr>
        <w:tab/>
      </w:r>
      <w:r>
        <w:rPr>
          <w:noProof/>
        </w:rPr>
        <w:t>Sulphur, uranium and hydrogen</w:t>
      </w:r>
      <w:r>
        <w:rPr>
          <w:noProof/>
        </w:rPr>
        <w:tab/>
      </w:r>
      <w:r>
        <w:rPr>
          <w:noProof/>
        </w:rPr>
        <w:fldChar w:fldCharType="begin"/>
      </w:r>
      <w:r>
        <w:rPr>
          <w:noProof/>
        </w:rPr>
        <w:instrText xml:space="preserve"> PAGEREF _Toc205826944 \h </w:instrText>
      </w:r>
      <w:r>
        <w:rPr>
          <w:noProof/>
        </w:rPr>
      </w:r>
      <w:r>
        <w:rPr>
          <w:noProof/>
        </w:rPr>
        <w:fldChar w:fldCharType="separate"/>
      </w:r>
      <w:r w:rsidR="008E5FE1">
        <w:rPr>
          <w:noProof/>
        </w:rPr>
        <w:t>15</w:t>
      </w:r>
      <w:r>
        <w:rPr>
          <w:noProof/>
        </w:rPr>
        <w:fldChar w:fldCharType="end"/>
      </w:r>
    </w:p>
    <w:p w14:paraId="64FB8C0B" w14:textId="015132E1" w:rsidR="00415B57" w:rsidRDefault="00415B57">
      <w:pPr>
        <w:pStyle w:val="TOC2"/>
        <w:rPr>
          <w:rFonts w:eastAsiaTheme="minorEastAsia" w:cstheme="minorBidi"/>
          <w:noProof/>
          <w:color w:val="auto"/>
          <w:kern w:val="2"/>
          <w:sz w:val="24"/>
          <w:lang w:eastAsia="en-AU"/>
          <w14:ligatures w14:val="standardContextual"/>
        </w:rPr>
      </w:pPr>
      <w:r>
        <w:rPr>
          <w:noProof/>
        </w:rPr>
        <w:t>3.2.</w:t>
      </w:r>
      <w:r>
        <w:rPr>
          <w:rFonts w:eastAsiaTheme="minorEastAsia" w:cstheme="minorBidi"/>
          <w:noProof/>
          <w:color w:val="auto"/>
          <w:kern w:val="2"/>
          <w:sz w:val="24"/>
          <w:lang w:eastAsia="en-AU"/>
          <w14:ligatures w14:val="standardContextual"/>
        </w:rPr>
        <w:tab/>
      </w:r>
      <w:r>
        <w:rPr>
          <w:noProof/>
        </w:rPr>
        <w:t>Requirements for reporting solar, wind, water and geothermal energy commodities</w:t>
      </w:r>
      <w:r>
        <w:rPr>
          <w:noProof/>
        </w:rPr>
        <w:tab/>
      </w:r>
      <w:r>
        <w:rPr>
          <w:noProof/>
        </w:rPr>
        <w:fldChar w:fldCharType="begin"/>
      </w:r>
      <w:r>
        <w:rPr>
          <w:noProof/>
        </w:rPr>
        <w:instrText xml:space="preserve"> PAGEREF _Toc205826945 \h </w:instrText>
      </w:r>
      <w:r>
        <w:rPr>
          <w:noProof/>
        </w:rPr>
      </w:r>
      <w:r>
        <w:rPr>
          <w:noProof/>
        </w:rPr>
        <w:fldChar w:fldCharType="separate"/>
      </w:r>
      <w:r w:rsidR="008E5FE1">
        <w:rPr>
          <w:noProof/>
        </w:rPr>
        <w:t>15</w:t>
      </w:r>
      <w:r>
        <w:rPr>
          <w:noProof/>
        </w:rPr>
        <w:fldChar w:fldCharType="end"/>
      </w:r>
    </w:p>
    <w:p w14:paraId="21385B8A" w14:textId="24E06ECA" w:rsidR="00415B57" w:rsidRDefault="00415B57">
      <w:pPr>
        <w:pStyle w:val="TOC5"/>
        <w:rPr>
          <w:rFonts w:eastAsiaTheme="minorEastAsia" w:cstheme="minorBidi"/>
          <w:noProof/>
          <w:color w:val="auto"/>
          <w:kern w:val="2"/>
          <w:sz w:val="24"/>
          <w:lang w:eastAsia="en-AU"/>
          <w14:ligatures w14:val="standardContextual"/>
        </w:rPr>
      </w:pPr>
      <w:r w:rsidRPr="008A710F">
        <w:rPr>
          <w:b/>
          <w:noProof/>
        </w:rPr>
        <w:t>Example 4</w:t>
      </w:r>
      <w:r>
        <w:rPr>
          <w:noProof/>
        </w:rPr>
        <w:tab/>
      </w:r>
      <w:r>
        <w:rPr>
          <w:noProof/>
        </w:rPr>
        <w:fldChar w:fldCharType="begin"/>
      </w:r>
      <w:r>
        <w:rPr>
          <w:noProof/>
        </w:rPr>
        <w:instrText xml:space="preserve"> PAGEREF _Toc205826946 \h </w:instrText>
      </w:r>
      <w:r>
        <w:rPr>
          <w:noProof/>
        </w:rPr>
      </w:r>
      <w:r>
        <w:rPr>
          <w:noProof/>
        </w:rPr>
        <w:fldChar w:fldCharType="separate"/>
      </w:r>
      <w:r w:rsidR="008E5FE1">
        <w:rPr>
          <w:noProof/>
        </w:rPr>
        <w:t>16</w:t>
      </w:r>
      <w:r>
        <w:rPr>
          <w:noProof/>
        </w:rPr>
        <w:fldChar w:fldCharType="end"/>
      </w:r>
    </w:p>
    <w:p w14:paraId="0A1C72EF" w14:textId="13D95A95" w:rsidR="00415B57" w:rsidRDefault="00415B57">
      <w:pPr>
        <w:pStyle w:val="TOC1"/>
        <w:rPr>
          <w:rFonts w:eastAsiaTheme="minorEastAsia" w:cstheme="minorBidi"/>
          <w:b w:val="0"/>
          <w:noProof/>
          <w:color w:val="auto"/>
          <w:kern w:val="2"/>
          <w:sz w:val="24"/>
          <w:lang w:eastAsia="en-AU"/>
          <w14:ligatures w14:val="standardContextual"/>
        </w:rPr>
      </w:pPr>
      <w:r>
        <w:rPr>
          <w:noProof/>
        </w:rPr>
        <w:t>4.</w:t>
      </w:r>
      <w:r>
        <w:rPr>
          <w:rFonts w:eastAsiaTheme="minorEastAsia" w:cstheme="minorBidi"/>
          <w:b w:val="0"/>
          <w:noProof/>
          <w:color w:val="auto"/>
          <w:kern w:val="2"/>
          <w:sz w:val="24"/>
          <w:lang w:eastAsia="en-AU"/>
          <w14:ligatures w14:val="standardContextual"/>
        </w:rPr>
        <w:tab/>
      </w:r>
      <w:r>
        <w:rPr>
          <w:noProof/>
        </w:rPr>
        <w:t>Reporting production and consumption of electricity</w:t>
      </w:r>
      <w:r>
        <w:rPr>
          <w:noProof/>
        </w:rPr>
        <w:tab/>
      </w:r>
      <w:r>
        <w:rPr>
          <w:noProof/>
        </w:rPr>
        <w:fldChar w:fldCharType="begin"/>
      </w:r>
      <w:r>
        <w:rPr>
          <w:noProof/>
        </w:rPr>
        <w:instrText xml:space="preserve"> PAGEREF _Toc205826947 \h </w:instrText>
      </w:r>
      <w:r>
        <w:rPr>
          <w:noProof/>
        </w:rPr>
      </w:r>
      <w:r>
        <w:rPr>
          <w:noProof/>
        </w:rPr>
        <w:fldChar w:fldCharType="separate"/>
      </w:r>
      <w:r w:rsidR="008E5FE1">
        <w:rPr>
          <w:noProof/>
        </w:rPr>
        <w:t>17</w:t>
      </w:r>
      <w:r>
        <w:rPr>
          <w:noProof/>
        </w:rPr>
        <w:fldChar w:fldCharType="end"/>
      </w:r>
    </w:p>
    <w:p w14:paraId="0071FE57" w14:textId="5D321EC8" w:rsidR="00415B57" w:rsidRDefault="00415B57">
      <w:pPr>
        <w:pStyle w:val="TOC3"/>
        <w:rPr>
          <w:rFonts w:eastAsiaTheme="minorEastAsia" w:cstheme="minorBidi"/>
          <w:noProof/>
          <w:color w:val="auto"/>
          <w:kern w:val="2"/>
          <w:sz w:val="24"/>
          <w:lang w:eastAsia="en-AU"/>
          <w14:ligatures w14:val="standardContextual"/>
        </w:rPr>
      </w:pPr>
      <w:r w:rsidRPr="008A710F">
        <w:rPr>
          <w:i/>
          <w:noProof/>
        </w:rPr>
        <w:t>Table 2 – Thresholds for reporting electricity production and consumption.</w:t>
      </w:r>
      <w:r>
        <w:rPr>
          <w:noProof/>
        </w:rPr>
        <w:tab/>
      </w:r>
      <w:r>
        <w:rPr>
          <w:noProof/>
        </w:rPr>
        <w:fldChar w:fldCharType="begin"/>
      </w:r>
      <w:r>
        <w:rPr>
          <w:noProof/>
        </w:rPr>
        <w:instrText xml:space="preserve"> PAGEREF _Toc205826948 \h </w:instrText>
      </w:r>
      <w:r>
        <w:rPr>
          <w:noProof/>
        </w:rPr>
      </w:r>
      <w:r>
        <w:rPr>
          <w:noProof/>
        </w:rPr>
        <w:fldChar w:fldCharType="separate"/>
      </w:r>
      <w:r w:rsidR="008E5FE1">
        <w:rPr>
          <w:noProof/>
        </w:rPr>
        <w:t>17</w:t>
      </w:r>
      <w:r>
        <w:rPr>
          <w:noProof/>
        </w:rPr>
        <w:fldChar w:fldCharType="end"/>
      </w:r>
    </w:p>
    <w:p w14:paraId="3036F5F8" w14:textId="64484713" w:rsidR="00415B57" w:rsidRDefault="00415B57">
      <w:pPr>
        <w:pStyle w:val="TOC5"/>
        <w:rPr>
          <w:rFonts w:eastAsiaTheme="minorEastAsia" w:cstheme="minorBidi"/>
          <w:noProof/>
          <w:color w:val="auto"/>
          <w:kern w:val="2"/>
          <w:sz w:val="24"/>
          <w:lang w:eastAsia="en-AU"/>
          <w14:ligatures w14:val="standardContextual"/>
        </w:rPr>
      </w:pPr>
      <w:r>
        <w:rPr>
          <w:noProof/>
        </w:rPr>
        <w:t>Example 5</w:t>
      </w:r>
      <w:r>
        <w:rPr>
          <w:noProof/>
        </w:rPr>
        <w:tab/>
      </w:r>
      <w:r>
        <w:rPr>
          <w:noProof/>
        </w:rPr>
        <w:fldChar w:fldCharType="begin"/>
      </w:r>
      <w:r>
        <w:rPr>
          <w:noProof/>
        </w:rPr>
        <w:instrText xml:space="preserve"> PAGEREF _Toc205826949 \h </w:instrText>
      </w:r>
      <w:r>
        <w:rPr>
          <w:noProof/>
        </w:rPr>
      </w:r>
      <w:r>
        <w:rPr>
          <w:noProof/>
        </w:rPr>
        <w:fldChar w:fldCharType="separate"/>
      </w:r>
      <w:r w:rsidR="008E5FE1">
        <w:rPr>
          <w:noProof/>
        </w:rPr>
        <w:t>18</w:t>
      </w:r>
      <w:r>
        <w:rPr>
          <w:noProof/>
        </w:rPr>
        <w:fldChar w:fldCharType="end"/>
      </w:r>
    </w:p>
    <w:p w14:paraId="478704EF" w14:textId="56DE0EE9" w:rsidR="00415B57" w:rsidRDefault="00415B57">
      <w:pPr>
        <w:pStyle w:val="TOC2"/>
        <w:rPr>
          <w:rFonts w:eastAsiaTheme="minorEastAsia" w:cstheme="minorBidi"/>
          <w:noProof/>
          <w:color w:val="auto"/>
          <w:kern w:val="2"/>
          <w:sz w:val="24"/>
          <w:lang w:eastAsia="en-AU"/>
          <w14:ligatures w14:val="standardContextual"/>
        </w:rPr>
      </w:pPr>
      <w:r>
        <w:rPr>
          <w:noProof/>
        </w:rPr>
        <w:t>4.1.</w:t>
      </w:r>
      <w:r>
        <w:rPr>
          <w:rFonts w:eastAsiaTheme="minorEastAsia" w:cstheme="minorBidi"/>
          <w:noProof/>
          <w:color w:val="auto"/>
          <w:kern w:val="2"/>
          <w:sz w:val="24"/>
          <w:lang w:eastAsia="en-AU"/>
          <w14:ligatures w14:val="standardContextual"/>
        </w:rPr>
        <w:tab/>
      </w:r>
      <w:r>
        <w:rPr>
          <w:noProof/>
        </w:rPr>
        <w:t>Estimating electricity production</w:t>
      </w:r>
      <w:r>
        <w:rPr>
          <w:noProof/>
        </w:rPr>
        <w:tab/>
      </w:r>
      <w:r>
        <w:rPr>
          <w:noProof/>
        </w:rPr>
        <w:fldChar w:fldCharType="begin"/>
      </w:r>
      <w:r>
        <w:rPr>
          <w:noProof/>
        </w:rPr>
        <w:instrText xml:space="preserve"> PAGEREF _Toc205826950 \h </w:instrText>
      </w:r>
      <w:r>
        <w:rPr>
          <w:noProof/>
        </w:rPr>
      </w:r>
      <w:r>
        <w:rPr>
          <w:noProof/>
        </w:rPr>
        <w:fldChar w:fldCharType="separate"/>
      </w:r>
      <w:r w:rsidR="008E5FE1">
        <w:rPr>
          <w:noProof/>
        </w:rPr>
        <w:t>18</w:t>
      </w:r>
      <w:r>
        <w:rPr>
          <w:noProof/>
        </w:rPr>
        <w:fldChar w:fldCharType="end"/>
      </w:r>
    </w:p>
    <w:p w14:paraId="21D52200" w14:textId="2954B7D1" w:rsidR="00415B57" w:rsidRDefault="00415B57">
      <w:pPr>
        <w:pStyle w:val="TOC3"/>
        <w:rPr>
          <w:rFonts w:eastAsiaTheme="minorEastAsia" w:cstheme="minorBidi"/>
          <w:noProof/>
          <w:color w:val="auto"/>
          <w:kern w:val="2"/>
          <w:sz w:val="24"/>
          <w:lang w:eastAsia="en-AU"/>
          <w14:ligatures w14:val="standardContextual"/>
        </w:rPr>
      </w:pPr>
      <w:r w:rsidRPr="008A710F">
        <w:rPr>
          <w:i/>
          <w:noProof/>
        </w:rPr>
        <w:t>Table 3 – Estimating electricity production</w:t>
      </w:r>
      <w:r w:rsidRPr="008A710F">
        <w:rPr>
          <w:i/>
          <w:iCs/>
          <w:noProof/>
        </w:rPr>
        <w:t>.</w:t>
      </w:r>
      <w:r>
        <w:rPr>
          <w:noProof/>
        </w:rPr>
        <w:tab/>
      </w:r>
      <w:r>
        <w:rPr>
          <w:noProof/>
        </w:rPr>
        <w:fldChar w:fldCharType="begin"/>
      </w:r>
      <w:r>
        <w:rPr>
          <w:noProof/>
        </w:rPr>
        <w:instrText xml:space="preserve"> PAGEREF _Toc205826951 \h </w:instrText>
      </w:r>
      <w:r>
        <w:rPr>
          <w:noProof/>
        </w:rPr>
      </w:r>
      <w:r>
        <w:rPr>
          <w:noProof/>
        </w:rPr>
        <w:fldChar w:fldCharType="separate"/>
      </w:r>
      <w:r w:rsidR="008E5FE1">
        <w:rPr>
          <w:noProof/>
        </w:rPr>
        <w:t>19</w:t>
      </w:r>
      <w:r>
        <w:rPr>
          <w:noProof/>
        </w:rPr>
        <w:fldChar w:fldCharType="end"/>
      </w:r>
    </w:p>
    <w:p w14:paraId="08861BA4" w14:textId="0BD29172" w:rsidR="00415B57" w:rsidRDefault="00415B57">
      <w:pPr>
        <w:pStyle w:val="TOC5"/>
        <w:rPr>
          <w:rFonts w:eastAsiaTheme="minorEastAsia" w:cstheme="minorBidi"/>
          <w:noProof/>
          <w:color w:val="auto"/>
          <w:kern w:val="2"/>
          <w:sz w:val="24"/>
          <w:lang w:eastAsia="en-AU"/>
          <w14:ligatures w14:val="standardContextual"/>
        </w:rPr>
      </w:pPr>
      <w:r w:rsidRPr="008A710F">
        <w:rPr>
          <w:b/>
          <w:noProof/>
        </w:rPr>
        <w:t>Example 6</w:t>
      </w:r>
      <w:r>
        <w:rPr>
          <w:noProof/>
        </w:rPr>
        <w:tab/>
      </w:r>
      <w:r>
        <w:rPr>
          <w:noProof/>
        </w:rPr>
        <w:fldChar w:fldCharType="begin"/>
      </w:r>
      <w:r>
        <w:rPr>
          <w:noProof/>
        </w:rPr>
        <w:instrText xml:space="preserve"> PAGEREF _Toc205826952 \h </w:instrText>
      </w:r>
      <w:r>
        <w:rPr>
          <w:noProof/>
        </w:rPr>
      </w:r>
      <w:r>
        <w:rPr>
          <w:noProof/>
        </w:rPr>
        <w:fldChar w:fldCharType="separate"/>
      </w:r>
      <w:r w:rsidR="008E5FE1">
        <w:rPr>
          <w:noProof/>
        </w:rPr>
        <w:t>20</w:t>
      </w:r>
      <w:r>
        <w:rPr>
          <w:noProof/>
        </w:rPr>
        <w:fldChar w:fldCharType="end"/>
      </w:r>
    </w:p>
    <w:p w14:paraId="1BDF1A8D" w14:textId="4D031E25" w:rsidR="00415B57" w:rsidRDefault="00415B57">
      <w:pPr>
        <w:pStyle w:val="TOC2"/>
        <w:rPr>
          <w:rFonts w:eastAsiaTheme="minorEastAsia" w:cstheme="minorBidi"/>
          <w:noProof/>
          <w:color w:val="auto"/>
          <w:kern w:val="2"/>
          <w:sz w:val="24"/>
          <w:lang w:eastAsia="en-AU"/>
          <w14:ligatures w14:val="standardContextual"/>
        </w:rPr>
      </w:pPr>
      <w:r>
        <w:rPr>
          <w:noProof/>
        </w:rPr>
        <w:t>4.2.</w:t>
      </w:r>
      <w:r>
        <w:rPr>
          <w:rFonts w:eastAsiaTheme="minorEastAsia" w:cstheme="minorBidi"/>
          <w:noProof/>
          <w:color w:val="auto"/>
          <w:kern w:val="2"/>
          <w:sz w:val="24"/>
          <w:lang w:eastAsia="en-AU"/>
          <w14:ligatures w14:val="standardContextual"/>
        </w:rPr>
        <w:tab/>
      </w:r>
      <w:r>
        <w:rPr>
          <w:noProof/>
        </w:rPr>
        <w:t>Estimating electricity consumption</w:t>
      </w:r>
      <w:r>
        <w:rPr>
          <w:noProof/>
        </w:rPr>
        <w:tab/>
      </w:r>
      <w:r>
        <w:rPr>
          <w:noProof/>
        </w:rPr>
        <w:fldChar w:fldCharType="begin"/>
      </w:r>
      <w:r>
        <w:rPr>
          <w:noProof/>
        </w:rPr>
        <w:instrText xml:space="preserve"> PAGEREF _Toc205826953 \h </w:instrText>
      </w:r>
      <w:r>
        <w:rPr>
          <w:noProof/>
        </w:rPr>
      </w:r>
      <w:r>
        <w:rPr>
          <w:noProof/>
        </w:rPr>
        <w:fldChar w:fldCharType="separate"/>
      </w:r>
      <w:r w:rsidR="008E5FE1">
        <w:rPr>
          <w:noProof/>
        </w:rPr>
        <w:t>20</w:t>
      </w:r>
      <w:r>
        <w:rPr>
          <w:noProof/>
        </w:rPr>
        <w:fldChar w:fldCharType="end"/>
      </w:r>
    </w:p>
    <w:p w14:paraId="590A60FF" w14:textId="5562180A" w:rsidR="00415B57" w:rsidRDefault="00415B57">
      <w:pPr>
        <w:pStyle w:val="TOC5"/>
        <w:rPr>
          <w:rFonts w:eastAsiaTheme="minorEastAsia" w:cstheme="minorBidi"/>
          <w:noProof/>
          <w:color w:val="auto"/>
          <w:kern w:val="2"/>
          <w:sz w:val="24"/>
          <w:lang w:eastAsia="en-AU"/>
          <w14:ligatures w14:val="standardContextual"/>
        </w:rPr>
      </w:pPr>
      <w:r>
        <w:rPr>
          <w:noProof/>
        </w:rPr>
        <w:t>Example 7</w:t>
      </w:r>
      <w:r>
        <w:rPr>
          <w:noProof/>
        </w:rPr>
        <w:tab/>
      </w:r>
      <w:r>
        <w:rPr>
          <w:noProof/>
        </w:rPr>
        <w:fldChar w:fldCharType="begin"/>
      </w:r>
      <w:r>
        <w:rPr>
          <w:noProof/>
        </w:rPr>
        <w:instrText xml:space="preserve"> PAGEREF _Toc205826954 \h </w:instrText>
      </w:r>
      <w:r>
        <w:rPr>
          <w:noProof/>
        </w:rPr>
      </w:r>
      <w:r>
        <w:rPr>
          <w:noProof/>
        </w:rPr>
        <w:fldChar w:fldCharType="separate"/>
      </w:r>
      <w:r w:rsidR="008E5FE1">
        <w:rPr>
          <w:noProof/>
        </w:rPr>
        <w:t>21</w:t>
      </w:r>
      <w:r>
        <w:rPr>
          <w:noProof/>
        </w:rPr>
        <w:fldChar w:fldCharType="end"/>
      </w:r>
    </w:p>
    <w:p w14:paraId="7E38054D" w14:textId="6ECF3A8C" w:rsidR="00415B57" w:rsidRDefault="00415B57">
      <w:pPr>
        <w:pStyle w:val="TOC2"/>
        <w:rPr>
          <w:rFonts w:eastAsiaTheme="minorEastAsia" w:cstheme="minorBidi"/>
          <w:noProof/>
          <w:color w:val="auto"/>
          <w:kern w:val="2"/>
          <w:sz w:val="24"/>
          <w:lang w:eastAsia="en-AU"/>
          <w14:ligatures w14:val="standardContextual"/>
        </w:rPr>
      </w:pPr>
      <w:r>
        <w:rPr>
          <w:noProof/>
        </w:rPr>
        <w:t>4.3.</w:t>
      </w:r>
      <w:r>
        <w:rPr>
          <w:rFonts w:eastAsiaTheme="minorEastAsia" w:cstheme="minorBidi"/>
          <w:noProof/>
          <w:color w:val="auto"/>
          <w:kern w:val="2"/>
          <w:sz w:val="24"/>
          <w:lang w:eastAsia="en-AU"/>
          <w14:ligatures w14:val="standardContextual"/>
        </w:rPr>
        <w:tab/>
      </w:r>
      <w:r>
        <w:rPr>
          <w:noProof/>
        </w:rPr>
        <w:t>Cogeneration</w:t>
      </w:r>
      <w:r>
        <w:rPr>
          <w:noProof/>
        </w:rPr>
        <w:tab/>
      </w:r>
      <w:r>
        <w:rPr>
          <w:noProof/>
        </w:rPr>
        <w:fldChar w:fldCharType="begin"/>
      </w:r>
      <w:r>
        <w:rPr>
          <w:noProof/>
        </w:rPr>
        <w:instrText xml:space="preserve"> PAGEREF _Toc205826955 \h </w:instrText>
      </w:r>
      <w:r>
        <w:rPr>
          <w:noProof/>
        </w:rPr>
      </w:r>
      <w:r>
        <w:rPr>
          <w:noProof/>
        </w:rPr>
        <w:fldChar w:fldCharType="separate"/>
      </w:r>
      <w:r w:rsidR="008E5FE1">
        <w:rPr>
          <w:noProof/>
        </w:rPr>
        <w:t>21</w:t>
      </w:r>
      <w:r>
        <w:rPr>
          <w:noProof/>
        </w:rPr>
        <w:fldChar w:fldCharType="end"/>
      </w:r>
    </w:p>
    <w:p w14:paraId="4630660A" w14:textId="45D6D47E" w:rsidR="00415B57" w:rsidRDefault="00415B57">
      <w:pPr>
        <w:pStyle w:val="TOC5"/>
        <w:rPr>
          <w:rFonts w:eastAsiaTheme="minorEastAsia" w:cstheme="minorBidi"/>
          <w:noProof/>
          <w:color w:val="auto"/>
          <w:kern w:val="2"/>
          <w:sz w:val="24"/>
          <w:lang w:eastAsia="en-AU"/>
          <w14:ligatures w14:val="standardContextual"/>
        </w:rPr>
      </w:pPr>
      <w:r>
        <w:rPr>
          <w:noProof/>
        </w:rPr>
        <w:t>Example 8</w:t>
      </w:r>
      <w:r>
        <w:rPr>
          <w:noProof/>
        </w:rPr>
        <w:tab/>
      </w:r>
      <w:r>
        <w:rPr>
          <w:noProof/>
        </w:rPr>
        <w:fldChar w:fldCharType="begin"/>
      </w:r>
      <w:r>
        <w:rPr>
          <w:noProof/>
        </w:rPr>
        <w:instrText xml:space="preserve"> PAGEREF _Toc205826956 \h </w:instrText>
      </w:r>
      <w:r>
        <w:rPr>
          <w:noProof/>
        </w:rPr>
      </w:r>
      <w:r>
        <w:rPr>
          <w:noProof/>
        </w:rPr>
        <w:fldChar w:fldCharType="separate"/>
      </w:r>
      <w:r w:rsidR="008E5FE1">
        <w:rPr>
          <w:noProof/>
        </w:rPr>
        <w:t>22</w:t>
      </w:r>
      <w:r>
        <w:rPr>
          <w:noProof/>
        </w:rPr>
        <w:fldChar w:fldCharType="end"/>
      </w:r>
    </w:p>
    <w:p w14:paraId="49C76C44" w14:textId="497246A0" w:rsidR="00415B57" w:rsidRDefault="00415B57">
      <w:pPr>
        <w:pStyle w:val="TOC1"/>
        <w:rPr>
          <w:rFonts w:eastAsiaTheme="minorEastAsia" w:cstheme="minorBidi"/>
          <w:b w:val="0"/>
          <w:noProof/>
          <w:color w:val="auto"/>
          <w:kern w:val="2"/>
          <w:sz w:val="24"/>
          <w:lang w:eastAsia="en-AU"/>
          <w14:ligatures w14:val="standardContextual"/>
        </w:rPr>
      </w:pPr>
      <w:r>
        <w:rPr>
          <w:noProof/>
        </w:rPr>
        <w:t>5.</w:t>
      </w:r>
      <w:r>
        <w:rPr>
          <w:rFonts w:eastAsiaTheme="minorEastAsia" w:cstheme="minorBidi"/>
          <w:b w:val="0"/>
          <w:noProof/>
          <w:color w:val="auto"/>
          <w:kern w:val="2"/>
          <w:sz w:val="24"/>
          <w:lang w:eastAsia="en-AU"/>
          <w14:ligatures w14:val="standardContextual"/>
        </w:rPr>
        <w:tab/>
      </w:r>
      <w:r>
        <w:rPr>
          <w:noProof/>
        </w:rPr>
        <w:t>Reporting energy consumption from fugitive emissions including venting, flaring and leakage activities</w:t>
      </w:r>
      <w:r>
        <w:rPr>
          <w:noProof/>
        </w:rPr>
        <w:tab/>
      </w:r>
      <w:r>
        <w:rPr>
          <w:noProof/>
        </w:rPr>
        <w:fldChar w:fldCharType="begin"/>
      </w:r>
      <w:r>
        <w:rPr>
          <w:noProof/>
        </w:rPr>
        <w:instrText xml:space="preserve"> PAGEREF _Toc205826957 \h </w:instrText>
      </w:r>
      <w:r>
        <w:rPr>
          <w:noProof/>
        </w:rPr>
      </w:r>
      <w:r>
        <w:rPr>
          <w:noProof/>
        </w:rPr>
        <w:fldChar w:fldCharType="separate"/>
      </w:r>
      <w:r w:rsidR="008E5FE1">
        <w:rPr>
          <w:noProof/>
        </w:rPr>
        <w:t>22</w:t>
      </w:r>
      <w:r>
        <w:rPr>
          <w:noProof/>
        </w:rPr>
        <w:fldChar w:fldCharType="end"/>
      </w:r>
    </w:p>
    <w:p w14:paraId="0291565B" w14:textId="340BB2B8" w:rsidR="00415B57" w:rsidRDefault="00415B57">
      <w:pPr>
        <w:pStyle w:val="TOC2"/>
        <w:rPr>
          <w:rFonts w:eastAsiaTheme="minorEastAsia" w:cstheme="minorBidi"/>
          <w:noProof/>
          <w:color w:val="auto"/>
          <w:kern w:val="2"/>
          <w:sz w:val="24"/>
          <w:lang w:eastAsia="en-AU"/>
          <w14:ligatures w14:val="standardContextual"/>
        </w:rPr>
      </w:pPr>
      <w:r>
        <w:rPr>
          <w:noProof/>
        </w:rPr>
        <w:t>5.1.</w:t>
      </w:r>
      <w:r>
        <w:rPr>
          <w:rFonts w:eastAsiaTheme="minorEastAsia" w:cstheme="minorBidi"/>
          <w:noProof/>
          <w:color w:val="auto"/>
          <w:kern w:val="2"/>
          <w:sz w:val="24"/>
          <w:lang w:eastAsia="en-AU"/>
          <w14:ligatures w14:val="standardContextual"/>
        </w:rPr>
        <w:tab/>
      </w:r>
      <w:r>
        <w:rPr>
          <w:noProof/>
        </w:rPr>
        <w:t>Estimating energy consumption from venting and flaring activities</w:t>
      </w:r>
      <w:r>
        <w:rPr>
          <w:noProof/>
        </w:rPr>
        <w:tab/>
      </w:r>
      <w:r>
        <w:rPr>
          <w:noProof/>
        </w:rPr>
        <w:fldChar w:fldCharType="begin"/>
      </w:r>
      <w:r>
        <w:rPr>
          <w:noProof/>
        </w:rPr>
        <w:instrText xml:space="preserve"> PAGEREF _Toc205826958 \h </w:instrText>
      </w:r>
      <w:r>
        <w:rPr>
          <w:noProof/>
        </w:rPr>
      </w:r>
      <w:r>
        <w:rPr>
          <w:noProof/>
        </w:rPr>
        <w:fldChar w:fldCharType="separate"/>
      </w:r>
      <w:r w:rsidR="008E5FE1">
        <w:rPr>
          <w:noProof/>
        </w:rPr>
        <w:t>22</w:t>
      </w:r>
      <w:r>
        <w:rPr>
          <w:noProof/>
        </w:rPr>
        <w:fldChar w:fldCharType="end"/>
      </w:r>
    </w:p>
    <w:p w14:paraId="1CAA98E2" w14:textId="44913F1A" w:rsidR="00415B57" w:rsidRDefault="00415B57">
      <w:pPr>
        <w:pStyle w:val="TOC5"/>
        <w:rPr>
          <w:rFonts w:eastAsiaTheme="minorEastAsia" w:cstheme="minorBidi"/>
          <w:noProof/>
          <w:color w:val="auto"/>
          <w:kern w:val="2"/>
          <w:sz w:val="24"/>
          <w:lang w:eastAsia="en-AU"/>
          <w14:ligatures w14:val="standardContextual"/>
        </w:rPr>
      </w:pPr>
      <w:r w:rsidRPr="008A710F">
        <w:rPr>
          <w:b/>
          <w:noProof/>
        </w:rPr>
        <w:t>Example 9</w:t>
      </w:r>
      <w:r>
        <w:rPr>
          <w:noProof/>
        </w:rPr>
        <w:tab/>
      </w:r>
      <w:r>
        <w:rPr>
          <w:noProof/>
        </w:rPr>
        <w:fldChar w:fldCharType="begin"/>
      </w:r>
      <w:r>
        <w:rPr>
          <w:noProof/>
        </w:rPr>
        <w:instrText xml:space="preserve"> PAGEREF _Toc205826959 \h </w:instrText>
      </w:r>
      <w:r>
        <w:rPr>
          <w:noProof/>
        </w:rPr>
      </w:r>
      <w:r>
        <w:rPr>
          <w:noProof/>
        </w:rPr>
        <w:fldChar w:fldCharType="separate"/>
      </w:r>
      <w:r w:rsidR="008E5FE1">
        <w:rPr>
          <w:noProof/>
        </w:rPr>
        <w:t>23</w:t>
      </w:r>
      <w:r>
        <w:rPr>
          <w:noProof/>
        </w:rPr>
        <w:fldChar w:fldCharType="end"/>
      </w:r>
    </w:p>
    <w:p w14:paraId="57B7D5F1" w14:textId="7FE672BF" w:rsidR="00415B57" w:rsidRDefault="00415B57">
      <w:pPr>
        <w:pStyle w:val="TOC1"/>
        <w:rPr>
          <w:rFonts w:eastAsiaTheme="minorEastAsia" w:cstheme="minorBidi"/>
          <w:b w:val="0"/>
          <w:noProof/>
          <w:color w:val="auto"/>
          <w:kern w:val="2"/>
          <w:sz w:val="24"/>
          <w:lang w:eastAsia="en-AU"/>
          <w14:ligatures w14:val="standardContextual"/>
        </w:rPr>
      </w:pPr>
      <w:r>
        <w:rPr>
          <w:noProof/>
        </w:rPr>
        <w:t>6.</w:t>
      </w:r>
      <w:r>
        <w:rPr>
          <w:rFonts w:eastAsiaTheme="minorEastAsia" w:cstheme="minorBidi"/>
          <w:b w:val="0"/>
          <w:noProof/>
          <w:color w:val="auto"/>
          <w:kern w:val="2"/>
          <w:sz w:val="24"/>
          <w:lang w:eastAsia="en-AU"/>
          <w14:ligatures w14:val="standardContextual"/>
        </w:rPr>
        <w:tab/>
      </w:r>
      <w:r>
        <w:rPr>
          <w:noProof/>
        </w:rPr>
        <w:t>Publication of energy production and consumption information</w:t>
      </w:r>
      <w:r>
        <w:rPr>
          <w:noProof/>
        </w:rPr>
        <w:tab/>
      </w:r>
      <w:r>
        <w:rPr>
          <w:noProof/>
        </w:rPr>
        <w:fldChar w:fldCharType="begin"/>
      </w:r>
      <w:r>
        <w:rPr>
          <w:noProof/>
        </w:rPr>
        <w:instrText xml:space="preserve"> PAGEREF _Toc205826960 \h </w:instrText>
      </w:r>
      <w:r>
        <w:rPr>
          <w:noProof/>
        </w:rPr>
      </w:r>
      <w:r>
        <w:rPr>
          <w:noProof/>
        </w:rPr>
        <w:fldChar w:fldCharType="separate"/>
      </w:r>
      <w:r w:rsidR="008E5FE1">
        <w:rPr>
          <w:noProof/>
        </w:rPr>
        <w:t>23</w:t>
      </w:r>
      <w:r>
        <w:rPr>
          <w:noProof/>
        </w:rPr>
        <w:fldChar w:fldCharType="end"/>
      </w:r>
    </w:p>
    <w:p w14:paraId="4297661A" w14:textId="43CD4DFA" w:rsidR="00415B57" w:rsidRDefault="00415B57">
      <w:pPr>
        <w:pStyle w:val="TOC1"/>
        <w:rPr>
          <w:rFonts w:eastAsiaTheme="minorEastAsia" w:cstheme="minorBidi"/>
          <w:b w:val="0"/>
          <w:noProof/>
          <w:color w:val="auto"/>
          <w:kern w:val="2"/>
          <w:sz w:val="24"/>
          <w:lang w:eastAsia="en-AU"/>
          <w14:ligatures w14:val="standardContextual"/>
        </w:rPr>
      </w:pPr>
      <w:r>
        <w:rPr>
          <w:noProof/>
        </w:rPr>
        <w:t>7.</w:t>
      </w:r>
      <w:r>
        <w:rPr>
          <w:rFonts w:eastAsiaTheme="minorEastAsia" w:cstheme="minorBidi"/>
          <w:b w:val="0"/>
          <w:noProof/>
          <w:color w:val="auto"/>
          <w:kern w:val="2"/>
          <w:sz w:val="24"/>
          <w:lang w:eastAsia="en-AU"/>
          <w14:ligatures w14:val="standardContextual"/>
        </w:rPr>
        <w:tab/>
      </w:r>
      <w:r>
        <w:rPr>
          <w:noProof/>
        </w:rPr>
        <w:t>Net energy consumption</w:t>
      </w:r>
      <w:r>
        <w:rPr>
          <w:noProof/>
        </w:rPr>
        <w:tab/>
      </w:r>
      <w:r>
        <w:rPr>
          <w:noProof/>
        </w:rPr>
        <w:fldChar w:fldCharType="begin"/>
      </w:r>
      <w:r>
        <w:rPr>
          <w:noProof/>
        </w:rPr>
        <w:instrText xml:space="preserve"> PAGEREF _Toc205826961 \h </w:instrText>
      </w:r>
      <w:r>
        <w:rPr>
          <w:noProof/>
        </w:rPr>
      </w:r>
      <w:r>
        <w:rPr>
          <w:noProof/>
        </w:rPr>
        <w:fldChar w:fldCharType="separate"/>
      </w:r>
      <w:r w:rsidR="008E5FE1">
        <w:rPr>
          <w:noProof/>
        </w:rPr>
        <w:t>24</w:t>
      </w:r>
      <w:r>
        <w:rPr>
          <w:noProof/>
        </w:rPr>
        <w:fldChar w:fldCharType="end"/>
      </w:r>
    </w:p>
    <w:p w14:paraId="4534CE55" w14:textId="3709B68A" w:rsidR="00415B57" w:rsidRDefault="00415B57">
      <w:pPr>
        <w:pStyle w:val="TOC1"/>
        <w:rPr>
          <w:rFonts w:eastAsiaTheme="minorEastAsia" w:cstheme="minorBidi"/>
          <w:b w:val="0"/>
          <w:noProof/>
          <w:color w:val="auto"/>
          <w:kern w:val="2"/>
          <w:sz w:val="24"/>
          <w:lang w:eastAsia="en-AU"/>
          <w14:ligatures w14:val="standardContextual"/>
        </w:rPr>
      </w:pPr>
      <w:r>
        <w:rPr>
          <w:noProof/>
        </w:rPr>
        <w:t>More information</w:t>
      </w:r>
      <w:r>
        <w:rPr>
          <w:noProof/>
        </w:rPr>
        <w:tab/>
      </w:r>
      <w:r>
        <w:rPr>
          <w:noProof/>
        </w:rPr>
        <w:fldChar w:fldCharType="begin"/>
      </w:r>
      <w:r>
        <w:rPr>
          <w:noProof/>
        </w:rPr>
        <w:instrText xml:space="preserve"> PAGEREF _Toc205826962 \h </w:instrText>
      </w:r>
      <w:r>
        <w:rPr>
          <w:noProof/>
        </w:rPr>
      </w:r>
      <w:r>
        <w:rPr>
          <w:noProof/>
        </w:rPr>
        <w:fldChar w:fldCharType="separate"/>
      </w:r>
      <w:r w:rsidR="008E5FE1">
        <w:rPr>
          <w:noProof/>
        </w:rPr>
        <w:t>24</w:t>
      </w:r>
      <w:r>
        <w:rPr>
          <w:noProof/>
        </w:rPr>
        <w:fldChar w:fldCharType="end"/>
      </w:r>
    </w:p>
    <w:p w14:paraId="0F92AFED" w14:textId="15DC7962" w:rsidR="004E408E" w:rsidRPr="00FF338C" w:rsidRDefault="00235142" w:rsidP="00FC282F">
      <w:pPr>
        <w:pStyle w:val="Heading1"/>
        <w:rPr>
          <w:lang w:val="en-GB"/>
        </w:rPr>
      </w:pPr>
      <w:r>
        <w:fldChar w:fldCharType="end"/>
      </w:r>
      <w:r>
        <w:br w:type="page"/>
      </w:r>
      <w:bookmarkStart w:id="5" w:name="_Toc76036482"/>
      <w:bookmarkStart w:id="6" w:name="_Toc205826928"/>
      <w:bookmarkEnd w:id="3"/>
      <w:bookmarkEnd w:id="4"/>
      <w:r w:rsidR="004E408E" w:rsidRPr="00B41D09">
        <w:lastRenderedPageBreak/>
        <w:t>Definitions and abbreviations</w:t>
      </w:r>
      <w:bookmarkEnd w:id="5"/>
      <w:bookmarkEnd w:id="6"/>
      <w:r w:rsidR="004E408E" w:rsidRPr="00FF338C">
        <w:rPr>
          <w:lang w:val="en-GB"/>
        </w:rPr>
        <w:t xml:space="preserve"> </w:t>
      </w:r>
    </w:p>
    <w:tbl>
      <w:tblPr>
        <w:tblStyle w:val="CERTable"/>
        <w:tblW w:w="0" w:type="auto"/>
        <w:tblLook w:val="04A0" w:firstRow="1" w:lastRow="0" w:firstColumn="1" w:lastColumn="0" w:noHBand="0" w:noVBand="1"/>
      </w:tblPr>
      <w:tblGrid>
        <w:gridCol w:w="2404"/>
        <w:gridCol w:w="7326"/>
      </w:tblGrid>
      <w:tr w:rsidR="004E408E" w:rsidRPr="00FF338C" w14:paraId="7C38E721" w14:textId="77777777" w:rsidTr="0034438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4" w:type="dxa"/>
          </w:tcPr>
          <w:p w14:paraId="0973C3D5" w14:textId="77777777" w:rsidR="004E408E" w:rsidRPr="00FF338C" w:rsidRDefault="004E408E">
            <w:r w:rsidRPr="00FF338C">
              <w:t>Term</w:t>
            </w:r>
          </w:p>
        </w:tc>
        <w:tc>
          <w:tcPr>
            <w:tcW w:w="7326" w:type="dxa"/>
          </w:tcPr>
          <w:p w14:paraId="392C86B7" w14:textId="77777777" w:rsidR="004E408E" w:rsidRPr="00FF338C" w:rsidRDefault="004E408E">
            <w:pPr>
              <w:cnfStyle w:val="100000000000" w:firstRow="1" w:lastRow="0" w:firstColumn="0" w:lastColumn="0" w:oddVBand="0" w:evenVBand="0" w:oddHBand="0" w:evenHBand="0" w:firstRowFirstColumn="0" w:firstRowLastColumn="0" w:lastRowFirstColumn="0" w:lastRowLastColumn="0"/>
            </w:pPr>
            <w:r w:rsidRPr="00FF338C">
              <w:t>Meaning</w:t>
            </w:r>
          </w:p>
        </w:tc>
      </w:tr>
      <w:tr w:rsidR="00A51508" w:rsidRPr="00FF338C" w14:paraId="10148BBA" w14:textId="77777777" w:rsidTr="00626548">
        <w:trPr>
          <w:cnfStyle w:val="000000100000" w:firstRow="0" w:lastRow="0" w:firstColumn="0" w:lastColumn="0" w:oddVBand="0" w:evenVBand="0" w:oddHBand="1" w:evenHBand="0" w:firstRowFirstColumn="0" w:firstRowLastColumn="0" w:lastRowFirstColumn="0" w:lastRowLastColumn="0"/>
          <w:trHeight w:val="1605"/>
        </w:trPr>
        <w:tc>
          <w:tcPr>
            <w:cnfStyle w:val="001000000000" w:firstRow="0" w:lastRow="0" w:firstColumn="1" w:lastColumn="0" w:oddVBand="0" w:evenVBand="0" w:oddHBand="0" w:evenHBand="0" w:firstRowFirstColumn="0" w:firstRowLastColumn="0" w:lastRowFirstColumn="0" w:lastRowLastColumn="0"/>
            <w:tcW w:w="2404" w:type="dxa"/>
          </w:tcPr>
          <w:p w14:paraId="31721386" w14:textId="3AA4CC55" w:rsidR="00A51508" w:rsidRPr="00FF338C" w:rsidRDefault="00A51508" w:rsidP="00A51508">
            <w:r>
              <w:t>Consumption of Energy</w:t>
            </w:r>
          </w:p>
        </w:tc>
        <w:tc>
          <w:tcPr>
            <w:tcW w:w="7326" w:type="dxa"/>
          </w:tcPr>
          <w:p w14:paraId="5F3FB56A" w14:textId="6ECA06C4" w:rsidR="00A51508" w:rsidRDefault="00A51508" w:rsidP="00A51508">
            <w:pPr>
              <w:cnfStyle w:val="000000100000" w:firstRow="0" w:lastRow="0" w:firstColumn="0" w:lastColumn="0" w:oddVBand="0" w:evenVBand="0" w:oddHBand="1" w:evenHBand="0" w:firstRowFirstColumn="0" w:firstRowLastColumn="0" w:lastRowFirstColumn="0" w:lastRowLastColumn="0"/>
            </w:pPr>
            <w:r>
              <w:t>In relation to a facility, means the use or disposal of energy from the operation of the facility, including (see 2.26</w:t>
            </w:r>
            <w:r w:rsidR="00743C28">
              <w:t xml:space="preserve"> of the NGER Regulations</w:t>
            </w:r>
            <w:r>
              <w:t>):</w:t>
            </w:r>
          </w:p>
          <w:p w14:paraId="2A1F89DD" w14:textId="33C8932D" w:rsidR="00A51508" w:rsidRDefault="00A51508" w:rsidP="00682491">
            <w:pPr>
              <w:pStyle w:val="CERbullets"/>
              <w:numPr>
                <w:ilvl w:val="1"/>
                <w:numId w:val="10"/>
              </w:numPr>
              <w:cnfStyle w:val="000000100000" w:firstRow="0" w:lastRow="0" w:firstColumn="0" w:lastColumn="0" w:oddVBand="0" w:evenVBand="0" w:oddHBand="1" w:evenHBand="0" w:firstRowFirstColumn="0" w:firstRowLastColumn="0" w:lastRowFirstColumn="0" w:lastRowLastColumn="0"/>
            </w:pPr>
            <w:r>
              <w:t>own-use</w:t>
            </w:r>
          </w:p>
          <w:p w14:paraId="0063CF4E" w14:textId="023159A8" w:rsidR="00A51508" w:rsidRPr="00FF338C" w:rsidRDefault="00A51508" w:rsidP="00682491">
            <w:pPr>
              <w:pStyle w:val="ListParagraph"/>
              <w:numPr>
                <w:ilvl w:val="1"/>
                <w:numId w:val="10"/>
              </w:numPr>
              <w:cnfStyle w:val="000000100000" w:firstRow="0" w:lastRow="0" w:firstColumn="0" w:lastColumn="0" w:oddVBand="0" w:evenVBand="0" w:oddHBand="1" w:evenHBand="0" w:firstRowFirstColumn="0" w:firstRowLastColumn="0" w:lastRowFirstColumn="0" w:lastRowLastColumn="0"/>
              <w:rPr>
                <w:rFonts w:ascii="Calibri" w:hAnsi="Calibri" w:cs="Calibri"/>
                <w:szCs w:val="22"/>
              </w:rPr>
            </w:pPr>
            <w:r>
              <w:t>losses in extraction, production and transmission.</w:t>
            </w:r>
          </w:p>
        </w:tc>
      </w:tr>
      <w:tr w:rsidR="00A51508" w:rsidRPr="00FF338C" w14:paraId="3ADCE1E6" w14:textId="77777777" w:rsidTr="00626548">
        <w:trPr>
          <w:cnfStyle w:val="000000010000" w:firstRow="0" w:lastRow="0" w:firstColumn="0" w:lastColumn="0" w:oddVBand="0" w:evenVBand="0" w:oddHBand="0" w:evenHBand="1"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404" w:type="dxa"/>
          </w:tcPr>
          <w:p w14:paraId="736EBA8F" w14:textId="5A6EC07E" w:rsidR="00A51508" w:rsidRPr="00FF338C" w:rsidRDefault="00A51508" w:rsidP="00A51508">
            <w:r w:rsidRPr="007D46A9">
              <w:t>EERS</w:t>
            </w:r>
          </w:p>
        </w:tc>
        <w:tc>
          <w:tcPr>
            <w:tcW w:w="7326" w:type="dxa"/>
          </w:tcPr>
          <w:p w14:paraId="79F804CB" w14:textId="65DB8833" w:rsidR="00A51508" w:rsidRPr="00FF338C" w:rsidRDefault="00A51508" w:rsidP="00A51508">
            <w:pPr>
              <w:cnfStyle w:val="000000010000" w:firstRow="0" w:lastRow="0" w:firstColumn="0" w:lastColumn="0" w:oddVBand="0" w:evenVBand="0" w:oddHBand="0" w:evenHBand="1" w:firstRowFirstColumn="0" w:firstRowLastColumn="0" w:lastRowFirstColumn="0" w:lastRowLastColumn="0"/>
            </w:pPr>
            <w:r w:rsidRPr="007D46A9">
              <w:t>Emissions and Energy Reporting System</w:t>
            </w:r>
          </w:p>
        </w:tc>
      </w:tr>
      <w:tr w:rsidR="00A51508" w:rsidRPr="00FF338C" w14:paraId="48C302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46D2FBA9" w14:textId="3204F1FB" w:rsidR="00A51508" w:rsidRPr="00FF338C" w:rsidRDefault="00A51508" w:rsidP="00A51508">
            <w:r>
              <w:t>Energy</w:t>
            </w:r>
          </w:p>
        </w:tc>
        <w:tc>
          <w:tcPr>
            <w:tcW w:w="7326" w:type="dxa"/>
          </w:tcPr>
          <w:p w14:paraId="270D6AB2" w14:textId="57728E3B" w:rsidR="00A51508" w:rsidRPr="00FF338C" w:rsidRDefault="00304659" w:rsidP="00A51508">
            <w:pPr>
              <w:cnfStyle w:val="000000100000" w:firstRow="0" w:lastRow="0" w:firstColumn="0" w:lastColumn="0" w:oddVBand="0" w:evenVBand="0" w:oddHBand="1" w:evenHBand="0" w:firstRowFirstColumn="0" w:firstRowLastColumn="0" w:lastRowFirstColumn="0" w:lastRowLastColumn="0"/>
            </w:pPr>
            <w:r>
              <w:t>I</w:t>
            </w:r>
            <w:r w:rsidR="00A51508" w:rsidRPr="009E6658">
              <w:t>ncludes the fuels and other energy commodities listed in Schedule 1 of the NGER Regulations.</w:t>
            </w:r>
          </w:p>
        </w:tc>
      </w:tr>
      <w:tr w:rsidR="00A51508" w:rsidRPr="00FF338C" w14:paraId="63DF7ED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7F410E5F" w14:textId="3484EFBB" w:rsidR="00A51508" w:rsidRPr="00FF338C" w:rsidRDefault="00A51508" w:rsidP="00A51508">
            <w:r w:rsidRPr="009E6658">
              <w:t>Fuel</w:t>
            </w:r>
          </w:p>
        </w:tc>
        <w:tc>
          <w:tcPr>
            <w:tcW w:w="7326" w:type="dxa"/>
          </w:tcPr>
          <w:p w14:paraId="7DD15CBB" w14:textId="6AEDBADD" w:rsidR="00A51508" w:rsidRPr="00FF338C" w:rsidRDefault="00A51508" w:rsidP="00A51508">
            <w:pPr>
              <w:cnfStyle w:val="000000010000" w:firstRow="0" w:lastRow="0" w:firstColumn="0" w:lastColumn="0" w:oddVBand="0" w:evenVBand="0" w:oddHBand="0" w:evenHBand="1" w:firstRowFirstColumn="0" w:firstRowLastColumn="0" w:lastRowFirstColumn="0" w:lastRowLastColumn="0"/>
            </w:pPr>
            <w:r w:rsidRPr="009E6658">
              <w:t>A substance mentioned at items 1–57 in Schedule 1 of the NGER Regulations.</w:t>
            </w:r>
          </w:p>
        </w:tc>
      </w:tr>
      <w:tr w:rsidR="00A51508" w:rsidRPr="00FF338C" w14:paraId="2DBE7A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18A7E735" w14:textId="14BC05F7" w:rsidR="00A51508" w:rsidRPr="00FF338C" w:rsidRDefault="00A51508" w:rsidP="00A51508">
            <w:r w:rsidRPr="00FF338C">
              <w:t>GJ</w:t>
            </w:r>
          </w:p>
        </w:tc>
        <w:tc>
          <w:tcPr>
            <w:tcW w:w="7326" w:type="dxa"/>
          </w:tcPr>
          <w:p w14:paraId="7C5D98DE" w14:textId="0C3D9253" w:rsidR="00A51508" w:rsidRPr="00FF338C" w:rsidRDefault="00A51508" w:rsidP="00A51508">
            <w:pPr>
              <w:cnfStyle w:val="000000100000" w:firstRow="0" w:lastRow="0" w:firstColumn="0" w:lastColumn="0" w:oddVBand="0" w:evenVBand="0" w:oddHBand="1" w:evenHBand="0" w:firstRowFirstColumn="0" w:firstRowLastColumn="0" w:lastRowFirstColumn="0" w:lastRowLastColumn="0"/>
            </w:pPr>
            <w:r w:rsidRPr="00FF338C">
              <w:t>Gigajoules</w:t>
            </w:r>
          </w:p>
        </w:tc>
      </w:tr>
      <w:tr w:rsidR="004E408E" w:rsidRPr="00FF338C" w14:paraId="159F01D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534BB68C" w14:textId="77777777" w:rsidR="004E408E" w:rsidRPr="00FF338C" w:rsidRDefault="004E408E">
            <w:r w:rsidRPr="00FF338C">
              <w:t>kWh</w:t>
            </w:r>
          </w:p>
        </w:tc>
        <w:tc>
          <w:tcPr>
            <w:tcW w:w="7326" w:type="dxa"/>
          </w:tcPr>
          <w:p w14:paraId="1AA70CB3" w14:textId="60C73F2E" w:rsidR="004E408E" w:rsidRPr="00FF338C" w:rsidRDefault="004E408E">
            <w:pPr>
              <w:cnfStyle w:val="000000010000" w:firstRow="0" w:lastRow="0" w:firstColumn="0" w:lastColumn="0" w:oddVBand="0" w:evenVBand="0" w:oddHBand="0" w:evenHBand="1" w:firstRowFirstColumn="0" w:firstRowLastColumn="0" w:lastRowFirstColumn="0" w:lastRowLastColumn="0"/>
            </w:pPr>
            <w:r w:rsidRPr="00FF338C">
              <w:t>Kilowatt</w:t>
            </w:r>
            <w:r w:rsidR="00DB6801">
              <w:t>-</w:t>
            </w:r>
            <w:r w:rsidRPr="00FF338C">
              <w:t>hours</w:t>
            </w:r>
          </w:p>
        </w:tc>
      </w:tr>
      <w:tr w:rsidR="004E408E" w:rsidRPr="00FF338C" w14:paraId="022A64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1015CA7B" w14:textId="77777777" w:rsidR="004E408E" w:rsidRPr="00FF338C" w:rsidRDefault="004E408E">
            <w:r w:rsidRPr="00FF338C">
              <w:t>NGER</w:t>
            </w:r>
          </w:p>
        </w:tc>
        <w:tc>
          <w:tcPr>
            <w:tcW w:w="7326" w:type="dxa"/>
          </w:tcPr>
          <w:p w14:paraId="2F058775" w14:textId="77777777" w:rsidR="004E408E" w:rsidRPr="00FF338C" w:rsidRDefault="004E408E">
            <w:pPr>
              <w:cnfStyle w:val="000000100000" w:firstRow="0" w:lastRow="0" w:firstColumn="0" w:lastColumn="0" w:oddVBand="0" w:evenVBand="0" w:oddHBand="1" w:evenHBand="0" w:firstRowFirstColumn="0" w:firstRowLastColumn="0" w:lastRowFirstColumn="0" w:lastRowLastColumn="0"/>
            </w:pPr>
            <w:r w:rsidRPr="00FF338C">
              <w:t>National Greenhouse and Energy Reporting</w:t>
            </w:r>
          </w:p>
        </w:tc>
      </w:tr>
      <w:tr w:rsidR="004E408E" w:rsidRPr="00FF338C" w14:paraId="5146CE6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2F6CC941" w14:textId="77777777" w:rsidR="004E408E" w:rsidRPr="00FF338C" w:rsidRDefault="004E408E">
            <w:r w:rsidRPr="00FF338C">
              <w:t>NGER Act</w:t>
            </w:r>
          </w:p>
        </w:tc>
        <w:tc>
          <w:tcPr>
            <w:tcW w:w="7326" w:type="dxa"/>
          </w:tcPr>
          <w:p w14:paraId="7B71A152" w14:textId="77777777" w:rsidR="004E408E" w:rsidRPr="00FF338C" w:rsidRDefault="004E408E">
            <w:pPr>
              <w:cnfStyle w:val="000000010000" w:firstRow="0" w:lastRow="0" w:firstColumn="0" w:lastColumn="0" w:oddVBand="0" w:evenVBand="0" w:oddHBand="0" w:evenHBand="1" w:firstRowFirstColumn="0" w:firstRowLastColumn="0" w:lastRowFirstColumn="0" w:lastRowLastColumn="0"/>
              <w:rPr>
                <w:i/>
              </w:rPr>
            </w:pPr>
            <w:r w:rsidRPr="00FF338C">
              <w:rPr>
                <w:i/>
              </w:rPr>
              <w:t>National Greenhouse and Energy Reporting Act 2007</w:t>
            </w:r>
          </w:p>
        </w:tc>
      </w:tr>
      <w:tr w:rsidR="004E408E" w:rsidRPr="00FF338C" w14:paraId="466F66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2469634B" w14:textId="77777777" w:rsidR="004E408E" w:rsidRDefault="004E408E">
            <w:r w:rsidRPr="00FF338C">
              <w:t>NGER legislation</w:t>
            </w:r>
          </w:p>
        </w:tc>
        <w:tc>
          <w:tcPr>
            <w:tcW w:w="7326" w:type="dxa"/>
          </w:tcPr>
          <w:p w14:paraId="7A130338" w14:textId="77777777" w:rsidR="004E408E" w:rsidRPr="00EB51E3" w:rsidRDefault="004E408E">
            <w:pPr>
              <w:cnfStyle w:val="000000100000" w:firstRow="0" w:lastRow="0" w:firstColumn="0" w:lastColumn="0" w:oddVBand="0" w:evenVBand="0" w:oddHBand="1" w:evenHBand="0" w:firstRowFirstColumn="0" w:firstRowLastColumn="0" w:lastRowFirstColumn="0" w:lastRowLastColumn="0"/>
              <w:rPr>
                <w:i/>
              </w:rPr>
            </w:pPr>
            <w:r w:rsidRPr="00FF338C">
              <w:t xml:space="preserve">The NGER Act, the NGER Regulations and the </w:t>
            </w:r>
            <w:r>
              <w:t>NGER Measurement Determination</w:t>
            </w:r>
          </w:p>
        </w:tc>
      </w:tr>
      <w:tr w:rsidR="004E408E" w:rsidRPr="00FF338C" w14:paraId="7F7A160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3AB8E014" w14:textId="77777777" w:rsidR="004E408E" w:rsidRPr="00FF338C" w:rsidRDefault="004E408E">
            <w:r>
              <w:t>NGER Measurement Determination</w:t>
            </w:r>
          </w:p>
        </w:tc>
        <w:tc>
          <w:tcPr>
            <w:tcW w:w="7326" w:type="dxa"/>
          </w:tcPr>
          <w:p w14:paraId="6179247F" w14:textId="77777777" w:rsidR="004E408E" w:rsidRPr="00AA203D" w:rsidRDefault="004E408E">
            <w:pPr>
              <w:cnfStyle w:val="000000010000" w:firstRow="0" w:lastRow="0" w:firstColumn="0" w:lastColumn="0" w:oddVBand="0" w:evenVBand="0" w:oddHBand="0" w:evenHBand="1" w:firstRowFirstColumn="0" w:firstRowLastColumn="0" w:lastRowFirstColumn="0" w:lastRowLastColumn="0"/>
            </w:pPr>
            <w:r w:rsidRPr="00AA203D">
              <w:t>National Greenhouse and Energy Reporting (Measurement) Determination 2008</w:t>
            </w:r>
          </w:p>
        </w:tc>
      </w:tr>
      <w:tr w:rsidR="004E408E" w:rsidRPr="00FF338C" w14:paraId="146430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09AC9225" w14:textId="77777777" w:rsidR="004E408E" w:rsidRPr="00FF338C" w:rsidRDefault="004E408E">
            <w:r w:rsidRPr="00FF338C">
              <w:t>NGER Regulations</w:t>
            </w:r>
          </w:p>
        </w:tc>
        <w:tc>
          <w:tcPr>
            <w:tcW w:w="7326" w:type="dxa"/>
          </w:tcPr>
          <w:p w14:paraId="3C6F4984" w14:textId="77777777" w:rsidR="004E408E" w:rsidRPr="00AA203D" w:rsidRDefault="004E408E">
            <w:pPr>
              <w:cnfStyle w:val="000000100000" w:firstRow="0" w:lastRow="0" w:firstColumn="0" w:lastColumn="0" w:oddVBand="0" w:evenVBand="0" w:oddHBand="1" w:evenHBand="0" w:firstRowFirstColumn="0" w:firstRowLastColumn="0" w:lastRowFirstColumn="0" w:lastRowLastColumn="0"/>
            </w:pPr>
            <w:r w:rsidRPr="00AA203D">
              <w:t>National Greenhouse and Energy Reporting Regulations 2008</w:t>
            </w:r>
          </w:p>
        </w:tc>
      </w:tr>
      <w:tr w:rsidR="004E408E" w:rsidRPr="00FF338C" w14:paraId="0D6C1E82" w14:textId="77777777" w:rsidTr="00626548">
        <w:trPr>
          <w:cnfStyle w:val="000000010000" w:firstRow="0" w:lastRow="0" w:firstColumn="0" w:lastColumn="0" w:oddVBand="0" w:evenVBand="0" w:oddHBand="0" w:evenHBand="1"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404" w:type="dxa"/>
          </w:tcPr>
          <w:p w14:paraId="62929B82" w14:textId="77777777" w:rsidR="004E408E" w:rsidRPr="00FF338C" w:rsidRDefault="004E408E">
            <w:r w:rsidRPr="00FF338C">
              <w:t>MW</w:t>
            </w:r>
          </w:p>
        </w:tc>
        <w:tc>
          <w:tcPr>
            <w:tcW w:w="7326" w:type="dxa"/>
          </w:tcPr>
          <w:p w14:paraId="2D64C1D0" w14:textId="77777777" w:rsidR="004E408E" w:rsidRPr="00FF338C" w:rsidRDefault="004E408E">
            <w:pPr>
              <w:cnfStyle w:val="000000010000" w:firstRow="0" w:lastRow="0" w:firstColumn="0" w:lastColumn="0" w:oddVBand="0" w:evenVBand="0" w:oddHBand="0" w:evenHBand="1" w:firstRowFirstColumn="0" w:firstRowLastColumn="0" w:lastRowFirstColumn="0" w:lastRowLastColumn="0"/>
            </w:pPr>
            <w:r w:rsidRPr="00FF338C">
              <w:t>Megawatts</w:t>
            </w:r>
          </w:p>
        </w:tc>
      </w:tr>
      <w:tr w:rsidR="004E408E" w:rsidRPr="00FF338C" w14:paraId="07F7DB3B" w14:textId="77777777" w:rsidTr="00626548">
        <w:trPr>
          <w:cnfStyle w:val="000000100000" w:firstRow="0" w:lastRow="0" w:firstColumn="0" w:lastColumn="0" w:oddVBand="0" w:evenVBand="0" w:oddHBand="1" w:evenHBand="0" w:firstRowFirstColumn="0" w:firstRowLastColumn="0" w:lastRowFirstColumn="0" w:lastRowLastColumn="0"/>
          <w:trHeight w:val="2288"/>
        </w:trPr>
        <w:tc>
          <w:tcPr>
            <w:cnfStyle w:val="001000000000" w:firstRow="0" w:lastRow="0" w:firstColumn="1" w:lastColumn="0" w:oddVBand="0" w:evenVBand="0" w:oddHBand="0" w:evenHBand="0" w:firstRowFirstColumn="0" w:firstRowLastColumn="0" w:lastRowFirstColumn="0" w:lastRowLastColumn="0"/>
            <w:tcW w:w="2404" w:type="dxa"/>
          </w:tcPr>
          <w:p w14:paraId="07DB21D2" w14:textId="77777777" w:rsidR="004E408E" w:rsidRPr="00FF338C" w:rsidRDefault="004E408E">
            <w:r w:rsidRPr="009E6658">
              <w:t xml:space="preserve">Production of </w:t>
            </w:r>
            <w:r>
              <w:t>E</w:t>
            </w:r>
            <w:r w:rsidRPr="009E6658">
              <w:t>nergy</w:t>
            </w:r>
          </w:p>
        </w:tc>
        <w:tc>
          <w:tcPr>
            <w:tcW w:w="7326" w:type="dxa"/>
          </w:tcPr>
          <w:p w14:paraId="7CAD186D" w14:textId="56CFA811" w:rsidR="004E408E" w:rsidRDefault="004E408E">
            <w:pPr>
              <w:cnfStyle w:val="000000100000" w:firstRow="0" w:lastRow="0" w:firstColumn="0" w:lastColumn="0" w:oddVBand="0" w:evenVBand="0" w:oddHBand="1" w:evenHBand="0" w:firstRowFirstColumn="0" w:firstRowLastColumn="0" w:lastRowFirstColumn="0" w:lastRowLastColumn="0"/>
            </w:pPr>
            <w:r>
              <w:t xml:space="preserve">In relation to a facility, means the (see </w:t>
            </w:r>
            <w:r w:rsidR="0044255D">
              <w:t>2.25 of the</w:t>
            </w:r>
            <w:r>
              <w:t xml:space="preserve"> NGER Regulation</w:t>
            </w:r>
            <w:r w:rsidR="0044255D">
              <w:t>s</w:t>
            </w:r>
            <w:r>
              <w:t>):</w:t>
            </w:r>
          </w:p>
          <w:p w14:paraId="178F1512" w14:textId="77777777" w:rsidR="004E408E" w:rsidRDefault="004E408E" w:rsidP="00682491">
            <w:pPr>
              <w:pStyle w:val="CERbullets"/>
              <w:numPr>
                <w:ilvl w:val="1"/>
                <w:numId w:val="11"/>
              </w:numPr>
              <w:cnfStyle w:val="000000100000" w:firstRow="0" w:lastRow="0" w:firstColumn="0" w:lastColumn="0" w:oddVBand="0" w:evenVBand="0" w:oddHBand="1" w:evenHBand="0" w:firstRowFirstColumn="0" w:firstRowLastColumn="0" w:lastRowFirstColumn="0" w:lastRowLastColumn="0"/>
            </w:pPr>
            <w:r>
              <w:t>extraction or capture of energy from natural sources for final consumption by or from the operation of the facility, or for use other than in the operation of the facility</w:t>
            </w:r>
          </w:p>
          <w:p w14:paraId="67281699" w14:textId="77777777" w:rsidR="004E408E" w:rsidRPr="00FF338C" w:rsidRDefault="004E408E" w:rsidP="00682491">
            <w:pPr>
              <w:pStyle w:val="CERbullets"/>
              <w:numPr>
                <w:ilvl w:val="1"/>
                <w:numId w:val="11"/>
              </w:numPr>
              <w:cnfStyle w:val="000000100000" w:firstRow="0" w:lastRow="0" w:firstColumn="0" w:lastColumn="0" w:oddVBand="0" w:evenVBand="0" w:oddHBand="1" w:evenHBand="0" w:firstRowFirstColumn="0" w:firstRowLastColumn="0" w:lastRowFirstColumn="0" w:lastRowLastColumn="0"/>
            </w:pPr>
            <w:r w:rsidRPr="009E6658">
              <w:t>manufacture of energy by the conversion of energy from one form to another form for final consumption by or from the operation of the facility, or for use other than in the operation of the facility.</w:t>
            </w:r>
          </w:p>
        </w:tc>
      </w:tr>
      <w:tr w:rsidR="004E408E" w:rsidRPr="00FF338C" w14:paraId="1803A1B8" w14:textId="77777777" w:rsidTr="00626548">
        <w:trPr>
          <w:cnfStyle w:val="000000010000" w:firstRow="0" w:lastRow="0" w:firstColumn="0" w:lastColumn="0" w:oddVBand="0" w:evenVBand="0" w:oddHBand="0" w:evenHBand="1"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404" w:type="dxa"/>
          </w:tcPr>
          <w:p w14:paraId="4AA20C46" w14:textId="77777777" w:rsidR="004E408E" w:rsidRPr="00FF338C" w:rsidRDefault="004E408E">
            <w:r w:rsidRPr="00FF338C">
              <w:t>t CO</w:t>
            </w:r>
            <w:r w:rsidRPr="00C530FE">
              <w:rPr>
                <w:vertAlign w:val="subscript"/>
              </w:rPr>
              <w:t>2</w:t>
            </w:r>
            <w:r w:rsidRPr="00FF338C">
              <w:t>-e</w:t>
            </w:r>
          </w:p>
        </w:tc>
        <w:tc>
          <w:tcPr>
            <w:tcW w:w="7326" w:type="dxa"/>
          </w:tcPr>
          <w:p w14:paraId="45BDA8DB" w14:textId="77777777" w:rsidR="004E408E" w:rsidRPr="00FF338C" w:rsidRDefault="004E408E">
            <w:pPr>
              <w:cnfStyle w:val="000000010000" w:firstRow="0" w:lastRow="0" w:firstColumn="0" w:lastColumn="0" w:oddVBand="0" w:evenVBand="0" w:oddHBand="0" w:evenHBand="1" w:firstRowFirstColumn="0" w:firstRowLastColumn="0" w:lastRowFirstColumn="0" w:lastRowLastColumn="0"/>
            </w:pPr>
            <w:r w:rsidRPr="00FF338C">
              <w:t>Tonnes of carbon dioxide equivalence</w:t>
            </w:r>
          </w:p>
        </w:tc>
      </w:tr>
    </w:tbl>
    <w:p w14:paraId="3400554E" w14:textId="77777777" w:rsidR="008038FC" w:rsidRDefault="00626548" w:rsidP="004E408E">
      <w:r w:rsidRPr="00626548">
        <w:lastRenderedPageBreak/>
        <w:t>Terms in NGER legislation may have specific meanings within the law</w:t>
      </w:r>
      <w:r>
        <w:t xml:space="preserve">. </w:t>
      </w:r>
      <w:r w:rsidR="0082538C" w:rsidRPr="0082538C">
        <w:t>These key words and phrases are normally identified under a heading such as Definitions, Interpretation or Dictionary or in other parts of the document.</w:t>
      </w:r>
      <w:r w:rsidR="008038FC">
        <w:t xml:space="preserve"> </w:t>
      </w:r>
    </w:p>
    <w:p w14:paraId="58B2A6E3" w14:textId="144A3B0B" w:rsidR="0082538C" w:rsidRPr="0082538C" w:rsidRDefault="00C05F96" w:rsidP="0082538C">
      <w:r>
        <w:t>For more</w:t>
      </w:r>
      <w:r w:rsidR="0082538C" w:rsidRPr="0082538C">
        <w:t xml:space="preserve"> information on interpreting legislation </w:t>
      </w:r>
      <w:r>
        <w:t>see</w:t>
      </w:r>
      <w:r w:rsidR="0082538C" w:rsidRPr="0082538C">
        <w:t xml:space="preserve"> </w:t>
      </w:r>
      <w:hyperlink r:id="rId22" w:history="1">
        <w:r w:rsidR="0082538C">
          <w:rPr>
            <w:rStyle w:val="Hyperlink"/>
            <w:rFonts w:asciiTheme="minorHAnsi" w:hAnsiTheme="minorHAnsi"/>
          </w:rPr>
          <w:t>Federal Register of Legislation - Understanding Legislation</w:t>
        </w:r>
      </w:hyperlink>
      <w:r w:rsidR="0034438C">
        <w:rPr>
          <w:rStyle w:val="FootnoteReference"/>
        </w:rPr>
        <w:footnoteReference w:id="2"/>
      </w:r>
      <w:r w:rsidR="0082538C" w:rsidRPr="0082538C">
        <w:t>.</w:t>
      </w:r>
    </w:p>
    <w:p w14:paraId="7A1FDC37" w14:textId="77777777" w:rsidR="0082538C" w:rsidRDefault="0082538C" w:rsidP="004E408E"/>
    <w:p w14:paraId="26C391C5" w14:textId="77777777" w:rsidR="003E6C04" w:rsidRDefault="003E6C04">
      <w:pPr>
        <w:spacing w:after="0"/>
        <w:rPr>
          <w:rFonts w:ascii="Calibri" w:eastAsia="Times New Roman" w:hAnsi="Calibri" w:cs="Calibri"/>
          <w:b/>
          <w:bCs/>
          <w:kern w:val="32"/>
          <w:sz w:val="40"/>
        </w:rPr>
      </w:pPr>
      <w:bookmarkStart w:id="7" w:name="_Toc76036483"/>
      <w:r>
        <w:br w:type="page"/>
      </w:r>
    </w:p>
    <w:p w14:paraId="4D1F7CBD" w14:textId="0E246F03" w:rsidR="004E408E" w:rsidRDefault="004E408E" w:rsidP="004E408E">
      <w:pPr>
        <w:pStyle w:val="Heading1"/>
      </w:pPr>
      <w:bookmarkStart w:id="8" w:name="_Toc205826929"/>
      <w:r>
        <w:lastRenderedPageBreak/>
        <w:t>Disclaimer</w:t>
      </w:r>
      <w:bookmarkEnd w:id="7"/>
      <w:bookmarkEnd w:id="8"/>
    </w:p>
    <w:p w14:paraId="4C0143E3" w14:textId="19650D49" w:rsidR="004E408E" w:rsidRPr="000B3301" w:rsidRDefault="004E408E" w:rsidP="00156A96">
      <w:pPr>
        <w:autoSpaceDE w:val="0"/>
        <w:autoSpaceDN w:val="0"/>
        <w:adjustRightInd w:val="0"/>
        <w:spacing w:before="240" w:after="0"/>
        <w:rPr>
          <w:lang w:eastAsia="en-AU"/>
        </w:rPr>
      </w:pPr>
      <w:r w:rsidRPr="000B3301">
        <w:rPr>
          <w:lang w:eastAsia="en-AU"/>
        </w:rPr>
        <w:t>This</w:t>
      </w:r>
      <w:r w:rsidRPr="000B3301">
        <w:rPr>
          <w:i/>
          <w:iCs/>
          <w:lang w:eastAsia="en-AU"/>
        </w:rPr>
        <w:t xml:space="preserve"> </w:t>
      </w:r>
      <w:r w:rsidRPr="000B3301">
        <w:rPr>
          <w:lang w:eastAsia="en-AU"/>
        </w:rPr>
        <w:t>guideline has been developed by the Clean Energy Regulator (</w:t>
      </w:r>
      <w:r w:rsidR="7FBD282D" w:rsidRPr="000B3301">
        <w:rPr>
          <w:lang w:eastAsia="en-AU"/>
        </w:rPr>
        <w:t>CER</w:t>
      </w:r>
      <w:r w:rsidRPr="000B3301">
        <w:rPr>
          <w:lang w:eastAsia="en-AU"/>
        </w:rPr>
        <w:t xml:space="preserve">) to assist entities to comply with their reporting obligations under the </w:t>
      </w:r>
      <w:hyperlink r:id="rId23" w:tooltip="A link to the Australian Government legislation - the National Greenhouse and Energy reporting act 2007" w:history="1">
        <w:r w:rsidRPr="000B3301">
          <w:rPr>
            <w:rStyle w:val="Hyperlink"/>
            <w:i/>
            <w:iCs/>
            <w:lang w:eastAsia="en-AU"/>
          </w:rPr>
          <w:t>National Greenhouse and Energy Reporting Act 2007</w:t>
        </w:r>
      </w:hyperlink>
      <w:bookmarkStart w:id="9" w:name="_Ref105748531"/>
      <w:r w:rsidRPr="00A469D7">
        <w:rPr>
          <w:rStyle w:val="FootnoteReference"/>
          <w:color w:val="000000"/>
          <w:lang w:eastAsia="en-AU"/>
        </w:rPr>
        <w:footnoteReference w:id="3"/>
      </w:r>
      <w:bookmarkEnd w:id="9"/>
      <w:r w:rsidRPr="000B3301">
        <w:rPr>
          <w:i/>
          <w:iCs/>
          <w:lang w:eastAsia="en-AU"/>
        </w:rPr>
        <w:t xml:space="preserve"> </w:t>
      </w:r>
      <w:r w:rsidRPr="000B3301">
        <w:rPr>
          <w:iCs/>
          <w:lang w:eastAsia="en-AU"/>
        </w:rPr>
        <w:t>(NGER Act)</w:t>
      </w:r>
      <w:r w:rsidRPr="000B3301">
        <w:rPr>
          <w:i/>
          <w:iCs/>
          <w:lang w:eastAsia="en-AU"/>
        </w:rPr>
        <w:t xml:space="preserve"> </w:t>
      </w:r>
      <w:r w:rsidRPr="000B3301">
        <w:rPr>
          <w:lang w:eastAsia="en-AU"/>
        </w:rPr>
        <w:t>and associated legislation.</w:t>
      </w:r>
    </w:p>
    <w:p w14:paraId="67964483" w14:textId="77777777" w:rsidR="004E408E" w:rsidRPr="000B3301" w:rsidRDefault="004E408E" w:rsidP="0071311F">
      <w:pPr>
        <w:autoSpaceDE w:val="0"/>
        <w:autoSpaceDN w:val="0"/>
        <w:adjustRightInd w:val="0"/>
        <w:spacing w:after="0"/>
        <w:rPr>
          <w:lang w:eastAsia="en-AU"/>
        </w:rPr>
      </w:pPr>
    </w:p>
    <w:p w14:paraId="0ACF48C2" w14:textId="3C9F888E" w:rsidR="004E408E" w:rsidRPr="000B3301" w:rsidRDefault="004E408E" w:rsidP="0071311F">
      <w:pPr>
        <w:autoSpaceDE w:val="0"/>
        <w:autoSpaceDN w:val="0"/>
        <w:adjustRightInd w:val="0"/>
        <w:spacing w:after="0"/>
        <w:rPr>
          <w:lang w:eastAsia="en-AU"/>
        </w:rPr>
      </w:pPr>
      <w:r w:rsidRPr="004C131A">
        <w:rPr>
          <w:lang w:eastAsia="en-AU"/>
        </w:rPr>
        <w:t xml:space="preserve">This guideline only applies to the </w:t>
      </w:r>
      <w:r w:rsidR="00BB08F4">
        <w:rPr>
          <w:lang w:eastAsia="en-AU"/>
        </w:rPr>
        <w:t>2024–25</w:t>
      </w:r>
      <w:r w:rsidRPr="004C131A">
        <w:rPr>
          <w:lang w:eastAsia="en-AU"/>
        </w:rPr>
        <w:t xml:space="preserve"> NGER reporting year and should be read in conjunction with the</w:t>
      </w:r>
      <w:r>
        <w:rPr>
          <w:lang w:eastAsia="en-AU"/>
        </w:rPr>
        <w:t xml:space="preserve"> </w:t>
      </w:r>
      <w:r w:rsidRPr="004C131A">
        <w:rPr>
          <w:lang w:eastAsia="en-AU"/>
        </w:rPr>
        <w:t xml:space="preserve">NGER </w:t>
      </w:r>
      <w:r w:rsidRPr="001D7E7F">
        <w:rPr>
          <w:lang w:eastAsia="en-AU"/>
        </w:rPr>
        <w:t xml:space="preserve">Act, </w:t>
      </w:r>
      <w:hyperlink r:id="rId24" w:tooltip="A link to the Australian Government legislation - the National Greenhouse and Energy regulations 2008" w:history="1">
        <w:r w:rsidRPr="0071311F">
          <w:rPr>
            <w:rStyle w:val="Hyperlink"/>
            <w:lang w:eastAsia="en-AU"/>
          </w:rPr>
          <w:t>National Greenhouse and Energy Regulations 2008</w:t>
        </w:r>
      </w:hyperlink>
      <w:r w:rsidRPr="001D7E7F">
        <w:rPr>
          <w:rStyle w:val="FootnoteReference"/>
          <w:color w:val="000000"/>
          <w:lang w:eastAsia="en-AU"/>
        </w:rPr>
        <w:footnoteReference w:id="4"/>
      </w:r>
      <w:r w:rsidRPr="001D7E7F">
        <w:rPr>
          <w:color w:val="000000"/>
          <w:lang w:eastAsia="en-AU"/>
        </w:rPr>
        <w:t xml:space="preserve"> (</w:t>
      </w:r>
      <w:r w:rsidRPr="001D7E7F">
        <w:rPr>
          <w:lang w:eastAsia="en-AU"/>
        </w:rPr>
        <w:t xml:space="preserve">NGER Regulations), and </w:t>
      </w:r>
      <w:hyperlink r:id="rId25" w:tooltip="A link to the Australian Government legislation - the National Greenhouse and Energy regulations 2008" w:history="1">
        <w:r w:rsidRPr="0071311F">
          <w:rPr>
            <w:rStyle w:val="Hyperlink"/>
            <w:lang w:eastAsia="en-AU"/>
          </w:rPr>
          <w:t>National Greenhouse and Energy Reporting (Measurement) Determination 2008</w:t>
        </w:r>
      </w:hyperlink>
      <w:r w:rsidRPr="001D7E7F">
        <w:rPr>
          <w:rStyle w:val="FootnoteReference"/>
          <w:color w:val="000000"/>
          <w:lang w:eastAsia="en-AU"/>
        </w:rPr>
        <w:footnoteReference w:id="5"/>
      </w:r>
      <w:r w:rsidRPr="001D7E7F">
        <w:rPr>
          <w:lang w:eastAsia="en-AU"/>
        </w:rPr>
        <w:t xml:space="preserve"> (NGER Measurement Determination), as</w:t>
      </w:r>
      <w:r w:rsidRPr="004C131A">
        <w:rPr>
          <w:lang w:eastAsia="en-AU"/>
        </w:rPr>
        <w:t xml:space="preserve"> in force for this reporting period. These</w:t>
      </w:r>
      <w:r w:rsidRPr="000B3301">
        <w:rPr>
          <w:lang w:eastAsia="en-AU"/>
        </w:rPr>
        <w:t xml:space="preserve"> laws and their interpretation are subject to change, which may affect the accuracy of the information contained in the guideline.</w:t>
      </w:r>
    </w:p>
    <w:p w14:paraId="4D26F4EC" w14:textId="77777777" w:rsidR="004E408E" w:rsidRPr="000B3301" w:rsidRDefault="004E408E" w:rsidP="0071311F">
      <w:pPr>
        <w:autoSpaceDE w:val="0"/>
        <w:autoSpaceDN w:val="0"/>
        <w:adjustRightInd w:val="0"/>
        <w:spacing w:after="0"/>
        <w:rPr>
          <w:lang w:eastAsia="en-AU"/>
        </w:rPr>
      </w:pPr>
    </w:p>
    <w:p w14:paraId="6A8ECF48" w14:textId="1A028272" w:rsidR="004E408E" w:rsidRPr="000B3301" w:rsidRDefault="004E408E" w:rsidP="0071311F">
      <w:pPr>
        <w:autoSpaceDE w:val="0"/>
        <w:autoSpaceDN w:val="0"/>
        <w:adjustRightInd w:val="0"/>
        <w:spacing w:after="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6" w:tooltip="A link to the Australian Government legislation - the National Greenhouse and Energy Measurement Determination" w:history="1">
        <w:r w:rsidR="006B1959" w:rsidRPr="006B1959">
          <w:rPr>
            <w:rStyle w:val="Hyperlink"/>
            <w:rFonts w:asciiTheme="minorHAnsi" w:hAnsiTheme="minorHAnsi"/>
            <w:lang w:eastAsia="en-AU"/>
          </w:rPr>
          <w:t>Na</w:t>
        </w:r>
        <w:r w:rsidR="006B1959">
          <w:rPr>
            <w:rStyle w:val="Hyperlink"/>
            <w:rFonts w:asciiTheme="minorHAnsi" w:hAnsiTheme="minorHAnsi"/>
            <w:lang w:eastAsia="en-AU"/>
          </w:rPr>
          <w:t>t</w:t>
        </w:r>
        <w:r w:rsidR="006B1959" w:rsidRPr="006B1959">
          <w:rPr>
            <w:rStyle w:val="Hyperlink"/>
            <w:rFonts w:asciiTheme="minorHAnsi" w:hAnsiTheme="minorHAnsi"/>
            <w:lang w:eastAsia="en-AU"/>
          </w:rPr>
          <w:t xml:space="preserve">ional Greenhouse and Energy Reporting (NGER) </w:t>
        </w:r>
        <w:r w:rsidR="00DD2705">
          <w:rPr>
            <w:rStyle w:val="Hyperlink"/>
            <w:rFonts w:asciiTheme="minorHAnsi" w:hAnsiTheme="minorHAnsi"/>
            <w:lang w:eastAsia="en-AU"/>
          </w:rPr>
          <w:t>S</w:t>
        </w:r>
        <w:r w:rsidR="006B1959" w:rsidRPr="006B1959">
          <w:rPr>
            <w:rStyle w:val="Hyperlink"/>
            <w:rFonts w:asciiTheme="minorHAnsi" w:hAnsiTheme="minorHAnsi"/>
            <w:lang w:eastAsia="en-AU"/>
          </w:rPr>
          <w:t>cheme</w:t>
        </w:r>
      </w:hyperlink>
      <w:r>
        <w:rPr>
          <w:rStyle w:val="FootnoteReference"/>
          <w:lang w:eastAsia="en-AU"/>
        </w:rPr>
        <w:footnoteReference w:id="6"/>
      </w:r>
      <w:r w:rsidRPr="000B3301">
        <w:rPr>
          <w:lang w:eastAsia="en-AU"/>
        </w:rPr>
        <w:t xml:space="preserve"> at all times. </w:t>
      </w:r>
      <w:r w:rsidR="78E38551" w:rsidRPr="000B3301">
        <w:rPr>
          <w:lang w:eastAsia="en-AU"/>
        </w:rPr>
        <w:t>CER</w:t>
      </w:r>
      <w:r w:rsidRPr="000B3301">
        <w:rPr>
          <w:lang w:eastAsia="en-AU"/>
        </w:rPr>
        <w:t xml:space="preserve"> encourages all users of this </w:t>
      </w:r>
      <w:r>
        <w:rPr>
          <w:lang w:eastAsia="en-AU"/>
        </w:rPr>
        <w:t>guidance</w:t>
      </w:r>
      <w:r w:rsidRPr="000B3301">
        <w:rPr>
          <w:lang w:eastAsia="en-AU"/>
        </w:rPr>
        <w:t xml:space="preserve"> to seek independent legal advice before taking any action or decision </w:t>
      </w:r>
      <w:r w:rsidR="00384E3E" w:rsidRPr="000B3301">
        <w:rPr>
          <w:lang w:eastAsia="en-AU"/>
        </w:rPr>
        <w:t>based on</w:t>
      </w:r>
      <w:r w:rsidRPr="000B3301">
        <w:rPr>
          <w:lang w:eastAsia="en-AU"/>
        </w:rPr>
        <w:t xml:space="preserve"> this </w:t>
      </w:r>
      <w:r>
        <w:rPr>
          <w:lang w:eastAsia="en-AU"/>
        </w:rPr>
        <w:t>guidance</w:t>
      </w:r>
      <w:r w:rsidRPr="000B3301">
        <w:rPr>
          <w:lang w:eastAsia="en-AU"/>
        </w:rPr>
        <w:t>.</w:t>
      </w:r>
    </w:p>
    <w:p w14:paraId="03B2FD4A" w14:textId="77777777" w:rsidR="004E408E" w:rsidRPr="000B3301" w:rsidRDefault="004E408E" w:rsidP="0071311F">
      <w:pPr>
        <w:autoSpaceDE w:val="0"/>
        <w:autoSpaceDN w:val="0"/>
        <w:adjustRightInd w:val="0"/>
        <w:spacing w:after="0"/>
        <w:rPr>
          <w:lang w:eastAsia="en-AU"/>
        </w:rPr>
      </w:pPr>
    </w:p>
    <w:p w14:paraId="04ABA43A" w14:textId="7B0881C5" w:rsidR="004E408E" w:rsidRPr="000B3301" w:rsidRDefault="091E6B03" w:rsidP="0071311F">
      <w:pPr>
        <w:autoSpaceDE w:val="0"/>
        <w:autoSpaceDN w:val="0"/>
        <w:adjustRightInd w:val="0"/>
        <w:spacing w:after="0"/>
        <w:rPr>
          <w:lang w:eastAsia="en-AU"/>
        </w:rPr>
      </w:pPr>
      <w:r w:rsidRPr="6356236C">
        <w:rPr>
          <w:lang w:eastAsia="en-AU"/>
        </w:rPr>
        <w:t>CER</w:t>
      </w:r>
      <w:r w:rsidR="004E408E" w:rsidRPr="000B3301">
        <w:rPr>
          <w:lang w:eastAsia="en-AU"/>
        </w:rPr>
        <w:t xml:space="preserve"> and the Australian Government will not be liable for any loss or damage from any cause (including negligence) whether arising directly, </w:t>
      </w:r>
      <w:r w:rsidR="00384E3E" w:rsidRPr="000B3301">
        <w:rPr>
          <w:lang w:eastAsia="en-AU"/>
        </w:rPr>
        <w:t>incidentally,</w:t>
      </w:r>
      <w:r w:rsidR="004E408E" w:rsidRPr="000B3301">
        <w:rPr>
          <w:lang w:eastAsia="en-AU"/>
        </w:rPr>
        <w:t xml:space="preserve"> or as consequential loss, out of or in connection with, any use of this guideline or reliance on it, for any purpose.</w:t>
      </w:r>
    </w:p>
    <w:p w14:paraId="47C7FC38" w14:textId="77777777" w:rsidR="004E408E" w:rsidRPr="000B3301" w:rsidRDefault="004E408E" w:rsidP="0071311F">
      <w:pPr>
        <w:autoSpaceDE w:val="0"/>
        <w:autoSpaceDN w:val="0"/>
        <w:adjustRightInd w:val="0"/>
        <w:spacing w:after="0"/>
        <w:rPr>
          <w:lang w:eastAsia="en-AU"/>
        </w:rPr>
      </w:pPr>
    </w:p>
    <w:p w14:paraId="5E23BE31" w14:textId="106751EA" w:rsidR="004E408E" w:rsidRPr="00A82423" w:rsidRDefault="004E408E" w:rsidP="0071311F">
      <w:pPr>
        <w:spacing w:after="0"/>
      </w:pPr>
      <w:r w:rsidRPr="000B3301">
        <w:rPr>
          <w:lang w:eastAsia="en-AU"/>
        </w:rPr>
        <w:t xml:space="preserve">If an entity chooses to meet their obligations under the NGER scheme in a manner that is inconsistent with the guidance provided in this document, </w:t>
      </w:r>
      <w:r w:rsidR="558D602E" w:rsidRPr="6356236C">
        <w:rPr>
          <w:lang w:eastAsia="en-AU"/>
        </w:rPr>
        <w:t>CER</w:t>
      </w:r>
      <w:r w:rsidRPr="000B3301">
        <w:rPr>
          <w:lang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p w14:paraId="63C914D3" w14:textId="77777777" w:rsidR="006465B0" w:rsidRDefault="006465B0">
      <w:pPr>
        <w:spacing w:after="0"/>
        <w:rPr>
          <w:rFonts w:ascii="Calibri" w:eastAsia="Times New Roman" w:hAnsi="Calibri" w:cs="Calibri"/>
          <w:b/>
          <w:bCs/>
          <w:kern w:val="32"/>
          <w:sz w:val="40"/>
          <w:lang w:val="en-GB"/>
        </w:rPr>
      </w:pPr>
      <w:r>
        <w:rPr>
          <w:lang w:val="en-GB"/>
        </w:rPr>
        <w:br w:type="page"/>
      </w:r>
    </w:p>
    <w:p w14:paraId="620F3AE3" w14:textId="706FB6AD" w:rsidR="004E408E" w:rsidRPr="00FA7635" w:rsidRDefault="00BB08F4" w:rsidP="00B34935">
      <w:pPr>
        <w:pStyle w:val="Heading1"/>
      </w:pPr>
      <w:bookmarkStart w:id="10" w:name="_Toc205826930"/>
      <w:bookmarkStart w:id="11" w:name="_Toc76036484"/>
      <w:r>
        <w:lastRenderedPageBreak/>
        <w:t>2024–25</w:t>
      </w:r>
      <w:r w:rsidR="004E408E">
        <w:t xml:space="preserve"> updates</w:t>
      </w:r>
      <w:bookmarkEnd w:id="10"/>
    </w:p>
    <w:p w14:paraId="7D530ECC" w14:textId="23F25537" w:rsidR="004E408E" w:rsidRDefault="004E408E" w:rsidP="00522547">
      <w:pPr>
        <w:spacing w:before="240"/>
      </w:pPr>
      <w:r>
        <w:t xml:space="preserve">Changes in this document for the </w:t>
      </w:r>
      <w:r w:rsidR="00BB08F4">
        <w:t>2024–25</w:t>
      </w:r>
      <w:r>
        <w:t xml:space="preserve"> reporting year:</w:t>
      </w:r>
    </w:p>
    <w:p w14:paraId="7F8161D2" w14:textId="77777777" w:rsidR="002E5373" w:rsidRDefault="002E5373" w:rsidP="001D5662">
      <w:pPr>
        <w:pStyle w:val="CERbullets"/>
        <w:rPr>
          <w:szCs w:val="22"/>
        </w:rPr>
      </w:pPr>
      <w:r>
        <w:rPr>
          <w:rStyle w:val="normaltextrun"/>
          <w:rFonts w:ascii="Calibri" w:eastAsiaTheme="minorEastAsia" w:hAnsi="Calibri" w:cs="Calibri"/>
          <w:lang w:val="en-GB"/>
        </w:rPr>
        <w:t>Minor stylistic and formatting changes have been made to this document</w:t>
      </w:r>
      <w:r>
        <w:rPr>
          <w:rStyle w:val="scxw124599275"/>
          <w:rFonts w:ascii="Calibri" w:hAnsi="Calibri" w:cs="Calibri"/>
          <w:szCs w:val="22"/>
        </w:rPr>
        <w:t> </w:t>
      </w:r>
      <w:r>
        <w:rPr>
          <w:szCs w:val="22"/>
        </w:rPr>
        <w:br/>
      </w:r>
      <w:r>
        <w:rPr>
          <w:rStyle w:val="eop"/>
          <w:rFonts w:ascii="Calibri" w:hAnsi="Calibri" w:cs="Calibri"/>
          <w:szCs w:val="22"/>
        </w:rPr>
        <w:t> </w:t>
      </w:r>
    </w:p>
    <w:p w14:paraId="2192C2E8" w14:textId="71252420" w:rsidR="002E5373" w:rsidRDefault="002E5373" w:rsidP="002E5373">
      <w:pPr>
        <w:pStyle w:val="paragraph"/>
        <w:spacing w:before="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rPr>
        <w:t xml:space="preserve">Read about the </w:t>
      </w:r>
      <w:hyperlink r:id="rId27" w:tooltip="A link to the NGER amendments page of the Clean Energy Regulator website" w:history="1">
        <w:r w:rsidR="00DD1709">
          <w:rPr>
            <w:rStyle w:val="normaltextrun"/>
            <w:rFonts w:ascii="Calibri" w:eastAsiaTheme="minorEastAsia" w:hAnsi="Calibri" w:cs="Calibri"/>
            <w:color w:val="006C93"/>
            <w:sz w:val="22"/>
            <w:u w:val="single"/>
          </w:rPr>
          <w:t xml:space="preserve">changes to the NGER Legislation for the </w:t>
        </w:r>
        <w:r w:rsidR="00BB08F4">
          <w:rPr>
            <w:rStyle w:val="normaltextrun"/>
            <w:rFonts w:ascii="Calibri" w:eastAsiaTheme="minorEastAsia" w:hAnsi="Calibri" w:cs="Calibri"/>
            <w:color w:val="006C93"/>
            <w:sz w:val="22"/>
            <w:u w:val="single"/>
          </w:rPr>
          <w:t>2024–25</w:t>
        </w:r>
        <w:r w:rsidR="00DD1709">
          <w:rPr>
            <w:rStyle w:val="normaltextrun"/>
            <w:rFonts w:ascii="Calibri" w:eastAsiaTheme="minorEastAsia" w:hAnsi="Calibri" w:cs="Calibri"/>
            <w:color w:val="006C93"/>
            <w:sz w:val="22"/>
            <w:u w:val="single"/>
          </w:rPr>
          <w:t xml:space="preserve"> reporting period</w:t>
        </w:r>
      </w:hyperlink>
      <w:r w:rsidR="00DD1709">
        <w:rPr>
          <w:rStyle w:val="FootnoteReference"/>
          <w:rFonts w:ascii="Calibri" w:hAnsi="Calibri" w:cs="Calibri"/>
          <w:sz w:val="22"/>
          <w:szCs w:val="22"/>
        </w:rPr>
        <w:footnoteReference w:id="7"/>
      </w:r>
      <w:r>
        <w:rPr>
          <w:rStyle w:val="normaltextrun"/>
          <w:rFonts w:ascii="Calibri" w:eastAsiaTheme="minorEastAsia" w:hAnsi="Calibri" w:cs="Calibri"/>
          <w:sz w:val="22"/>
        </w:rPr>
        <w:t>.  </w:t>
      </w:r>
      <w:r>
        <w:rPr>
          <w:rStyle w:val="eop"/>
          <w:rFonts w:ascii="Calibri" w:hAnsi="Calibri" w:cs="Calibri"/>
          <w:sz w:val="22"/>
          <w:szCs w:val="22"/>
        </w:rPr>
        <w:t> </w:t>
      </w:r>
    </w:p>
    <w:p w14:paraId="0B293F99" w14:textId="77777777" w:rsidR="004E408E" w:rsidRPr="00483B4E" w:rsidRDefault="004E408E" w:rsidP="00050308">
      <w:pPr>
        <w:pStyle w:val="Heading1"/>
        <w:numPr>
          <w:ilvl w:val="0"/>
          <w:numId w:val="8"/>
        </w:numPr>
        <w:ind w:left="709" w:hanging="709"/>
      </w:pPr>
      <w:bookmarkStart w:id="12" w:name="_Toc205826931"/>
      <w:r w:rsidRPr="00646F20">
        <w:t>Introduction</w:t>
      </w:r>
      <w:bookmarkEnd w:id="11"/>
      <w:bookmarkEnd w:id="12"/>
    </w:p>
    <w:p w14:paraId="48799152" w14:textId="178B6B3D" w:rsidR="004E408E" w:rsidRDefault="004E408E" w:rsidP="00522547">
      <w:pPr>
        <w:spacing w:before="240"/>
      </w:pPr>
      <w:r>
        <w:t xml:space="preserve">Reporting of </w:t>
      </w:r>
      <w:r w:rsidRPr="00683A4B">
        <w:t xml:space="preserve">energy production and consumption </w:t>
      </w:r>
      <w:r>
        <w:t>data is required under the</w:t>
      </w:r>
      <w:r w:rsidRPr="00683A4B">
        <w:t xml:space="preserve"> </w:t>
      </w:r>
      <w:r w:rsidRPr="00A259C6">
        <w:rPr>
          <w:color w:val="auto"/>
        </w:rPr>
        <w:t>NGER Act</w:t>
      </w:r>
      <w:r w:rsidRPr="00683A4B">
        <w:t xml:space="preserve">. This </w:t>
      </w:r>
      <w:r>
        <w:t>g</w:t>
      </w:r>
      <w:r w:rsidRPr="00683A4B">
        <w:t xml:space="preserve">uideline provides information to assist </w:t>
      </w:r>
      <w:r>
        <w:t>registered corporations</w:t>
      </w:r>
      <w:r w:rsidRPr="00683A4B">
        <w:t xml:space="preserve"> </w:t>
      </w:r>
      <w:r>
        <w:t>to</w:t>
      </w:r>
      <w:r w:rsidRPr="00683A4B">
        <w:t xml:space="preserve"> report </w:t>
      </w:r>
      <w:r>
        <w:t xml:space="preserve">their </w:t>
      </w:r>
      <w:r w:rsidRPr="00683A4B">
        <w:t xml:space="preserve">energy production and consumption </w:t>
      </w:r>
      <w:r>
        <w:t>data.</w:t>
      </w:r>
    </w:p>
    <w:p w14:paraId="7AC8CE3A" w14:textId="099B5F8F" w:rsidR="004E408E" w:rsidRDefault="004E408E" w:rsidP="004E408E">
      <w:pPr>
        <w:rPr>
          <w:color w:val="auto"/>
        </w:rPr>
      </w:pPr>
      <w:r>
        <w:t xml:space="preserve">Registered </w:t>
      </w:r>
      <w:r w:rsidRPr="00A259C6">
        <w:rPr>
          <w:color w:val="auto"/>
        </w:rPr>
        <w:t>corporation</w:t>
      </w:r>
      <w:r>
        <w:rPr>
          <w:color w:val="auto"/>
        </w:rPr>
        <w:t>s</w:t>
      </w:r>
      <w:r w:rsidRPr="00A259C6">
        <w:rPr>
          <w:color w:val="auto"/>
        </w:rPr>
        <w:t xml:space="preserve"> must submit annual reports to </w:t>
      </w:r>
      <w:r w:rsidR="03EDFCF7" w:rsidRPr="6356236C">
        <w:rPr>
          <w:color w:val="auto"/>
        </w:rPr>
        <w:t>CER</w:t>
      </w:r>
      <w:r w:rsidRPr="00A259C6">
        <w:rPr>
          <w:color w:val="auto"/>
        </w:rPr>
        <w:t xml:space="preserve">. </w:t>
      </w:r>
      <w:r>
        <w:rPr>
          <w:color w:val="auto"/>
        </w:rPr>
        <w:t>C</w:t>
      </w:r>
      <w:r w:rsidRPr="00A259C6">
        <w:rPr>
          <w:color w:val="auto"/>
        </w:rPr>
        <w:t>orporations</w:t>
      </w:r>
      <w:r>
        <w:rPr>
          <w:color w:val="auto"/>
        </w:rPr>
        <w:t xml:space="preserve"> reporting under: </w:t>
      </w:r>
    </w:p>
    <w:p w14:paraId="049C864D" w14:textId="77777777" w:rsidR="004E408E" w:rsidRDefault="004E408E" w:rsidP="00682491">
      <w:pPr>
        <w:pStyle w:val="CERbullets"/>
        <w:numPr>
          <w:ilvl w:val="1"/>
          <w:numId w:val="3"/>
        </w:numPr>
        <w:ind w:left="357" w:hanging="357"/>
      </w:pPr>
      <w:r w:rsidRPr="003A3612">
        <w:t>Section 19 of the NGER Act (controlling corporations) must report scope 1 and scope 2 emissions, energy production and energy consumption data for their corporate group, where one or more of the thresholds under section 13 of the NGER Act are met</w:t>
      </w:r>
      <w:r>
        <w:t>.</w:t>
      </w:r>
    </w:p>
    <w:p w14:paraId="03D8FBF0" w14:textId="11B418C9" w:rsidR="004E408E" w:rsidRDefault="004E408E" w:rsidP="00682491">
      <w:pPr>
        <w:pStyle w:val="CERbullets"/>
        <w:numPr>
          <w:ilvl w:val="1"/>
          <w:numId w:val="3"/>
        </w:numPr>
        <w:ind w:left="357" w:hanging="357"/>
      </w:pPr>
      <w:r w:rsidRPr="003A3612">
        <w:t>Section</w:t>
      </w:r>
      <w:r>
        <w:t xml:space="preserve"> 22G and section 22X of the NGER Act (reporting transfer certificate (RTC) holders or group members that have entered into 22X agreements) must report </w:t>
      </w:r>
      <w:hyperlink r:id="rId28" w:anchor="types-of-emissions" w:tooltip="A link to the Emissions and energy types page of the Clean Energy Regulator website" w:history="1">
        <w:r w:rsidR="00E352E5" w:rsidRPr="00F44CC2">
          <w:rPr>
            <w:rStyle w:val="Hyperlink"/>
            <w:rFonts w:asciiTheme="minorHAnsi" w:hAnsiTheme="minorHAnsi"/>
          </w:rPr>
          <w:t>scope 1 and scope 2 emissio</w:t>
        </w:r>
        <w:r w:rsidR="00D775F4" w:rsidRPr="00F44CC2">
          <w:rPr>
            <w:rStyle w:val="Hyperlink"/>
            <w:rFonts w:asciiTheme="minorHAnsi" w:hAnsiTheme="minorHAnsi"/>
          </w:rPr>
          <w:t>ns</w:t>
        </w:r>
      </w:hyperlink>
      <w:r w:rsidR="00D775F4">
        <w:rPr>
          <w:rStyle w:val="FootnoteReference"/>
        </w:rPr>
        <w:footnoteReference w:id="8"/>
      </w:r>
      <w:r w:rsidRPr="00A259C6">
        <w:t xml:space="preserve">, energy production and energy consumption </w:t>
      </w:r>
      <w:r>
        <w:t>data for the facilities that their RTC or 22X agreements relate to.</w:t>
      </w:r>
    </w:p>
    <w:p w14:paraId="3645D000" w14:textId="77777777" w:rsidR="004E408E" w:rsidRDefault="004E408E" w:rsidP="004E408E">
      <w:r>
        <w:t xml:space="preserve">This information must be provided </w:t>
      </w:r>
      <w:r w:rsidRPr="00683A4B">
        <w:t xml:space="preserve">so that data </w:t>
      </w:r>
      <w:r>
        <w:t xml:space="preserve">on </w:t>
      </w:r>
      <w:r w:rsidRPr="00683A4B">
        <w:t>energy flows and transformations occurring throughout the economy</w:t>
      </w:r>
      <w:r>
        <w:t xml:space="preserve"> can be captured</w:t>
      </w:r>
      <w:r w:rsidRPr="00683A4B">
        <w:t>. This includes the initial extraction and own-use of energy, and the transformation of energy occurring within and between facilities.</w:t>
      </w:r>
    </w:p>
    <w:p w14:paraId="2F49511D" w14:textId="176A0953" w:rsidR="004E408E" w:rsidRPr="00A259C6" w:rsidRDefault="004E408E" w:rsidP="004E408E">
      <w:pPr>
        <w:rPr>
          <w:color w:val="auto"/>
        </w:rPr>
      </w:pPr>
      <w:r w:rsidRPr="00683A4B">
        <w:t xml:space="preserve">Under </w:t>
      </w:r>
      <w:r>
        <w:t>s</w:t>
      </w:r>
      <w:r w:rsidRPr="00683A4B">
        <w:t xml:space="preserve">ection 24 of the NGER Act, </w:t>
      </w:r>
      <w:r w:rsidR="1A7B7798">
        <w:t>CER</w:t>
      </w:r>
      <w:r w:rsidRPr="00683A4B">
        <w:t xml:space="preserve"> is required to publish</w:t>
      </w:r>
      <w:r>
        <w:t xml:space="preserve"> the annual</w:t>
      </w:r>
      <w:r w:rsidRPr="00683A4B">
        <w:t xml:space="preserve"> scope 1 and </w:t>
      </w:r>
      <w:r>
        <w:t xml:space="preserve">scope </w:t>
      </w:r>
      <w:r w:rsidRPr="00683A4B">
        <w:t xml:space="preserve">2 greenhouse gas emissions and </w:t>
      </w:r>
      <w:r>
        <w:t xml:space="preserve">the net </w:t>
      </w:r>
      <w:r w:rsidRPr="00683A4B">
        <w:t>energy consumption</w:t>
      </w:r>
      <w:r>
        <w:t xml:space="preserve"> totals of a registered corporation’s group, provided the group’s facilities emitted at least 50,000</w:t>
      </w:r>
      <w:r w:rsidR="00D32F66">
        <w:t> tonnes of carbon dioxide equivalence (</w:t>
      </w:r>
      <w:r>
        <w:t>t CO</w:t>
      </w:r>
      <w:r>
        <w:rPr>
          <w:vertAlign w:val="subscript"/>
        </w:rPr>
        <w:t>2</w:t>
      </w:r>
      <w:r>
        <w:t>-e</w:t>
      </w:r>
      <w:r w:rsidR="00D32F66">
        <w:t>)</w:t>
      </w:r>
      <w:r>
        <w:t xml:space="preserve"> in the relevant year</w:t>
      </w:r>
      <w:r>
        <w:rPr>
          <w:color w:val="auto"/>
        </w:rPr>
        <w:t>.</w:t>
      </w:r>
    </w:p>
    <w:p w14:paraId="2AB99975" w14:textId="77777777" w:rsidR="004E408E" w:rsidRPr="00683A4B" w:rsidRDefault="004E408E" w:rsidP="00050308">
      <w:pPr>
        <w:pStyle w:val="Heading2"/>
        <w:numPr>
          <w:ilvl w:val="1"/>
          <w:numId w:val="8"/>
        </w:numPr>
        <w:ind w:left="709" w:hanging="709"/>
      </w:pPr>
      <w:bookmarkStart w:id="13" w:name="_Toc76036485"/>
      <w:bookmarkStart w:id="14" w:name="_Toc205826932"/>
      <w:r>
        <w:t>What is energy production and consumption?</w:t>
      </w:r>
      <w:bookmarkEnd w:id="13"/>
      <w:bookmarkEnd w:id="14"/>
    </w:p>
    <w:p w14:paraId="2D40E1C4" w14:textId="3B859CFC" w:rsidR="004E408E" w:rsidRPr="006672C6" w:rsidRDefault="004E408E" w:rsidP="00522547">
      <w:pPr>
        <w:spacing w:before="240"/>
        <w:rPr>
          <w:rFonts w:ascii="Calibri" w:hAnsi="Calibri" w:cs="Calibri"/>
        </w:rPr>
      </w:pPr>
      <w:r w:rsidRPr="006672C6">
        <w:t xml:space="preserve">This guideline reflects the estimation and reporting of energy consumption and energy production at the date of publication. Reporters must ensure they report energy consumption and energy production in accordance with the requirements of the </w:t>
      </w:r>
      <w:r>
        <w:t>NGER Act, NGER Regulations and the NGER Measurement Determination</w:t>
      </w:r>
      <w:r w:rsidRPr="006672C6">
        <w:t xml:space="preserve"> </w:t>
      </w:r>
      <w:r>
        <w:t xml:space="preserve">in effect </w:t>
      </w:r>
      <w:r w:rsidRPr="006672C6">
        <w:t xml:space="preserve">at the time of reporting. If there is any doubt regarding obligations for the estimation and reporting of energy consumption or energy production, or the currency of this guideline, </w:t>
      </w:r>
      <w:hyperlink r:id="rId29" w:tooltip="A link to the Contact us page of the Clean Energy Regulator website" w:history="1">
        <w:r w:rsidRPr="00932DEB">
          <w:rPr>
            <w:rStyle w:val="Hyperlink"/>
            <w:rFonts w:asciiTheme="minorHAnsi" w:hAnsiTheme="minorHAnsi"/>
          </w:rPr>
          <w:t xml:space="preserve">contact </w:t>
        </w:r>
        <w:r w:rsidR="002E5A94">
          <w:rPr>
            <w:rStyle w:val="Hyperlink"/>
            <w:rFonts w:asciiTheme="minorHAnsi" w:hAnsiTheme="minorHAnsi"/>
          </w:rPr>
          <w:t>us</w:t>
        </w:r>
      </w:hyperlink>
      <w:r>
        <w:rPr>
          <w:rStyle w:val="FootnoteReference"/>
        </w:rPr>
        <w:footnoteReference w:id="9"/>
      </w:r>
      <w:r w:rsidRPr="006672C6">
        <w:t>.</w:t>
      </w:r>
    </w:p>
    <w:p w14:paraId="2D21E1E3" w14:textId="77777777" w:rsidR="004E408E" w:rsidRPr="00683A4B" w:rsidRDefault="004E408E" w:rsidP="004E408E">
      <w:r>
        <w:t>A number of relevant definitions from t</w:t>
      </w:r>
      <w:r w:rsidRPr="00683A4B">
        <w:t xml:space="preserve">he NGER legislation </w:t>
      </w:r>
      <w:r>
        <w:t>are summarised below</w:t>
      </w:r>
      <w:r w:rsidRPr="00683A4B">
        <w:t>:</w:t>
      </w:r>
    </w:p>
    <w:p w14:paraId="07E39876" w14:textId="77777777" w:rsidR="004E408E" w:rsidRDefault="004E408E" w:rsidP="00682491">
      <w:pPr>
        <w:pStyle w:val="CERbullets"/>
        <w:numPr>
          <w:ilvl w:val="1"/>
          <w:numId w:val="3"/>
        </w:numPr>
        <w:ind w:left="357" w:hanging="357"/>
      </w:pPr>
      <w:r>
        <w:lastRenderedPageBreak/>
        <w:t>‘</w:t>
      </w:r>
      <w:r w:rsidRPr="00AA74B0">
        <w:t>Fuel</w:t>
      </w:r>
      <w:r>
        <w:t>’</w:t>
      </w:r>
      <w:r w:rsidRPr="00AA74B0">
        <w:t xml:space="preserve"> means a substance mentioned at items 1–57 in Schedule 1 of the NGER Regulations landfill biogas</w:t>
      </w:r>
      <w:r>
        <w:t>.</w:t>
      </w:r>
    </w:p>
    <w:p w14:paraId="415C95EC" w14:textId="77777777" w:rsidR="004E408E" w:rsidRDefault="004E408E" w:rsidP="00682491">
      <w:pPr>
        <w:pStyle w:val="CERbullets"/>
        <w:numPr>
          <w:ilvl w:val="1"/>
          <w:numId w:val="3"/>
        </w:numPr>
        <w:ind w:left="357" w:hanging="357"/>
      </w:pPr>
      <w:r>
        <w:rPr>
          <w:bCs/>
        </w:rPr>
        <w:t>‘</w:t>
      </w:r>
      <w:r w:rsidRPr="00AA74B0">
        <w:rPr>
          <w:bCs/>
        </w:rPr>
        <w:t>Energy</w:t>
      </w:r>
      <w:r>
        <w:rPr>
          <w:bCs/>
        </w:rPr>
        <w:t>’</w:t>
      </w:r>
      <w:r w:rsidRPr="00683A4B">
        <w:t xml:space="preserve"> </w:t>
      </w:r>
      <w:r>
        <w:t xml:space="preserve">includes the </w:t>
      </w:r>
      <w:r w:rsidRPr="00683A4B">
        <w:t>fuel</w:t>
      </w:r>
      <w:r>
        <w:t xml:space="preserve">s and </w:t>
      </w:r>
      <w:r w:rsidRPr="00683A4B">
        <w:t>other energy commodit</w:t>
      </w:r>
      <w:r>
        <w:t>ies listed</w:t>
      </w:r>
      <w:r w:rsidRPr="00683A4B">
        <w:t xml:space="preserve"> in </w:t>
      </w:r>
      <w:r w:rsidRPr="00E24D67">
        <w:t>Schedule 1</w:t>
      </w:r>
      <w:r>
        <w:t xml:space="preserve"> of</w:t>
      </w:r>
      <w:r w:rsidRPr="00E24D67">
        <w:t xml:space="preserve"> the</w:t>
      </w:r>
      <w:r>
        <w:t xml:space="preserve"> NGER </w:t>
      </w:r>
      <w:r w:rsidRPr="00E24D67">
        <w:t>Regulations</w:t>
      </w:r>
      <w:r>
        <w:t>.</w:t>
      </w:r>
    </w:p>
    <w:p w14:paraId="17F05B46" w14:textId="5E4A3C87" w:rsidR="004E408E" w:rsidRPr="00F9731A" w:rsidRDefault="004E408E" w:rsidP="00682491">
      <w:pPr>
        <w:pStyle w:val="CERbullets"/>
        <w:numPr>
          <w:ilvl w:val="1"/>
          <w:numId w:val="3"/>
        </w:numPr>
        <w:ind w:left="357" w:hanging="357"/>
      </w:pPr>
      <w:bookmarkStart w:id="15" w:name="_Hlk75943793"/>
      <w:bookmarkStart w:id="16" w:name="_Hlk75943849"/>
      <w:bookmarkStart w:id="17" w:name="_Hlk75943921"/>
      <w:r>
        <w:rPr>
          <w:bCs/>
        </w:rPr>
        <w:t>‘</w:t>
      </w:r>
      <w:r w:rsidRPr="00AA74B0">
        <w:rPr>
          <w:bCs/>
        </w:rPr>
        <w:t xml:space="preserve">Production </w:t>
      </w:r>
      <w:bookmarkEnd w:id="15"/>
      <w:r w:rsidRPr="00AA74B0">
        <w:rPr>
          <w:bCs/>
        </w:rPr>
        <w:t>of energ</w:t>
      </w:r>
      <w:r>
        <w:rPr>
          <w:bCs/>
        </w:rPr>
        <w:t>y’</w:t>
      </w:r>
      <w:r w:rsidRPr="00683A4B">
        <w:t xml:space="preserve"> </w:t>
      </w:r>
      <w:bookmarkEnd w:id="16"/>
      <w:r w:rsidRPr="00683A4B">
        <w:t>means the</w:t>
      </w:r>
      <w:r>
        <w:t xml:space="preserve"> (see </w:t>
      </w:r>
      <w:r w:rsidR="001A3635">
        <w:t xml:space="preserve">2.25 of the </w:t>
      </w:r>
      <w:r>
        <w:t>NGER Regulation</w:t>
      </w:r>
      <w:r w:rsidR="001A3635">
        <w:t>s</w:t>
      </w:r>
      <w:r>
        <w:t>):</w:t>
      </w:r>
    </w:p>
    <w:bookmarkEnd w:id="17"/>
    <w:p w14:paraId="7AEA4C6A" w14:textId="77777777" w:rsidR="004E408E" w:rsidRPr="001D5662" w:rsidRDefault="004E408E" w:rsidP="001D5662">
      <w:pPr>
        <w:pStyle w:val="CERbullets"/>
        <w:numPr>
          <w:ilvl w:val="1"/>
          <w:numId w:val="1"/>
        </w:numPr>
      </w:pPr>
      <w:r w:rsidRPr="001D5662">
        <w:t>extraction or capture of energy from natural sources for final consumption by or from the operation of the facility, or for use other than in the operation of the facility</w:t>
      </w:r>
    </w:p>
    <w:p w14:paraId="0982835C" w14:textId="77777777" w:rsidR="004E408E" w:rsidRPr="001D5662" w:rsidRDefault="004E408E" w:rsidP="001D5662">
      <w:pPr>
        <w:pStyle w:val="CERbullets"/>
        <w:numPr>
          <w:ilvl w:val="1"/>
          <w:numId w:val="1"/>
        </w:numPr>
      </w:pPr>
      <w:r w:rsidRPr="001D5662">
        <w:t>manufacture of energy by the conversion of energy from one form to another form for final consumption by or from the operation of the facility, or for use other than in the operation of the facility.</w:t>
      </w:r>
    </w:p>
    <w:p w14:paraId="6EF615D8" w14:textId="5DEC58C5" w:rsidR="004E408E" w:rsidRPr="00F9731A" w:rsidRDefault="004E408E" w:rsidP="00682491">
      <w:pPr>
        <w:pStyle w:val="CERbullets"/>
        <w:numPr>
          <w:ilvl w:val="1"/>
          <w:numId w:val="3"/>
        </w:numPr>
        <w:ind w:left="357" w:hanging="357"/>
      </w:pPr>
      <w:r w:rsidRPr="00AA74B0">
        <w:rPr>
          <w:bCs/>
        </w:rPr>
        <w:t>‘Consumption of energy’</w:t>
      </w:r>
      <w:r>
        <w:t>,</w:t>
      </w:r>
      <w:r w:rsidRPr="00683A4B">
        <w:t xml:space="preserve"> in relation to a facility, means the use or disposal of energy from the operation of the facility</w:t>
      </w:r>
      <w:r>
        <w:t>,</w:t>
      </w:r>
      <w:r w:rsidRPr="00683A4B">
        <w:t xml:space="preserve"> including</w:t>
      </w:r>
      <w:r>
        <w:t xml:space="preserve"> (see </w:t>
      </w:r>
      <w:r w:rsidR="001A3635">
        <w:t xml:space="preserve">2.26 of the </w:t>
      </w:r>
      <w:r>
        <w:t>NGER Regulation</w:t>
      </w:r>
      <w:r w:rsidR="001A3635">
        <w:t>s</w:t>
      </w:r>
      <w:r>
        <w:t>6)</w:t>
      </w:r>
      <w:r>
        <w:rPr>
          <w:bCs/>
        </w:rPr>
        <w:t>:</w:t>
      </w:r>
    </w:p>
    <w:p w14:paraId="71B0ECDD" w14:textId="77777777" w:rsidR="004E408E" w:rsidRPr="001D5662" w:rsidRDefault="004E408E" w:rsidP="001D5662">
      <w:pPr>
        <w:pStyle w:val="CERbullets"/>
        <w:numPr>
          <w:ilvl w:val="1"/>
          <w:numId w:val="1"/>
        </w:numPr>
      </w:pPr>
      <w:r w:rsidRPr="001D5662">
        <w:t>own-use</w:t>
      </w:r>
    </w:p>
    <w:p w14:paraId="2B7BBB9E" w14:textId="7BEC48A2" w:rsidR="004E408E" w:rsidRPr="001D5662" w:rsidRDefault="004E408E" w:rsidP="001D5662">
      <w:pPr>
        <w:pStyle w:val="CERbullets"/>
        <w:numPr>
          <w:ilvl w:val="1"/>
          <w:numId w:val="1"/>
        </w:numPr>
      </w:pPr>
      <w:r w:rsidRPr="001D5662">
        <w:t xml:space="preserve">losses in extraction, </w:t>
      </w:r>
      <w:r w:rsidR="00384E3E" w:rsidRPr="001D5662">
        <w:t>production,</w:t>
      </w:r>
      <w:r w:rsidRPr="001D5662">
        <w:t xml:space="preserve"> and transmission.</w:t>
      </w:r>
    </w:p>
    <w:tbl>
      <w:tblPr>
        <w:tblStyle w:val="CERCallout"/>
        <w:tblW w:w="0" w:type="auto"/>
        <w:tblLook w:val="04A0" w:firstRow="1" w:lastRow="0" w:firstColumn="1" w:lastColumn="0" w:noHBand="0" w:noVBand="1"/>
      </w:tblPr>
      <w:tblGrid>
        <w:gridCol w:w="9710"/>
      </w:tblGrid>
      <w:tr w:rsidR="004E408E" w14:paraId="13EBADEE" w14:textId="77777777">
        <w:trPr>
          <w:cnfStyle w:val="100000000000" w:firstRow="1" w:lastRow="0" w:firstColumn="0" w:lastColumn="0" w:oddVBand="0" w:evenVBand="0" w:oddHBand="0" w:evenHBand="0" w:firstRowFirstColumn="0" w:firstRowLastColumn="0" w:lastRowFirstColumn="0" w:lastRowLastColumn="0"/>
        </w:trPr>
        <w:tc>
          <w:tcPr>
            <w:tcW w:w="9730" w:type="dxa"/>
          </w:tcPr>
          <w:p w14:paraId="44D97470" w14:textId="77777777" w:rsidR="004E408E" w:rsidRPr="0041399D" w:rsidRDefault="004E408E">
            <w:pPr>
              <w:rPr>
                <w:b w:val="0"/>
                <w:bCs/>
              </w:rPr>
            </w:pPr>
            <w:bookmarkStart w:id="18" w:name="_Toc370229977"/>
            <w:r w:rsidRPr="0041399D">
              <w:rPr>
                <w:b w:val="0"/>
                <w:bCs/>
              </w:rPr>
              <w:t xml:space="preserve">Note: ‘use’ includes the consumption of energy in the conversion of one form to another form (i.e. energy transformations). </w:t>
            </w:r>
          </w:p>
          <w:p w14:paraId="6554D6EF" w14:textId="77777777" w:rsidR="004E408E" w:rsidRPr="0041399D" w:rsidRDefault="004E408E">
            <w:pPr>
              <w:rPr>
                <w:b w:val="0"/>
                <w:bCs/>
              </w:rPr>
            </w:pPr>
            <w:r w:rsidRPr="0041399D">
              <w:rPr>
                <w:b w:val="0"/>
                <w:bCs/>
              </w:rPr>
              <w:t xml:space="preserve">Energy conversion occurs, under NGER legislation, whenever a fuel or energy commodity listed in Schedule 1 of the NGER Regulations becomes another fuel or energy commodity listed in Schedule 1. In some cases, conversion may not involve any change to the chemical composition of the fuel or energy commodity. </w:t>
            </w:r>
          </w:p>
          <w:p w14:paraId="02C67E66" w14:textId="77777777" w:rsidR="004E408E" w:rsidRDefault="004E408E">
            <w:r w:rsidRPr="0041399D">
              <w:rPr>
                <w:b w:val="0"/>
                <w:bCs/>
              </w:rPr>
              <w:t>For example, when you inject ‘coal seam methane that is captured for combustion’ into a transmission pipeline it is considered to have been converted to ‘natural gas distributed in a pipeline’. Even though there may have been no change to the chemical composition of the energy commodity in this instance, this is considered to have been converted from one energy commodity to another under Schedule 1 of the NGER Regulations.</w:t>
            </w:r>
          </w:p>
        </w:tc>
      </w:tr>
    </w:tbl>
    <w:p w14:paraId="537C30A5" w14:textId="3F0A9FE8" w:rsidR="004E408E" w:rsidRDefault="004E408E" w:rsidP="00522547">
      <w:pPr>
        <w:spacing w:before="240"/>
      </w:pPr>
      <w:r>
        <w:t>Reporters</w:t>
      </w:r>
      <w:r w:rsidRPr="00683A4B">
        <w:t xml:space="preserve"> should be aware that the NGER </w:t>
      </w:r>
      <w:r>
        <w:t>legislation</w:t>
      </w:r>
      <w:r w:rsidRPr="00683A4B">
        <w:t xml:space="preserve"> definitions of </w:t>
      </w:r>
      <w:r w:rsidR="00FA04FB">
        <w:t>‘</w:t>
      </w:r>
      <w:r w:rsidRPr="00683A4B">
        <w:t>energy</w:t>
      </w:r>
      <w:r w:rsidR="00FA04FB">
        <w:t>’</w:t>
      </w:r>
      <w:r>
        <w:t>,</w:t>
      </w:r>
      <w:r w:rsidRPr="00683A4B">
        <w:t xml:space="preserve"> </w:t>
      </w:r>
      <w:r w:rsidR="00FA04FB">
        <w:t>‘</w:t>
      </w:r>
      <w:r>
        <w:t xml:space="preserve">energy </w:t>
      </w:r>
      <w:r w:rsidRPr="00683A4B">
        <w:t>production</w:t>
      </w:r>
      <w:r w:rsidR="00FA04FB">
        <w:t>’</w:t>
      </w:r>
      <w:r w:rsidRPr="00683A4B">
        <w:t xml:space="preserve"> </w:t>
      </w:r>
      <w:r>
        <w:t>and</w:t>
      </w:r>
      <w:r w:rsidRPr="00683A4B">
        <w:t xml:space="preserve"> </w:t>
      </w:r>
      <w:r w:rsidR="00FA04FB">
        <w:t>‘</w:t>
      </w:r>
      <w:r>
        <w:t xml:space="preserve">energy </w:t>
      </w:r>
      <w:r w:rsidRPr="00683A4B">
        <w:t>consumption</w:t>
      </w:r>
      <w:r w:rsidR="00FA04FB">
        <w:t>’</w:t>
      </w:r>
      <w:r w:rsidRPr="00683A4B">
        <w:t xml:space="preserve"> may differ from </w:t>
      </w:r>
      <w:r>
        <w:t>the common</w:t>
      </w:r>
      <w:r w:rsidRPr="00683A4B">
        <w:t xml:space="preserve"> uses of these </w:t>
      </w:r>
      <w:r>
        <w:t>terms</w:t>
      </w:r>
      <w:r w:rsidRPr="00683A4B">
        <w:t xml:space="preserve">. Under the NGER legislation, the production and consumption of energy </w:t>
      </w:r>
      <w:r>
        <w:t>are</w:t>
      </w:r>
      <w:r w:rsidRPr="00683A4B">
        <w:t xml:space="preserve"> treated as the production and consumption of</w:t>
      </w:r>
      <w:r>
        <w:t xml:space="preserve"> any</w:t>
      </w:r>
      <w:r w:rsidRPr="00683A4B">
        <w:t xml:space="preserve"> </w:t>
      </w:r>
      <w:r>
        <w:t xml:space="preserve">of the fuel or energy </w:t>
      </w:r>
      <w:r w:rsidRPr="00683A4B">
        <w:t xml:space="preserve">commodities listed in </w:t>
      </w:r>
      <w:r>
        <w:t>Schedule 1 of the NGER Regulations</w:t>
      </w:r>
      <w:r w:rsidRPr="00683A4B">
        <w:t>. This differs from other concepts of energy. For example,</w:t>
      </w:r>
      <w:r>
        <w:t xml:space="preserve"> the heat produced from burning</w:t>
      </w:r>
      <w:r w:rsidRPr="00683A4B">
        <w:t xml:space="preserve"> coal may be more </w:t>
      </w:r>
      <w:r>
        <w:t>commonly</w:t>
      </w:r>
      <w:r w:rsidRPr="00683A4B">
        <w:t xml:space="preserve"> thought of as energy, rather than </w:t>
      </w:r>
      <w:r>
        <w:t>the coal itself</w:t>
      </w:r>
      <w:r w:rsidRPr="00683A4B">
        <w:t>.</w:t>
      </w:r>
    </w:p>
    <w:p w14:paraId="5E6308B9" w14:textId="77777777" w:rsidR="004E408E" w:rsidRDefault="004E408E" w:rsidP="004E408E">
      <w:r>
        <w:rPr>
          <w:color w:val="auto"/>
        </w:rPr>
        <w:t>E</w:t>
      </w:r>
      <w:r w:rsidRPr="00A259C6">
        <w:rPr>
          <w:color w:val="auto"/>
        </w:rPr>
        <w:t xml:space="preserve">nergy production and consumption </w:t>
      </w:r>
      <w:r>
        <w:rPr>
          <w:color w:val="auto"/>
        </w:rPr>
        <w:t xml:space="preserve">are only reported for those fuels and energy commodities </w:t>
      </w:r>
      <w:r w:rsidRPr="00A259C6">
        <w:rPr>
          <w:color w:val="auto"/>
        </w:rPr>
        <w:t xml:space="preserve">that are listed in Schedule 1 of the </w:t>
      </w:r>
      <w:r w:rsidRPr="00DD5C1B">
        <w:rPr>
          <w:color w:val="auto"/>
        </w:rPr>
        <w:t>NGER Regulations</w:t>
      </w:r>
      <w:r>
        <w:rPr>
          <w:color w:val="auto"/>
        </w:rPr>
        <w:t xml:space="preserve"> </w:t>
      </w:r>
      <w:r w:rsidRPr="007449CA">
        <w:rPr>
          <w:color w:val="auto"/>
        </w:rPr>
        <w:t>and</w:t>
      </w:r>
      <w:r>
        <w:rPr>
          <w:color w:val="auto"/>
        </w:rPr>
        <w:t xml:space="preserve"> for which there are applicable methods in </w:t>
      </w:r>
      <w:r>
        <w:t xml:space="preserve">Chapter 6 of </w:t>
      </w:r>
      <w:r>
        <w:rPr>
          <w:color w:val="auto"/>
        </w:rPr>
        <w:t>the</w:t>
      </w:r>
      <w:r w:rsidRPr="00A259C6">
        <w:rPr>
          <w:color w:val="auto"/>
        </w:rPr>
        <w:t xml:space="preserve"> </w:t>
      </w:r>
      <w:r>
        <w:rPr>
          <w:color w:val="auto"/>
        </w:rPr>
        <w:t>NGER Measurement Determination. If a fuel or energy commodity does not have an accompanying method, the legislation does not require the associated energy production and consumption to be reported.</w:t>
      </w:r>
    </w:p>
    <w:p w14:paraId="185298CC" w14:textId="77777777" w:rsidR="004E408E" w:rsidRDefault="004E408E" w:rsidP="004E408E">
      <w:r>
        <w:t>The requirements for reporting different fuel types and energy commodities are detailed in the following sections.</w:t>
      </w:r>
      <w:bookmarkEnd w:id="18"/>
    </w:p>
    <w:p w14:paraId="33BC79B1" w14:textId="77777777" w:rsidR="004E408E" w:rsidRPr="00AE74AB" w:rsidRDefault="004E408E" w:rsidP="00050308">
      <w:pPr>
        <w:pStyle w:val="Heading2"/>
        <w:numPr>
          <w:ilvl w:val="1"/>
          <w:numId w:val="9"/>
        </w:numPr>
        <w:ind w:left="709" w:hanging="715"/>
      </w:pPr>
      <w:bookmarkStart w:id="19" w:name="_Toc76036486"/>
      <w:bookmarkStart w:id="20" w:name="_Toc205826933"/>
      <w:r w:rsidRPr="00AE74AB">
        <w:t>Primary and secondary fuels and energy commodities</w:t>
      </w:r>
      <w:bookmarkEnd w:id="19"/>
      <w:bookmarkEnd w:id="20"/>
    </w:p>
    <w:p w14:paraId="60953BE3" w14:textId="77777777" w:rsidR="004E408E" w:rsidRDefault="004E408E" w:rsidP="00522547">
      <w:pPr>
        <w:spacing w:before="240"/>
      </w:pPr>
      <w:r>
        <w:t>For energy reporting purposes, fuels and energy commodities must be categorised as either primary or secondary:</w:t>
      </w:r>
    </w:p>
    <w:p w14:paraId="58276355" w14:textId="77777777" w:rsidR="004E408E" w:rsidRDefault="004E408E" w:rsidP="00682491">
      <w:pPr>
        <w:pStyle w:val="CERbullets"/>
        <w:numPr>
          <w:ilvl w:val="1"/>
          <w:numId w:val="3"/>
        </w:numPr>
        <w:ind w:left="357" w:hanging="357"/>
      </w:pPr>
      <w:r w:rsidRPr="00A719B6">
        <w:lastRenderedPageBreak/>
        <w:t>‘</w:t>
      </w:r>
      <w:r w:rsidRPr="00892CAF">
        <w:t>Primary fuel or energy commodity’</w:t>
      </w:r>
      <w:r w:rsidRPr="002F2064">
        <w:rPr>
          <w:b/>
        </w:rPr>
        <w:t xml:space="preserve"> </w:t>
      </w:r>
      <w:r>
        <w:t>means</w:t>
      </w:r>
      <w:r w:rsidRPr="002F2064">
        <w:t xml:space="preserve"> a fuel or energy commodity extracted or captured from natural sources with minimal processing and includes the fuels and energy commodities listed in Schedule 1 </w:t>
      </w:r>
      <w:r>
        <w:t>of</w:t>
      </w:r>
      <w:r w:rsidRPr="002F2064">
        <w:t xml:space="preserve"> the NGER Regulations as </w:t>
      </w:r>
      <w:r w:rsidRPr="00971612">
        <w:t>being</w:t>
      </w:r>
      <w:r w:rsidRPr="002F2064">
        <w:t xml:space="preserve"> primary fuels or energy commodities.</w:t>
      </w:r>
      <w:r>
        <w:t xml:space="preserve"> </w:t>
      </w:r>
      <w:r w:rsidRPr="008833BD">
        <w:t>A primary fuel or energy commodity cannot be produced from another primary fuel or energy com</w:t>
      </w:r>
      <w:r w:rsidRPr="00590F52">
        <w:t>m</w:t>
      </w:r>
      <w:r w:rsidRPr="008833BD">
        <w:t>odit</w:t>
      </w:r>
      <w:r w:rsidRPr="00590F52">
        <w:t>y</w:t>
      </w:r>
      <w:r w:rsidRPr="008833BD">
        <w:t xml:space="preserve"> or itself</w:t>
      </w:r>
      <w:r>
        <w:t>.</w:t>
      </w:r>
    </w:p>
    <w:p w14:paraId="7A1A94FC" w14:textId="77777777" w:rsidR="004E408E" w:rsidRDefault="004E408E" w:rsidP="00682491">
      <w:pPr>
        <w:pStyle w:val="CERbullets"/>
        <w:numPr>
          <w:ilvl w:val="1"/>
          <w:numId w:val="3"/>
        </w:numPr>
        <w:ind w:left="357" w:hanging="357"/>
      </w:pPr>
      <w:r w:rsidRPr="00892CAF">
        <w:rPr>
          <w:bCs/>
        </w:rPr>
        <w:t>‘Secondary fuel or energy commodity’</w:t>
      </w:r>
      <w:r w:rsidRPr="003D707D">
        <w:t xml:space="preserve"> </w:t>
      </w:r>
      <w:r>
        <w:t>means</w:t>
      </w:r>
      <w:r w:rsidRPr="003D707D">
        <w:t xml:space="preserve"> a fuel or energy commodity produced by converting energy from one form (usually a primary fuel or energy commodity) to another form for consumption, and includes the fuels and energy commodities mentioned in Schedule 1 </w:t>
      </w:r>
      <w:r>
        <w:t xml:space="preserve">of </w:t>
      </w:r>
      <w:r w:rsidRPr="003D707D">
        <w:t>the NGER Regulations as being secondary fuels or energy commodities</w:t>
      </w:r>
      <w:r>
        <w:t>.</w:t>
      </w:r>
    </w:p>
    <w:p w14:paraId="68D270F8" w14:textId="08FB8899" w:rsidR="004E408E" w:rsidRDefault="004E408E" w:rsidP="004E408E">
      <w:r w:rsidRPr="00683A4B">
        <w:t xml:space="preserve">Schedule 1 </w:t>
      </w:r>
      <w:r>
        <w:t>of the NGER Regulations</w:t>
      </w:r>
      <w:r w:rsidRPr="00683A4B">
        <w:t xml:space="preserve"> </w:t>
      </w:r>
      <w:r>
        <w:t>denotes</w:t>
      </w:r>
      <w:r w:rsidRPr="00683A4B">
        <w:t xml:space="preserve"> </w:t>
      </w:r>
      <w:r>
        <w:t>whether each fuel or energy commodity is primary or secondary</w:t>
      </w:r>
      <w:r w:rsidRPr="00683A4B">
        <w:t xml:space="preserve">. </w:t>
      </w:r>
      <w:r>
        <w:t>However, s</w:t>
      </w:r>
      <w:r w:rsidRPr="00683A4B">
        <w:t xml:space="preserve">ome </w:t>
      </w:r>
      <w:r>
        <w:t xml:space="preserve">fuels or commodities are listed as </w:t>
      </w:r>
      <w:r w:rsidR="00BA1AA4">
        <w:t>“</w:t>
      </w:r>
      <w:r>
        <w:t>nomination required</w:t>
      </w:r>
      <w:r w:rsidR="00BA1AA4">
        <w:t>”</w:t>
      </w:r>
      <w:r>
        <w:t xml:space="preserve">. These </w:t>
      </w:r>
      <w:r w:rsidRPr="00683A4B">
        <w:t xml:space="preserve">require </w:t>
      </w:r>
      <w:r>
        <w:t xml:space="preserve">the reporter to determine and </w:t>
      </w:r>
      <w:r w:rsidRPr="00683A4B">
        <w:t>nominat</w:t>
      </w:r>
      <w:r>
        <w:t>e</w:t>
      </w:r>
      <w:r w:rsidRPr="00683A4B">
        <w:t xml:space="preserve"> whether they are primary or secondary </w:t>
      </w:r>
      <w:r>
        <w:t xml:space="preserve">fuels or </w:t>
      </w:r>
      <w:r w:rsidRPr="00683A4B">
        <w:t>commodities</w:t>
      </w:r>
      <w:r>
        <w:t xml:space="preserve"> at the facility</w:t>
      </w:r>
      <w:r w:rsidRPr="00683A4B">
        <w:t xml:space="preserve">. </w:t>
      </w:r>
    </w:p>
    <w:p w14:paraId="6C44C9CF" w14:textId="77777777" w:rsidR="004E408E" w:rsidRDefault="004E408E" w:rsidP="00050308">
      <w:pPr>
        <w:pStyle w:val="Heading1"/>
        <w:numPr>
          <w:ilvl w:val="0"/>
          <w:numId w:val="9"/>
        </w:numPr>
        <w:ind w:left="709" w:hanging="709"/>
      </w:pPr>
      <w:bookmarkStart w:id="21" w:name="_Reporting_production_and"/>
      <w:bookmarkStart w:id="22" w:name="_Reporting_energy_from"/>
      <w:bookmarkStart w:id="23" w:name="_Toc76036487"/>
      <w:bookmarkStart w:id="24" w:name="_Toc205826934"/>
      <w:bookmarkEnd w:id="21"/>
      <w:bookmarkEnd w:id="22"/>
      <w:r w:rsidRPr="00E24D67">
        <w:t xml:space="preserve">Reporting </w:t>
      </w:r>
      <w:r>
        <w:t xml:space="preserve">energy from </w:t>
      </w:r>
      <w:r w:rsidRPr="00E24D67">
        <w:t>production and consumption</w:t>
      </w:r>
      <w:r>
        <w:t xml:space="preserve"> of fuels</w:t>
      </w:r>
      <w:bookmarkEnd w:id="23"/>
      <w:bookmarkEnd w:id="24"/>
    </w:p>
    <w:p w14:paraId="25FF03BC" w14:textId="17E96666" w:rsidR="004E408E" w:rsidRDefault="004E408E" w:rsidP="00522547">
      <w:pPr>
        <w:spacing w:before="240"/>
      </w:pPr>
      <w:r w:rsidRPr="00F86073">
        <w:t xml:space="preserve">All energy from fuel production must be reported. There is no minimum threshold for reporting energy from fuel production (see </w:t>
      </w:r>
      <w:r w:rsidR="00943A7E">
        <w:t xml:space="preserve">4.19 of the </w:t>
      </w:r>
      <w:r w:rsidRPr="00F86073">
        <w:t>NGER Regulation</w:t>
      </w:r>
      <w:r w:rsidR="00943A7E">
        <w:t>s</w:t>
      </w:r>
      <w:r w:rsidRPr="00F86073">
        <w:t>). It is necessary to report the amount of fuel consumed where the thresholds detailed in</w:t>
      </w:r>
      <w:r>
        <w:rPr>
          <w:b/>
          <w:bCs/>
        </w:rPr>
        <w:t xml:space="preserve"> </w:t>
      </w:r>
      <w:r w:rsidRPr="00302FD0">
        <w:t>Table 1 – Thresholds for fuel production and consumption</w:t>
      </w:r>
      <w:r>
        <w:t xml:space="preserve"> </w:t>
      </w:r>
      <w:r w:rsidRPr="00F86073">
        <w:t xml:space="preserve">are met or exceeded (see sections 2.2, 2.18, 2.39 and 2.68 of the </w:t>
      </w:r>
      <w:r>
        <w:t>NGER Measurement Determination</w:t>
      </w:r>
      <w:r w:rsidRPr="00F86073">
        <w:t>).</w:t>
      </w:r>
    </w:p>
    <w:p w14:paraId="433F0EC0" w14:textId="22D847F6" w:rsidR="004E408E" w:rsidRPr="00B41D09" w:rsidRDefault="004E408E" w:rsidP="004E408E">
      <w:pPr>
        <w:pStyle w:val="Heading3"/>
        <w:rPr>
          <w:b w:val="0"/>
        </w:rPr>
      </w:pPr>
      <w:bookmarkStart w:id="25" w:name="_Table_1_–"/>
      <w:bookmarkStart w:id="26" w:name="_Toc76036488"/>
      <w:bookmarkStart w:id="27" w:name="_Toc205826935"/>
      <w:bookmarkEnd w:id="25"/>
      <w:r w:rsidRPr="00B41D09">
        <w:rPr>
          <w:b w:val="0"/>
          <w:i/>
          <w:sz w:val="18"/>
          <w:szCs w:val="18"/>
        </w:rPr>
        <w:t>Table 1 – Thresholds for fuel production and consumption</w:t>
      </w:r>
      <w:bookmarkEnd w:id="26"/>
      <w:r w:rsidR="0004466E" w:rsidRPr="00B41D09">
        <w:rPr>
          <w:b w:val="0"/>
          <w:i/>
          <w:sz w:val="18"/>
          <w:szCs w:val="18"/>
        </w:rPr>
        <w:t>.</w:t>
      </w:r>
      <w:bookmarkEnd w:id="27"/>
    </w:p>
    <w:tbl>
      <w:tblPr>
        <w:tblStyle w:val="CERTable"/>
        <w:tblW w:w="5000" w:type="pct"/>
        <w:tblLook w:val="04A0" w:firstRow="1" w:lastRow="0" w:firstColumn="1" w:lastColumn="0" w:noHBand="0" w:noVBand="1"/>
      </w:tblPr>
      <w:tblGrid>
        <w:gridCol w:w="1412"/>
        <w:gridCol w:w="1695"/>
        <w:gridCol w:w="4235"/>
        <w:gridCol w:w="2398"/>
      </w:tblGrid>
      <w:tr w:rsidR="004E408E" w:rsidRPr="00AA1BB1" w14:paraId="5C47745E" w14:textId="77777777" w:rsidTr="00302F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5" w:type="pct"/>
          </w:tcPr>
          <w:p w14:paraId="6525B237" w14:textId="77777777" w:rsidR="004E408E" w:rsidRPr="00F35E3A" w:rsidRDefault="004E408E">
            <w:pPr>
              <w:spacing w:before="60"/>
            </w:pPr>
            <w:r w:rsidRPr="00F35E3A">
              <w:t>Fuel Type</w:t>
            </w:r>
          </w:p>
        </w:tc>
        <w:tc>
          <w:tcPr>
            <w:tcW w:w="870" w:type="pct"/>
          </w:tcPr>
          <w:p w14:paraId="7232D958" w14:textId="77777777" w:rsidR="004E408E" w:rsidRPr="00F35E3A" w:rsidRDefault="004E408E">
            <w:pPr>
              <w:spacing w:before="60"/>
              <w:cnfStyle w:val="100000000000" w:firstRow="1" w:lastRow="0" w:firstColumn="0" w:lastColumn="0" w:oddVBand="0" w:evenVBand="0" w:oddHBand="0" w:evenHBand="0" w:firstRowFirstColumn="0" w:firstRowLastColumn="0" w:lastRowFirstColumn="0" w:lastRowLastColumn="0"/>
            </w:pPr>
            <w:r w:rsidRPr="00F35E3A">
              <w:t>Fuel produced</w:t>
            </w:r>
          </w:p>
        </w:tc>
        <w:tc>
          <w:tcPr>
            <w:tcW w:w="2174" w:type="pct"/>
          </w:tcPr>
          <w:p w14:paraId="23C8FE5B" w14:textId="77777777" w:rsidR="004E408E" w:rsidRPr="00F35E3A" w:rsidRDefault="004E408E">
            <w:pPr>
              <w:spacing w:before="60"/>
              <w:cnfStyle w:val="100000000000" w:firstRow="1" w:lastRow="0" w:firstColumn="0" w:lastColumn="0" w:oddVBand="0" w:evenVBand="0" w:oddHBand="0" w:evenHBand="0" w:firstRowFirstColumn="0" w:firstRowLastColumn="0" w:lastRowFirstColumn="0" w:lastRowLastColumn="0"/>
            </w:pPr>
            <w:r w:rsidRPr="00F35E3A">
              <w:t>Fuel consumed by combustion</w:t>
            </w:r>
            <w:r>
              <w:t xml:space="preserve"> (applies to separate instance of a source)</w:t>
            </w:r>
          </w:p>
        </w:tc>
        <w:tc>
          <w:tcPr>
            <w:tcW w:w="1231" w:type="pct"/>
          </w:tcPr>
          <w:p w14:paraId="70D2A66C" w14:textId="77777777" w:rsidR="004E408E" w:rsidRPr="00F35E3A" w:rsidRDefault="004E408E">
            <w:pPr>
              <w:spacing w:before="60"/>
              <w:cnfStyle w:val="100000000000" w:firstRow="1" w:lastRow="0" w:firstColumn="0" w:lastColumn="0" w:oddVBand="0" w:evenVBand="0" w:oddHBand="0" w:evenHBand="0" w:firstRowFirstColumn="0" w:firstRowLastColumn="0" w:lastRowFirstColumn="0" w:lastRowLastColumn="0"/>
            </w:pPr>
            <w:r w:rsidRPr="00F35E3A">
              <w:t>Fuel consumed without combustion</w:t>
            </w:r>
            <w:r>
              <w:t xml:space="preserve"> (applies to each individual fuel type)</w:t>
            </w:r>
          </w:p>
        </w:tc>
      </w:tr>
      <w:tr w:rsidR="004E408E" w:rsidRPr="00AA1BB1" w14:paraId="52B564C0" w14:textId="77777777" w:rsidTr="00050308">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725" w:type="pct"/>
          </w:tcPr>
          <w:p w14:paraId="3C483328" w14:textId="77777777" w:rsidR="004E408E" w:rsidRPr="00E16A8D" w:rsidRDefault="004E408E">
            <w:pPr>
              <w:spacing w:before="60"/>
            </w:pPr>
            <w:r w:rsidRPr="00E16A8D">
              <w:t>Solid fuel</w:t>
            </w:r>
          </w:p>
        </w:tc>
        <w:tc>
          <w:tcPr>
            <w:tcW w:w="870" w:type="pct"/>
          </w:tcPr>
          <w:p w14:paraId="38DF6CC8" w14:textId="77777777" w:rsidR="004E408E" w:rsidRPr="00AA1BB1" w:rsidRDefault="004E408E">
            <w:pPr>
              <w:spacing w:before="60"/>
              <w:cnfStyle w:val="000000100000" w:firstRow="0" w:lastRow="0" w:firstColumn="0" w:lastColumn="0" w:oddVBand="0" w:evenVBand="0" w:oddHBand="1" w:evenHBand="0" w:firstRowFirstColumn="0" w:firstRowLastColumn="0" w:lastRowFirstColumn="0" w:lastRowLastColumn="0"/>
              <w:rPr>
                <w:color w:val="auto"/>
                <w:lang w:eastAsia="en-AU"/>
              </w:rPr>
            </w:pPr>
            <w:r w:rsidRPr="00AA1BB1">
              <w:rPr>
                <w:color w:val="auto"/>
                <w:lang w:eastAsia="en-AU"/>
              </w:rPr>
              <w:t>No threshold</w:t>
            </w:r>
          </w:p>
        </w:tc>
        <w:tc>
          <w:tcPr>
            <w:tcW w:w="2174" w:type="pct"/>
          </w:tcPr>
          <w:p w14:paraId="6E5D1A08" w14:textId="77777777" w:rsidR="004E408E" w:rsidRPr="00AA1BB1" w:rsidRDefault="004E408E">
            <w:pPr>
              <w:spacing w:before="60"/>
              <w:cnfStyle w:val="000000100000" w:firstRow="0" w:lastRow="0" w:firstColumn="0" w:lastColumn="0" w:oddVBand="0" w:evenVBand="0" w:oddHBand="1" w:evenHBand="0" w:firstRowFirstColumn="0" w:firstRowLastColumn="0" w:lastRowFirstColumn="0" w:lastRowLastColumn="0"/>
              <w:rPr>
                <w:color w:val="auto"/>
                <w:lang w:eastAsia="en-AU"/>
              </w:rPr>
            </w:pPr>
            <w:r w:rsidRPr="00AA1BB1">
              <w:rPr>
                <w:color w:val="auto"/>
                <w:lang w:eastAsia="en-AU"/>
              </w:rPr>
              <w:t>1 tonne</w:t>
            </w:r>
          </w:p>
        </w:tc>
        <w:tc>
          <w:tcPr>
            <w:tcW w:w="1231" w:type="pct"/>
          </w:tcPr>
          <w:p w14:paraId="04BC9BE5" w14:textId="77777777" w:rsidR="004E408E" w:rsidRPr="00AA1BB1" w:rsidRDefault="004E408E">
            <w:pPr>
              <w:spacing w:before="60"/>
              <w:cnfStyle w:val="000000100000" w:firstRow="0" w:lastRow="0" w:firstColumn="0" w:lastColumn="0" w:oddVBand="0" w:evenVBand="0" w:oddHBand="1" w:evenHBand="0" w:firstRowFirstColumn="0" w:firstRowLastColumn="0" w:lastRowFirstColumn="0" w:lastRowLastColumn="0"/>
              <w:rPr>
                <w:color w:val="auto"/>
                <w:lang w:eastAsia="en-AU"/>
              </w:rPr>
            </w:pPr>
            <w:r w:rsidRPr="00AA1BB1">
              <w:rPr>
                <w:color w:val="auto"/>
                <w:lang w:eastAsia="en-AU"/>
              </w:rPr>
              <w:t>20 tonnes</w:t>
            </w:r>
          </w:p>
        </w:tc>
      </w:tr>
      <w:tr w:rsidR="004E408E" w:rsidRPr="00AA1BB1" w14:paraId="6DD54729" w14:textId="77777777" w:rsidTr="00050308">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725" w:type="pct"/>
          </w:tcPr>
          <w:p w14:paraId="13E6FB4F" w14:textId="77777777" w:rsidR="004E408E" w:rsidRPr="00E16A8D" w:rsidRDefault="004E408E">
            <w:pPr>
              <w:spacing w:before="60"/>
            </w:pPr>
            <w:r w:rsidRPr="00E16A8D">
              <w:t>Liquid fuel</w:t>
            </w:r>
          </w:p>
        </w:tc>
        <w:tc>
          <w:tcPr>
            <w:tcW w:w="870" w:type="pct"/>
          </w:tcPr>
          <w:p w14:paraId="1F43CC36" w14:textId="77777777" w:rsidR="004E408E" w:rsidRPr="00AA1BB1" w:rsidRDefault="004E408E">
            <w:pPr>
              <w:spacing w:before="60"/>
              <w:cnfStyle w:val="000000010000" w:firstRow="0" w:lastRow="0" w:firstColumn="0" w:lastColumn="0" w:oddVBand="0" w:evenVBand="0" w:oddHBand="0" w:evenHBand="1" w:firstRowFirstColumn="0" w:firstRowLastColumn="0" w:lastRowFirstColumn="0" w:lastRowLastColumn="0"/>
              <w:rPr>
                <w:color w:val="auto"/>
                <w:lang w:eastAsia="en-AU"/>
              </w:rPr>
            </w:pPr>
            <w:r w:rsidRPr="00AA1BB1">
              <w:rPr>
                <w:color w:val="auto"/>
                <w:lang w:eastAsia="en-AU"/>
              </w:rPr>
              <w:t>No threshold</w:t>
            </w:r>
          </w:p>
        </w:tc>
        <w:tc>
          <w:tcPr>
            <w:tcW w:w="2174" w:type="pct"/>
          </w:tcPr>
          <w:p w14:paraId="06FDE42D" w14:textId="77777777" w:rsidR="004E408E" w:rsidRPr="00AA1BB1" w:rsidRDefault="004E408E">
            <w:pPr>
              <w:spacing w:before="60"/>
              <w:cnfStyle w:val="000000010000" w:firstRow="0" w:lastRow="0" w:firstColumn="0" w:lastColumn="0" w:oddVBand="0" w:evenVBand="0" w:oddHBand="0" w:evenHBand="1" w:firstRowFirstColumn="0" w:firstRowLastColumn="0" w:lastRowFirstColumn="0" w:lastRowLastColumn="0"/>
              <w:rPr>
                <w:color w:val="auto"/>
                <w:lang w:eastAsia="en-AU"/>
              </w:rPr>
            </w:pPr>
            <w:r>
              <w:rPr>
                <w:color w:val="auto"/>
                <w:lang w:eastAsia="en-AU"/>
              </w:rPr>
              <w:t>1 kilolitre,</w:t>
            </w:r>
            <w:r w:rsidRPr="00AA1BB1">
              <w:rPr>
                <w:color w:val="auto"/>
                <w:lang w:eastAsia="en-AU"/>
              </w:rPr>
              <w:t xml:space="preserve"> or</w:t>
            </w:r>
          </w:p>
          <w:p w14:paraId="55273A6F" w14:textId="77777777" w:rsidR="004E408E" w:rsidRPr="00AA1BB1" w:rsidRDefault="004E408E">
            <w:pPr>
              <w:spacing w:before="60"/>
              <w:cnfStyle w:val="000000010000" w:firstRow="0" w:lastRow="0" w:firstColumn="0" w:lastColumn="0" w:oddVBand="0" w:evenVBand="0" w:oddHBand="0" w:evenHBand="1" w:firstRowFirstColumn="0" w:firstRowLastColumn="0" w:lastRowFirstColumn="0" w:lastRowLastColumn="0"/>
              <w:rPr>
                <w:color w:val="auto"/>
                <w:lang w:eastAsia="en-AU"/>
              </w:rPr>
            </w:pPr>
            <w:r w:rsidRPr="00AA1BB1">
              <w:rPr>
                <w:color w:val="auto"/>
                <w:lang w:eastAsia="en-AU"/>
              </w:rPr>
              <w:t>5 kilolitres for petroleum based oils (other than petroleum based oil use as fuel) and petroleum based greases</w:t>
            </w:r>
          </w:p>
        </w:tc>
        <w:tc>
          <w:tcPr>
            <w:tcW w:w="1231" w:type="pct"/>
          </w:tcPr>
          <w:p w14:paraId="5CF994FB" w14:textId="77777777" w:rsidR="004E408E" w:rsidRPr="00AA1BB1" w:rsidRDefault="004E408E">
            <w:pPr>
              <w:spacing w:before="60"/>
              <w:cnfStyle w:val="000000010000" w:firstRow="0" w:lastRow="0" w:firstColumn="0" w:lastColumn="0" w:oddVBand="0" w:evenVBand="0" w:oddHBand="0" w:evenHBand="1" w:firstRowFirstColumn="0" w:firstRowLastColumn="0" w:lastRowFirstColumn="0" w:lastRowLastColumn="0"/>
              <w:rPr>
                <w:color w:val="auto"/>
                <w:lang w:eastAsia="en-AU"/>
              </w:rPr>
            </w:pPr>
            <w:r w:rsidRPr="00AA1BB1">
              <w:rPr>
                <w:color w:val="auto"/>
                <w:lang w:eastAsia="en-AU"/>
              </w:rPr>
              <w:t>15 kilolitres</w:t>
            </w:r>
          </w:p>
        </w:tc>
      </w:tr>
      <w:tr w:rsidR="004E408E" w:rsidRPr="00AA1BB1" w14:paraId="17EC1826" w14:textId="77777777" w:rsidTr="0005030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25" w:type="pct"/>
          </w:tcPr>
          <w:p w14:paraId="2A17D1E7" w14:textId="77777777" w:rsidR="004E408E" w:rsidRPr="00E16A8D" w:rsidRDefault="004E408E">
            <w:pPr>
              <w:spacing w:before="60"/>
            </w:pPr>
            <w:r w:rsidRPr="00E16A8D">
              <w:t>Gaseous fuel</w:t>
            </w:r>
          </w:p>
        </w:tc>
        <w:tc>
          <w:tcPr>
            <w:tcW w:w="870" w:type="pct"/>
          </w:tcPr>
          <w:p w14:paraId="6EDC54DF" w14:textId="77777777" w:rsidR="004E408E" w:rsidRPr="00AA1BB1" w:rsidRDefault="004E408E">
            <w:pPr>
              <w:spacing w:before="60"/>
              <w:cnfStyle w:val="000000100000" w:firstRow="0" w:lastRow="0" w:firstColumn="0" w:lastColumn="0" w:oddVBand="0" w:evenVBand="0" w:oddHBand="1" w:evenHBand="0" w:firstRowFirstColumn="0" w:firstRowLastColumn="0" w:lastRowFirstColumn="0" w:lastRowLastColumn="0"/>
              <w:rPr>
                <w:color w:val="auto"/>
                <w:lang w:eastAsia="en-AU"/>
              </w:rPr>
            </w:pPr>
            <w:r w:rsidRPr="00AA1BB1">
              <w:rPr>
                <w:color w:val="auto"/>
                <w:lang w:eastAsia="en-AU"/>
              </w:rPr>
              <w:t>No threshold</w:t>
            </w:r>
          </w:p>
        </w:tc>
        <w:tc>
          <w:tcPr>
            <w:tcW w:w="2174" w:type="pct"/>
          </w:tcPr>
          <w:p w14:paraId="15B0D392" w14:textId="77777777" w:rsidR="004E408E" w:rsidRPr="00AA1BB1" w:rsidRDefault="004E408E">
            <w:pPr>
              <w:spacing w:before="60"/>
              <w:cnfStyle w:val="000000100000" w:firstRow="0" w:lastRow="0" w:firstColumn="0" w:lastColumn="0" w:oddVBand="0" w:evenVBand="0" w:oddHBand="1" w:evenHBand="0" w:firstRowFirstColumn="0" w:firstRowLastColumn="0" w:lastRowFirstColumn="0" w:lastRowLastColumn="0"/>
              <w:rPr>
                <w:color w:val="auto"/>
                <w:lang w:eastAsia="en-AU"/>
              </w:rPr>
            </w:pPr>
            <w:r w:rsidRPr="00AA1BB1">
              <w:rPr>
                <w:color w:val="auto"/>
                <w:lang w:eastAsia="en-AU"/>
              </w:rPr>
              <w:t>1000 cubic metres</w:t>
            </w:r>
          </w:p>
        </w:tc>
        <w:tc>
          <w:tcPr>
            <w:tcW w:w="1231" w:type="pct"/>
          </w:tcPr>
          <w:p w14:paraId="3BB13286" w14:textId="77777777" w:rsidR="004E408E" w:rsidRPr="00AA1BB1" w:rsidRDefault="004E408E">
            <w:pPr>
              <w:spacing w:before="60"/>
              <w:cnfStyle w:val="000000100000" w:firstRow="0" w:lastRow="0" w:firstColumn="0" w:lastColumn="0" w:oddVBand="0" w:evenVBand="0" w:oddHBand="1" w:evenHBand="0" w:firstRowFirstColumn="0" w:firstRowLastColumn="0" w:lastRowFirstColumn="0" w:lastRowLastColumn="0"/>
              <w:rPr>
                <w:color w:val="auto"/>
                <w:lang w:eastAsia="en-AU"/>
              </w:rPr>
            </w:pPr>
            <w:r w:rsidRPr="00AA1BB1">
              <w:rPr>
                <w:color w:val="auto"/>
                <w:lang w:eastAsia="en-AU"/>
              </w:rPr>
              <w:t>13</w:t>
            </w:r>
            <w:r>
              <w:rPr>
                <w:color w:val="auto"/>
                <w:lang w:eastAsia="en-AU"/>
              </w:rPr>
              <w:t>,</w:t>
            </w:r>
            <w:r w:rsidRPr="00AA1BB1">
              <w:rPr>
                <w:color w:val="auto"/>
                <w:lang w:eastAsia="en-AU"/>
              </w:rPr>
              <w:t>000 cubic metres</w:t>
            </w:r>
          </w:p>
        </w:tc>
      </w:tr>
    </w:tbl>
    <w:p w14:paraId="4BB362E0" w14:textId="77777777" w:rsidR="00E02D61" w:rsidRDefault="00E02D61" w:rsidP="00754B33">
      <w:bookmarkStart w:id="28" w:name="_Toc76036489"/>
    </w:p>
    <w:p w14:paraId="7C42DE93" w14:textId="5E5E7689" w:rsidR="00754B33" w:rsidRDefault="00754B33" w:rsidP="00050308">
      <w:pPr>
        <w:pStyle w:val="Heading2"/>
        <w:numPr>
          <w:ilvl w:val="1"/>
          <w:numId w:val="9"/>
        </w:numPr>
        <w:ind w:left="709" w:hanging="709"/>
        <w:rPr>
          <w:rStyle w:val="ui-provider"/>
        </w:rPr>
      </w:pPr>
      <w:bookmarkStart w:id="29" w:name="_Toc205826936"/>
      <w:r>
        <w:rPr>
          <w:rStyle w:val="ui-provider"/>
        </w:rPr>
        <w:lastRenderedPageBreak/>
        <w:t>Reporting energy from production and consumption of biomethane</w:t>
      </w:r>
      <w:bookmarkEnd w:id="29"/>
      <w:r>
        <w:rPr>
          <w:rStyle w:val="ui-provider"/>
        </w:rPr>
        <w:t xml:space="preserve"> </w:t>
      </w:r>
    </w:p>
    <w:p w14:paraId="3C808D5F" w14:textId="204AB7D1" w:rsidR="00754B33" w:rsidRDefault="00754B33" w:rsidP="00522547">
      <w:pPr>
        <w:spacing w:before="240"/>
      </w:pPr>
      <w:r>
        <w:rPr>
          <w:rStyle w:val="ui-provider"/>
        </w:rPr>
        <w:t xml:space="preserve">Biomethane is reportable under NGER for the first time in NGER reporting year 2022-23. </w:t>
      </w:r>
      <w:r w:rsidR="00AD52FB">
        <w:rPr>
          <w:rStyle w:val="ui-provider"/>
        </w:rPr>
        <w:t xml:space="preserve">See </w:t>
      </w:r>
      <w:hyperlink r:id="rId30" w:tooltip="A link to the Reporting blended fuels, other fuel mixes, bitumen and explosive guideline of the Clean Energy Regulator website" w:history="1">
        <w:r w:rsidR="00AD52FB" w:rsidRPr="00095BA4">
          <w:rPr>
            <w:rStyle w:val="Hyperlink"/>
            <w:rFonts w:asciiTheme="minorHAnsi" w:hAnsiTheme="minorHAnsi"/>
          </w:rPr>
          <w:t>Reporting blended fuels, other fuel mixes, bitumen and explosives guideline</w:t>
        </w:r>
      </w:hyperlink>
      <w:r w:rsidR="00AD52FB">
        <w:rPr>
          <w:rStyle w:val="FootnoteReference"/>
        </w:rPr>
        <w:footnoteReference w:id="10"/>
      </w:r>
      <w:r>
        <w:rPr>
          <w:rStyle w:val="ui-provider"/>
        </w:rPr>
        <w:t xml:space="preserve"> for </w:t>
      </w:r>
      <w:r w:rsidR="00404F1D">
        <w:rPr>
          <w:rStyle w:val="ui-provider"/>
        </w:rPr>
        <w:t>more</w:t>
      </w:r>
      <w:r>
        <w:rPr>
          <w:rStyle w:val="ui-provider"/>
        </w:rPr>
        <w:t xml:space="preserve"> information</w:t>
      </w:r>
      <w:r w:rsidR="00404F1D">
        <w:rPr>
          <w:rStyle w:val="ui-provider"/>
        </w:rPr>
        <w:t xml:space="preserve"> on how to report energy from the production </w:t>
      </w:r>
      <w:r w:rsidR="00AB648B">
        <w:rPr>
          <w:rStyle w:val="ui-provider"/>
        </w:rPr>
        <w:t>of biomethane from biogas</w:t>
      </w:r>
      <w:r w:rsidR="730DC9B3" w:rsidRPr="3AC82E63">
        <w:rPr>
          <w:rStyle w:val="ui-provider"/>
        </w:rPr>
        <w:t>,</w:t>
      </w:r>
      <w:r w:rsidR="00AB648B">
        <w:rPr>
          <w:rStyle w:val="ui-provider"/>
        </w:rPr>
        <w:t xml:space="preserve"> </w:t>
      </w:r>
      <w:r w:rsidR="00404F1D">
        <w:rPr>
          <w:rStyle w:val="ui-provider"/>
        </w:rPr>
        <w:t xml:space="preserve">and </w:t>
      </w:r>
      <w:r w:rsidR="00AB648B" w:rsidRPr="3AC82E63">
        <w:rPr>
          <w:rStyle w:val="ui-provider"/>
        </w:rPr>
        <w:t>combustion</w:t>
      </w:r>
      <w:r w:rsidR="00404F1D">
        <w:rPr>
          <w:rStyle w:val="ui-provider"/>
        </w:rPr>
        <w:t xml:space="preserve"> of biomethane</w:t>
      </w:r>
      <w:r w:rsidR="00AB648B">
        <w:rPr>
          <w:rStyle w:val="ui-provider"/>
        </w:rPr>
        <w:t xml:space="preserve"> as a fuel</w:t>
      </w:r>
      <w:r>
        <w:rPr>
          <w:rStyle w:val="ui-provider"/>
        </w:rPr>
        <w:t>. </w:t>
      </w:r>
    </w:p>
    <w:p w14:paraId="576718A2" w14:textId="77777777" w:rsidR="004E408E" w:rsidRDefault="004E408E" w:rsidP="00050308">
      <w:pPr>
        <w:pStyle w:val="Heading2"/>
        <w:numPr>
          <w:ilvl w:val="1"/>
          <w:numId w:val="9"/>
        </w:numPr>
        <w:ind w:left="709" w:hanging="715"/>
      </w:pPr>
      <w:bookmarkStart w:id="30" w:name="_Toc205826937"/>
      <w:r>
        <w:t>Energy production and consumption of certain gases that have been captured for combustion</w:t>
      </w:r>
      <w:bookmarkEnd w:id="28"/>
      <w:bookmarkEnd w:id="30"/>
    </w:p>
    <w:p w14:paraId="2928ECD9" w14:textId="77777777" w:rsidR="004E408E" w:rsidRPr="00F9731A" w:rsidRDefault="004E408E" w:rsidP="004E408E">
      <w:pPr>
        <w:widowControl w:val="0"/>
        <w:spacing w:before="186" w:after="0" w:line="257" w:lineRule="auto"/>
        <w:ind w:right="171"/>
        <w:rPr>
          <w:rFonts w:ascii="Calibri" w:eastAsiaTheme="minorEastAsia" w:hAnsi="Calibri" w:cstheme="minorBidi"/>
          <w:bCs/>
          <w:color w:val="000000"/>
          <w:szCs w:val="28"/>
          <w:lang w:val="en-US"/>
        </w:rPr>
      </w:pPr>
      <w:r>
        <w:rPr>
          <w:rFonts w:ascii="Calibri" w:eastAsiaTheme="minorEastAsia" w:hAnsi="Calibri" w:cstheme="minorBidi"/>
          <w:bCs/>
          <w:color w:val="000000"/>
          <w:szCs w:val="28"/>
          <w:lang w:val="en-US"/>
        </w:rPr>
        <w:t>If f</w:t>
      </w:r>
      <w:r w:rsidRPr="00F9731A">
        <w:rPr>
          <w:rFonts w:ascii="Calibri" w:eastAsiaTheme="minorEastAsia" w:hAnsi="Calibri" w:cstheme="minorBidi"/>
          <w:bCs/>
          <w:color w:val="000000"/>
          <w:szCs w:val="28"/>
          <w:lang w:val="en-US"/>
        </w:rPr>
        <w:t>orce is applied by use of a machine</w:t>
      </w:r>
      <w:r>
        <w:rPr>
          <w:rFonts w:ascii="Calibri" w:eastAsiaTheme="minorEastAsia" w:hAnsi="Calibri" w:cstheme="minorBidi"/>
          <w:bCs/>
          <w:color w:val="000000"/>
          <w:szCs w:val="28"/>
          <w:lang w:val="en-US"/>
        </w:rPr>
        <w:t>,</w:t>
      </w:r>
      <w:r w:rsidRPr="00F9731A">
        <w:rPr>
          <w:rFonts w:ascii="Calibri" w:eastAsiaTheme="minorEastAsia" w:hAnsi="Calibri" w:cstheme="minorBidi"/>
          <w:bCs/>
          <w:color w:val="000000"/>
          <w:szCs w:val="28"/>
          <w:lang w:val="en-US"/>
        </w:rPr>
        <w:t xml:space="preserve"> such as a compressor, extraction fan</w:t>
      </w:r>
      <w:r>
        <w:rPr>
          <w:rFonts w:ascii="Calibri" w:eastAsiaTheme="minorEastAsia" w:hAnsi="Calibri" w:cstheme="minorBidi"/>
          <w:bCs/>
          <w:color w:val="000000"/>
          <w:szCs w:val="28"/>
          <w:lang w:val="en-US"/>
        </w:rPr>
        <w:t xml:space="preserve">, </w:t>
      </w:r>
      <w:r w:rsidRPr="00F9731A">
        <w:rPr>
          <w:rFonts w:ascii="Calibri" w:eastAsiaTheme="minorEastAsia" w:hAnsi="Calibri" w:cstheme="minorBidi"/>
          <w:bCs/>
          <w:color w:val="000000"/>
          <w:szCs w:val="28"/>
          <w:lang w:val="en-US"/>
        </w:rPr>
        <w:t>blower</w:t>
      </w:r>
      <w:r>
        <w:rPr>
          <w:rFonts w:ascii="Calibri" w:eastAsiaTheme="minorEastAsia" w:hAnsi="Calibri" w:cstheme="minorBidi"/>
          <w:bCs/>
          <w:color w:val="000000"/>
          <w:szCs w:val="28"/>
          <w:lang w:val="en-US"/>
        </w:rPr>
        <w:t xml:space="preserve"> or pump,</w:t>
      </w:r>
      <w:r w:rsidRPr="00F9731A">
        <w:rPr>
          <w:rFonts w:ascii="Calibri" w:eastAsiaTheme="minorEastAsia" w:hAnsi="Calibri" w:cstheme="minorBidi"/>
          <w:bCs/>
          <w:color w:val="000000"/>
          <w:szCs w:val="28"/>
          <w:lang w:val="en-US"/>
        </w:rPr>
        <w:t xml:space="preserve"> to </w:t>
      </w:r>
      <w:r>
        <w:rPr>
          <w:rFonts w:ascii="Calibri" w:eastAsiaTheme="minorEastAsia" w:hAnsi="Calibri" w:cstheme="minorBidi"/>
          <w:bCs/>
          <w:color w:val="000000"/>
          <w:szCs w:val="28"/>
          <w:lang w:val="en-US"/>
        </w:rPr>
        <w:t xml:space="preserve">create differential pressure to </w:t>
      </w:r>
      <w:r w:rsidRPr="00F9731A">
        <w:rPr>
          <w:rFonts w:ascii="Calibri" w:eastAsiaTheme="minorEastAsia" w:hAnsi="Calibri" w:cstheme="minorBidi"/>
          <w:bCs/>
          <w:color w:val="000000"/>
          <w:szCs w:val="28"/>
          <w:lang w:val="en-US"/>
        </w:rPr>
        <w:t>capture:</w:t>
      </w:r>
    </w:p>
    <w:p w14:paraId="22130D30" w14:textId="77777777" w:rsidR="004E408E" w:rsidRPr="00F9731A" w:rsidRDefault="004E408E" w:rsidP="00682491">
      <w:pPr>
        <w:pStyle w:val="CERbullets"/>
        <w:numPr>
          <w:ilvl w:val="1"/>
          <w:numId w:val="3"/>
        </w:numPr>
        <w:ind w:left="357" w:hanging="357"/>
      </w:pPr>
      <w:bookmarkStart w:id="31" w:name="_Hlk75943232"/>
      <w:r w:rsidRPr="00F9731A">
        <w:t>landfill biogas</w:t>
      </w:r>
    </w:p>
    <w:bookmarkEnd w:id="31"/>
    <w:p w14:paraId="4FEDA16F" w14:textId="307FA9FD" w:rsidR="004E408E" w:rsidRPr="00F9731A" w:rsidRDefault="004E408E" w:rsidP="00682491">
      <w:pPr>
        <w:pStyle w:val="CERbullets"/>
        <w:numPr>
          <w:ilvl w:val="1"/>
          <w:numId w:val="3"/>
        </w:numPr>
        <w:ind w:left="357" w:hanging="357"/>
      </w:pPr>
      <w:r w:rsidRPr="00F9731A">
        <w:t>coal mine waste gas</w:t>
      </w:r>
    </w:p>
    <w:p w14:paraId="6A570599" w14:textId="6E652DB9" w:rsidR="004E408E" w:rsidRPr="00F9731A" w:rsidRDefault="004E408E" w:rsidP="00682491">
      <w:pPr>
        <w:pStyle w:val="CERbullets"/>
        <w:numPr>
          <w:ilvl w:val="1"/>
          <w:numId w:val="3"/>
        </w:numPr>
        <w:ind w:left="357" w:hanging="357"/>
      </w:pPr>
      <w:r w:rsidRPr="00F9731A">
        <w:t>coal seam methane</w:t>
      </w:r>
    </w:p>
    <w:p w14:paraId="277EBC77" w14:textId="77777777" w:rsidR="004E408E" w:rsidRPr="00F9731A" w:rsidRDefault="004E408E" w:rsidP="00682491">
      <w:pPr>
        <w:pStyle w:val="CERbullets"/>
        <w:numPr>
          <w:ilvl w:val="1"/>
          <w:numId w:val="3"/>
        </w:numPr>
        <w:ind w:left="357" w:hanging="357"/>
      </w:pPr>
      <w:bookmarkStart w:id="32" w:name="_Hlk75944547"/>
      <w:r w:rsidRPr="00F9731A">
        <w:t>sludge biogas</w:t>
      </w:r>
    </w:p>
    <w:bookmarkEnd w:id="32"/>
    <w:p w14:paraId="4410DAB3" w14:textId="77777777" w:rsidR="004E408E" w:rsidRPr="00F9731A" w:rsidRDefault="004E408E" w:rsidP="00682491">
      <w:pPr>
        <w:pStyle w:val="CERbullets"/>
        <w:numPr>
          <w:ilvl w:val="1"/>
          <w:numId w:val="3"/>
        </w:numPr>
        <w:ind w:left="357" w:hanging="357"/>
      </w:pPr>
      <w:r w:rsidRPr="00F9731A">
        <w:t>a biogas other than landfill biogas and sludge biogas</w:t>
      </w:r>
      <w:r>
        <w:t xml:space="preserve">, </w:t>
      </w:r>
    </w:p>
    <w:p w14:paraId="55A2EB14" w14:textId="77777777" w:rsidR="004E408E" w:rsidRDefault="004E408E" w:rsidP="004E408E">
      <w:pPr>
        <w:spacing w:after="160" w:line="259" w:lineRule="auto"/>
        <w:rPr>
          <w:rFonts w:eastAsiaTheme="minorEastAsia" w:cstheme="minorBidi"/>
          <w:bCs/>
          <w:color w:val="000000"/>
          <w:szCs w:val="28"/>
        </w:rPr>
      </w:pPr>
      <w:r>
        <w:rPr>
          <w:rFonts w:eastAsiaTheme="minorEastAsia" w:cstheme="minorBidi"/>
          <w:bCs/>
          <w:color w:val="000000"/>
          <w:szCs w:val="28"/>
        </w:rPr>
        <w:t>and it is captured i</w:t>
      </w:r>
      <w:r w:rsidRPr="00F9731A">
        <w:rPr>
          <w:rFonts w:eastAsiaTheme="minorEastAsia" w:cstheme="minorBidi"/>
          <w:bCs/>
          <w:color w:val="000000"/>
          <w:szCs w:val="28"/>
        </w:rPr>
        <w:t>n a pipe and the gas subsequently</w:t>
      </w:r>
      <w:r>
        <w:rPr>
          <w:rFonts w:eastAsiaTheme="minorEastAsia" w:cstheme="minorBidi"/>
          <w:bCs/>
          <w:color w:val="000000"/>
          <w:szCs w:val="28"/>
        </w:rPr>
        <w:t xml:space="preserve"> used,</w:t>
      </w:r>
      <w:r w:rsidRPr="00F9731A">
        <w:rPr>
          <w:rFonts w:eastAsiaTheme="minorEastAsia" w:cstheme="minorBidi"/>
          <w:bCs/>
          <w:color w:val="000000"/>
          <w:szCs w:val="28"/>
        </w:rPr>
        <w:t xml:space="preserve"> flared, vented, leaked, or otherwise disposed of</w:t>
      </w:r>
      <w:r>
        <w:rPr>
          <w:rFonts w:eastAsiaTheme="minorEastAsia" w:cstheme="minorBidi"/>
          <w:bCs/>
          <w:color w:val="000000"/>
          <w:szCs w:val="28"/>
        </w:rPr>
        <w:t>, then:</w:t>
      </w:r>
    </w:p>
    <w:p w14:paraId="6621473D" w14:textId="77777777" w:rsidR="004E408E" w:rsidRDefault="004E408E" w:rsidP="00682491">
      <w:pPr>
        <w:pStyle w:val="CERbullets"/>
        <w:numPr>
          <w:ilvl w:val="1"/>
          <w:numId w:val="4"/>
        </w:numPr>
        <w:ind w:left="357" w:hanging="357"/>
      </w:pPr>
      <w:r w:rsidRPr="00A92560">
        <w:t>energy production must be reported for the facility that operates the gas well or pipe in which the gas is initially captured</w:t>
      </w:r>
    </w:p>
    <w:p w14:paraId="25B6DB5C" w14:textId="77777777" w:rsidR="004E408E" w:rsidRDefault="004E408E" w:rsidP="00682491">
      <w:pPr>
        <w:pStyle w:val="CERbullets"/>
        <w:numPr>
          <w:ilvl w:val="1"/>
          <w:numId w:val="4"/>
        </w:numPr>
        <w:ind w:left="357" w:hanging="357"/>
      </w:pPr>
      <w:r>
        <w:t>energy consumption must be reported for the facility that uses, flares, vents, leaks, or otherwise disposes of the gas.</w:t>
      </w:r>
    </w:p>
    <w:p w14:paraId="730A16FC" w14:textId="4E9DB219" w:rsidR="004E408E" w:rsidRDefault="004E408E" w:rsidP="004E408E">
      <w:pPr>
        <w:spacing w:before="120" w:after="120" w:line="259" w:lineRule="auto"/>
      </w:pPr>
      <w:r>
        <w:rPr>
          <w:rFonts w:eastAsiaTheme="minorEastAsia" w:cstheme="minorBidi"/>
          <w:bCs/>
          <w:color w:val="000000"/>
          <w:szCs w:val="28"/>
        </w:rPr>
        <w:t>This is because</w:t>
      </w:r>
      <w:r>
        <w:t xml:space="preserve"> the gas is considered to have been ‘injected into a pipeline’ pursuant to the definition of ‘captured for combustion’ under 1.03 of the NGER Regulations. Gas captured for combustion meets the definition of ‘energy’ in section 7 of the NGER Act if it falls within one of following fuel types in Schedule 1 of the NGER Regulations:</w:t>
      </w:r>
    </w:p>
    <w:p w14:paraId="6520B516" w14:textId="77777777" w:rsidR="004E408E" w:rsidRDefault="004E408E" w:rsidP="00682491">
      <w:pPr>
        <w:pStyle w:val="CERbullets"/>
        <w:numPr>
          <w:ilvl w:val="1"/>
          <w:numId w:val="3"/>
        </w:numPr>
        <w:ind w:left="357" w:hanging="357"/>
      </w:pPr>
      <w:r>
        <w:t xml:space="preserve">Item </w:t>
      </w:r>
      <w:r w:rsidRPr="00A92560">
        <w:t xml:space="preserve">18 </w:t>
      </w:r>
      <w:r>
        <w:t>–</w:t>
      </w:r>
      <w:r w:rsidRPr="00A92560">
        <w:t xml:space="preserve"> coal seam methane that is captured for combustion</w:t>
      </w:r>
    </w:p>
    <w:p w14:paraId="32CFEA6E" w14:textId="77777777" w:rsidR="004E408E" w:rsidRDefault="004E408E" w:rsidP="00682491">
      <w:pPr>
        <w:pStyle w:val="CERbullets"/>
        <w:numPr>
          <w:ilvl w:val="1"/>
          <w:numId w:val="3"/>
        </w:numPr>
        <w:ind w:left="357" w:hanging="357"/>
      </w:pPr>
      <w:r>
        <w:t xml:space="preserve">Item </w:t>
      </w:r>
      <w:r w:rsidRPr="00A92560">
        <w:t xml:space="preserve">19 </w:t>
      </w:r>
      <w:r>
        <w:t>–</w:t>
      </w:r>
      <w:r w:rsidRPr="00A92560">
        <w:t xml:space="preserve"> coal mine waste gas that is captured for combustion</w:t>
      </w:r>
    </w:p>
    <w:p w14:paraId="6D6144D7" w14:textId="77777777" w:rsidR="004E408E" w:rsidRDefault="004E408E" w:rsidP="00682491">
      <w:pPr>
        <w:pStyle w:val="CERbullets"/>
        <w:numPr>
          <w:ilvl w:val="1"/>
          <w:numId w:val="3"/>
        </w:numPr>
        <w:ind w:left="357" w:hanging="357"/>
      </w:pPr>
      <w:r>
        <w:t xml:space="preserve">Item </w:t>
      </w:r>
      <w:r w:rsidRPr="00A92560">
        <w:t xml:space="preserve">28 </w:t>
      </w:r>
      <w:r>
        <w:t>–</w:t>
      </w:r>
      <w:r w:rsidRPr="00A92560">
        <w:t xml:space="preserve"> landfill biogas that is captured for combustion</w:t>
      </w:r>
    </w:p>
    <w:p w14:paraId="479AE5DD" w14:textId="77777777" w:rsidR="004E408E" w:rsidRDefault="004E408E" w:rsidP="00682491">
      <w:pPr>
        <w:pStyle w:val="CERbullets"/>
        <w:numPr>
          <w:ilvl w:val="1"/>
          <w:numId w:val="3"/>
        </w:numPr>
        <w:ind w:left="357" w:hanging="357"/>
      </w:pPr>
      <w:r>
        <w:t xml:space="preserve">Item </w:t>
      </w:r>
      <w:r w:rsidRPr="00A92560">
        <w:t xml:space="preserve">29 </w:t>
      </w:r>
      <w:r>
        <w:t>–</w:t>
      </w:r>
      <w:r w:rsidRPr="00A92560">
        <w:t xml:space="preserve"> sludge biogas that is captured for combustion</w:t>
      </w:r>
    </w:p>
    <w:p w14:paraId="1C712F92" w14:textId="12C650F0" w:rsidR="004E408E" w:rsidRPr="004F5319" w:rsidRDefault="004E408E" w:rsidP="00682491">
      <w:pPr>
        <w:pStyle w:val="CERbullets"/>
        <w:numPr>
          <w:ilvl w:val="1"/>
          <w:numId w:val="3"/>
        </w:numPr>
        <w:ind w:left="357" w:hanging="357"/>
      </w:pPr>
      <w:r w:rsidRPr="004F5319">
        <w:t>Item 30 – a biogas that is captured for combustion other than those mentioned in items 28</w:t>
      </w:r>
      <w:r w:rsidR="00FC70C6" w:rsidRPr="00B41D09">
        <w:t>,</w:t>
      </w:r>
      <w:r w:rsidRPr="004F5319">
        <w:t xml:space="preserve"> 29</w:t>
      </w:r>
      <w:r w:rsidR="00FC70C6" w:rsidRPr="00B41D09">
        <w:t xml:space="preserve"> and 29A</w:t>
      </w:r>
      <w:r w:rsidRPr="004F5319">
        <w:t>.</w:t>
      </w:r>
    </w:p>
    <w:p w14:paraId="3D3AB72D" w14:textId="5D1BB139" w:rsidR="004E408E" w:rsidRPr="00F9731A" w:rsidRDefault="004E408E" w:rsidP="004E408E">
      <w:pPr>
        <w:pStyle w:val="CERbullets"/>
      </w:pPr>
      <w:r>
        <w:t>Energy production must be reported for capturing the gas. This is because, in accordance with</w:t>
      </w:r>
      <w:r w:rsidRPr="00F9731A">
        <w:t xml:space="preserve"> 2.25 of the NGER Regulations</w:t>
      </w:r>
      <w:r>
        <w:t>, it was:</w:t>
      </w:r>
    </w:p>
    <w:p w14:paraId="10920999" w14:textId="77777777" w:rsidR="004E408E" w:rsidRPr="001D5662" w:rsidRDefault="004E408E" w:rsidP="001D5662">
      <w:pPr>
        <w:pStyle w:val="CERbullets"/>
        <w:numPr>
          <w:ilvl w:val="1"/>
          <w:numId w:val="1"/>
        </w:numPr>
      </w:pPr>
      <w:r w:rsidRPr="001D5662">
        <w:t>derived from the ‘capture of energy from natural sources’, and</w:t>
      </w:r>
    </w:p>
    <w:p w14:paraId="4D86FAAA" w14:textId="77777777" w:rsidR="004E408E" w:rsidRPr="001D5662" w:rsidRDefault="004E408E" w:rsidP="001D5662">
      <w:pPr>
        <w:pStyle w:val="CERbullets"/>
        <w:numPr>
          <w:ilvl w:val="1"/>
          <w:numId w:val="1"/>
        </w:numPr>
      </w:pPr>
      <w:r w:rsidRPr="001D5662">
        <w:t>consumed ‘by or from the operation of the facility or for use other than in the operation of the facility.’</w:t>
      </w:r>
    </w:p>
    <w:p w14:paraId="4E4B1B8E" w14:textId="77777777" w:rsidR="004E408E" w:rsidRDefault="004E408E" w:rsidP="004E408E">
      <w:pPr>
        <w:pStyle w:val="CERbullets"/>
      </w:pPr>
      <w:r>
        <w:lastRenderedPageBreak/>
        <w:t>E</w:t>
      </w:r>
      <w:r w:rsidRPr="00A92560">
        <w:t xml:space="preserve">nergy consumption must be reported for </w:t>
      </w:r>
      <w:r>
        <w:t xml:space="preserve">use or </w:t>
      </w:r>
      <w:r w:rsidRPr="00A92560">
        <w:t>disposal of the gas because it is a fuel type listed in Schedule 1 of the NGER Regulations</w:t>
      </w:r>
      <w:r>
        <w:t>. When reporting emissions in the Emissions and Energy Reporting System (EERS) from fuel combustion, flaring, or venting and leakage, the appropriate fuel type must be selected (see items 18, 19, 28, 29, and 30 listed above).</w:t>
      </w:r>
    </w:p>
    <w:p w14:paraId="326D0196" w14:textId="77777777" w:rsidR="004E408E" w:rsidRDefault="004E408E" w:rsidP="004E408E">
      <w:r>
        <w:t>Please refer to the:</w:t>
      </w:r>
    </w:p>
    <w:p w14:paraId="1AE299A8" w14:textId="48E19A0F" w:rsidR="004E408E" w:rsidRPr="00763D8A" w:rsidRDefault="004E408E" w:rsidP="004E408E">
      <w:pPr>
        <w:pStyle w:val="CERbullets"/>
        <w:rPr>
          <w:rFonts w:ascii="Calibri" w:hAnsi="Calibri"/>
        </w:rPr>
      </w:pPr>
      <w:hyperlink r:id="rId31" w:tooltip="A link to the Estimating emissions and energy from coal mining guideline of the Clean Energy Regulator website" w:history="1">
        <w:r w:rsidRPr="00222962">
          <w:rPr>
            <w:rStyle w:val="Hyperlink"/>
          </w:rPr>
          <w:t>Estimating emissions and energy from coal mining guideline</w:t>
        </w:r>
      </w:hyperlink>
      <w:hyperlink r:id="rId32" w:history="1">
        <w:r w:rsidRPr="00C50725">
          <w:rPr>
            <w:rStyle w:val="Hyperlink"/>
            <w:vertAlign w:val="superscript"/>
          </w:rPr>
          <w:footnoteReference w:id="11"/>
        </w:r>
      </w:hyperlink>
      <w:r w:rsidRPr="00222962">
        <w:rPr>
          <w:rFonts w:ascii="Calibri" w:hAnsi="Calibri"/>
        </w:rPr>
        <w:t xml:space="preserve"> for specific guidance for coal mining and coal mine waste gas management activities</w:t>
      </w:r>
    </w:p>
    <w:p w14:paraId="022D846C" w14:textId="28C43C99" w:rsidR="004E408E" w:rsidRPr="00342BEF" w:rsidRDefault="00817E52" w:rsidP="004E408E">
      <w:pPr>
        <w:pStyle w:val="CERbullets"/>
        <w:rPr>
          <w:rFonts w:ascii="Calibri" w:hAnsi="Calibri"/>
        </w:rPr>
      </w:pPr>
      <w:hyperlink r:id="rId33" w:tooltip="A link to the Estimating emissions and energy from solid waste and landfill biogas management guideline of the Clean Energy Regulator website" w:history="1">
        <w:r w:rsidRPr="00817E52">
          <w:rPr>
            <w:rStyle w:val="Hyperlink"/>
          </w:rPr>
          <w:t>Estimating emissions and energy from solid waste and landfill biogas management guideline</w:t>
        </w:r>
      </w:hyperlink>
      <w:r w:rsidR="004E408E">
        <w:rPr>
          <w:rStyle w:val="FootnoteReference"/>
          <w:rFonts w:ascii="Calibri" w:hAnsi="Calibri"/>
          <w:color w:val="005874"/>
          <w:u w:val="single"/>
        </w:rPr>
        <w:footnoteReference w:id="12"/>
      </w:r>
      <w:r w:rsidR="004E408E" w:rsidRPr="00222962">
        <w:rPr>
          <w:rFonts w:ascii="Calibri" w:hAnsi="Calibri"/>
        </w:rPr>
        <w:t xml:space="preserve"> for specific guidance for solid waste and landfill biogas management activities.</w:t>
      </w:r>
    </w:p>
    <w:tbl>
      <w:tblPr>
        <w:tblStyle w:val="CERCallout"/>
        <w:tblW w:w="5000" w:type="pct"/>
        <w:tblLook w:val="0400" w:firstRow="0" w:lastRow="0" w:firstColumn="0" w:lastColumn="0" w:noHBand="0" w:noVBand="1"/>
      </w:tblPr>
      <w:tblGrid>
        <w:gridCol w:w="9710"/>
      </w:tblGrid>
      <w:tr w:rsidR="004E408E" w:rsidRPr="00FA7635" w14:paraId="2EBB601B" w14:textId="77777777">
        <w:tc>
          <w:tcPr>
            <w:tcW w:w="4708" w:type="pct"/>
          </w:tcPr>
          <w:p w14:paraId="273DD42A" w14:textId="77777777" w:rsidR="004E408E" w:rsidRPr="00F93D3B" w:rsidRDefault="004E408E" w:rsidP="00D720C6">
            <w:pPr>
              <w:pStyle w:val="Heading5"/>
            </w:pPr>
            <w:bookmarkStart w:id="33" w:name="_Toc205826938"/>
            <w:r w:rsidRPr="00F93D3B">
              <w:lastRenderedPageBreak/>
              <w:t>Example 1</w:t>
            </w:r>
            <w:bookmarkEnd w:id="33"/>
          </w:p>
          <w:p w14:paraId="0A011A31" w14:textId="77777777" w:rsidR="004E408E" w:rsidRDefault="004E408E">
            <w:r>
              <w:t>This example demonstrates the circumstances where coal mine waste gas is, and is not, reportable as energy production.</w:t>
            </w:r>
          </w:p>
          <w:p w14:paraId="6756867E" w14:textId="77777777" w:rsidR="004E408E" w:rsidRPr="002D2A76" w:rsidRDefault="004E408E" w:rsidP="001D5662">
            <w:pPr>
              <w:numPr>
                <w:ilvl w:val="0"/>
                <w:numId w:val="1"/>
              </w:numPr>
              <w:spacing w:before="120" w:beforeAutospacing="0" w:after="120"/>
              <w:ind w:left="681"/>
            </w:pPr>
            <w:r w:rsidRPr="00600089">
              <w:t>Drained coal mine waste gas is reportable as energy production</w:t>
            </w:r>
            <w:r w:rsidRPr="002D2A76">
              <w:t>:</w:t>
            </w:r>
          </w:p>
          <w:p w14:paraId="7D726E8E" w14:textId="77777777" w:rsidR="004E408E" w:rsidRPr="001D5662" w:rsidRDefault="004E408E" w:rsidP="001D5662">
            <w:pPr>
              <w:pStyle w:val="CERbullets"/>
              <w:numPr>
                <w:ilvl w:val="1"/>
                <w:numId w:val="1"/>
              </w:numPr>
              <w:ind w:left="1106"/>
            </w:pPr>
            <w:r w:rsidRPr="001D5662">
              <w:t>When force is applied by use of a machine, such as a compressor, extraction fan, blower, or pump, to create differential pressure to capture coal mine waste gas into a pipe (e.g. a drainage gas well). This applies irrespective of whether the gas is subsequently vented, flared, leaked, or transferred to another facility.</w:t>
            </w:r>
          </w:p>
          <w:p w14:paraId="2A08352C" w14:textId="77777777" w:rsidR="004E408E" w:rsidRPr="001D5662" w:rsidRDefault="004E408E" w:rsidP="001D5662">
            <w:pPr>
              <w:pStyle w:val="CERbullets"/>
              <w:numPr>
                <w:ilvl w:val="1"/>
                <w:numId w:val="1"/>
              </w:numPr>
              <w:ind w:left="1106"/>
            </w:pPr>
            <w:r w:rsidRPr="001D5662">
              <w:t>When the gas is combusted for energy purposes, e.g. to drive an electricity generator, even if force was not applied to inject it into a pipeline.</w:t>
            </w:r>
          </w:p>
          <w:p w14:paraId="17ECAEEE" w14:textId="77777777" w:rsidR="004E408E" w:rsidRPr="002D2A76" w:rsidRDefault="004E408E" w:rsidP="001D5662">
            <w:pPr>
              <w:numPr>
                <w:ilvl w:val="0"/>
                <w:numId w:val="1"/>
              </w:numPr>
              <w:spacing w:before="120" w:beforeAutospacing="0" w:after="120"/>
              <w:ind w:left="681"/>
            </w:pPr>
            <w:r w:rsidRPr="00600089">
              <w:t>Drained coal mine waste gas is not reportable as energy production</w:t>
            </w:r>
            <w:r w:rsidRPr="002D2A76">
              <w:t>:</w:t>
            </w:r>
          </w:p>
          <w:p w14:paraId="6DFFA10C" w14:textId="3565C5B0" w:rsidR="004E408E" w:rsidRPr="001D5662" w:rsidRDefault="004E408E" w:rsidP="001D5662">
            <w:pPr>
              <w:pStyle w:val="CERbullets"/>
              <w:numPr>
                <w:ilvl w:val="1"/>
                <w:numId w:val="1"/>
              </w:numPr>
              <w:ind w:left="1106"/>
            </w:pPr>
            <w:r w:rsidRPr="001D5662">
              <w:t>When the gas is drained into gas well pipes by using only the natural force of the decreasing atmospheric pressure and the gas is not used for energy purposes (i.e. when the gas is flared or vented). This may include ‘underground in seam’ pre</w:t>
            </w:r>
            <w:r w:rsidR="42CBD8D3" w:rsidRPr="001D5662">
              <w:t>-</w:t>
            </w:r>
            <w:r w:rsidRPr="001D5662">
              <w:noBreakHyphen/>
              <w:t>drainage gas wells.</w:t>
            </w:r>
          </w:p>
          <w:p w14:paraId="02D2393B" w14:textId="77777777" w:rsidR="004E408E" w:rsidRDefault="004E408E">
            <w:r>
              <w:t>T</w:t>
            </w:r>
            <w:r w:rsidRPr="002C556E">
              <w:t xml:space="preserve">his guidance </w:t>
            </w:r>
            <w:r>
              <w:t xml:space="preserve">has been in place </w:t>
            </w:r>
            <w:r w:rsidRPr="002C556E">
              <w:t>for 2017</w:t>
            </w:r>
            <w:r>
              <w:t>–</w:t>
            </w:r>
            <w:r w:rsidRPr="002C556E">
              <w:t>18 reporting onwards.</w:t>
            </w:r>
          </w:p>
          <w:p w14:paraId="55EA4740" w14:textId="77777777" w:rsidR="004E408E" w:rsidRPr="002C556E" w:rsidRDefault="004E408E">
            <w:pPr>
              <w:rPr>
                <w:color w:val="auto"/>
              </w:rPr>
            </w:pPr>
            <w:r>
              <w:rPr>
                <w:color w:val="auto"/>
              </w:rPr>
              <w:t xml:space="preserve">Energy production is considered to occur at the moment and location that the </w:t>
            </w:r>
            <w:r w:rsidRPr="002C556E">
              <w:rPr>
                <w:color w:val="auto"/>
              </w:rPr>
              <w:t xml:space="preserve">gas is </w:t>
            </w:r>
            <w:r>
              <w:rPr>
                <w:color w:val="auto"/>
              </w:rPr>
              <w:t>‘</w:t>
            </w:r>
            <w:r w:rsidRPr="002C556E">
              <w:rPr>
                <w:color w:val="auto"/>
              </w:rPr>
              <w:t>injected into a pipeline</w:t>
            </w:r>
            <w:r>
              <w:rPr>
                <w:color w:val="auto"/>
              </w:rPr>
              <w:t>’</w:t>
            </w:r>
            <w:r w:rsidRPr="002C556E">
              <w:rPr>
                <w:color w:val="auto"/>
              </w:rPr>
              <w:t xml:space="preserve">, irrespective of any downstream uses. </w:t>
            </w:r>
            <w:r>
              <w:rPr>
                <w:color w:val="auto"/>
              </w:rPr>
              <w:t xml:space="preserve">In this case, the location is the gas well pipe. </w:t>
            </w:r>
            <w:r w:rsidRPr="002C556E">
              <w:rPr>
                <w:color w:val="auto"/>
              </w:rPr>
              <w:t xml:space="preserve">As soon as coal mine waste gas is </w:t>
            </w:r>
            <w:r>
              <w:rPr>
                <w:color w:val="auto"/>
              </w:rPr>
              <w:t>forced</w:t>
            </w:r>
            <w:r w:rsidRPr="002C556E">
              <w:rPr>
                <w:color w:val="auto"/>
              </w:rPr>
              <w:t xml:space="preserve"> </w:t>
            </w:r>
            <w:r>
              <w:rPr>
                <w:color w:val="auto"/>
              </w:rPr>
              <w:t xml:space="preserve">into </w:t>
            </w:r>
            <w:r w:rsidRPr="002C556E">
              <w:rPr>
                <w:color w:val="auto"/>
              </w:rPr>
              <w:t>a</w:t>
            </w:r>
            <w:r>
              <w:rPr>
                <w:color w:val="auto"/>
              </w:rPr>
              <w:t xml:space="preserve"> gas well</w:t>
            </w:r>
            <w:r w:rsidRPr="002C556E">
              <w:rPr>
                <w:color w:val="auto"/>
              </w:rPr>
              <w:t xml:space="preserve"> pipe by </w:t>
            </w:r>
            <w:r>
              <w:rPr>
                <w:color w:val="auto"/>
              </w:rPr>
              <w:t>use of a machine that creates differential pressure, such as a compressor, extraction fan, blower, or pump</w:t>
            </w:r>
            <w:r w:rsidRPr="002C556E">
              <w:rPr>
                <w:color w:val="auto"/>
              </w:rPr>
              <w:t xml:space="preserve">, it becomes </w:t>
            </w:r>
            <w:r>
              <w:rPr>
                <w:color w:val="auto"/>
              </w:rPr>
              <w:t>‘</w:t>
            </w:r>
            <w:r w:rsidRPr="002C556E">
              <w:rPr>
                <w:color w:val="auto"/>
              </w:rPr>
              <w:t>energy</w:t>
            </w:r>
            <w:r>
              <w:rPr>
                <w:color w:val="auto"/>
              </w:rPr>
              <w:t>’</w:t>
            </w:r>
            <w:r w:rsidRPr="002C556E">
              <w:rPr>
                <w:color w:val="auto"/>
              </w:rPr>
              <w:t>.</w:t>
            </w:r>
          </w:p>
          <w:p w14:paraId="17BC52A6" w14:textId="77777777" w:rsidR="004E408E" w:rsidRPr="0000036F" w:rsidRDefault="004E408E">
            <w:r w:rsidRPr="002C556E">
              <w:t xml:space="preserve">There is no </w:t>
            </w:r>
            <w:r>
              <w:t xml:space="preserve">minimum </w:t>
            </w:r>
            <w:r w:rsidRPr="002C556E">
              <w:t>reporting threshold for energy production from extraction or drainage of coal mine waste gas</w:t>
            </w:r>
            <w:r>
              <w:t>, therefore all quantities of coal mine waste gas captured for combustion gas must be reported as produced</w:t>
            </w:r>
            <w:r w:rsidRPr="002C556E">
              <w:t>.</w:t>
            </w:r>
          </w:p>
        </w:tc>
      </w:tr>
    </w:tbl>
    <w:p w14:paraId="6562AF51" w14:textId="77777777" w:rsidR="004E408E" w:rsidRDefault="004E408E" w:rsidP="004E408E">
      <w:pPr>
        <w:rPr>
          <w:rFonts w:ascii="Calibri" w:hAnsi="Calibri"/>
        </w:rPr>
      </w:pPr>
    </w:p>
    <w:tbl>
      <w:tblPr>
        <w:tblStyle w:val="CERCallout"/>
        <w:tblW w:w="5000" w:type="pct"/>
        <w:tblLook w:val="04A0" w:firstRow="1" w:lastRow="0" w:firstColumn="1" w:lastColumn="0" w:noHBand="0" w:noVBand="1"/>
      </w:tblPr>
      <w:tblGrid>
        <w:gridCol w:w="9710"/>
      </w:tblGrid>
      <w:tr w:rsidR="004E408E" w:rsidRPr="0000036F" w14:paraId="7C8281F0" w14:textId="77777777">
        <w:trPr>
          <w:cnfStyle w:val="100000000000" w:firstRow="1" w:lastRow="0" w:firstColumn="0" w:lastColumn="0" w:oddVBand="0" w:evenVBand="0" w:oddHBand="0" w:evenHBand="0" w:firstRowFirstColumn="0" w:firstRowLastColumn="0" w:lastRowFirstColumn="0" w:lastRowLastColumn="0"/>
        </w:trPr>
        <w:tc>
          <w:tcPr>
            <w:tcW w:w="4708" w:type="pct"/>
          </w:tcPr>
          <w:p w14:paraId="15ECA985" w14:textId="77777777" w:rsidR="004E408E" w:rsidRPr="007232EE" w:rsidRDefault="004E408E" w:rsidP="00D720C6">
            <w:pPr>
              <w:pStyle w:val="Heading5"/>
              <w:rPr>
                <w:b/>
              </w:rPr>
            </w:pPr>
            <w:bookmarkStart w:id="34" w:name="_Toc205826939"/>
            <w:r w:rsidRPr="007232EE">
              <w:rPr>
                <w:b/>
              </w:rPr>
              <w:lastRenderedPageBreak/>
              <w:t>Example 2</w:t>
            </w:r>
            <w:bookmarkEnd w:id="34"/>
          </w:p>
          <w:p w14:paraId="333006CB" w14:textId="041B3760" w:rsidR="004E408E" w:rsidRPr="0041399D" w:rsidRDefault="004E408E">
            <w:pPr>
              <w:rPr>
                <w:b w:val="0"/>
                <w:bCs/>
              </w:rPr>
            </w:pPr>
            <w:r w:rsidRPr="0041399D">
              <w:rPr>
                <w:b w:val="0"/>
                <w:bCs/>
              </w:rPr>
              <w:t xml:space="preserve">This example demonstrates how to report energy consumption and production for injection of coal seam methane into a natural gas </w:t>
            </w:r>
            <w:r w:rsidR="36272488">
              <w:rPr>
                <w:b w:val="0"/>
              </w:rPr>
              <w:t>t</w:t>
            </w:r>
            <w:r w:rsidR="7D75ED77">
              <w:rPr>
                <w:b w:val="0"/>
              </w:rPr>
              <w:t xml:space="preserve">ransmission </w:t>
            </w:r>
            <w:r w:rsidRPr="0041399D">
              <w:rPr>
                <w:b w:val="0"/>
                <w:bCs/>
              </w:rPr>
              <w:t>pipeline.</w:t>
            </w:r>
          </w:p>
          <w:p w14:paraId="54816B6B" w14:textId="232818FF" w:rsidR="004E408E" w:rsidRPr="0041399D" w:rsidRDefault="004E408E">
            <w:pPr>
              <w:rPr>
                <w:b w:val="0"/>
                <w:bCs/>
              </w:rPr>
            </w:pPr>
            <w:r w:rsidRPr="0041399D">
              <w:rPr>
                <w:b w:val="0"/>
                <w:bCs/>
              </w:rPr>
              <w:t xml:space="preserve">When coal seam methane is injected into a natural gas </w:t>
            </w:r>
            <w:r w:rsidR="00461C0A">
              <w:rPr>
                <w:b w:val="0"/>
                <w:bCs/>
              </w:rPr>
              <w:t>transmission</w:t>
            </w:r>
            <w:r w:rsidR="00461C0A" w:rsidRPr="0041399D">
              <w:rPr>
                <w:b w:val="0"/>
                <w:bCs/>
              </w:rPr>
              <w:t xml:space="preserve"> </w:t>
            </w:r>
            <w:r w:rsidRPr="0041399D">
              <w:rPr>
                <w:b w:val="0"/>
                <w:bCs/>
              </w:rPr>
              <w:t>pipeline, it is considered to be converted from ‘coal seam methane captured for combustion’ to ‘Natural gas transmitted or distributed in a pipeline’.</w:t>
            </w:r>
          </w:p>
          <w:p w14:paraId="0402C144" w14:textId="5453AE2D" w:rsidR="004E408E" w:rsidRPr="0041399D" w:rsidRDefault="004E408E">
            <w:pPr>
              <w:rPr>
                <w:b w:val="0"/>
                <w:bCs/>
              </w:rPr>
            </w:pPr>
            <w:r w:rsidRPr="0041399D">
              <w:rPr>
                <w:b w:val="0"/>
                <w:bCs/>
              </w:rPr>
              <w:t xml:space="preserve">As outlined in the NGER Measurement Determination, reportable energy sources for injecting coal seam methane into a natural gas </w:t>
            </w:r>
            <w:r w:rsidR="00461C0A">
              <w:rPr>
                <w:b w:val="0"/>
                <w:bCs/>
              </w:rPr>
              <w:t>transmission</w:t>
            </w:r>
            <w:r w:rsidRPr="0041399D">
              <w:rPr>
                <w:b w:val="0"/>
                <w:bCs/>
              </w:rPr>
              <w:t xml:space="preserve"> pipeline include:</w:t>
            </w:r>
          </w:p>
          <w:p w14:paraId="78BCF590" w14:textId="77777777" w:rsidR="004E408E" w:rsidRPr="001D5662" w:rsidRDefault="004E408E" w:rsidP="001D5662">
            <w:pPr>
              <w:pStyle w:val="CERbullets"/>
              <w:ind w:left="681"/>
              <w:rPr>
                <w:b w:val="0"/>
                <w:bCs/>
              </w:rPr>
            </w:pPr>
            <w:r w:rsidRPr="001D5662">
              <w:rPr>
                <w:b w:val="0"/>
                <w:bCs/>
              </w:rPr>
              <w:t>Consumption (without combustion) of ‘coal seam methane that is captured for combustion’.</w:t>
            </w:r>
          </w:p>
          <w:p w14:paraId="0425876F" w14:textId="77777777" w:rsidR="004E408E" w:rsidRPr="001D5662" w:rsidRDefault="004E408E" w:rsidP="001D5662">
            <w:pPr>
              <w:pStyle w:val="CERbullets"/>
              <w:ind w:left="681"/>
              <w:rPr>
                <w:b w:val="0"/>
                <w:bCs/>
              </w:rPr>
            </w:pPr>
            <w:r w:rsidRPr="001D5662">
              <w:rPr>
                <w:b w:val="0"/>
                <w:bCs/>
              </w:rPr>
              <w:t>Production of ‘natural gas transmitted or distributed in a pipeline’ from the consumed ‘coal seam methane that is captured for combustion’.</w:t>
            </w:r>
          </w:p>
          <w:p w14:paraId="2EC95304" w14:textId="62643C54" w:rsidR="004E408E" w:rsidRPr="0000036F" w:rsidRDefault="004E408E" w:rsidP="001D5662">
            <w:pPr>
              <w:pStyle w:val="CERbullets"/>
              <w:numPr>
                <w:ilvl w:val="0"/>
                <w:numId w:val="0"/>
              </w:numPr>
              <w:ind w:left="360"/>
            </w:pPr>
            <w:r w:rsidRPr="0041399D">
              <w:rPr>
                <w:b w:val="0"/>
                <w:bCs/>
              </w:rPr>
              <w:t>Note: If the activity is not evidenced by invoices, leakages can be estimated using industry practice under measurement criterion BBB. This may include, for example, estimating leakages by subtracting the energy exiting the pipeline system from the energy entering the pipeline system.</w:t>
            </w:r>
          </w:p>
        </w:tc>
      </w:tr>
    </w:tbl>
    <w:p w14:paraId="35BFCAF3" w14:textId="77777777" w:rsidR="004E408E" w:rsidRDefault="004E408E" w:rsidP="004E408E">
      <w:pPr>
        <w:rPr>
          <w:rFonts w:ascii="Calibri" w:hAnsi="Calibri"/>
        </w:rPr>
      </w:pPr>
      <w:r>
        <w:rPr>
          <w:rFonts w:ascii="Calibri" w:hAnsi="Calibri"/>
        </w:rPr>
        <w:t xml:space="preserve"> </w:t>
      </w:r>
    </w:p>
    <w:tbl>
      <w:tblPr>
        <w:tblStyle w:val="CERCallout"/>
        <w:tblW w:w="5000" w:type="pct"/>
        <w:tblLook w:val="04A0" w:firstRow="1" w:lastRow="0" w:firstColumn="1" w:lastColumn="0" w:noHBand="0" w:noVBand="1"/>
      </w:tblPr>
      <w:tblGrid>
        <w:gridCol w:w="9710"/>
      </w:tblGrid>
      <w:tr w:rsidR="004E408E" w:rsidRPr="0000036F" w14:paraId="6EE2518D" w14:textId="77777777">
        <w:trPr>
          <w:cnfStyle w:val="100000000000" w:firstRow="1" w:lastRow="0" w:firstColumn="0" w:lastColumn="0" w:oddVBand="0" w:evenVBand="0" w:oddHBand="0" w:evenHBand="0" w:firstRowFirstColumn="0" w:firstRowLastColumn="0" w:lastRowFirstColumn="0" w:lastRowLastColumn="0"/>
        </w:trPr>
        <w:tc>
          <w:tcPr>
            <w:tcW w:w="4708" w:type="pct"/>
          </w:tcPr>
          <w:p w14:paraId="19D9A25F" w14:textId="77777777" w:rsidR="004E408E" w:rsidRPr="00D720C6" w:rsidRDefault="004E408E" w:rsidP="00D720C6">
            <w:pPr>
              <w:pStyle w:val="Heading5"/>
              <w:rPr>
                <w:b/>
                <w:bCs/>
              </w:rPr>
            </w:pPr>
            <w:bookmarkStart w:id="35" w:name="_Toc205826940"/>
            <w:r w:rsidRPr="00D720C6">
              <w:rPr>
                <w:b/>
                <w:bCs/>
              </w:rPr>
              <w:lastRenderedPageBreak/>
              <w:t>Example 3</w:t>
            </w:r>
            <w:bookmarkEnd w:id="35"/>
          </w:p>
          <w:p w14:paraId="4D36E509" w14:textId="3F71F99B" w:rsidR="004E408E" w:rsidRPr="0041399D" w:rsidRDefault="004E408E">
            <w:pPr>
              <w:spacing w:after="0"/>
              <w:rPr>
                <w:b w:val="0"/>
                <w:bCs/>
              </w:rPr>
            </w:pPr>
            <w:r w:rsidRPr="0041399D">
              <w:rPr>
                <w:b w:val="0"/>
                <w:bCs/>
              </w:rPr>
              <w:t>This example demonstrates the circumstances where energy production and consumption is reportable for landfill biogas, sludge biogas or, biogas other than landfill biogas and sludge biogas.</w:t>
            </w:r>
          </w:p>
          <w:p w14:paraId="4DFD71E5" w14:textId="12819211" w:rsidR="004E408E" w:rsidRPr="0041399D" w:rsidRDefault="004E408E" w:rsidP="001D5662">
            <w:pPr>
              <w:pStyle w:val="CERbullets"/>
              <w:ind w:left="681"/>
              <w:rPr>
                <w:b w:val="0"/>
                <w:bCs/>
              </w:rPr>
            </w:pPr>
            <w:r w:rsidRPr="0041399D">
              <w:rPr>
                <w:b w:val="0"/>
                <w:bCs/>
              </w:rPr>
              <w:t>Landfill biogas, sludge biogas or, biogas other than landfill biogas and sludge biogas gas is reportable as energy production:</w:t>
            </w:r>
          </w:p>
          <w:p w14:paraId="0F07400D" w14:textId="0FCD5917" w:rsidR="004E408E" w:rsidRPr="001D5662" w:rsidRDefault="004E408E" w:rsidP="001D5662">
            <w:pPr>
              <w:pStyle w:val="CERbullets"/>
              <w:numPr>
                <w:ilvl w:val="1"/>
                <w:numId w:val="1"/>
              </w:numPr>
              <w:ind w:left="1106"/>
              <w:rPr>
                <w:b w:val="0"/>
                <w:bCs/>
              </w:rPr>
            </w:pPr>
            <w:r w:rsidRPr="001D5662">
              <w:rPr>
                <w:b w:val="0"/>
                <w:bCs/>
              </w:rPr>
              <w:t>When force is applied by use of a machine, such as a compressor, extraction fan, blower, or pump, to create differential pressure to capture landfill biogas, sludge biogas or, biogas other than landfill biogas and sludge biogas into a pipe. This applies irrespective of whether the gas is subsequently vented, flared, leaked, or transferred to another facility.</w:t>
            </w:r>
          </w:p>
          <w:p w14:paraId="2430EEBE" w14:textId="77777777" w:rsidR="004E408E" w:rsidRPr="001D5662" w:rsidRDefault="004E408E" w:rsidP="001D5662">
            <w:pPr>
              <w:pStyle w:val="CERbullets"/>
              <w:numPr>
                <w:ilvl w:val="1"/>
                <w:numId w:val="1"/>
              </w:numPr>
              <w:ind w:left="1106"/>
              <w:rPr>
                <w:b w:val="0"/>
                <w:bCs/>
              </w:rPr>
            </w:pPr>
            <w:r w:rsidRPr="001D5662">
              <w:rPr>
                <w:b w:val="0"/>
                <w:bCs/>
              </w:rPr>
              <w:t>When the gas is combusted for energy purposes, for example, to drive an electricity generator, even if a force was not applied to inject it into a pipeline.</w:t>
            </w:r>
          </w:p>
          <w:p w14:paraId="0443B576" w14:textId="53DF82B3" w:rsidR="004E408E" w:rsidRPr="0041399D" w:rsidRDefault="004E408E" w:rsidP="001D5662">
            <w:pPr>
              <w:pStyle w:val="CERbullets"/>
              <w:ind w:left="681"/>
              <w:rPr>
                <w:b w:val="0"/>
                <w:bCs/>
              </w:rPr>
            </w:pPr>
            <w:r w:rsidRPr="0041399D">
              <w:rPr>
                <w:b w:val="0"/>
                <w:bCs/>
              </w:rPr>
              <w:t>Landfill biogas, sludge biogas or, biogas other than landfill biogas and sludge biogas is not reportable as energy production:</w:t>
            </w:r>
          </w:p>
          <w:p w14:paraId="34951974" w14:textId="77777777" w:rsidR="004E408E" w:rsidRPr="001D5662" w:rsidRDefault="004E408E" w:rsidP="001D5662">
            <w:pPr>
              <w:pStyle w:val="CERbullets"/>
              <w:numPr>
                <w:ilvl w:val="1"/>
                <w:numId w:val="1"/>
              </w:numPr>
              <w:ind w:left="1106"/>
              <w:rPr>
                <w:b w:val="0"/>
                <w:bCs/>
              </w:rPr>
            </w:pPr>
            <w:r w:rsidRPr="001D5662">
              <w:rPr>
                <w:b w:val="0"/>
                <w:bCs/>
              </w:rPr>
              <w:t>When the gas is drained into pipes under only natural force and the gas not later combusted.</w:t>
            </w:r>
          </w:p>
          <w:p w14:paraId="56FE49B6" w14:textId="40A5E179" w:rsidR="004E408E" w:rsidRPr="0041399D" w:rsidRDefault="004E408E">
            <w:pPr>
              <w:spacing w:after="0"/>
              <w:rPr>
                <w:b w:val="0"/>
                <w:bCs/>
              </w:rPr>
            </w:pPr>
            <w:r w:rsidRPr="0041399D">
              <w:rPr>
                <w:b w:val="0"/>
                <w:bCs/>
              </w:rPr>
              <w:t>If landfill biogas, sludge biogas or, biogas other than landfill biogas and sludge biogas (which has been produced) is injected into a natural gas supply pipeline an energy transformation</w:t>
            </w:r>
            <w:r w:rsidRPr="00197499">
              <w:t xml:space="preserve"> </w:t>
            </w:r>
            <w:r w:rsidRPr="0041399D">
              <w:rPr>
                <w:b w:val="0"/>
                <w:bCs/>
              </w:rPr>
              <w:t xml:space="preserve">occurs at the point of injection. Since there has been an energy transformation, consumption (not combusted) of landfill biogas and the production of an equal gigajoule quantity of the fuel type ‘natural gas transmitted or distributed in a pipeline’ must be reported. </w:t>
            </w:r>
          </w:p>
          <w:p w14:paraId="745EAB66" w14:textId="36C7ADA2" w:rsidR="004E408E" w:rsidRPr="0000036F" w:rsidRDefault="004E408E">
            <w:pPr>
              <w:spacing w:before="120" w:after="120"/>
            </w:pPr>
            <w:r w:rsidRPr="0041399D">
              <w:rPr>
                <w:b w:val="0"/>
                <w:bCs/>
              </w:rPr>
              <w:t>Facilities which acquire natural gas</w:t>
            </w:r>
            <w:r w:rsidR="00DD5BB5">
              <w:rPr>
                <w:b w:val="0"/>
                <w:bCs/>
              </w:rPr>
              <w:t xml:space="preserve"> </w:t>
            </w:r>
            <w:r w:rsidRPr="0041399D">
              <w:rPr>
                <w:b w:val="0"/>
                <w:bCs/>
              </w:rPr>
              <w:t>from a network which has had biogas injected into it are required to report all consumption under the fuel type ‘natural gas transmitted or distributed</w:t>
            </w:r>
            <w:r w:rsidRPr="00197499">
              <w:t xml:space="preserve"> in </w:t>
            </w:r>
            <w:r w:rsidRPr="0041399D">
              <w:rPr>
                <w:b w:val="0"/>
                <w:bCs/>
              </w:rPr>
              <w:t>a pipeline’.</w:t>
            </w:r>
          </w:p>
        </w:tc>
      </w:tr>
    </w:tbl>
    <w:p w14:paraId="7B5F84D5" w14:textId="77777777" w:rsidR="004E408E" w:rsidRPr="00AE74AB" w:rsidRDefault="004E408E" w:rsidP="00050308">
      <w:pPr>
        <w:pStyle w:val="Heading2"/>
        <w:numPr>
          <w:ilvl w:val="1"/>
          <w:numId w:val="9"/>
        </w:numPr>
        <w:ind w:left="709" w:hanging="709"/>
      </w:pPr>
      <w:bookmarkStart w:id="36" w:name="_Toc76036490"/>
      <w:bookmarkStart w:id="37" w:name="_Toc205826941"/>
      <w:r w:rsidRPr="00AE74AB">
        <w:t>Estimating energy content of fuel produced</w:t>
      </w:r>
      <w:bookmarkEnd w:id="36"/>
      <w:bookmarkEnd w:id="37"/>
    </w:p>
    <w:p w14:paraId="1A77CDE7" w14:textId="77777777" w:rsidR="004E408E" w:rsidRDefault="004E408E" w:rsidP="00522547">
      <w:pPr>
        <w:spacing w:before="240"/>
      </w:pPr>
      <w:r>
        <w:t>In accordance with sections 6.2 and 6.3 of the NGER Measurement Determination, energy content of fuel produced should be estimated with reference to the equation below:</w:t>
      </w:r>
    </w:p>
    <w:p w14:paraId="0122C767" w14:textId="77777777" w:rsidR="004E408E" w:rsidRPr="00892CAF" w:rsidRDefault="00000000" w:rsidP="004E408E">
      <w:pPr>
        <w:rPr>
          <w:rFonts w:cs="Arial"/>
          <w:bCs/>
          <w:sz w:val="24"/>
          <w:szCs w:val="22"/>
        </w:rPr>
      </w:pPr>
      <m:oMathPara>
        <m:oMath>
          <m:sSub>
            <m:sSubPr>
              <m:ctrlPr>
                <w:rPr>
                  <w:rFonts w:ascii="Cambria Math" w:hAnsi="Cambria Math" w:cs="Arial"/>
                  <w:bCs/>
                  <w:i/>
                  <w:sz w:val="24"/>
                  <w:szCs w:val="22"/>
                </w:rPr>
              </m:ctrlPr>
            </m:sSubPr>
            <m:e>
              <m:r>
                <w:rPr>
                  <w:rFonts w:ascii="Cambria Math" w:hAnsi="Cambria Math" w:cs="Arial"/>
                  <w:sz w:val="24"/>
                  <w:szCs w:val="22"/>
                </w:rPr>
                <m:t>Z</m:t>
              </m:r>
            </m:e>
            <m:sub>
              <m:r>
                <w:rPr>
                  <w:rFonts w:ascii="Cambria Math" w:hAnsi="Cambria Math" w:cs="Arial"/>
                  <w:sz w:val="24"/>
                  <w:szCs w:val="22"/>
                </w:rPr>
                <m:t>i</m:t>
              </m:r>
            </m:sub>
          </m:sSub>
          <m:r>
            <w:rPr>
              <w:rFonts w:ascii="Cambria Math" w:hAnsi="Cambria Math" w:cs="Arial"/>
              <w:sz w:val="24"/>
              <w:szCs w:val="22"/>
            </w:rPr>
            <m:t xml:space="preserve">= </m:t>
          </m:r>
          <m:sSub>
            <m:sSubPr>
              <m:ctrlPr>
                <w:rPr>
                  <w:rFonts w:ascii="Cambria Math" w:hAnsi="Cambria Math" w:cs="Arial"/>
                  <w:bCs/>
                  <w:i/>
                  <w:sz w:val="24"/>
                  <w:szCs w:val="22"/>
                </w:rPr>
              </m:ctrlPr>
            </m:sSubPr>
            <m:e>
              <m:r>
                <w:rPr>
                  <w:rFonts w:ascii="Cambria Math" w:hAnsi="Cambria Math" w:cs="Arial"/>
                  <w:sz w:val="24"/>
                  <w:szCs w:val="22"/>
                </w:rPr>
                <m:t>Q</m:t>
              </m:r>
            </m:e>
            <m:sub>
              <m:r>
                <w:rPr>
                  <w:rFonts w:ascii="Cambria Math" w:hAnsi="Cambria Math" w:cs="Arial"/>
                  <w:sz w:val="24"/>
                  <w:szCs w:val="22"/>
                </w:rPr>
                <m:t>i</m:t>
              </m:r>
            </m:sub>
          </m:sSub>
          <m:r>
            <w:rPr>
              <w:rFonts w:ascii="Cambria Math" w:hAnsi="Cambria Math" w:cs="Arial"/>
              <w:sz w:val="24"/>
              <w:szCs w:val="22"/>
            </w:rPr>
            <m:t xml:space="preserve">× </m:t>
          </m:r>
          <m:sSub>
            <m:sSubPr>
              <m:ctrlPr>
                <w:rPr>
                  <w:rFonts w:ascii="Cambria Math" w:hAnsi="Cambria Math" w:cs="Arial"/>
                  <w:bCs/>
                  <w:i/>
                  <w:sz w:val="24"/>
                  <w:szCs w:val="22"/>
                </w:rPr>
              </m:ctrlPr>
            </m:sSubPr>
            <m:e>
              <m:r>
                <w:rPr>
                  <w:rFonts w:ascii="Cambria Math" w:hAnsi="Cambria Math" w:cs="Arial"/>
                  <w:sz w:val="24"/>
                  <w:szCs w:val="22"/>
                </w:rPr>
                <m:t>EC</m:t>
              </m:r>
            </m:e>
            <m:sub>
              <m:r>
                <w:rPr>
                  <w:rFonts w:ascii="Cambria Math" w:hAnsi="Cambria Math" w:cs="Arial"/>
                  <w:sz w:val="24"/>
                  <w:szCs w:val="22"/>
                </w:rPr>
                <m:t>i</m:t>
              </m:r>
            </m:sub>
          </m:sSub>
        </m:oMath>
      </m:oMathPara>
    </w:p>
    <w:p w14:paraId="2E485B8A" w14:textId="77777777" w:rsidR="004E408E" w:rsidRPr="00F86073" w:rsidRDefault="004E408E" w:rsidP="004E408E">
      <w:r w:rsidRPr="00F86073">
        <w:t>where:</w:t>
      </w:r>
    </w:p>
    <w:p w14:paraId="28EC7B8D" w14:textId="7442DE8D" w:rsidR="004E408E" w:rsidRPr="0027206C" w:rsidRDefault="00000000" w:rsidP="004E408E">
      <w:pPr>
        <w:rPr>
          <w:b/>
        </w:rPr>
      </w:pPr>
      <m:oMath>
        <m:sSub>
          <m:sSubPr>
            <m:ctrlPr>
              <w:rPr>
                <w:rFonts w:ascii="Cambria Math" w:hAnsi="Cambria Math"/>
                <w:bCs/>
                <w:i/>
              </w:rPr>
            </m:ctrlPr>
          </m:sSubPr>
          <m:e>
            <m:r>
              <w:rPr>
                <w:rFonts w:ascii="Cambria Math" w:hAnsi="Cambria Math"/>
              </w:rPr>
              <m:t>Z</m:t>
            </m:r>
          </m:e>
          <m:sub>
            <m:r>
              <w:rPr>
                <w:rFonts w:ascii="Cambria Math" w:hAnsi="Cambria Math"/>
              </w:rPr>
              <m:t>i</m:t>
            </m:r>
          </m:sub>
        </m:sSub>
        <m:r>
          <w:rPr>
            <w:rFonts w:ascii="Cambria Math" w:hAnsi="Cambria Math"/>
          </w:rPr>
          <m:t>=</m:t>
        </m:r>
      </m:oMath>
      <w:r w:rsidR="004E408E">
        <w:rPr>
          <w:lang w:eastAsia="en-AU"/>
        </w:rPr>
        <w:t xml:space="preserve"> the energy content of fuel type </w:t>
      </w:r>
      <w:r w:rsidR="004E408E" w:rsidRPr="00960E45">
        <w:t>(</w:t>
      </w:r>
      <w:r w:rsidR="004E408E" w:rsidRPr="0027206C">
        <w:rPr>
          <w:b/>
          <w:bCs/>
          <w:i/>
          <w:iCs/>
        </w:rPr>
        <w:t>i</w:t>
      </w:r>
      <w:r w:rsidR="004E408E" w:rsidRPr="00960E45">
        <w:t>)</w:t>
      </w:r>
      <w:r w:rsidR="004E408E">
        <w:rPr>
          <w:lang w:eastAsia="en-AU"/>
        </w:rPr>
        <w:t xml:space="preserve"> produced during the year and measured in</w:t>
      </w:r>
      <w:r w:rsidR="00FA04FB">
        <w:rPr>
          <w:lang w:eastAsia="en-AU"/>
        </w:rPr>
        <w:t xml:space="preserve"> gigajoules</w:t>
      </w:r>
      <w:r w:rsidR="004E408E">
        <w:rPr>
          <w:lang w:eastAsia="en-AU"/>
        </w:rPr>
        <w:t xml:space="preserve"> </w:t>
      </w:r>
      <w:r w:rsidR="00FA04FB">
        <w:rPr>
          <w:lang w:eastAsia="en-AU"/>
        </w:rPr>
        <w:t>(</w:t>
      </w:r>
      <w:r w:rsidR="004E408E">
        <w:rPr>
          <w:lang w:eastAsia="en-AU"/>
        </w:rPr>
        <w:t>GJ</w:t>
      </w:r>
      <w:r w:rsidR="00FA04FB">
        <w:rPr>
          <w:lang w:eastAsia="en-AU"/>
        </w:rPr>
        <w:t>)</w:t>
      </w:r>
      <w:r w:rsidR="004E408E">
        <w:rPr>
          <w:lang w:eastAsia="en-AU"/>
        </w:rPr>
        <w:t>.</w:t>
      </w:r>
    </w:p>
    <w:p w14:paraId="134C9AF7" w14:textId="32AB720D" w:rsidR="004E408E" w:rsidRPr="00E16A8D" w:rsidRDefault="00000000" w:rsidP="004E408E">
      <m:oMath>
        <m:sSub>
          <m:sSubPr>
            <m:ctrlPr>
              <w:rPr>
                <w:rFonts w:ascii="Cambria Math" w:hAnsi="Cambria Math"/>
                <w:bCs/>
                <w:i/>
              </w:rPr>
            </m:ctrlPr>
          </m:sSubPr>
          <m:e>
            <m:r>
              <w:rPr>
                <w:rFonts w:ascii="Cambria Math" w:hAnsi="Cambria Math"/>
              </w:rPr>
              <m:t>Q</m:t>
            </m:r>
          </m:e>
          <m:sub>
            <m:r>
              <w:rPr>
                <w:rFonts w:ascii="Cambria Math" w:hAnsi="Cambria Math"/>
              </w:rPr>
              <m:t>i</m:t>
            </m:r>
          </m:sub>
        </m:sSub>
        <m:r>
          <w:rPr>
            <w:rFonts w:ascii="Cambria Math" w:hAnsi="Cambria Math"/>
          </w:rPr>
          <m:t>=</m:t>
        </m:r>
      </m:oMath>
      <w:r w:rsidR="004E408E" w:rsidRPr="00960E45">
        <w:t xml:space="preserve"> the quantity of fuel type (</w:t>
      </w:r>
      <w:r w:rsidR="004E408E" w:rsidRPr="0027206C">
        <w:rPr>
          <w:b/>
          <w:bCs/>
          <w:i/>
          <w:iCs/>
        </w:rPr>
        <w:t>i</w:t>
      </w:r>
      <w:r w:rsidR="004E408E" w:rsidRPr="00960E45">
        <w:t xml:space="preserve">) produced during the year, and must be measured for the </w:t>
      </w:r>
      <w:r w:rsidR="009B72E3">
        <w:t>3</w:t>
      </w:r>
      <w:r w:rsidR="009B72E3" w:rsidRPr="00960E45">
        <w:t xml:space="preserve"> </w:t>
      </w:r>
      <w:r w:rsidR="004E408E" w:rsidRPr="00960E45">
        <w:t>different fuel types as follows:</w:t>
      </w:r>
    </w:p>
    <w:p w14:paraId="7CE1C38A" w14:textId="77777777" w:rsidR="004E408E" w:rsidRPr="0027206C" w:rsidRDefault="004E408E" w:rsidP="004E408E">
      <w:pPr>
        <w:pStyle w:val="CERbullets"/>
        <w:spacing w:before="60"/>
        <w:rPr>
          <w:lang w:eastAsia="en-AU"/>
        </w:rPr>
      </w:pPr>
      <w:r w:rsidRPr="0027206C">
        <w:rPr>
          <w:lang w:eastAsia="en-AU"/>
        </w:rPr>
        <w:lastRenderedPageBreak/>
        <w:t>if the energy is a solid</w:t>
      </w:r>
      <w:r>
        <w:rPr>
          <w:lang w:eastAsia="en-AU"/>
        </w:rPr>
        <w:t xml:space="preserve"> fuel</w:t>
      </w:r>
      <w:r w:rsidRPr="519AE8E1">
        <w:rPr>
          <w:rStyle w:val="FootnoteReference"/>
          <w:rFonts w:cs="Arial"/>
          <w:lang w:eastAsia="en-AU"/>
        </w:rPr>
        <w:footnoteReference w:id="13"/>
      </w:r>
      <w:r w:rsidRPr="0027206C">
        <w:rPr>
          <w:lang w:eastAsia="en-AU"/>
        </w:rPr>
        <w:t xml:space="preserve"> or gaseous fuel</w:t>
      </w:r>
      <w:r>
        <w:rPr>
          <w:lang w:eastAsia="en-AU"/>
        </w:rPr>
        <w:t xml:space="preserve"> </w:t>
      </w:r>
      <w:r w:rsidRPr="0027206C">
        <w:rPr>
          <w:lang w:eastAsia="en-AU"/>
        </w:rPr>
        <w:t>—</w:t>
      </w:r>
      <w:r>
        <w:rPr>
          <w:lang w:eastAsia="en-AU"/>
        </w:rPr>
        <w:t xml:space="preserve"> </w:t>
      </w:r>
      <w:r w:rsidRPr="0027206C">
        <w:rPr>
          <w:lang w:eastAsia="en-AU"/>
        </w:rPr>
        <w:t>in accordance with industry practice</w:t>
      </w:r>
      <w:r>
        <w:rPr>
          <w:lang w:eastAsia="en-AU"/>
        </w:rPr>
        <w:t xml:space="preserve">, </w:t>
      </w:r>
      <w:r w:rsidRPr="0027206C">
        <w:rPr>
          <w:lang w:eastAsia="en-AU"/>
        </w:rPr>
        <w:t>or</w:t>
      </w:r>
    </w:p>
    <w:p w14:paraId="7C178A77" w14:textId="77777777" w:rsidR="004E408E" w:rsidRPr="0027206C" w:rsidRDefault="004E408E" w:rsidP="004E408E">
      <w:pPr>
        <w:pStyle w:val="CERbullets"/>
        <w:spacing w:before="60"/>
        <w:rPr>
          <w:lang w:eastAsia="en-AU"/>
        </w:rPr>
      </w:pPr>
      <w:r w:rsidRPr="0027206C">
        <w:rPr>
          <w:lang w:eastAsia="en-AU"/>
        </w:rPr>
        <w:t>if the energy is a liquid fuel</w:t>
      </w:r>
      <w:r>
        <w:rPr>
          <w:lang w:eastAsia="en-AU"/>
        </w:rPr>
        <w:t xml:space="preserve"> </w:t>
      </w:r>
      <w:r w:rsidRPr="0027206C">
        <w:rPr>
          <w:lang w:eastAsia="en-AU"/>
        </w:rPr>
        <w:t>—</w:t>
      </w:r>
      <w:r>
        <w:rPr>
          <w:lang w:eastAsia="en-AU"/>
        </w:rPr>
        <w:t xml:space="preserve"> </w:t>
      </w:r>
      <w:r w:rsidRPr="0027206C">
        <w:rPr>
          <w:lang w:eastAsia="en-AU"/>
        </w:rPr>
        <w:t>by either of the following:</w:t>
      </w:r>
    </w:p>
    <w:p w14:paraId="2E27ED18" w14:textId="77777777" w:rsidR="004E408E" w:rsidRPr="001D5662" w:rsidRDefault="004E408E" w:rsidP="001D5662">
      <w:pPr>
        <w:pStyle w:val="CERbullets"/>
        <w:numPr>
          <w:ilvl w:val="1"/>
          <w:numId w:val="1"/>
        </w:numPr>
      </w:pPr>
      <w:r w:rsidRPr="001D5662">
        <w:t>using bulk filling meters corrected to 15° Celsius</w:t>
      </w:r>
    </w:p>
    <w:p w14:paraId="4CBF80EB" w14:textId="77777777" w:rsidR="004E408E" w:rsidRPr="001D5662" w:rsidRDefault="004E408E" w:rsidP="001D5662">
      <w:pPr>
        <w:pStyle w:val="CERbullets"/>
        <w:numPr>
          <w:ilvl w:val="1"/>
          <w:numId w:val="1"/>
        </w:numPr>
      </w:pPr>
      <w:r w:rsidRPr="001D5662">
        <w:t>by the physical measurement of the fuel corrected to its notional volumetric equivalent at a temperature of 15° Celsius.</w:t>
      </w:r>
    </w:p>
    <w:p w14:paraId="69C190FC" w14:textId="77777777" w:rsidR="004E408E" w:rsidRDefault="00000000" w:rsidP="004E408E">
      <w:pPr>
        <w:rPr>
          <w:rFonts w:eastAsia="Calibri" w:cs="Arial"/>
          <w:color w:val="auto"/>
          <w:szCs w:val="22"/>
        </w:rPr>
      </w:pPr>
      <m:oMath>
        <m:sSub>
          <m:sSubPr>
            <m:ctrlPr>
              <w:rPr>
                <w:rFonts w:ascii="Cambria Math" w:hAnsi="Cambria Math" w:cs="Arial"/>
                <w:bCs/>
                <w:i/>
                <w:szCs w:val="22"/>
              </w:rPr>
            </m:ctrlPr>
          </m:sSubPr>
          <m:e>
            <m:r>
              <w:rPr>
                <w:rFonts w:ascii="Cambria Math" w:hAnsi="Cambria Math" w:cs="Arial"/>
                <w:szCs w:val="22"/>
              </w:rPr>
              <m:t>EC</m:t>
            </m:r>
          </m:e>
          <m:sub>
            <m:r>
              <w:rPr>
                <w:rFonts w:ascii="Cambria Math" w:hAnsi="Cambria Math" w:cs="Arial"/>
                <w:szCs w:val="22"/>
              </w:rPr>
              <m:t>i</m:t>
            </m:r>
          </m:sub>
        </m:sSub>
        <m:r>
          <w:rPr>
            <w:rFonts w:ascii="Cambria Math" w:hAnsi="Cambria Math" w:cs="Arial"/>
            <w:szCs w:val="22"/>
          </w:rPr>
          <m:t xml:space="preserve">= </m:t>
        </m:r>
      </m:oMath>
      <w:r w:rsidR="004E408E" w:rsidRPr="00960E45">
        <w:rPr>
          <w:rFonts w:eastAsia="Calibri" w:cs="Arial"/>
          <w:color w:val="auto"/>
          <w:szCs w:val="22"/>
        </w:rPr>
        <w:t>the energy content factor of fuel type (</w:t>
      </w:r>
      <w:r w:rsidR="004E408E" w:rsidRPr="00960E45">
        <w:rPr>
          <w:rFonts w:eastAsia="Calibri" w:cs="Arial"/>
          <w:b/>
          <w:bCs/>
          <w:i/>
          <w:iCs/>
          <w:color w:val="auto"/>
          <w:szCs w:val="22"/>
        </w:rPr>
        <w:t>i</w:t>
      </w:r>
      <w:r w:rsidR="004E408E" w:rsidRPr="00960E45">
        <w:rPr>
          <w:rFonts w:eastAsia="Calibri" w:cs="Arial"/>
          <w:color w:val="auto"/>
          <w:szCs w:val="22"/>
        </w:rPr>
        <w:t xml:space="preserve">) </w:t>
      </w:r>
      <w:r w:rsidR="004E408E">
        <w:rPr>
          <w:rFonts w:eastAsia="Calibri" w:cs="Arial"/>
          <w:color w:val="auto"/>
          <w:szCs w:val="22"/>
        </w:rPr>
        <w:t>in GJ either:</w:t>
      </w:r>
    </w:p>
    <w:p w14:paraId="41E3F6AD" w14:textId="77777777" w:rsidR="004E408E" w:rsidRPr="001D5662" w:rsidRDefault="004E408E" w:rsidP="001D5662">
      <w:pPr>
        <w:pStyle w:val="CERbullets"/>
      </w:pPr>
      <w:r w:rsidRPr="001D5662">
        <w:t>as listed within Schedule 1 of the NGER Measurement Determination</w:t>
      </w:r>
    </w:p>
    <w:p w14:paraId="617B3099" w14:textId="77777777" w:rsidR="004E408E" w:rsidRPr="001D5662" w:rsidRDefault="004E408E" w:rsidP="001D5662">
      <w:pPr>
        <w:pStyle w:val="CERbullets"/>
      </w:pPr>
      <w:r w:rsidRPr="001D5662">
        <w:t>determined in accordance with Divisions 2.2.3 and 2.2.4 (solid fuels), Divisions 2.3.3 and 2.3.4 (gaseous fuels) or Divisions 2.4.3 and 2.4.4 (liquid fuels)</w:t>
      </w:r>
    </w:p>
    <w:p w14:paraId="4E04510C" w14:textId="294DCF63" w:rsidR="004E408E" w:rsidRPr="001D5662" w:rsidRDefault="004E408E" w:rsidP="001D5662">
      <w:pPr>
        <w:pStyle w:val="CERbullets"/>
      </w:pPr>
      <w:r w:rsidRPr="001D5662">
        <w:t>for electricity in kilowatt</w:t>
      </w:r>
      <w:r w:rsidR="00C80AA0" w:rsidRPr="001D5662">
        <w:t>-</w:t>
      </w:r>
      <w:r w:rsidRPr="001D5662">
        <w:t>hours</w:t>
      </w:r>
      <w:r w:rsidR="005F43D5" w:rsidRPr="001D5662">
        <w:t xml:space="preserve"> (kWh)</w:t>
      </w:r>
      <w:r w:rsidRPr="001D5662">
        <w:t>, equal to 0.0036</w:t>
      </w:r>
    </w:p>
    <w:p w14:paraId="16A60FAE" w14:textId="77777777" w:rsidR="004E408E" w:rsidRPr="001D5662" w:rsidRDefault="004E408E" w:rsidP="001D5662">
      <w:pPr>
        <w:pStyle w:val="CERbullets"/>
      </w:pPr>
      <w:r w:rsidRPr="001D5662">
        <w:t>for fuels measured in GJ, equal to 1.</w:t>
      </w:r>
    </w:p>
    <w:p w14:paraId="7BB44346" w14:textId="77777777" w:rsidR="004E408E" w:rsidRPr="00222962" w:rsidRDefault="004E408E" w:rsidP="00050308">
      <w:pPr>
        <w:pStyle w:val="Heading2"/>
        <w:numPr>
          <w:ilvl w:val="1"/>
          <w:numId w:val="9"/>
        </w:numPr>
        <w:ind w:left="709" w:hanging="709"/>
      </w:pPr>
      <w:bookmarkStart w:id="38" w:name="_Toc76036491"/>
      <w:bookmarkStart w:id="39" w:name="_Toc205826942"/>
      <w:r w:rsidRPr="00222962">
        <w:t>Estimating energy content of fuel consumed</w:t>
      </w:r>
      <w:bookmarkEnd w:id="38"/>
      <w:bookmarkEnd w:id="39"/>
    </w:p>
    <w:p w14:paraId="4D85D60E" w14:textId="77777777" w:rsidR="004E408E" w:rsidRDefault="004E408E" w:rsidP="00522547">
      <w:pPr>
        <w:spacing w:before="240"/>
      </w:pPr>
      <w:r>
        <w:t>In accordance with section 6.5 of the NGER Measurement Determination, the energy content of fuel consumed should be estimated with reference to the equation below. It is important to note that EERS will automatically estimate and report energy consumption when emissions from fuel combustion is reported.</w:t>
      </w:r>
    </w:p>
    <w:p w14:paraId="2271BA38" w14:textId="77777777" w:rsidR="004E408E" w:rsidRPr="00892CAF" w:rsidRDefault="00000000" w:rsidP="004E408E">
      <w:pPr>
        <w:rPr>
          <w:rFonts w:cs="Arial"/>
          <w:bCs/>
          <w:sz w:val="24"/>
        </w:rPr>
      </w:pPr>
      <m:oMathPara>
        <m:oMath>
          <m:sSub>
            <m:sSubPr>
              <m:ctrlPr>
                <w:rPr>
                  <w:rFonts w:ascii="Cambria Math" w:hAnsi="Cambria Math" w:cs="Arial"/>
                  <w:bCs/>
                  <w:i/>
                  <w:sz w:val="24"/>
                </w:rPr>
              </m:ctrlPr>
            </m:sSubPr>
            <m:e>
              <m:r>
                <w:rPr>
                  <w:rFonts w:ascii="Cambria Math" w:hAnsi="Cambria Math" w:cs="Arial"/>
                  <w:sz w:val="24"/>
                </w:rPr>
                <m:t>Z</m:t>
              </m:r>
            </m:e>
            <m:sub>
              <m:r>
                <w:rPr>
                  <w:rFonts w:ascii="Cambria Math" w:hAnsi="Cambria Math" w:cs="Arial"/>
                  <w:sz w:val="24"/>
                </w:rPr>
                <m:t>i</m:t>
              </m:r>
            </m:sub>
          </m:sSub>
          <m:r>
            <w:rPr>
              <w:rFonts w:ascii="Cambria Math" w:hAnsi="Cambria Math" w:cs="Arial"/>
              <w:sz w:val="24"/>
            </w:rPr>
            <m:t xml:space="preserve">= </m:t>
          </m:r>
          <m:sSub>
            <m:sSubPr>
              <m:ctrlPr>
                <w:rPr>
                  <w:rFonts w:ascii="Cambria Math" w:hAnsi="Cambria Math" w:cs="Arial"/>
                  <w:bCs/>
                  <w:i/>
                  <w:sz w:val="24"/>
                </w:rPr>
              </m:ctrlPr>
            </m:sSubPr>
            <m:e>
              <m:r>
                <w:rPr>
                  <w:rFonts w:ascii="Cambria Math" w:hAnsi="Cambria Math" w:cs="Arial"/>
                  <w:sz w:val="24"/>
                </w:rPr>
                <m:t>Q</m:t>
              </m:r>
            </m:e>
            <m:sub>
              <m:r>
                <w:rPr>
                  <w:rFonts w:ascii="Cambria Math" w:hAnsi="Cambria Math" w:cs="Arial"/>
                  <w:sz w:val="24"/>
                </w:rPr>
                <m:t>i</m:t>
              </m:r>
            </m:sub>
          </m:sSub>
          <m:r>
            <w:rPr>
              <w:rFonts w:ascii="Cambria Math" w:hAnsi="Cambria Math" w:cs="Arial"/>
              <w:sz w:val="24"/>
            </w:rPr>
            <m:t xml:space="preserve">× </m:t>
          </m:r>
          <m:sSub>
            <m:sSubPr>
              <m:ctrlPr>
                <w:rPr>
                  <w:rFonts w:ascii="Cambria Math" w:hAnsi="Cambria Math" w:cs="Arial"/>
                  <w:bCs/>
                  <w:i/>
                  <w:sz w:val="24"/>
                </w:rPr>
              </m:ctrlPr>
            </m:sSubPr>
            <m:e>
              <m:r>
                <w:rPr>
                  <w:rFonts w:ascii="Cambria Math" w:hAnsi="Cambria Math" w:cs="Arial"/>
                  <w:sz w:val="24"/>
                </w:rPr>
                <m:t>EC</m:t>
              </m:r>
            </m:e>
            <m:sub>
              <m:r>
                <w:rPr>
                  <w:rFonts w:ascii="Cambria Math" w:hAnsi="Cambria Math" w:cs="Arial"/>
                  <w:sz w:val="24"/>
                </w:rPr>
                <m:t>i</m:t>
              </m:r>
            </m:sub>
          </m:sSub>
        </m:oMath>
      </m:oMathPara>
    </w:p>
    <w:p w14:paraId="0001B5BD" w14:textId="77777777" w:rsidR="004E408E" w:rsidRDefault="004E408E" w:rsidP="004E408E">
      <w:pPr>
        <w:rPr>
          <w:rFonts w:cs="Arial"/>
        </w:rPr>
      </w:pPr>
      <w:r>
        <w:rPr>
          <w:rFonts w:cs="Arial"/>
        </w:rPr>
        <w:t>where:</w:t>
      </w:r>
    </w:p>
    <w:p w14:paraId="5CA5BA66" w14:textId="77777777" w:rsidR="004E408E" w:rsidRPr="0027206C" w:rsidRDefault="00000000" w:rsidP="004E408E">
      <w:pPr>
        <w:rPr>
          <w:rFonts w:cs="Arial"/>
          <w:color w:val="auto"/>
          <w:szCs w:val="22"/>
          <w:lang w:eastAsia="en-AU"/>
        </w:rPr>
      </w:pPr>
      <m:oMath>
        <m:sSub>
          <m:sSubPr>
            <m:ctrlPr>
              <w:rPr>
                <w:rFonts w:ascii="Cambria Math" w:hAnsi="Cambria Math" w:cs="Arial"/>
                <w:bCs/>
                <w:i/>
                <w:szCs w:val="22"/>
              </w:rPr>
            </m:ctrlPr>
          </m:sSubPr>
          <m:e>
            <m:r>
              <w:rPr>
                <w:rFonts w:ascii="Cambria Math" w:hAnsi="Cambria Math" w:cs="Arial"/>
                <w:szCs w:val="22"/>
              </w:rPr>
              <m:t>Z</m:t>
            </m:r>
          </m:e>
          <m:sub>
            <m:r>
              <w:rPr>
                <w:rFonts w:ascii="Cambria Math" w:hAnsi="Cambria Math" w:cs="Arial"/>
                <w:szCs w:val="22"/>
              </w:rPr>
              <m:t>i</m:t>
            </m:r>
          </m:sub>
        </m:sSub>
        <m:r>
          <m:rPr>
            <m:sty m:val="bi"/>
          </m:rPr>
          <w:rPr>
            <w:rFonts w:ascii="Cambria Math" w:hAnsi="Cambria Math" w:cs="Arial"/>
            <w:szCs w:val="22"/>
          </w:rPr>
          <m:t>=</m:t>
        </m:r>
      </m:oMath>
      <w:r w:rsidR="004E408E">
        <w:rPr>
          <w:rFonts w:cs="Arial"/>
          <w:color w:val="auto"/>
          <w:szCs w:val="22"/>
          <w:lang w:eastAsia="en-AU"/>
        </w:rPr>
        <w:t xml:space="preserve"> the energy content of fuel type </w:t>
      </w:r>
      <w:r w:rsidR="004E408E" w:rsidRPr="00E82DB9">
        <w:t>(</w:t>
      </w:r>
      <w:r w:rsidR="004E408E" w:rsidRPr="00892CAF">
        <w:rPr>
          <w:i/>
          <w:iCs/>
        </w:rPr>
        <w:t>i</w:t>
      </w:r>
      <w:r w:rsidR="004E408E" w:rsidRPr="00E82DB9">
        <w:t>)</w:t>
      </w:r>
      <w:r w:rsidR="004E408E">
        <w:rPr>
          <w:rFonts w:cs="Arial"/>
          <w:color w:val="auto"/>
          <w:szCs w:val="22"/>
          <w:lang w:eastAsia="en-AU"/>
        </w:rPr>
        <w:t xml:space="preserve"> consumed during the year and measured in GJ. </w:t>
      </w:r>
    </w:p>
    <w:p w14:paraId="5CECB15F" w14:textId="764338A8" w:rsidR="004E408E" w:rsidRPr="0027206C" w:rsidRDefault="00000000" w:rsidP="004E408E">
      <w:pPr>
        <w:rPr>
          <w:rFonts w:eastAsia="Calibri" w:cs="Arial"/>
          <w:color w:val="auto"/>
          <w:szCs w:val="22"/>
        </w:rPr>
      </w:pPr>
      <m:oMath>
        <m:sSub>
          <m:sSubPr>
            <m:ctrlPr>
              <w:rPr>
                <w:rFonts w:ascii="Cambria Math" w:hAnsi="Cambria Math" w:cs="Arial"/>
                <w:bCs/>
                <w:i/>
                <w:szCs w:val="22"/>
              </w:rPr>
            </m:ctrlPr>
          </m:sSubPr>
          <m:e>
            <m:r>
              <w:rPr>
                <w:rFonts w:ascii="Cambria Math" w:hAnsi="Cambria Math" w:cs="Arial"/>
                <w:szCs w:val="22"/>
              </w:rPr>
              <m:t>Q</m:t>
            </m:r>
          </m:e>
          <m:sub>
            <m:r>
              <w:rPr>
                <w:rFonts w:ascii="Cambria Math" w:hAnsi="Cambria Math" w:cs="Arial"/>
                <w:szCs w:val="22"/>
              </w:rPr>
              <m:t>i</m:t>
            </m:r>
          </m:sub>
        </m:sSub>
        <m:r>
          <m:rPr>
            <m:sty m:val="bi"/>
          </m:rPr>
          <w:rPr>
            <w:rFonts w:ascii="Cambria Math" w:hAnsi="Cambria Math" w:cs="Arial"/>
            <w:szCs w:val="22"/>
          </w:rPr>
          <m:t>=</m:t>
        </m:r>
        <m:r>
          <w:rPr>
            <w:rFonts w:ascii="Cambria Math" w:hAnsi="Cambria Math" w:cs="Arial"/>
            <w:szCs w:val="22"/>
          </w:rPr>
          <m:t xml:space="preserve"> </m:t>
        </m:r>
      </m:oMath>
      <w:r w:rsidR="004E408E" w:rsidRPr="0027206C">
        <w:rPr>
          <w:rFonts w:eastAsia="Calibri" w:cs="Arial"/>
          <w:color w:val="auto"/>
          <w:szCs w:val="22"/>
        </w:rPr>
        <w:t>the quantity of fuel type (</w:t>
      </w:r>
      <w:r w:rsidR="004E408E" w:rsidRPr="0027206C">
        <w:rPr>
          <w:rFonts w:eastAsia="Calibri" w:cs="Arial"/>
          <w:b/>
          <w:bCs/>
          <w:i/>
          <w:iCs/>
          <w:color w:val="auto"/>
          <w:szCs w:val="22"/>
        </w:rPr>
        <w:t>i</w:t>
      </w:r>
      <w:r w:rsidR="004E408E" w:rsidRPr="0027206C">
        <w:rPr>
          <w:rFonts w:eastAsia="Calibri" w:cs="Arial"/>
          <w:color w:val="auto"/>
          <w:szCs w:val="22"/>
        </w:rPr>
        <w:t xml:space="preserve">) consumed during the year, and must be measured for the </w:t>
      </w:r>
      <w:r w:rsidR="009B72E3">
        <w:rPr>
          <w:rFonts w:eastAsia="Calibri" w:cs="Arial"/>
          <w:color w:val="auto"/>
          <w:szCs w:val="22"/>
        </w:rPr>
        <w:t>3</w:t>
      </w:r>
      <w:r w:rsidR="009B72E3" w:rsidRPr="0027206C">
        <w:rPr>
          <w:rFonts w:eastAsia="Calibri" w:cs="Arial"/>
          <w:color w:val="auto"/>
          <w:szCs w:val="22"/>
        </w:rPr>
        <w:t xml:space="preserve"> </w:t>
      </w:r>
      <w:r w:rsidR="004E408E" w:rsidRPr="0027206C">
        <w:rPr>
          <w:rFonts w:eastAsia="Calibri" w:cs="Arial"/>
          <w:color w:val="auto"/>
          <w:szCs w:val="22"/>
        </w:rPr>
        <w:t>different fuel types as follows:</w:t>
      </w:r>
    </w:p>
    <w:p w14:paraId="7F5D7ACD" w14:textId="77777777" w:rsidR="004E408E" w:rsidRPr="0027206C" w:rsidRDefault="004E408E" w:rsidP="00682491">
      <w:pPr>
        <w:pStyle w:val="CERbullets"/>
        <w:numPr>
          <w:ilvl w:val="0"/>
          <w:numId w:val="22"/>
        </w:numPr>
        <w:rPr>
          <w:lang w:eastAsia="en-AU"/>
        </w:rPr>
      </w:pPr>
      <w:r w:rsidRPr="0027206C">
        <w:rPr>
          <w:lang w:eastAsia="en-AU"/>
        </w:rPr>
        <w:t xml:space="preserve">for a solid fuel: Part 2.2 of the </w:t>
      </w:r>
      <w:r>
        <w:rPr>
          <w:lang w:eastAsia="en-AU"/>
        </w:rPr>
        <w:t xml:space="preserve">NGER </w:t>
      </w:r>
      <w:r>
        <w:t>Measurement Determination</w:t>
      </w:r>
    </w:p>
    <w:p w14:paraId="403CFCE3" w14:textId="77777777" w:rsidR="004E408E" w:rsidRPr="0027206C" w:rsidRDefault="004E408E" w:rsidP="00682491">
      <w:pPr>
        <w:pStyle w:val="CERbullets"/>
        <w:numPr>
          <w:ilvl w:val="0"/>
          <w:numId w:val="22"/>
        </w:numPr>
        <w:rPr>
          <w:lang w:eastAsia="en-AU"/>
        </w:rPr>
      </w:pPr>
      <w:r w:rsidRPr="0027206C">
        <w:rPr>
          <w:lang w:eastAsia="en-AU"/>
        </w:rPr>
        <w:t xml:space="preserve">for a gaseous fuel: Part 2.3 of the </w:t>
      </w:r>
      <w:r>
        <w:rPr>
          <w:lang w:eastAsia="en-AU"/>
        </w:rPr>
        <w:t xml:space="preserve">NGER </w:t>
      </w:r>
      <w:r>
        <w:t>Measurement Determination</w:t>
      </w:r>
    </w:p>
    <w:p w14:paraId="7EBE7863" w14:textId="77777777" w:rsidR="004E408E" w:rsidRDefault="004E408E" w:rsidP="00682491">
      <w:pPr>
        <w:pStyle w:val="CERbullets"/>
        <w:numPr>
          <w:ilvl w:val="0"/>
          <w:numId w:val="22"/>
        </w:numPr>
        <w:rPr>
          <w:lang w:eastAsia="en-AU"/>
        </w:rPr>
      </w:pPr>
      <w:r w:rsidRPr="0027206C">
        <w:rPr>
          <w:lang w:eastAsia="en-AU"/>
        </w:rPr>
        <w:t xml:space="preserve">for a liquid fuel: Part 2.4 of the </w:t>
      </w:r>
      <w:r>
        <w:rPr>
          <w:lang w:eastAsia="en-AU"/>
        </w:rPr>
        <w:t xml:space="preserve">NGER </w:t>
      </w:r>
      <w:r>
        <w:t>Measurement Determination</w:t>
      </w:r>
      <w:r>
        <w:rPr>
          <w:lang w:eastAsia="en-AU"/>
        </w:rPr>
        <w:t>.</w:t>
      </w:r>
    </w:p>
    <w:p w14:paraId="6C1D6BB1" w14:textId="0BE1805E" w:rsidR="004E408E" w:rsidRPr="0027206C" w:rsidRDefault="00000000" w:rsidP="004E408E">
      <w:pPr>
        <w:rPr>
          <w:rFonts w:eastAsia="Calibri" w:cs="Arial"/>
          <w:color w:val="auto"/>
          <w:szCs w:val="22"/>
        </w:rPr>
      </w:pPr>
      <m:oMath>
        <m:sSub>
          <m:sSubPr>
            <m:ctrlPr>
              <w:rPr>
                <w:rFonts w:ascii="Cambria Math" w:hAnsi="Cambria Math" w:cs="Arial"/>
                <w:bCs/>
                <w:i/>
                <w:szCs w:val="22"/>
              </w:rPr>
            </m:ctrlPr>
          </m:sSubPr>
          <m:e>
            <m:r>
              <w:rPr>
                <w:rFonts w:ascii="Cambria Math" w:hAnsi="Cambria Math" w:cs="Arial"/>
                <w:szCs w:val="22"/>
              </w:rPr>
              <m:t>EC</m:t>
            </m:r>
          </m:e>
          <m:sub>
            <m:r>
              <w:rPr>
                <w:rFonts w:ascii="Cambria Math" w:hAnsi="Cambria Math" w:cs="Arial"/>
                <w:szCs w:val="22"/>
              </w:rPr>
              <m:t>i</m:t>
            </m:r>
          </m:sub>
        </m:sSub>
        <m:r>
          <m:rPr>
            <m:sty m:val="bi"/>
          </m:rPr>
          <w:rPr>
            <w:rFonts w:ascii="Cambria Math" w:hAnsi="Cambria Math" w:cs="Arial"/>
            <w:szCs w:val="22"/>
          </w:rPr>
          <m:t>=</m:t>
        </m:r>
        <m:r>
          <w:rPr>
            <w:rFonts w:ascii="Cambria Math" w:hAnsi="Cambria Math" w:cs="Arial"/>
            <w:szCs w:val="22"/>
          </w:rPr>
          <m:t xml:space="preserve"> </m:t>
        </m:r>
      </m:oMath>
      <w:r w:rsidR="004E408E" w:rsidRPr="0027206C">
        <w:rPr>
          <w:rFonts w:eastAsia="Calibri" w:cs="Arial"/>
          <w:color w:val="auto"/>
          <w:szCs w:val="22"/>
        </w:rPr>
        <w:t>the energy content factor of fuel type (</w:t>
      </w:r>
      <w:r w:rsidR="004E408E" w:rsidRPr="0027206C">
        <w:rPr>
          <w:rFonts w:eastAsia="Calibri" w:cs="Arial"/>
          <w:b/>
          <w:bCs/>
          <w:i/>
          <w:iCs/>
          <w:color w:val="auto"/>
          <w:szCs w:val="22"/>
        </w:rPr>
        <w:t>i</w:t>
      </w:r>
      <w:r w:rsidR="004E408E" w:rsidRPr="0027206C">
        <w:rPr>
          <w:rFonts w:eastAsia="Calibri" w:cs="Arial"/>
          <w:color w:val="auto"/>
          <w:szCs w:val="22"/>
        </w:rPr>
        <w:t xml:space="preserve">) and must be measured for the </w:t>
      </w:r>
      <w:r w:rsidR="009B72E3">
        <w:rPr>
          <w:rFonts w:eastAsia="Calibri" w:cs="Arial"/>
          <w:color w:val="auto"/>
          <w:szCs w:val="22"/>
        </w:rPr>
        <w:t>3</w:t>
      </w:r>
      <w:r w:rsidR="009B72E3" w:rsidRPr="0027206C">
        <w:rPr>
          <w:rFonts w:eastAsia="Calibri" w:cs="Arial"/>
          <w:color w:val="auto"/>
          <w:szCs w:val="22"/>
        </w:rPr>
        <w:t xml:space="preserve"> </w:t>
      </w:r>
      <w:r w:rsidR="004E408E" w:rsidRPr="0027206C">
        <w:rPr>
          <w:rFonts w:eastAsia="Calibri" w:cs="Arial"/>
          <w:color w:val="auto"/>
          <w:szCs w:val="22"/>
        </w:rPr>
        <w:t>different fuel types as follows:</w:t>
      </w:r>
    </w:p>
    <w:p w14:paraId="3FB95DB6" w14:textId="005D8DA5" w:rsidR="004E408E" w:rsidRDefault="004E408E" w:rsidP="00682491">
      <w:pPr>
        <w:pStyle w:val="CERbullets"/>
        <w:numPr>
          <w:ilvl w:val="0"/>
          <w:numId w:val="23"/>
        </w:numPr>
        <w:spacing w:before="60"/>
        <w:rPr>
          <w:lang w:eastAsia="en-AU"/>
        </w:rPr>
      </w:pPr>
      <w:r w:rsidRPr="0027206C">
        <w:rPr>
          <w:lang w:eastAsia="en-AU"/>
        </w:rPr>
        <w:t>for a solid fuel, in</w:t>
      </w:r>
      <w:r w:rsidR="004F2E1E">
        <w:rPr>
          <w:lang w:eastAsia="en-AU"/>
        </w:rPr>
        <w:t xml:space="preserve"> gigajoules per tonne</w:t>
      </w:r>
      <w:r w:rsidRPr="0027206C">
        <w:rPr>
          <w:lang w:eastAsia="en-AU"/>
        </w:rPr>
        <w:t xml:space="preserve"> </w:t>
      </w:r>
      <w:r w:rsidR="000F0884">
        <w:rPr>
          <w:lang w:eastAsia="en-AU"/>
        </w:rPr>
        <w:t>(</w:t>
      </w:r>
      <w:r w:rsidRPr="0027206C">
        <w:rPr>
          <w:lang w:eastAsia="en-AU"/>
        </w:rPr>
        <w:t>GJ/t</w:t>
      </w:r>
      <w:r w:rsidR="000F0884">
        <w:rPr>
          <w:lang w:eastAsia="en-AU"/>
        </w:rPr>
        <w:t>)</w:t>
      </w:r>
      <w:r w:rsidRPr="0027206C">
        <w:rPr>
          <w:lang w:eastAsia="en-AU"/>
        </w:rPr>
        <w:t xml:space="preserve">: </w:t>
      </w:r>
    </w:p>
    <w:p w14:paraId="454CE50F" w14:textId="77777777" w:rsidR="004E408E" w:rsidRPr="001D5662" w:rsidRDefault="004E408E" w:rsidP="001D5662">
      <w:pPr>
        <w:pStyle w:val="CERbullets"/>
        <w:numPr>
          <w:ilvl w:val="1"/>
          <w:numId w:val="1"/>
        </w:numPr>
      </w:pPr>
      <w:r w:rsidRPr="001D5662">
        <w:t xml:space="preserve">as mentioned in Part 1 of Schedule 1 of the NGER Measurement Determination; or </w:t>
      </w:r>
    </w:p>
    <w:p w14:paraId="31FC5767" w14:textId="77777777" w:rsidR="004E408E" w:rsidRPr="001D5662" w:rsidRDefault="004E408E" w:rsidP="001D5662">
      <w:pPr>
        <w:pStyle w:val="CERbullets"/>
        <w:numPr>
          <w:ilvl w:val="1"/>
          <w:numId w:val="1"/>
        </w:numPr>
      </w:pPr>
      <w:r w:rsidRPr="001D5662">
        <w:t>as estimated by analysis of the fuel in accordance with the standard indicated for that energy content factor in Schedule 2 of the NGER Measurement Determination or an equivalent standard.</w:t>
      </w:r>
    </w:p>
    <w:p w14:paraId="38B1D3EC" w14:textId="200FB003" w:rsidR="004E408E" w:rsidRDefault="004E408E" w:rsidP="00682491">
      <w:pPr>
        <w:pStyle w:val="CERbullets"/>
        <w:numPr>
          <w:ilvl w:val="0"/>
          <w:numId w:val="23"/>
        </w:numPr>
        <w:spacing w:before="60"/>
        <w:rPr>
          <w:lang w:eastAsia="en-AU"/>
        </w:rPr>
      </w:pPr>
      <w:r w:rsidRPr="0027206C">
        <w:rPr>
          <w:lang w:eastAsia="en-AU"/>
        </w:rPr>
        <w:t>for a gaseous fuel, in</w:t>
      </w:r>
      <w:r w:rsidR="000F0884">
        <w:rPr>
          <w:lang w:eastAsia="en-AU"/>
        </w:rPr>
        <w:t xml:space="preserve"> gigajoules per cubic metre</w:t>
      </w:r>
      <w:r w:rsidRPr="0027206C">
        <w:rPr>
          <w:lang w:eastAsia="en-AU"/>
        </w:rPr>
        <w:t xml:space="preserve"> </w:t>
      </w:r>
      <w:r w:rsidR="000F0884">
        <w:rPr>
          <w:lang w:eastAsia="en-AU"/>
        </w:rPr>
        <w:t>(</w:t>
      </w:r>
      <w:r w:rsidRPr="0027206C">
        <w:rPr>
          <w:lang w:eastAsia="en-AU"/>
        </w:rPr>
        <w:t>GJ/m</w:t>
      </w:r>
      <w:r w:rsidRPr="0027206C">
        <w:rPr>
          <w:vertAlign w:val="superscript"/>
          <w:lang w:eastAsia="en-AU"/>
        </w:rPr>
        <w:t>3</w:t>
      </w:r>
      <w:r w:rsidR="000F0884">
        <w:rPr>
          <w:lang w:eastAsia="en-AU"/>
        </w:rPr>
        <w:t>):</w:t>
      </w:r>
    </w:p>
    <w:p w14:paraId="191BE5D8" w14:textId="77777777" w:rsidR="004E408E" w:rsidRPr="001D5662" w:rsidRDefault="004E408E" w:rsidP="001D5662">
      <w:pPr>
        <w:pStyle w:val="CERbullets"/>
        <w:numPr>
          <w:ilvl w:val="1"/>
          <w:numId w:val="1"/>
        </w:numPr>
      </w:pPr>
      <w:r w:rsidRPr="001D5662">
        <w:t xml:space="preserve">as mentioned in Part 2 of Schedule 1 of the NGER Measurement Determination; or </w:t>
      </w:r>
    </w:p>
    <w:p w14:paraId="5E4D5287" w14:textId="77777777" w:rsidR="004E408E" w:rsidRPr="001D5662" w:rsidRDefault="004E408E" w:rsidP="001D5662">
      <w:pPr>
        <w:pStyle w:val="CERbullets"/>
        <w:numPr>
          <w:ilvl w:val="1"/>
          <w:numId w:val="1"/>
        </w:numPr>
      </w:pPr>
      <w:r w:rsidRPr="001D5662">
        <w:t>estimated by analysis under Subdivision 2.3.3.2 of the NGER Measurement Determination.</w:t>
      </w:r>
    </w:p>
    <w:p w14:paraId="5763F4AF" w14:textId="77777777" w:rsidR="004E408E" w:rsidRDefault="004E408E" w:rsidP="00682491">
      <w:pPr>
        <w:pStyle w:val="CERbullets"/>
        <w:numPr>
          <w:ilvl w:val="0"/>
          <w:numId w:val="23"/>
        </w:numPr>
        <w:spacing w:before="60"/>
        <w:rPr>
          <w:lang w:eastAsia="en-AU"/>
        </w:rPr>
      </w:pPr>
      <w:r>
        <w:rPr>
          <w:lang w:eastAsia="en-AU"/>
        </w:rPr>
        <w:lastRenderedPageBreak/>
        <w:t xml:space="preserve">for a </w:t>
      </w:r>
      <w:r>
        <w:rPr>
          <w:rFonts w:eastAsia="Calibri"/>
        </w:rPr>
        <w:t>for gaseous fuels measured i</w:t>
      </w:r>
      <w:r w:rsidRPr="0027206C">
        <w:rPr>
          <w:rFonts w:eastAsia="Calibri"/>
        </w:rPr>
        <w:t>n GJ</w:t>
      </w:r>
      <w:r>
        <w:rPr>
          <w:rFonts w:eastAsia="Calibri"/>
        </w:rPr>
        <w:t>:</w:t>
      </w:r>
    </w:p>
    <w:p w14:paraId="30AED024" w14:textId="77777777" w:rsidR="004E408E" w:rsidRPr="001D5662" w:rsidRDefault="004E408E" w:rsidP="001D5662">
      <w:pPr>
        <w:pStyle w:val="CERbullets"/>
        <w:numPr>
          <w:ilvl w:val="1"/>
          <w:numId w:val="1"/>
        </w:numPr>
      </w:pPr>
      <w:r w:rsidRPr="001D5662">
        <w:t>equal to 1.</w:t>
      </w:r>
    </w:p>
    <w:p w14:paraId="3D73C481" w14:textId="14E017FE" w:rsidR="004E408E" w:rsidRDefault="004E408E" w:rsidP="00682491">
      <w:pPr>
        <w:pStyle w:val="CERbullets"/>
        <w:numPr>
          <w:ilvl w:val="0"/>
          <w:numId w:val="23"/>
        </w:numPr>
        <w:spacing w:before="60"/>
        <w:rPr>
          <w:lang w:eastAsia="en-AU"/>
        </w:rPr>
      </w:pPr>
      <w:r w:rsidRPr="0027206C">
        <w:rPr>
          <w:lang w:eastAsia="en-AU"/>
        </w:rPr>
        <w:t>for a liquid fuel, in</w:t>
      </w:r>
      <w:r w:rsidR="000F0884">
        <w:rPr>
          <w:lang w:eastAsia="en-AU"/>
        </w:rPr>
        <w:t xml:space="preserve"> gigajoules per kilolitre</w:t>
      </w:r>
      <w:r w:rsidRPr="0027206C">
        <w:rPr>
          <w:lang w:eastAsia="en-AU"/>
        </w:rPr>
        <w:t xml:space="preserve"> </w:t>
      </w:r>
      <w:r w:rsidR="000F0884">
        <w:rPr>
          <w:lang w:eastAsia="en-AU"/>
        </w:rPr>
        <w:t>(</w:t>
      </w:r>
      <w:r w:rsidRPr="0027206C">
        <w:rPr>
          <w:lang w:eastAsia="en-AU"/>
        </w:rPr>
        <w:t>GJ/</w:t>
      </w:r>
      <w:r w:rsidR="000F0884">
        <w:rPr>
          <w:lang w:eastAsia="en-AU"/>
        </w:rPr>
        <w:t>kL)</w:t>
      </w:r>
      <w:r>
        <w:rPr>
          <w:lang w:eastAsia="en-AU"/>
        </w:rPr>
        <w:t>:</w:t>
      </w:r>
    </w:p>
    <w:p w14:paraId="1D465106" w14:textId="77777777" w:rsidR="004E408E" w:rsidRPr="001D5662" w:rsidRDefault="004E408E" w:rsidP="001D5662">
      <w:pPr>
        <w:pStyle w:val="CERbullets"/>
        <w:numPr>
          <w:ilvl w:val="1"/>
          <w:numId w:val="1"/>
        </w:numPr>
      </w:pPr>
      <w:r w:rsidRPr="001D5662">
        <w:t xml:space="preserve">as mentioned in Part 3 of Schedule 1 for stationary energy purposes </w:t>
      </w:r>
    </w:p>
    <w:p w14:paraId="2D9F0396" w14:textId="77777777" w:rsidR="004E408E" w:rsidRPr="001D5662" w:rsidRDefault="004E408E" w:rsidP="001D5662">
      <w:pPr>
        <w:pStyle w:val="CERbullets"/>
        <w:numPr>
          <w:ilvl w:val="1"/>
          <w:numId w:val="1"/>
        </w:numPr>
      </w:pPr>
      <w:r w:rsidRPr="001D5662">
        <w:t xml:space="preserve">as mentioned in Division 4.1 in Part 4 of Schedule 1 of the NGER Measurement Determination for transport energy purposes </w:t>
      </w:r>
    </w:p>
    <w:p w14:paraId="48595201" w14:textId="77777777" w:rsidR="004E408E" w:rsidRPr="001D5662" w:rsidRDefault="004E408E" w:rsidP="001D5662">
      <w:pPr>
        <w:pStyle w:val="CERbullets"/>
        <w:numPr>
          <w:ilvl w:val="1"/>
          <w:numId w:val="1"/>
        </w:numPr>
      </w:pPr>
      <w:r w:rsidRPr="001D5662">
        <w:t>estimated by analysis under Subdivision 2.4.3.2.</w:t>
      </w:r>
    </w:p>
    <w:p w14:paraId="25ABD944" w14:textId="77777777" w:rsidR="004E408E" w:rsidRDefault="004E408E" w:rsidP="00050308">
      <w:pPr>
        <w:pStyle w:val="Heading1"/>
        <w:numPr>
          <w:ilvl w:val="0"/>
          <w:numId w:val="9"/>
        </w:numPr>
        <w:ind w:left="709" w:hanging="709"/>
      </w:pPr>
      <w:bookmarkStart w:id="40" w:name="_Toc76036492"/>
      <w:bookmarkStart w:id="41" w:name="_Toc205826943"/>
      <w:r w:rsidRPr="00E24D67">
        <w:t xml:space="preserve">Reporting </w:t>
      </w:r>
      <w:r>
        <w:t xml:space="preserve">energy from </w:t>
      </w:r>
      <w:r w:rsidRPr="00E24D67">
        <w:t>production and consumption</w:t>
      </w:r>
      <w:r>
        <w:t xml:space="preserve"> of energy commodities</w:t>
      </w:r>
      <w:bookmarkEnd w:id="40"/>
      <w:bookmarkEnd w:id="41"/>
    </w:p>
    <w:p w14:paraId="4CBAC491" w14:textId="77777777" w:rsidR="004E408E" w:rsidRPr="00AE74AB" w:rsidRDefault="004E408E" w:rsidP="00050308">
      <w:pPr>
        <w:pStyle w:val="Heading2"/>
        <w:numPr>
          <w:ilvl w:val="1"/>
          <w:numId w:val="9"/>
        </w:numPr>
        <w:ind w:left="709" w:hanging="709"/>
      </w:pPr>
      <w:bookmarkStart w:id="42" w:name="_Toc76036493"/>
      <w:bookmarkStart w:id="43" w:name="_Toc205826944"/>
      <w:r w:rsidRPr="00AE74AB">
        <w:t xml:space="preserve">Sulphur, </w:t>
      </w:r>
      <w:r>
        <w:t>u</w:t>
      </w:r>
      <w:r w:rsidRPr="00AE74AB">
        <w:t>ranium</w:t>
      </w:r>
      <w:r>
        <w:t xml:space="preserve"> and</w:t>
      </w:r>
      <w:r w:rsidRPr="00AE74AB">
        <w:t xml:space="preserve"> </w:t>
      </w:r>
      <w:r>
        <w:t>h</w:t>
      </w:r>
      <w:r w:rsidRPr="00AE74AB">
        <w:t>ydrogen</w:t>
      </w:r>
      <w:bookmarkEnd w:id="42"/>
      <w:bookmarkEnd w:id="43"/>
      <w:r w:rsidRPr="00AE74AB">
        <w:t xml:space="preserve"> </w:t>
      </w:r>
    </w:p>
    <w:p w14:paraId="3413D7BA" w14:textId="524D47C9" w:rsidR="004E408E" w:rsidRPr="0084709E" w:rsidRDefault="004E408E" w:rsidP="00522547">
      <w:pPr>
        <w:spacing w:before="240"/>
      </w:pPr>
      <w:r w:rsidRPr="0084709E">
        <w:t xml:space="preserve">The requirement to report the production and consumption of the energy commodities hydrogen, sulphur and uranium does not apply where the hydrogen, uranium, or sulphur is </w:t>
      </w:r>
      <w:r>
        <w:t xml:space="preserve">naturally </w:t>
      </w:r>
      <w:r w:rsidRPr="0084709E">
        <w:t xml:space="preserve">present within another fuel or energy commodity listed in Schedule 1 of the NGER </w:t>
      </w:r>
      <w:r w:rsidR="000A07F2">
        <w:t>R</w:t>
      </w:r>
      <w:r w:rsidRPr="0084709E">
        <w:t>egulations</w:t>
      </w:r>
      <w:r>
        <w:t>.</w:t>
      </w:r>
      <w:r w:rsidRPr="0084709E" w:rsidDel="00F52766">
        <w:t xml:space="preserve"> </w:t>
      </w:r>
    </w:p>
    <w:p w14:paraId="7847C75E" w14:textId="77777777" w:rsidR="004E408E" w:rsidRDefault="004E408E" w:rsidP="004E408E">
      <w:r>
        <w:t xml:space="preserve">If you are uncertain about how this requirement applies to your activities, please </w:t>
      </w:r>
      <w:hyperlink w:anchor="_Further_information" w:history="1">
        <w:r w:rsidRPr="00453786">
          <w:rPr>
            <w:rStyle w:val="Hyperlink"/>
            <w:rFonts w:asciiTheme="minorHAnsi" w:hAnsiTheme="minorHAnsi"/>
          </w:rPr>
          <w:t>contact us</w:t>
        </w:r>
      </w:hyperlink>
      <w:r>
        <w:t xml:space="preserve"> for further information. Methods exist for estimating energy </w:t>
      </w:r>
      <w:r w:rsidRPr="0068061A">
        <w:t xml:space="preserve">production and consumption of </w:t>
      </w:r>
      <w:r>
        <w:t>s</w:t>
      </w:r>
      <w:r w:rsidRPr="0068061A">
        <w:t xml:space="preserve">ulphur, </w:t>
      </w:r>
      <w:r>
        <w:t>u</w:t>
      </w:r>
      <w:r w:rsidRPr="0068061A">
        <w:t xml:space="preserve">ranium and </w:t>
      </w:r>
      <w:r>
        <w:t>h</w:t>
      </w:r>
      <w:r w:rsidRPr="0068061A">
        <w:t>ydrogen</w:t>
      </w:r>
      <w:r>
        <w:t xml:space="preserve"> under subsections 6.3(3) and 6.5(4) of the NGER Measurement Determination. The energy content is to be worked out as follows:</w:t>
      </w:r>
    </w:p>
    <w:p w14:paraId="74B86851" w14:textId="77777777" w:rsidR="004E408E" w:rsidRPr="00892CAF" w:rsidRDefault="004E408E" w:rsidP="004E408E">
      <w:pPr>
        <w:rPr>
          <w:rFonts w:cs="Arial"/>
          <w:bCs/>
          <w:sz w:val="24"/>
          <w:szCs w:val="22"/>
        </w:rPr>
      </w:pPr>
      <m:oMathPara>
        <m:oMath>
          <m:r>
            <w:rPr>
              <w:rFonts w:ascii="Cambria Math" w:hAnsi="Cambria Math" w:cs="Arial"/>
              <w:sz w:val="24"/>
              <w:szCs w:val="22"/>
            </w:rPr>
            <m:t>Z= Q× EC</m:t>
          </m:r>
        </m:oMath>
      </m:oMathPara>
    </w:p>
    <w:p w14:paraId="6186DF57" w14:textId="77777777" w:rsidR="004E408E" w:rsidRPr="00251A5C" w:rsidRDefault="004E408E" w:rsidP="004E408E">
      <w:r w:rsidRPr="00251A5C">
        <w:t>where:</w:t>
      </w:r>
    </w:p>
    <w:p w14:paraId="0E32E673" w14:textId="77777777" w:rsidR="004E408E" w:rsidRPr="0027206C" w:rsidRDefault="004E408E" w:rsidP="004E408E">
      <w:pPr>
        <w:rPr>
          <w:b/>
        </w:rPr>
      </w:pPr>
      <m:oMath>
        <m:r>
          <w:rPr>
            <w:rFonts w:ascii="Cambria Math" w:hAnsi="Cambria Math"/>
          </w:rPr>
          <m:t>Z</m:t>
        </m:r>
        <m:r>
          <m:rPr>
            <m:sty m:val="bi"/>
          </m:rPr>
          <w:rPr>
            <w:rFonts w:ascii="Cambria Math" w:hAnsi="Cambria Math"/>
          </w:rPr>
          <m:t>=</m:t>
        </m:r>
      </m:oMath>
      <w:r>
        <w:rPr>
          <w:lang w:eastAsia="en-AU"/>
        </w:rPr>
        <w:t xml:space="preserve"> the energy content of sulphur, uranium or hydrogen (whichever is applicable) produced or consumed during the year and measured in GJ.</w:t>
      </w:r>
    </w:p>
    <w:p w14:paraId="51BF7516" w14:textId="77777777" w:rsidR="004E408E" w:rsidRDefault="004E408E" w:rsidP="004E408E">
      <w:pPr>
        <w:rPr>
          <w:lang w:eastAsia="en-AU"/>
        </w:rPr>
      </w:pPr>
      <m:oMath>
        <m:r>
          <w:rPr>
            <w:rFonts w:ascii="Cambria Math" w:hAnsi="Cambria Math"/>
          </w:rPr>
          <m:t>Q</m:t>
        </m:r>
        <m:r>
          <m:rPr>
            <m:sty m:val="bi"/>
          </m:rPr>
          <w:rPr>
            <w:rFonts w:ascii="Cambria Math" w:hAnsi="Cambria Math"/>
          </w:rPr>
          <m:t>=</m:t>
        </m:r>
        <m:r>
          <w:rPr>
            <w:rFonts w:ascii="Cambria Math" w:hAnsi="Cambria Math"/>
          </w:rPr>
          <m:t xml:space="preserve"> </m:t>
        </m:r>
      </m:oMath>
      <w:r w:rsidRPr="00960E45">
        <w:t xml:space="preserve">the quantity of </w:t>
      </w:r>
      <w:r>
        <w:rPr>
          <w:lang w:eastAsia="en-AU"/>
        </w:rPr>
        <w:t xml:space="preserve">sulphur, uranium or hydrogen (whichever is applicable) </w:t>
      </w:r>
      <w:r w:rsidRPr="00960E45">
        <w:t xml:space="preserve">produced </w:t>
      </w:r>
      <w:r>
        <w:t xml:space="preserve">or consumed </w:t>
      </w:r>
      <w:r w:rsidRPr="00960E45">
        <w:t>during the year</w:t>
      </w:r>
      <w:r>
        <w:t xml:space="preserve"> and must be measured in tonnes. The quantity produced must be estimated according to industry </w:t>
      </w:r>
      <w:r>
        <w:rPr>
          <w:lang w:val="en-GB"/>
        </w:rPr>
        <w:t>practic</w:t>
      </w:r>
      <w:r w:rsidRPr="003A38F2">
        <w:rPr>
          <w:lang w:val="en-GB"/>
        </w:rPr>
        <w:t>e</w:t>
      </w:r>
      <w:r>
        <w:t xml:space="preserve"> (see section 6.2 of the NGER Measurement Determination).</w:t>
      </w:r>
    </w:p>
    <w:p w14:paraId="38FBA662" w14:textId="77777777" w:rsidR="004E408E" w:rsidRDefault="00000000" w:rsidP="004E408E">
      <w:pPr>
        <w:rPr>
          <w:rFonts w:eastAsia="Calibri" w:cs="Arial"/>
          <w:color w:val="auto"/>
          <w:szCs w:val="22"/>
        </w:rPr>
      </w:pPr>
      <m:oMath>
        <m:sSub>
          <m:sSubPr>
            <m:ctrlPr>
              <w:rPr>
                <w:rFonts w:ascii="Cambria Math" w:hAnsi="Cambria Math" w:cs="Arial"/>
                <w:bCs/>
                <w:i/>
                <w:szCs w:val="22"/>
              </w:rPr>
            </m:ctrlPr>
          </m:sSubPr>
          <m:e>
            <m:r>
              <w:rPr>
                <w:rFonts w:ascii="Cambria Math" w:hAnsi="Cambria Math" w:cs="Arial"/>
                <w:szCs w:val="22"/>
              </w:rPr>
              <m:t>EC</m:t>
            </m:r>
          </m:e>
          <m:sub>
            <m:r>
              <w:rPr>
                <w:rFonts w:ascii="Cambria Math" w:hAnsi="Cambria Math" w:cs="Arial"/>
                <w:szCs w:val="22"/>
              </w:rPr>
              <m:t>i</m:t>
            </m:r>
          </m:sub>
        </m:sSub>
        <m:r>
          <w:rPr>
            <w:rFonts w:ascii="Cambria Math" w:hAnsi="Cambria Math" w:cs="Arial"/>
            <w:szCs w:val="22"/>
          </w:rPr>
          <m:t xml:space="preserve">= </m:t>
        </m:r>
      </m:oMath>
      <w:r w:rsidR="004E408E" w:rsidRPr="00960E45">
        <w:rPr>
          <w:rFonts w:eastAsia="Calibri" w:cs="Arial"/>
          <w:color w:val="auto"/>
          <w:szCs w:val="22"/>
        </w:rPr>
        <w:t xml:space="preserve">the energy content factor of </w:t>
      </w:r>
      <w:r w:rsidR="004E408E">
        <w:rPr>
          <w:lang w:eastAsia="en-AU"/>
        </w:rPr>
        <w:t>sulphur, uranium or hydrogen (whichever is applicable) in accordance with Part 7 in Schedule 1</w:t>
      </w:r>
      <w:r w:rsidR="004E408E">
        <w:rPr>
          <w:rFonts w:eastAsia="Calibri" w:cs="Arial"/>
          <w:color w:val="auto"/>
          <w:szCs w:val="22"/>
        </w:rPr>
        <w:t xml:space="preserve"> of the NGER </w:t>
      </w:r>
      <w:r w:rsidR="004E408E">
        <w:t>Measurement Determination</w:t>
      </w:r>
      <w:r w:rsidR="004E408E">
        <w:rPr>
          <w:rFonts w:eastAsia="Calibri" w:cs="Arial"/>
          <w:color w:val="auto"/>
          <w:szCs w:val="22"/>
        </w:rPr>
        <w:t>.</w:t>
      </w:r>
    </w:p>
    <w:tbl>
      <w:tblPr>
        <w:tblStyle w:val="CERCallout"/>
        <w:tblW w:w="0" w:type="auto"/>
        <w:tblLook w:val="04A0" w:firstRow="1" w:lastRow="0" w:firstColumn="1" w:lastColumn="0" w:noHBand="0" w:noVBand="1"/>
      </w:tblPr>
      <w:tblGrid>
        <w:gridCol w:w="9710"/>
      </w:tblGrid>
      <w:tr w:rsidR="004E408E" w14:paraId="69DA4FC4" w14:textId="77777777">
        <w:trPr>
          <w:cnfStyle w:val="100000000000" w:firstRow="1" w:lastRow="0" w:firstColumn="0" w:lastColumn="0" w:oddVBand="0" w:evenVBand="0" w:oddHBand="0" w:evenHBand="0" w:firstRowFirstColumn="0" w:firstRowLastColumn="0" w:lastRowFirstColumn="0" w:lastRowLastColumn="0"/>
        </w:trPr>
        <w:tc>
          <w:tcPr>
            <w:tcW w:w="9730" w:type="dxa"/>
          </w:tcPr>
          <w:p w14:paraId="292ACBD4" w14:textId="77777777" w:rsidR="004E408E" w:rsidRPr="0041399D" w:rsidRDefault="004E408E">
            <w:pPr>
              <w:rPr>
                <w:rFonts w:eastAsia="Calibri" w:cs="Arial"/>
                <w:b w:val="0"/>
                <w:bCs/>
                <w:color w:val="auto"/>
                <w:szCs w:val="22"/>
              </w:rPr>
            </w:pPr>
            <w:r w:rsidRPr="0041399D">
              <w:rPr>
                <w:rFonts w:eastAsia="Calibri" w:cs="Arial"/>
                <w:b w:val="0"/>
                <w:bCs/>
                <w:color w:val="auto"/>
                <w:szCs w:val="22"/>
              </w:rPr>
              <w:t>Note: There is no threshold for the reporting of sulphur, uranium, and hydrogen energy production and energy consumption.</w:t>
            </w:r>
          </w:p>
        </w:tc>
      </w:tr>
    </w:tbl>
    <w:p w14:paraId="7733048A" w14:textId="77777777" w:rsidR="004E408E" w:rsidRPr="00117461" w:rsidRDefault="004E408E" w:rsidP="00050308">
      <w:pPr>
        <w:pStyle w:val="Heading2"/>
        <w:numPr>
          <w:ilvl w:val="1"/>
          <w:numId w:val="9"/>
        </w:numPr>
        <w:ind w:left="709" w:hanging="709"/>
      </w:pPr>
      <w:bookmarkStart w:id="44" w:name="_Toc76036494"/>
      <w:bookmarkStart w:id="45" w:name="_Toc205826945"/>
      <w:r w:rsidRPr="00117461">
        <w:t xml:space="preserve">Requirements for </w:t>
      </w:r>
      <w:r>
        <w:t xml:space="preserve">reporting solar, wind, water and geothermal </w:t>
      </w:r>
      <w:r w:rsidRPr="00117461">
        <w:t>energy commodities</w:t>
      </w:r>
      <w:bookmarkEnd w:id="44"/>
      <w:bookmarkEnd w:id="45"/>
      <w:r w:rsidRPr="00117461">
        <w:t xml:space="preserve"> </w:t>
      </w:r>
    </w:p>
    <w:p w14:paraId="7B422960" w14:textId="77777777" w:rsidR="004E408E" w:rsidRDefault="004E408E" w:rsidP="00522547">
      <w:pPr>
        <w:spacing w:before="240"/>
      </w:pPr>
      <w:r>
        <w:t>Production</w:t>
      </w:r>
      <w:r w:rsidRPr="00B870F2">
        <w:t xml:space="preserve"> of the following energy commodities</w:t>
      </w:r>
      <w:r>
        <w:t xml:space="preserve"> is not reportable</w:t>
      </w:r>
      <w:r w:rsidRPr="00B870F2">
        <w:t xml:space="preserve">: </w:t>
      </w:r>
    </w:p>
    <w:p w14:paraId="343A42D5" w14:textId="77777777" w:rsidR="004E408E" w:rsidRPr="00751610" w:rsidRDefault="004E408E" w:rsidP="00682491">
      <w:pPr>
        <w:pStyle w:val="CERbullets"/>
        <w:numPr>
          <w:ilvl w:val="0"/>
          <w:numId w:val="27"/>
        </w:numPr>
      </w:pPr>
      <w:r w:rsidRPr="00751610">
        <w:t>solar energy for electricity generation</w:t>
      </w:r>
    </w:p>
    <w:p w14:paraId="3A22C211" w14:textId="77777777" w:rsidR="004E408E" w:rsidRPr="00751610" w:rsidRDefault="004E408E" w:rsidP="00682491">
      <w:pPr>
        <w:pStyle w:val="CERbullets"/>
        <w:numPr>
          <w:ilvl w:val="0"/>
          <w:numId w:val="27"/>
        </w:numPr>
      </w:pPr>
      <w:r w:rsidRPr="00751610">
        <w:lastRenderedPageBreak/>
        <w:t>wind energy for electricity generation</w:t>
      </w:r>
    </w:p>
    <w:p w14:paraId="627BD419" w14:textId="77777777" w:rsidR="004E408E" w:rsidRPr="00751610" w:rsidRDefault="004E408E" w:rsidP="00682491">
      <w:pPr>
        <w:pStyle w:val="CERbullets"/>
        <w:numPr>
          <w:ilvl w:val="0"/>
          <w:numId w:val="27"/>
        </w:numPr>
      </w:pPr>
      <w:r w:rsidRPr="00751610">
        <w:t>water energy for electricity generation</w:t>
      </w:r>
    </w:p>
    <w:p w14:paraId="4384BFB0" w14:textId="77777777" w:rsidR="004E408E" w:rsidRPr="00751610" w:rsidRDefault="004E408E" w:rsidP="00682491">
      <w:pPr>
        <w:pStyle w:val="CERbullets"/>
        <w:numPr>
          <w:ilvl w:val="0"/>
          <w:numId w:val="27"/>
        </w:numPr>
      </w:pPr>
      <w:r w:rsidRPr="00751610">
        <w:t xml:space="preserve">geothermal energy for electricity generation. </w:t>
      </w:r>
    </w:p>
    <w:p w14:paraId="56BA9F66" w14:textId="79C7D22B" w:rsidR="004E408E" w:rsidRDefault="004E408E" w:rsidP="004E408E">
      <w:pPr>
        <w:spacing w:after="0"/>
      </w:pPr>
      <w:r>
        <w:t xml:space="preserve">For these </w:t>
      </w:r>
      <w:r w:rsidR="009B72E3">
        <w:t xml:space="preserve">4 </w:t>
      </w:r>
      <w:r>
        <w:t>energy commodities, energy consumption must only be reported where they are used to produce electricity in a generating unit with a maximum capacity of 0.5 megawatts</w:t>
      </w:r>
      <w:r w:rsidR="000D396B">
        <w:t xml:space="preserve"> (</w:t>
      </w:r>
      <w:r w:rsidR="00410956">
        <w:t>M</w:t>
      </w:r>
      <w:r w:rsidR="000D396B">
        <w:t>W)</w:t>
      </w:r>
      <w:r>
        <w:t xml:space="preserve"> or more and that generates more than 100,000</w:t>
      </w:r>
      <w:r w:rsidR="001B79FA">
        <w:t> kWh</w:t>
      </w:r>
      <w:r w:rsidDel="001B79FA">
        <w:t xml:space="preserve"> </w:t>
      </w:r>
      <w:r>
        <w:t>in a reporting year. When these conditions are met or exceeded, the energy content of the consumed energy commodity is taken to be equal to the energy content of the electricity produced. Therefore, it is assumed that there is a 100% conversion of energy between the energy consumed to generate electricity and the electricity produced.</w:t>
      </w:r>
    </w:p>
    <w:p w14:paraId="517B19C2" w14:textId="77777777" w:rsidR="00A54B14" w:rsidRDefault="00A54B14" w:rsidP="004E408E">
      <w:pPr>
        <w:spacing w:after="0"/>
        <w:rPr>
          <w:bCs/>
        </w:rPr>
      </w:pPr>
      <w:bookmarkStart w:id="46" w:name="_Hlk44013014"/>
    </w:p>
    <w:p w14:paraId="5081EB70" w14:textId="79A1C582" w:rsidR="004E408E" w:rsidRDefault="004E408E" w:rsidP="00397FC5">
      <w:r w:rsidRPr="00892CAF">
        <w:rPr>
          <w:bCs/>
        </w:rPr>
        <w:t>Please note</w:t>
      </w:r>
      <w:r w:rsidRPr="00552D9C">
        <w:rPr>
          <w:bCs/>
        </w:rPr>
        <w:t>:</w:t>
      </w:r>
      <w:r>
        <w:t xml:space="preserve"> EERS was updated for the 2019–20 reporting year (and onwards) so that it automatically reports an amount of consumption of the relevant primary energy commodity, which is equal to the reported amount of production of electricity from solar, wind, water or geothermal energy is reported. That means that if you input production of electricity from solar, wind, water or geothermal energy into EERS, then you must not separately input consumption of solar, wind, water or geothermal energy. </w:t>
      </w:r>
      <w:r w:rsidRPr="001362CE">
        <w:t>This is</w:t>
      </w:r>
      <w:r>
        <w:t xml:space="preserve"> illustrated </w:t>
      </w:r>
      <w:r w:rsidRPr="001362CE">
        <w:t>in</w:t>
      </w:r>
      <w:r>
        <w:t xml:space="preserve"> Example 4</w:t>
      </w:r>
      <w:r w:rsidRPr="001362CE">
        <w:t>.</w:t>
      </w:r>
    </w:p>
    <w:tbl>
      <w:tblPr>
        <w:tblStyle w:val="CERCallout"/>
        <w:tblW w:w="5000" w:type="pct"/>
        <w:tblLook w:val="04A0" w:firstRow="1" w:lastRow="0" w:firstColumn="1" w:lastColumn="0" w:noHBand="0" w:noVBand="1"/>
      </w:tblPr>
      <w:tblGrid>
        <w:gridCol w:w="9710"/>
      </w:tblGrid>
      <w:tr w:rsidR="004E408E" w:rsidRPr="007C21EA" w14:paraId="5C2CFE7B" w14:textId="77777777">
        <w:trPr>
          <w:cnfStyle w:val="100000000000" w:firstRow="1" w:lastRow="0" w:firstColumn="0" w:lastColumn="0" w:oddVBand="0" w:evenVBand="0" w:oddHBand="0" w:evenHBand="0" w:firstRowFirstColumn="0" w:firstRowLastColumn="0" w:lastRowFirstColumn="0" w:lastRowLastColumn="0"/>
        </w:trPr>
        <w:tc>
          <w:tcPr>
            <w:tcW w:w="4708" w:type="pct"/>
          </w:tcPr>
          <w:p w14:paraId="23320A4C" w14:textId="77777777" w:rsidR="004E408E" w:rsidRPr="00834B5A" w:rsidRDefault="004E408E" w:rsidP="00AD5494">
            <w:pPr>
              <w:pStyle w:val="Heading5"/>
              <w:rPr>
                <w:b/>
              </w:rPr>
            </w:pPr>
            <w:bookmarkStart w:id="47" w:name="_Toc205826946"/>
            <w:bookmarkEnd w:id="46"/>
            <w:r w:rsidRPr="00834B5A">
              <w:rPr>
                <w:b/>
              </w:rPr>
              <w:t>Example 4</w:t>
            </w:r>
            <w:bookmarkEnd w:id="47"/>
          </w:p>
          <w:p w14:paraId="51C1BA95" w14:textId="6C89775F" w:rsidR="004E408E" w:rsidRPr="0041399D" w:rsidRDefault="004E408E">
            <w:pPr>
              <w:rPr>
                <w:b w:val="0"/>
              </w:rPr>
            </w:pPr>
            <w:r w:rsidRPr="0041399D">
              <w:rPr>
                <w:b w:val="0"/>
              </w:rPr>
              <w:t xml:space="preserve">A wind farm generates </w:t>
            </w:r>
            <w:bookmarkStart w:id="48" w:name="OLE_LINK1"/>
            <w:r w:rsidRPr="0041399D">
              <w:rPr>
                <w:b w:val="0"/>
              </w:rPr>
              <w:t>1,000,000</w:t>
            </w:r>
            <w:r w:rsidR="001B79FA">
              <w:rPr>
                <w:b w:val="0"/>
              </w:rPr>
              <w:t> </w:t>
            </w:r>
            <w:bookmarkEnd w:id="48"/>
            <w:r w:rsidRPr="0041399D">
              <w:rPr>
                <w:b w:val="0"/>
              </w:rPr>
              <w:t>kWh of electricity. The reporter inputs 1,000,000</w:t>
            </w:r>
            <w:r w:rsidR="001B79FA">
              <w:rPr>
                <w:b w:val="0"/>
              </w:rPr>
              <w:t> </w:t>
            </w:r>
            <w:r w:rsidRPr="0041399D">
              <w:rPr>
                <w:b w:val="0"/>
              </w:rPr>
              <w:t>kWh into EERS as electricity produced using wind generation:</w:t>
            </w:r>
          </w:p>
          <w:p w14:paraId="101FD015" w14:textId="77777777" w:rsidR="004E408E" w:rsidRPr="0041399D" w:rsidRDefault="004E408E">
            <w:pPr>
              <w:rPr>
                <w:b w:val="0"/>
              </w:rPr>
            </w:pPr>
            <w:r w:rsidRPr="0041399D">
              <w:rPr>
                <w:b w:val="0"/>
              </w:rPr>
              <w:t>EERS then records:</w:t>
            </w:r>
          </w:p>
          <w:p w14:paraId="2F7E62F6" w14:textId="79298267" w:rsidR="004E408E" w:rsidRPr="0041399D" w:rsidRDefault="004E408E" w:rsidP="00682491">
            <w:pPr>
              <w:pStyle w:val="CERbullets"/>
              <w:numPr>
                <w:ilvl w:val="0"/>
                <w:numId w:val="2"/>
              </w:numPr>
              <w:spacing w:beforeAutospacing="0"/>
              <w:rPr>
                <w:b w:val="0"/>
              </w:rPr>
            </w:pPr>
            <w:r w:rsidRPr="0041399D">
              <w:rPr>
                <w:b w:val="0"/>
                <w:szCs w:val="22"/>
              </w:rPr>
              <w:t>1,000,000</w:t>
            </w:r>
            <w:r w:rsidR="001B79FA">
              <w:rPr>
                <w:b w:val="0"/>
                <w:szCs w:val="22"/>
              </w:rPr>
              <w:t> </w:t>
            </w:r>
            <w:r w:rsidRPr="0041399D">
              <w:rPr>
                <w:b w:val="0"/>
                <w:szCs w:val="22"/>
              </w:rPr>
              <w:t>kWh (3600</w:t>
            </w:r>
            <w:r w:rsidR="001B79FA">
              <w:rPr>
                <w:b w:val="0"/>
                <w:szCs w:val="22"/>
              </w:rPr>
              <w:t> </w:t>
            </w:r>
            <w:r w:rsidRPr="0041399D">
              <w:rPr>
                <w:b w:val="0"/>
                <w:szCs w:val="22"/>
              </w:rPr>
              <w:t>GJ) of electricity produced using wind generation</w:t>
            </w:r>
          </w:p>
          <w:p w14:paraId="1EA74D16" w14:textId="487CB383" w:rsidR="004E408E" w:rsidRPr="0041399D" w:rsidRDefault="004E408E" w:rsidP="00682491">
            <w:pPr>
              <w:pStyle w:val="CERbullets"/>
              <w:numPr>
                <w:ilvl w:val="0"/>
                <w:numId w:val="2"/>
              </w:numPr>
              <w:spacing w:beforeAutospacing="0"/>
              <w:rPr>
                <w:b w:val="0"/>
              </w:rPr>
            </w:pPr>
            <w:r w:rsidRPr="0041399D">
              <w:rPr>
                <w:b w:val="0"/>
                <w:szCs w:val="22"/>
              </w:rPr>
              <w:t>3,600</w:t>
            </w:r>
            <w:r w:rsidR="001B79FA">
              <w:rPr>
                <w:b w:val="0"/>
                <w:szCs w:val="22"/>
              </w:rPr>
              <w:t> </w:t>
            </w:r>
            <w:r w:rsidRPr="0041399D">
              <w:rPr>
                <w:b w:val="0"/>
                <w:szCs w:val="22"/>
              </w:rPr>
              <w:t>GJ of consumption of the primary energy commodity ‘wind energy for electricity generation’.</w:t>
            </w:r>
          </w:p>
          <w:p w14:paraId="1345170B" w14:textId="77777777" w:rsidR="004E408E" w:rsidRPr="0041399D" w:rsidRDefault="004E408E">
            <w:pPr>
              <w:rPr>
                <w:b w:val="0"/>
              </w:rPr>
            </w:pPr>
            <w:r w:rsidRPr="0041399D">
              <w:rPr>
                <w:b w:val="0"/>
              </w:rPr>
              <w:t>These values will be included in the NGER report generated by EERS.</w:t>
            </w:r>
          </w:p>
          <w:p w14:paraId="5C91B080" w14:textId="415AD0BC" w:rsidR="00F72CEB" w:rsidRPr="00222962" w:rsidRDefault="004E408E" w:rsidP="00701CA4">
            <w:r w:rsidRPr="0041399D">
              <w:rPr>
                <w:b w:val="0"/>
              </w:rPr>
              <w:t>The reporter does not need to input consumption of ‘wind energy for electricity generation’, because it has automatically been recorded by EERS.</w:t>
            </w:r>
          </w:p>
        </w:tc>
      </w:tr>
    </w:tbl>
    <w:p w14:paraId="4D564740" w14:textId="5150BEA1" w:rsidR="0031130D" w:rsidRDefault="007F6D15" w:rsidP="0071219E">
      <w:pPr>
        <w:spacing w:before="240"/>
        <w:rPr>
          <w:color w:val="000000"/>
        </w:rPr>
      </w:pPr>
      <w:bookmarkStart w:id="49" w:name="_Hlk44577730"/>
      <w:r>
        <w:t>See</w:t>
      </w:r>
      <w:r w:rsidR="00CE324A">
        <w:t xml:space="preserve"> ‘</w:t>
      </w:r>
      <w:r w:rsidR="00CE324A" w:rsidRPr="00CE324A">
        <w:t>Reporting consumption of renewable energy commodities for electricity generation</w:t>
      </w:r>
      <w:r w:rsidR="00CE324A">
        <w:t>’</w:t>
      </w:r>
      <w:r w:rsidR="0012176C">
        <w:t xml:space="preserve"> in</w:t>
      </w:r>
      <w:r w:rsidR="0031130D">
        <w:t xml:space="preserve"> the</w:t>
      </w:r>
      <w:r>
        <w:t xml:space="preserve"> </w:t>
      </w:r>
      <w:hyperlink r:id="rId34" w:tooltip="A link to the NGER quick help topics document on the Clean Energy Regulator website" w:history="1">
        <w:r w:rsidR="00CE324A">
          <w:rPr>
            <w:rStyle w:val="Hyperlink"/>
            <w:rFonts w:asciiTheme="minorHAnsi" w:hAnsiTheme="minorHAnsi"/>
          </w:rPr>
          <w:t>NGER quick help topics</w:t>
        </w:r>
      </w:hyperlink>
      <w:r w:rsidR="004E408E">
        <w:rPr>
          <w:rStyle w:val="FootnoteReference"/>
        </w:rPr>
        <w:footnoteReference w:id="14"/>
      </w:r>
      <w:r w:rsidR="04D34F02" w:rsidRPr="45E5D28A">
        <w:rPr>
          <w:color w:val="000000"/>
        </w:rPr>
        <w:t xml:space="preserve"> for guidance on automated reporting of these activities in EERS.</w:t>
      </w:r>
      <w:r w:rsidR="00B153F8">
        <w:rPr>
          <w:color w:val="000000"/>
        </w:rPr>
        <w:t xml:space="preserve"> </w:t>
      </w:r>
    </w:p>
    <w:p w14:paraId="64DB2108" w14:textId="4676F341" w:rsidR="004E408E" w:rsidRPr="003C54D8" w:rsidRDefault="0031130D" w:rsidP="003C54D8">
      <w:pPr>
        <w:spacing w:after="0"/>
        <w:rPr>
          <w:color w:val="000000"/>
        </w:rPr>
      </w:pPr>
      <w:r>
        <w:rPr>
          <w:color w:val="000000"/>
        </w:rPr>
        <w:br w:type="page"/>
      </w:r>
    </w:p>
    <w:p w14:paraId="36F2AF38" w14:textId="77777777" w:rsidR="004E408E" w:rsidRPr="00F73441" w:rsidRDefault="004E408E" w:rsidP="00050308">
      <w:pPr>
        <w:pStyle w:val="Heading1"/>
        <w:numPr>
          <w:ilvl w:val="0"/>
          <w:numId w:val="9"/>
        </w:numPr>
        <w:ind w:left="709" w:hanging="709"/>
      </w:pPr>
      <w:bookmarkStart w:id="50" w:name="_Toc76036495"/>
      <w:bookmarkStart w:id="51" w:name="_Toc205826947"/>
      <w:bookmarkEnd w:id="49"/>
      <w:r w:rsidRPr="00F73441">
        <w:lastRenderedPageBreak/>
        <w:t>Reporting production and consumption</w:t>
      </w:r>
      <w:r w:rsidRPr="00EC6D0D">
        <w:t xml:space="preserve"> </w:t>
      </w:r>
      <w:r>
        <w:t xml:space="preserve">of </w:t>
      </w:r>
      <w:r w:rsidRPr="00F73441">
        <w:t>electricity</w:t>
      </w:r>
      <w:bookmarkEnd w:id="50"/>
      <w:bookmarkEnd w:id="51"/>
    </w:p>
    <w:p w14:paraId="1738BDEE" w14:textId="2B32A97B" w:rsidR="004E408E" w:rsidRDefault="004E408E" w:rsidP="009E332D">
      <w:pPr>
        <w:spacing w:before="240"/>
      </w:pPr>
      <w:r w:rsidRPr="00DE1683">
        <w:t>Electricity production and consumption must be reported</w:t>
      </w:r>
      <w:r>
        <w:t xml:space="preserve"> at a facility</w:t>
      </w:r>
      <w:r w:rsidRPr="00DE1683">
        <w:t xml:space="preserve"> if it exceeds the thresholds listed in 4.19, 4.20 and 4.2</w:t>
      </w:r>
      <w:r>
        <w:t>2</w:t>
      </w:r>
      <w:r w:rsidR="001B080B">
        <w:t xml:space="preserve"> of the </w:t>
      </w:r>
      <w:r w:rsidRPr="00DE1683">
        <w:t>NGER Regulations, and section 2.68 of the NGER Measurement Determination, summarised</w:t>
      </w:r>
      <w:r>
        <w:t xml:space="preserve"> in </w:t>
      </w:r>
      <w:r w:rsidRPr="004C3AE8">
        <w:t>Table 2 – Thresholds for reporting electricity production and consumption</w:t>
      </w:r>
      <w:r>
        <w:t xml:space="preserve">.  </w:t>
      </w:r>
    </w:p>
    <w:p w14:paraId="4C412FE0" w14:textId="0DFE635C" w:rsidR="004E408E" w:rsidRPr="00B41D09" w:rsidRDefault="004E408E" w:rsidP="00B41D09">
      <w:pPr>
        <w:pStyle w:val="Heading3"/>
        <w:rPr>
          <w:i/>
          <w:sz w:val="18"/>
          <w:szCs w:val="18"/>
        </w:rPr>
      </w:pPr>
      <w:bookmarkStart w:id="52" w:name="_Table_2_–"/>
      <w:bookmarkStart w:id="53" w:name="_Toc76036496"/>
      <w:bookmarkStart w:id="54" w:name="_Toc205826948"/>
      <w:bookmarkEnd w:id="52"/>
      <w:r w:rsidRPr="00B41D09">
        <w:rPr>
          <w:b w:val="0"/>
          <w:i/>
          <w:sz w:val="18"/>
          <w:szCs w:val="18"/>
        </w:rPr>
        <w:t>Table 2 – Thresholds for reporting electricity production and consumption</w:t>
      </w:r>
      <w:bookmarkEnd w:id="53"/>
      <w:r w:rsidR="0004466E" w:rsidRPr="00B41D09">
        <w:rPr>
          <w:b w:val="0"/>
          <w:i/>
          <w:sz w:val="18"/>
          <w:szCs w:val="18"/>
        </w:rPr>
        <w:t>.</w:t>
      </w:r>
      <w:bookmarkEnd w:id="54"/>
    </w:p>
    <w:tbl>
      <w:tblPr>
        <w:tblStyle w:val="CERTable"/>
        <w:tblW w:w="9606" w:type="dxa"/>
        <w:tblLook w:val="0680" w:firstRow="0" w:lastRow="0" w:firstColumn="1" w:lastColumn="0" w:noHBand="1" w:noVBand="1"/>
      </w:tblPr>
      <w:tblGrid>
        <w:gridCol w:w="4753"/>
        <w:gridCol w:w="4853"/>
      </w:tblGrid>
      <w:tr w:rsidR="004E408E" w14:paraId="2BF17DF5" w14:textId="77777777" w:rsidTr="0071311F">
        <w:trPr>
          <w:trHeight w:val="1724"/>
        </w:trPr>
        <w:tc>
          <w:tcPr>
            <w:cnfStyle w:val="001000000000" w:firstRow="0" w:lastRow="0" w:firstColumn="1" w:lastColumn="0" w:oddVBand="0" w:evenVBand="0" w:oddHBand="0" w:evenHBand="0" w:firstRowFirstColumn="0" w:firstRowLastColumn="0" w:lastRowFirstColumn="0" w:lastRowLastColumn="0"/>
            <w:tcW w:w="0" w:type="dxa"/>
            <w:hideMark/>
          </w:tcPr>
          <w:p w14:paraId="7BD68567" w14:textId="77777777" w:rsidR="004E408E" w:rsidRDefault="004E408E">
            <w:r>
              <w:t>Electricity production threshold</w:t>
            </w:r>
          </w:p>
        </w:tc>
        <w:tc>
          <w:tcPr>
            <w:tcW w:w="0" w:type="dxa"/>
            <w:hideMark/>
          </w:tcPr>
          <w:p w14:paraId="6FC8C93C" w14:textId="06836B3D" w:rsidR="004E408E" w:rsidRDefault="004E408E">
            <w:pPr>
              <w:cnfStyle w:val="000000000000" w:firstRow="0" w:lastRow="0" w:firstColumn="0" w:lastColumn="0" w:oddVBand="0" w:evenVBand="0" w:oddHBand="0" w:evenHBand="0" w:firstRowFirstColumn="0" w:firstRowLastColumn="0" w:lastRowFirstColumn="0" w:lastRowLastColumn="0"/>
            </w:pPr>
            <w:r>
              <w:t>Each generating unit that has the c</w:t>
            </w:r>
            <w:r>
              <w:rPr>
                <w:lang w:eastAsia="en-AU"/>
              </w:rPr>
              <w:t xml:space="preserve">apacity to produce </w:t>
            </w:r>
            <w:r>
              <w:t>0.5</w:t>
            </w:r>
            <w:r w:rsidR="00E75537">
              <w:t> </w:t>
            </w:r>
            <w:r w:rsidR="00410956">
              <w:t>M</w:t>
            </w:r>
            <w:r w:rsidR="00E75537">
              <w:t>W</w:t>
            </w:r>
            <w:r w:rsidDel="00E75537">
              <w:t xml:space="preserve"> </w:t>
            </w:r>
            <w:r>
              <w:t>or more of electricity.</w:t>
            </w:r>
          </w:p>
          <w:p w14:paraId="04DCF6B7" w14:textId="7AB5B12A" w:rsidR="004E408E" w:rsidRDefault="004E408E">
            <w:pPr>
              <w:cnfStyle w:val="000000000000" w:firstRow="0" w:lastRow="0" w:firstColumn="0" w:lastColumn="0" w:oddVBand="0" w:evenVBand="0" w:oddHBand="0" w:evenHBand="0" w:firstRowFirstColumn="0" w:firstRowLastColumn="0" w:lastRowFirstColumn="0" w:lastRowLastColumn="0"/>
            </w:pPr>
            <w:r>
              <w:t>Generates</w:t>
            </w:r>
            <w:r>
              <w:rPr>
                <w:lang w:eastAsia="en-AU"/>
              </w:rPr>
              <w:t xml:space="preserve"> more than 100,000</w:t>
            </w:r>
            <w:r w:rsidR="00E75537">
              <w:rPr>
                <w:lang w:eastAsia="en-AU"/>
              </w:rPr>
              <w:t> kWh</w:t>
            </w:r>
            <w:r w:rsidDel="00E75537">
              <w:rPr>
                <w:lang w:eastAsia="en-AU"/>
              </w:rPr>
              <w:t xml:space="preserve"> </w:t>
            </w:r>
            <w:r>
              <w:rPr>
                <w:lang w:eastAsia="en-AU"/>
              </w:rPr>
              <w:t>of</w:t>
            </w:r>
            <w:r>
              <w:t xml:space="preserve"> electricity per generating unit</w:t>
            </w:r>
            <w:r>
              <w:rPr>
                <w:lang w:eastAsia="en-AU"/>
              </w:rPr>
              <w:t xml:space="preserve"> in the reporting period.</w:t>
            </w:r>
          </w:p>
        </w:tc>
      </w:tr>
      <w:tr w:rsidR="004E408E" w14:paraId="35F37CD2" w14:textId="77777777" w:rsidTr="0071311F">
        <w:trPr>
          <w:trHeight w:val="1724"/>
        </w:trPr>
        <w:tc>
          <w:tcPr>
            <w:cnfStyle w:val="001000000000" w:firstRow="0" w:lastRow="0" w:firstColumn="1" w:lastColumn="0" w:oddVBand="0" w:evenVBand="0" w:oddHBand="0" w:evenHBand="0" w:firstRowFirstColumn="0" w:firstRowLastColumn="0" w:lastRowFirstColumn="0" w:lastRowLastColumn="0"/>
            <w:tcW w:w="0" w:type="dxa"/>
          </w:tcPr>
          <w:p w14:paraId="6A79F1AC" w14:textId="77777777" w:rsidR="004E408E" w:rsidRDefault="004E408E">
            <w:r>
              <w:t>Electricity consumption thresholds</w:t>
            </w:r>
          </w:p>
        </w:tc>
        <w:tc>
          <w:tcPr>
            <w:tcW w:w="0" w:type="dxa"/>
          </w:tcPr>
          <w:p w14:paraId="6339533C" w14:textId="275A8654" w:rsidR="004E408E" w:rsidRDefault="004E408E">
            <w:pPr>
              <w:spacing w:after="120"/>
              <w:cnfStyle w:val="000000000000" w:firstRow="0" w:lastRow="0" w:firstColumn="0" w:lastColumn="0" w:oddVBand="0" w:evenVBand="0" w:oddHBand="0" w:evenHBand="0" w:firstRowFirstColumn="0" w:firstRowLastColumn="0" w:lastRowFirstColumn="0" w:lastRowLastColumn="0"/>
            </w:pPr>
            <w:r>
              <w:t>Each generating unit that has the c</w:t>
            </w:r>
            <w:r>
              <w:rPr>
                <w:lang w:eastAsia="en-AU"/>
              </w:rPr>
              <w:t xml:space="preserve">apacity to produce </w:t>
            </w:r>
            <w:r>
              <w:t>0.5</w:t>
            </w:r>
            <w:r w:rsidR="00E75537">
              <w:t> </w:t>
            </w:r>
            <w:r w:rsidR="00410956">
              <w:t>M</w:t>
            </w:r>
            <w:r w:rsidR="00E75537">
              <w:t>W</w:t>
            </w:r>
            <w:r w:rsidDel="00E75537">
              <w:t xml:space="preserve"> </w:t>
            </w:r>
            <w:r>
              <w:t>or more of electricity.</w:t>
            </w:r>
          </w:p>
          <w:p w14:paraId="293B1963" w14:textId="56E017E9" w:rsidR="004E408E" w:rsidRDefault="004E408E">
            <w:pPr>
              <w:cnfStyle w:val="000000000000" w:firstRow="0" w:lastRow="0" w:firstColumn="0" w:lastColumn="0" w:oddVBand="0" w:evenVBand="0" w:oddHBand="0" w:evenHBand="0" w:firstRowFirstColumn="0" w:firstRowLastColumn="0" w:lastRowFirstColumn="0" w:lastRowLastColumn="0"/>
              <w:rPr>
                <w:color w:val="auto"/>
                <w:lang w:eastAsia="en-AU"/>
              </w:rPr>
            </w:pPr>
            <w:r w:rsidRPr="00152B4C">
              <w:rPr>
                <w:color w:val="auto"/>
                <w:lang w:eastAsia="en-AU"/>
              </w:rPr>
              <w:t>Generates m</w:t>
            </w:r>
            <w:r>
              <w:rPr>
                <w:color w:val="auto"/>
                <w:lang w:eastAsia="en-AU"/>
              </w:rPr>
              <w:t>ore than 100,</w:t>
            </w:r>
            <w:r w:rsidRPr="00152B4C">
              <w:rPr>
                <w:color w:val="auto"/>
                <w:lang w:eastAsia="en-AU"/>
              </w:rPr>
              <w:t>000</w:t>
            </w:r>
            <w:r w:rsidR="00E75537">
              <w:rPr>
                <w:color w:val="auto"/>
                <w:lang w:eastAsia="en-AU"/>
              </w:rPr>
              <w:t> kWh</w:t>
            </w:r>
            <w:r w:rsidRPr="00152B4C" w:rsidDel="00E75537">
              <w:rPr>
                <w:color w:val="auto"/>
                <w:lang w:eastAsia="en-AU"/>
              </w:rPr>
              <w:t xml:space="preserve"> </w:t>
            </w:r>
            <w:r w:rsidRPr="00152B4C">
              <w:rPr>
                <w:color w:val="auto"/>
                <w:lang w:eastAsia="en-AU"/>
              </w:rPr>
              <w:t>of electricity per generating unit in the reporting period.</w:t>
            </w:r>
          </w:p>
          <w:p w14:paraId="5B49B6B7" w14:textId="6E0225DA" w:rsidR="004E408E" w:rsidRDefault="004E408E">
            <w:pPr>
              <w:cnfStyle w:val="000000000000" w:firstRow="0" w:lastRow="0" w:firstColumn="0" w:lastColumn="0" w:oddVBand="0" w:evenVBand="0" w:oddHBand="0" w:evenHBand="0" w:firstRowFirstColumn="0" w:firstRowLastColumn="0" w:lastRowFirstColumn="0" w:lastRowLastColumn="0"/>
            </w:pPr>
            <w:r w:rsidRPr="00152B4C">
              <w:rPr>
                <w:color w:val="auto"/>
                <w:lang w:eastAsia="en-AU"/>
              </w:rPr>
              <w:t>For all other electricity consumption</w:t>
            </w:r>
            <w:r>
              <w:rPr>
                <w:color w:val="auto"/>
                <w:lang w:eastAsia="en-AU"/>
              </w:rPr>
              <w:t>, the threshold is</w:t>
            </w:r>
            <w:r w:rsidRPr="00152B4C">
              <w:rPr>
                <w:color w:val="auto"/>
                <w:lang w:eastAsia="en-AU"/>
              </w:rPr>
              <w:t xml:space="preserve"> electricity consumpti</w:t>
            </w:r>
            <w:r>
              <w:rPr>
                <w:color w:val="auto"/>
                <w:lang w:eastAsia="en-AU"/>
              </w:rPr>
              <w:t>on at a facility of at least 20,</w:t>
            </w:r>
            <w:r w:rsidRPr="00152B4C">
              <w:rPr>
                <w:color w:val="auto"/>
                <w:lang w:eastAsia="en-AU"/>
              </w:rPr>
              <w:t>000</w:t>
            </w:r>
            <w:r w:rsidR="005D2B55">
              <w:rPr>
                <w:color w:val="auto"/>
                <w:lang w:eastAsia="en-AU"/>
              </w:rPr>
              <w:t> kWh</w:t>
            </w:r>
            <w:r w:rsidRPr="00152B4C" w:rsidDel="005D2B55">
              <w:rPr>
                <w:color w:val="auto"/>
                <w:lang w:eastAsia="en-AU"/>
              </w:rPr>
              <w:t xml:space="preserve"> </w:t>
            </w:r>
            <w:r w:rsidRPr="00152B4C">
              <w:rPr>
                <w:color w:val="auto"/>
                <w:lang w:eastAsia="en-AU"/>
              </w:rPr>
              <w:t>in the reporting period</w:t>
            </w:r>
            <w:r>
              <w:rPr>
                <w:color w:val="auto"/>
                <w:lang w:eastAsia="en-AU"/>
              </w:rPr>
              <w:t xml:space="preserve"> (for example purchased electricity)</w:t>
            </w:r>
            <w:r w:rsidRPr="00152B4C">
              <w:rPr>
                <w:color w:val="auto"/>
                <w:lang w:eastAsia="en-AU"/>
              </w:rPr>
              <w:t>.</w:t>
            </w:r>
          </w:p>
        </w:tc>
      </w:tr>
    </w:tbl>
    <w:p w14:paraId="5908652C" w14:textId="77777777" w:rsidR="004E408E" w:rsidRDefault="004E408E" w:rsidP="004E408E"/>
    <w:p w14:paraId="321E1D81" w14:textId="6372FEB9" w:rsidR="004E408E" w:rsidRDefault="004E408E" w:rsidP="004E408E">
      <w:pPr>
        <w:spacing w:before="240"/>
      </w:pPr>
      <w:r>
        <w:t xml:space="preserve">Electricity production that falls below the thresholds for electricity production does not need to be reported (see </w:t>
      </w:r>
      <w:r w:rsidR="001B080B">
        <w:t>4.19 of the</w:t>
      </w:r>
      <w:r>
        <w:t xml:space="preserve"> NGER Regulation</w:t>
      </w:r>
      <w:r w:rsidR="001B080B">
        <w:t>s</w:t>
      </w:r>
      <w:r>
        <w:t>). The example below shows how the above thresholds are used when reporting electricity production</w:t>
      </w:r>
      <w:r w:rsidDel="001178A4">
        <w:t xml:space="preserve"> </w:t>
      </w:r>
      <w:r>
        <w:t xml:space="preserve">at a facility. </w:t>
      </w:r>
    </w:p>
    <w:tbl>
      <w:tblPr>
        <w:tblStyle w:val="CERCallout"/>
        <w:tblW w:w="5000" w:type="pct"/>
        <w:tblLook w:val="0400" w:firstRow="0" w:lastRow="0" w:firstColumn="0" w:lastColumn="0" w:noHBand="0" w:noVBand="1"/>
      </w:tblPr>
      <w:tblGrid>
        <w:gridCol w:w="9710"/>
      </w:tblGrid>
      <w:tr w:rsidR="004E408E" w:rsidRPr="00FA7635" w14:paraId="1433FDC7" w14:textId="77777777">
        <w:trPr>
          <w:trHeight w:val="3427"/>
        </w:trPr>
        <w:tc>
          <w:tcPr>
            <w:tcW w:w="4739" w:type="pct"/>
          </w:tcPr>
          <w:p w14:paraId="485EB382" w14:textId="77777777" w:rsidR="004E408E" w:rsidRPr="00FA7635" w:rsidRDefault="004E408E" w:rsidP="006013E9">
            <w:pPr>
              <w:pStyle w:val="Heading5"/>
            </w:pPr>
            <w:bookmarkStart w:id="55" w:name="_Toc205826949"/>
            <w:r w:rsidRPr="006013E9">
              <w:lastRenderedPageBreak/>
              <w:t>Example</w:t>
            </w:r>
            <w:r>
              <w:t xml:space="preserve"> 5</w:t>
            </w:r>
            <w:bookmarkEnd w:id="55"/>
          </w:p>
          <w:p w14:paraId="74194D4D" w14:textId="2884AF37" w:rsidR="004E408E" w:rsidRDefault="004E408E">
            <w:r>
              <w:t xml:space="preserve">A mining facility has </w:t>
            </w:r>
            <w:r w:rsidR="009B72E3">
              <w:t xml:space="preserve">4 </w:t>
            </w:r>
            <w:r>
              <w:t xml:space="preserve">diesel powered electricity generators. </w:t>
            </w:r>
            <w:r w:rsidR="00A609A5">
              <w:t xml:space="preserve">Two </w:t>
            </w:r>
            <w:r>
              <w:t>of these generators have the capacity to produce of 0.2</w:t>
            </w:r>
            <w:r w:rsidR="00963C45">
              <w:t> </w:t>
            </w:r>
            <w:r>
              <w:t>MW and generate 70,000</w:t>
            </w:r>
            <w:r w:rsidR="00963C45">
              <w:t> </w:t>
            </w:r>
            <w:r>
              <w:t>kWh and 110,000</w:t>
            </w:r>
            <w:r w:rsidR="00963C45">
              <w:t> </w:t>
            </w:r>
            <w:r>
              <w:t xml:space="preserve">kWh respectively in the reporting year. The remaining </w:t>
            </w:r>
            <w:r w:rsidR="009B72E3">
              <w:t xml:space="preserve">2 </w:t>
            </w:r>
            <w:r>
              <w:t>generators each have the capacity to produce 0.8</w:t>
            </w:r>
            <w:r w:rsidR="00963C45">
              <w:t> M</w:t>
            </w:r>
            <w:r>
              <w:t>W and generate 90,000</w:t>
            </w:r>
            <w:r w:rsidR="002003A7">
              <w:t> </w:t>
            </w:r>
            <w:r>
              <w:t>kWh and 140,000</w:t>
            </w:r>
            <w:r w:rsidR="002003A7">
              <w:t> </w:t>
            </w:r>
            <w:r>
              <w:t xml:space="preserve">kWh respectively in the reporting year. </w:t>
            </w:r>
          </w:p>
          <w:p w14:paraId="09B78354" w14:textId="1C29D238" w:rsidR="004E408E" w:rsidRDefault="004E408E">
            <w:r>
              <w:t>The reporter need not report electricity production from the generators that have less than 0.5</w:t>
            </w:r>
            <w:r w:rsidR="002003A7">
              <w:t> </w:t>
            </w:r>
            <w:r>
              <w:t>MW capacity or generate 100,000</w:t>
            </w:r>
            <w:r w:rsidR="002003A7">
              <w:t> </w:t>
            </w:r>
            <w:r>
              <w:t>kWh or less in a reporting year. Therefore, only the electricity produced from the 0.8</w:t>
            </w:r>
            <w:r w:rsidR="002003A7">
              <w:t> </w:t>
            </w:r>
            <w:r>
              <w:t>MW capacity generator which produces 140,000</w:t>
            </w:r>
            <w:r w:rsidR="002003A7">
              <w:t> </w:t>
            </w:r>
            <w:r>
              <w:t>kWh must be reported.</w:t>
            </w:r>
          </w:p>
          <w:p w14:paraId="6035E6D6" w14:textId="0B727980" w:rsidR="004E408E" w:rsidRDefault="004E408E">
            <w:r>
              <w:t>As defined in section 6.3 of the NGER Measurement Determination, energy produced = quantity of electricity produced (kilowatt</w:t>
            </w:r>
            <w:r w:rsidR="00C3375F">
              <w:t>-</w:t>
            </w:r>
            <w:r>
              <w:t>hours) × energy content factor for electricity.</w:t>
            </w:r>
          </w:p>
          <w:p w14:paraId="0EE577DC" w14:textId="761E34C6" w:rsidR="004E408E" w:rsidRPr="00FA7635" w:rsidRDefault="004E408E">
            <w:r>
              <w:t>Therefore, in this case, reportable energy produced = 140,000</w:t>
            </w:r>
            <w:r w:rsidR="002003A7">
              <w:t> </w:t>
            </w:r>
            <w:r>
              <w:t>k</w:t>
            </w:r>
            <w:r w:rsidR="002003A7">
              <w:t>W</w:t>
            </w:r>
            <w:r>
              <w:t>h × 0.0036 = 504</w:t>
            </w:r>
            <w:r w:rsidR="002003A7">
              <w:t> </w:t>
            </w:r>
            <w:r>
              <w:t>GJ.</w:t>
            </w:r>
          </w:p>
        </w:tc>
      </w:tr>
    </w:tbl>
    <w:p w14:paraId="299B8061" w14:textId="005E3A22" w:rsidR="004E408E" w:rsidRDefault="004E408E" w:rsidP="00041BA1">
      <w:pPr>
        <w:spacing w:before="240"/>
      </w:pPr>
      <w:bookmarkStart w:id="56" w:name="_Hlk45715568"/>
      <w:r>
        <w:t xml:space="preserve">Electricity consumed from an on-site generating unit needs to be reported if it meets the relevant threshold listed in </w:t>
      </w:r>
      <w:hyperlink w:anchor="_Table_2_–" w:history="1">
        <w:r w:rsidRPr="00D850CF">
          <w:rPr>
            <w:rStyle w:val="Hyperlink"/>
            <w:rFonts w:asciiTheme="minorHAnsi" w:hAnsiTheme="minorHAnsi"/>
          </w:rPr>
          <w:t>Table 2 – Thresholds for reporting electricity production and consumption</w:t>
        </w:r>
      </w:hyperlink>
      <w:r>
        <w:t xml:space="preserve"> (see </w:t>
      </w:r>
      <w:r w:rsidR="006B3B11">
        <w:t xml:space="preserve">4.22 of the </w:t>
      </w:r>
      <w:r>
        <w:t>NGER Regulation</w:t>
      </w:r>
      <w:r w:rsidR="006B3B11">
        <w:t>s</w:t>
      </w:r>
      <w:r>
        <w:t xml:space="preserve"> and section 2.68 of the NGER Measurement Determination). Conversely, electricity consumed from a generating unit that does not have the capacity to produce more than 0.5</w:t>
      </w:r>
      <w:r w:rsidR="00830684">
        <w:t> </w:t>
      </w:r>
      <w:r>
        <w:t xml:space="preserve">MW of electricity does not need to be reported. </w:t>
      </w:r>
    </w:p>
    <w:p w14:paraId="4D98CED9" w14:textId="33FAB20E" w:rsidR="004E408E" w:rsidRDefault="004E408E" w:rsidP="004E408E">
      <w:r>
        <w:t>For all other electricity consumption (generally purchased electricity reported as scope 2 emissions), the consumption of energy must only be reported if the amount of electricity consumed exceeds 20,000</w:t>
      </w:r>
      <w:r w:rsidR="00830684">
        <w:t> kWh</w:t>
      </w:r>
      <w:r>
        <w:t>.</w:t>
      </w:r>
    </w:p>
    <w:p w14:paraId="7A442ADA" w14:textId="741F28D5" w:rsidR="004E408E" w:rsidRDefault="004E408E" w:rsidP="004E408E">
      <w:r>
        <w:t xml:space="preserve">If a reporter </w:t>
      </w:r>
      <w:r w:rsidRPr="3AC82E63">
        <w:t>chooses</w:t>
      </w:r>
      <w:r>
        <w:t xml:space="preserve"> to report activities relating to electricity production for use onsite which fall below the thresholds outlined in </w:t>
      </w:r>
      <w:hyperlink w:anchor="_Table_2_–">
        <w:r w:rsidRPr="3AC82E63">
          <w:rPr>
            <w:rStyle w:val="Hyperlink"/>
            <w:rFonts w:asciiTheme="minorHAnsi" w:hAnsiTheme="minorHAnsi"/>
          </w:rPr>
          <w:t>Table 2 – Thresholds for reporting electricity production and consumption</w:t>
        </w:r>
      </w:hyperlink>
      <w:r>
        <w:t>, then all activities relating to electricity production should be reported</w:t>
      </w:r>
      <w:r w:rsidR="00BE0A71">
        <w:t>. This ensures</w:t>
      </w:r>
      <w:r w:rsidR="00E90440">
        <w:t xml:space="preserve"> that </w:t>
      </w:r>
      <w:r w:rsidR="00BE0A71">
        <w:t>all</w:t>
      </w:r>
      <w:r w:rsidR="00E90440">
        <w:t xml:space="preserve"> energy is </w:t>
      </w:r>
      <w:r w:rsidR="00863E7C">
        <w:t>accounted for.</w:t>
      </w:r>
      <w:r>
        <w:t xml:space="preserve"> This would include the quantity of fuel or energy commodity consumed to produce the electricity, the quantity of electricity produced for use onsite and the quantity of electricity consumed onsite.</w:t>
      </w:r>
    </w:p>
    <w:p w14:paraId="242CED1A" w14:textId="77777777" w:rsidR="004E408E" w:rsidRPr="00117461" w:rsidRDefault="004E408E" w:rsidP="00050308">
      <w:pPr>
        <w:pStyle w:val="Heading2"/>
        <w:numPr>
          <w:ilvl w:val="1"/>
          <w:numId w:val="9"/>
        </w:numPr>
        <w:ind w:left="709" w:hanging="709"/>
      </w:pPr>
      <w:bookmarkStart w:id="57" w:name="_Toc76036497"/>
      <w:bookmarkStart w:id="58" w:name="_Toc205826950"/>
      <w:bookmarkEnd w:id="56"/>
      <w:r w:rsidRPr="00117461">
        <w:t>Estimating electricity production</w:t>
      </w:r>
      <w:bookmarkEnd w:id="57"/>
      <w:bookmarkEnd w:id="58"/>
      <w:r w:rsidRPr="00117461">
        <w:t xml:space="preserve"> </w:t>
      </w:r>
    </w:p>
    <w:p w14:paraId="6A90B451" w14:textId="146213DA" w:rsidR="004E408E" w:rsidRDefault="004E408E" w:rsidP="009E332D">
      <w:pPr>
        <w:spacing w:before="240"/>
      </w:pPr>
      <w:r>
        <w:t xml:space="preserve">Where electricity production is reported, it is necessary to also identify whether the electricity was produced using (see </w:t>
      </w:r>
      <w:r w:rsidR="006C5FB6">
        <w:t xml:space="preserve">4.20 of the </w:t>
      </w:r>
      <w:r>
        <w:t>NGER Regulation</w:t>
      </w:r>
      <w:r w:rsidR="006C5FB6">
        <w:t>s</w:t>
      </w:r>
      <w:r>
        <w:t>):</w:t>
      </w:r>
    </w:p>
    <w:p w14:paraId="4C627844" w14:textId="77777777" w:rsidR="004E408E" w:rsidRDefault="004E408E" w:rsidP="00682491">
      <w:pPr>
        <w:pStyle w:val="CERbullets"/>
        <w:numPr>
          <w:ilvl w:val="0"/>
          <w:numId w:val="28"/>
        </w:numPr>
      </w:pPr>
      <w:bookmarkStart w:id="59" w:name="_Hlk75946976"/>
      <w:r>
        <w:t>thermal generation</w:t>
      </w:r>
    </w:p>
    <w:bookmarkEnd w:id="59"/>
    <w:p w14:paraId="78ACB7AB" w14:textId="77777777" w:rsidR="004E408E" w:rsidRDefault="004E408E" w:rsidP="00682491">
      <w:pPr>
        <w:pStyle w:val="CERbullets"/>
        <w:numPr>
          <w:ilvl w:val="0"/>
          <w:numId w:val="28"/>
        </w:numPr>
      </w:pPr>
      <w:r w:rsidRPr="00EC4D13">
        <w:t>geothermal generation</w:t>
      </w:r>
    </w:p>
    <w:p w14:paraId="150F1BB3" w14:textId="77777777" w:rsidR="004E408E" w:rsidRPr="00EC4D13" w:rsidRDefault="004E408E" w:rsidP="00682491">
      <w:pPr>
        <w:pStyle w:val="CERbullets"/>
        <w:numPr>
          <w:ilvl w:val="0"/>
          <w:numId w:val="28"/>
        </w:numPr>
      </w:pPr>
      <w:r w:rsidRPr="00EC4D13">
        <w:t>solar generation</w:t>
      </w:r>
    </w:p>
    <w:p w14:paraId="7FA6702D" w14:textId="77777777" w:rsidR="004E408E" w:rsidRPr="00EC4D13" w:rsidRDefault="004E408E" w:rsidP="00682491">
      <w:pPr>
        <w:pStyle w:val="CERbullets"/>
        <w:numPr>
          <w:ilvl w:val="0"/>
          <w:numId w:val="28"/>
        </w:numPr>
      </w:pPr>
      <w:r w:rsidRPr="00EC4D13">
        <w:t>wind generation</w:t>
      </w:r>
    </w:p>
    <w:p w14:paraId="2F2A597F" w14:textId="77777777" w:rsidR="004E408E" w:rsidRDefault="004E408E" w:rsidP="00682491">
      <w:pPr>
        <w:pStyle w:val="CERbullets"/>
        <w:numPr>
          <w:ilvl w:val="0"/>
          <w:numId w:val="28"/>
        </w:numPr>
      </w:pPr>
      <w:r w:rsidRPr="00EC4D13">
        <w:t>water generation</w:t>
      </w:r>
    </w:p>
    <w:p w14:paraId="06B82D64" w14:textId="77777777" w:rsidR="004E408E" w:rsidRPr="00751610" w:rsidRDefault="004E408E" w:rsidP="00682491">
      <w:pPr>
        <w:pStyle w:val="CERbullets"/>
        <w:numPr>
          <w:ilvl w:val="0"/>
          <w:numId w:val="28"/>
        </w:numPr>
      </w:pPr>
      <w:r>
        <w:t>biogas generation.</w:t>
      </w:r>
    </w:p>
    <w:p w14:paraId="62B1F70B" w14:textId="77777777" w:rsidR="004E408E" w:rsidRDefault="004E408E" w:rsidP="004E408E">
      <w:r>
        <w:t>The report must also detail the amount and energy content of electricity that was produced for the following purposes:</w:t>
      </w:r>
    </w:p>
    <w:p w14:paraId="605F5728" w14:textId="77777777" w:rsidR="004E408E" w:rsidRDefault="004E408E" w:rsidP="00682491">
      <w:pPr>
        <w:pStyle w:val="CERbullets"/>
        <w:numPr>
          <w:ilvl w:val="0"/>
          <w:numId w:val="29"/>
        </w:numPr>
      </w:pPr>
      <w:r>
        <w:rPr>
          <w:color w:val="333333"/>
          <w:szCs w:val="21"/>
        </w:rPr>
        <w:lastRenderedPageBreak/>
        <w:t xml:space="preserve">for use </w:t>
      </w:r>
      <w:r w:rsidRPr="000645CA">
        <w:rPr>
          <w:color w:val="333333"/>
          <w:szCs w:val="21"/>
        </w:rPr>
        <w:t>for the purposes of the facility (for use onsite)</w:t>
      </w:r>
    </w:p>
    <w:p w14:paraId="449F8487" w14:textId="77777777" w:rsidR="004E408E" w:rsidRDefault="004E408E" w:rsidP="00682491">
      <w:pPr>
        <w:pStyle w:val="CERbullets"/>
        <w:numPr>
          <w:ilvl w:val="0"/>
          <w:numId w:val="29"/>
        </w:numPr>
      </w:pPr>
      <w:r>
        <w:t>for use outside the operation of the facility other than for supply to an electricity transmission or distribution network</w:t>
      </w:r>
    </w:p>
    <w:p w14:paraId="36AC1792" w14:textId="0315BB38" w:rsidR="004E408E" w:rsidRDefault="004E408E" w:rsidP="00682491">
      <w:pPr>
        <w:pStyle w:val="CERbullets"/>
        <w:numPr>
          <w:ilvl w:val="0"/>
          <w:numId w:val="29"/>
        </w:numPr>
        <w:spacing w:after="200"/>
      </w:pPr>
      <w:r>
        <w:t>for use outside the operation of the facility for supply to an electricity transmission or distribution network.</w:t>
      </w:r>
      <w:r w:rsidRPr="00751610">
        <w:t xml:space="preserve"> </w:t>
      </w:r>
      <w:r w:rsidRPr="004C3AE8">
        <w:t>Table 3 – Estimating electricity production</w:t>
      </w:r>
      <w:r>
        <w:t xml:space="preserve"> </w:t>
      </w:r>
      <w:r>
        <w:rPr>
          <w:szCs w:val="22"/>
        </w:rPr>
        <w:t>below</w:t>
      </w:r>
      <w:r w:rsidRPr="00705D4B">
        <w:rPr>
          <w:szCs w:val="22"/>
        </w:rPr>
        <w:t xml:space="preserve"> details how the amount of</w:t>
      </w:r>
      <w:r>
        <w:t xml:space="preserve"> electricity produced for each of these purposes is determined (see section 6.2 of the NGER Measurement Determination).</w:t>
      </w:r>
    </w:p>
    <w:p w14:paraId="0310FE6E" w14:textId="4049DFF6" w:rsidR="004E408E" w:rsidRPr="00B41D09" w:rsidRDefault="004E408E" w:rsidP="004E408E">
      <w:pPr>
        <w:pStyle w:val="Heading3"/>
        <w:rPr>
          <w:b w:val="0"/>
        </w:rPr>
      </w:pPr>
      <w:bookmarkStart w:id="60" w:name="_Table_3_–"/>
      <w:bookmarkStart w:id="61" w:name="_Toc76036498"/>
      <w:bookmarkStart w:id="62" w:name="_Toc205826951"/>
      <w:bookmarkEnd w:id="60"/>
      <w:r w:rsidRPr="00B41D09">
        <w:rPr>
          <w:b w:val="0"/>
          <w:i/>
          <w:sz w:val="18"/>
          <w:szCs w:val="18"/>
        </w:rPr>
        <w:t>Table 3 – Estimating electricity production</w:t>
      </w:r>
      <w:bookmarkEnd w:id="61"/>
      <w:r w:rsidR="005A1F68">
        <w:rPr>
          <w:b w:val="0"/>
          <w:bCs w:val="0"/>
          <w:i/>
          <w:iCs/>
          <w:sz w:val="18"/>
          <w:szCs w:val="18"/>
        </w:rPr>
        <w:t>.</w:t>
      </w:r>
      <w:bookmarkEnd w:id="62"/>
    </w:p>
    <w:tbl>
      <w:tblPr>
        <w:tblStyle w:val="CERTable"/>
        <w:tblW w:w="5000" w:type="pct"/>
        <w:tblLook w:val="04A0" w:firstRow="1" w:lastRow="0" w:firstColumn="1" w:lastColumn="0" w:noHBand="0" w:noVBand="1"/>
      </w:tblPr>
      <w:tblGrid>
        <w:gridCol w:w="1343"/>
        <w:gridCol w:w="2879"/>
        <w:gridCol w:w="2758"/>
        <w:gridCol w:w="2760"/>
      </w:tblGrid>
      <w:tr w:rsidR="004E408E" w:rsidRPr="00AA1BB1" w14:paraId="7995A105" w14:textId="77777777" w:rsidTr="00584A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9" w:type="pct"/>
          </w:tcPr>
          <w:p w14:paraId="3DFD72E4" w14:textId="77777777" w:rsidR="004E408E" w:rsidRPr="00AA1BB1" w:rsidRDefault="004E408E">
            <w:pPr>
              <w:spacing w:before="60"/>
            </w:pPr>
            <w:r w:rsidRPr="00AA1BB1">
              <w:t>Electricity produced:</w:t>
            </w:r>
          </w:p>
        </w:tc>
        <w:tc>
          <w:tcPr>
            <w:tcW w:w="1478" w:type="pct"/>
          </w:tcPr>
          <w:p w14:paraId="3F2D5FC2" w14:textId="77777777" w:rsidR="004E408E" w:rsidRPr="00AA1BB1" w:rsidRDefault="004E408E">
            <w:pPr>
              <w:spacing w:before="60"/>
              <w:cnfStyle w:val="100000000000" w:firstRow="1" w:lastRow="0" w:firstColumn="0" w:lastColumn="0" w:oddVBand="0" w:evenVBand="0" w:oddHBand="0" w:evenHBand="0" w:firstRowFirstColumn="0" w:firstRowLastColumn="0" w:lastRowFirstColumn="0" w:lastRowLastColumn="0"/>
            </w:pPr>
            <w:r>
              <w:t>F</w:t>
            </w:r>
            <w:r w:rsidRPr="000B6B74">
              <w:t>or use for the purposes of the facility (for use onsite)</w:t>
            </w:r>
          </w:p>
        </w:tc>
        <w:tc>
          <w:tcPr>
            <w:tcW w:w="1416" w:type="pct"/>
          </w:tcPr>
          <w:p w14:paraId="4ABF7888" w14:textId="77777777" w:rsidR="004E408E" w:rsidRPr="00AA1BB1" w:rsidRDefault="004E408E">
            <w:pPr>
              <w:spacing w:before="60"/>
              <w:cnfStyle w:val="100000000000" w:firstRow="1" w:lastRow="0" w:firstColumn="0" w:lastColumn="0" w:oddVBand="0" w:evenVBand="0" w:oddHBand="0" w:evenHBand="0" w:firstRowFirstColumn="0" w:firstRowLastColumn="0" w:lastRowFirstColumn="0" w:lastRowLastColumn="0"/>
            </w:pPr>
            <w:r w:rsidRPr="00AA1BB1">
              <w:rPr>
                <w:color w:val="auto"/>
                <w:lang w:eastAsia="en-AU"/>
              </w:rPr>
              <w:t>For supply to an electricity transmission or distribution network</w:t>
            </w:r>
          </w:p>
        </w:tc>
        <w:tc>
          <w:tcPr>
            <w:tcW w:w="1416" w:type="pct"/>
          </w:tcPr>
          <w:p w14:paraId="2E7FD831" w14:textId="77777777" w:rsidR="004E408E" w:rsidRPr="00AA1BB1" w:rsidRDefault="004E408E">
            <w:pPr>
              <w:spacing w:before="60"/>
              <w:cnfStyle w:val="100000000000" w:firstRow="1" w:lastRow="0" w:firstColumn="0" w:lastColumn="0" w:oddVBand="0" w:evenVBand="0" w:oddHBand="0" w:evenHBand="0" w:firstRowFirstColumn="0" w:firstRowLastColumn="0" w:lastRowFirstColumn="0" w:lastRowLastColumn="0"/>
              <w:rPr>
                <w:color w:val="auto"/>
                <w:lang w:eastAsia="en-AU"/>
              </w:rPr>
            </w:pPr>
            <w:r w:rsidRPr="00AA1BB1">
              <w:rPr>
                <w:color w:val="auto"/>
                <w:lang w:eastAsia="en-AU"/>
              </w:rPr>
              <w:t xml:space="preserve">For use outside the facility other than for supply to an electricity transmission </w:t>
            </w:r>
            <w:r>
              <w:rPr>
                <w:color w:val="auto"/>
                <w:lang w:eastAsia="en-AU"/>
              </w:rPr>
              <w:t xml:space="preserve">or distribution </w:t>
            </w:r>
            <w:r w:rsidRPr="00AA1BB1">
              <w:rPr>
                <w:color w:val="auto"/>
                <w:lang w:eastAsia="en-AU"/>
              </w:rPr>
              <w:t>network</w:t>
            </w:r>
          </w:p>
        </w:tc>
      </w:tr>
      <w:tr w:rsidR="004E408E" w:rsidRPr="00AA1BB1" w14:paraId="32991DB0" w14:textId="77777777" w:rsidTr="001D5662">
        <w:trPr>
          <w:cnfStyle w:val="000000100000" w:firstRow="0" w:lastRow="0" w:firstColumn="0" w:lastColumn="0" w:oddVBand="0" w:evenVBand="0" w:oddHBand="1" w:evenHBand="0" w:firstRowFirstColumn="0" w:firstRowLastColumn="0" w:lastRowFirstColumn="0" w:lastRowLastColumn="0"/>
          <w:trHeight w:val="1213"/>
        </w:trPr>
        <w:tc>
          <w:tcPr>
            <w:cnfStyle w:val="001000000000" w:firstRow="0" w:lastRow="0" w:firstColumn="1" w:lastColumn="0" w:oddVBand="0" w:evenVBand="0" w:oddHBand="0" w:evenHBand="0" w:firstRowFirstColumn="0" w:firstRowLastColumn="0" w:lastRowFirstColumn="0" w:lastRowLastColumn="0"/>
            <w:tcW w:w="689" w:type="pct"/>
          </w:tcPr>
          <w:p w14:paraId="7C4F391E" w14:textId="77777777" w:rsidR="004E408E" w:rsidRPr="00AA1BB1" w:rsidRDefault="004E408E">
            <w:pPr>
              <w:spacing w:before="60"/>
            </w:pPr>
            <w:r w:rsidRPr="00AA1BB1">
              <w:t>Is equal to:</w:t>
            </w:r>
          </w:p>
        </w:tc>
        <w:tc>
          <w:tcPr>
            <w:tcW w:w="1478" w:type="pct"/>
          </w:tcPr>
          <w:p w14:paraId="064F414B" w14:textId="77777777" w:rsidR="004E408E" w:rsidRPr="00AA1BB1" w:rsidRDefault="004E408E">
            <w:pPr>
              <w:spacing w:before="60"/>
              <w:cnfStyle w:val="000000100000" w:firstRow="0" w:lastRow="0" w:firstColumn="0" w:lastColumn="0" w:oddVBand="0" w:evenVBand="0" w:oddHBand="1" w:evenHBand="0" w:firstRowFirstColumn="0" w:firstRowLastColumn="0" w:lastRowFirstColumn="0" w:lastRowLastColumn="0"/>
            </w:pPr>
            <w:r w:rsidRPr="00AA1BB1">
              <w:rPr>
                <w:color w:val="auto"/>
                <w:lang w:eastAsia="en-AU"/>
              </w:rPr>
              <w:t>The electricity produced by the electricity generating unit</w:t>
            </w:r>
            <w:r>
              <w:rPr>
                <w:color w:val="auto"/>
                <w:lang w:eastAsia="en-AU"/>
              </w:rPr>
              <w:t>/s</w:t>
            </w:r>
            <w:r w:rsidRPr="00AA1BB1">
              <w:rPr>
                <w:color w:val="auto"/>
                <w:lang w:eastAsia="en-AU"/>
              </w:rPr>
              <w:t xml:space="preserve"> as measured at the unit terminals</w:t>
            </w:r>
            <w:r>
              <w:rPr>
                <w:color w:val="auto"/>
                <w:lang w:eastAsia="en-AU"/>
              </w:rPr>
              <w:t xml:space="preserve"> (subject to the thresholds in </w:t>
            </w:r>
            <w:hyperlink w:anchor="_Table_2_–" w:history="1">
              <w:r w:rsidRPr="0017054E">
                <w:rPr>
                  <w:rStyle w:val="Hyperlink"/>
                  <w:rFonts w:asciiTheme="minorHAnsi" w:hAnsiTheme="minorHAnsi"/>
                  <w:lang w:eastAsia="en-AU"/>
                </w:rPr>
                <w:t>Table 2 – Thresholds for reporting electricity production and consumption</w:t>
              </w:r>
            </w:hyperlink>
            <w:r>
              <w:rPr>
                <w:color w:val="auto"/>
                <w:lang w:eastAsia="en-AU"/>
              </w:rPr>
              <w:t>)</w:t>
            </w:r>
            <w:r w:rsidRPr="00AA1BB1">
              <w:rPr>
                <w:color w:val="auto"/>
                <w:lang w:eastAsia="en-AU"/>
              </w:rPr>
              <w:t xml:space="preserve">. </w:t>
            </w:r>
          </w:p>
        </w:tc>
        <w:tc>
          <w:tcPr>
            <w:tcW w:w="1416" w:type="pct"/>
          </w:tcPr>
          <w:p w14:paraId="2988846F" w14:textId="77777777" w:rsidR="004E408E" w:rsidRPr="00AA1BB1" w:rsidRDefault="004E408E">
            <w:pPr>
              <w:spacing w:before="60"/>
              <w:cnfStyle w:val="000000100000" w:firstRow="0" w:lastRow="0" w:firstColumn="0" w:lastColumn="0" w:oddVBand="0" w:evenVBand="0" w:oddHBand="1" w:evenHBand="0" w:firstRowFirstColumn="0" w:firstRowLastColumn="0" w:lastRowFirstColumn="0" w:lastRowLastColumn="0"/>
            </w:pPr>
            <w:r w:rsidRPr="00AA1BB1">
              <w:rPr>
                <w:color w:val="auto"/>
                <w:lang w:eastAsia="en-AU"/>
              </w:rPr>
              <w:t>The electricity supplied to a transmission or distribution network measured at the network connection point*.</w:t>
            </w:r>
          </w:p>
        </w:tc>
        <w:tc>
          <w:tcPr>
            <w:tcW w:w="1416" w:type="pct"/>
          </w:tcPr>
          <w:p w14:paraId="754D53EA" w14:textId="77777777" w:rsidR="004E408E" w:rsidRPr="00AA1BB1" w:rsidRDefault="004E408E">
            <w:pPr>
              <w:spacing w:before="60"/>
              <w:cnfStyle w:val="000000100000" w:firstRow="0" w:lastRow="0" w:firstColumn="0" w:lastColumn="0" w:oddVBand="0" w:evenVBand="0" w:oddHBand="1" w:evenHBand="0" w:firstRowFirstColumn="0" w:firstRowLastColumn="0" w:lastRowFirstColumn="0" w:lastRowLastColumn="0"/>
              <w:rPr>
                <w:color w:val="auto"/>
                <w:lang w:eastAsia="en-AU"/>
              </w:rPr>
            </w:pPr>
            <w:r w:rsidRPr="00AA1BB1">
              <w:rPr>
                <w:color w:val="auto"/>
                <w:lang w:eastAsia="en-AU"/>
              </w:rPr>
              <w:t>The amount of electricity supplied for use outside the operation of the facility that is not supplied to the network.</w:t>
            </w:r>
          </w:p>
        </w:tc>
      </w:tr>
      <w:tr w:rsidR="004E408E" w:rsidRPr="00AA1BB1" w14:paraId="0E68F97D" w14:textId="77777777" w:rsidTr="001D5662">
        <w:trPr>
          <w:cnfStyle w:val="000000010000" w:firstRow="0" w:lastRow="0" w:firstColumn="0" w:lastColumn="0" w:oddVBand="0" w:evenVBand="0" w:oddHBand="0" w:evenHBand="1"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689" w:type="pct"/>
          </w:tcPr>
          <w:p w14:paraId="3714AF25" w14:textId="77777777" w:rsidR="004E408E" w:rsidRPr="00AA1BB1" w:rsidRDefault="004E408E">
            <w:pPr>
              <w:spacing w:before="60"/>
            </w:pPr>
            <w:r w:rsidRPr="00AA1BB1">
              <w:t xml:space="preserve">Minus: </w:t>
            </w:r>
          </w:p>
        </w:tc>
        <w:tc>
          <w:tcPr>
            <w:tcW w:w="1478" w:type="pct"/>
          </w:tcPr>
          <w:p w14:paraId="2F8FFFD9" w14:textId="77777777" w:rsidR="004E408E" w:rsidRPr="00AA1BB1" w:rsidRDefault="004E408E">
            <w:pPr>
              <w:spacing w:before="60"/>
              <w:cnfStyle w:val="000000010000" w:firstRow="0" w:lastRow="0" w:firstColumn="0" w:lastColumn="0" w:oddVBand="0" w:evenVBand="0" w:oddHBand="0" w:evenHBand="1" w:firstRowFirstColumn="0" w:firstRowLastColumn="0" w:lastRowFirstColumn="0" w:lastRowLastColumn="0"/>
              <w:rPr>
                <w:color w:val="auto"/>
                <w:lang w:eastAsia="en-AU"/>
              </w:rPr>
            </w:pPr>
            <w:r w:rsidRPr="00AA1BB1">
              <w:rPr>
                <w:color w:val="auto"/>
                <w:lang w:eastAsia="en-AU"/>
              </w:rPr>
              <w:t>The electricity supplied to a transmission or distribution network measured at the network connection point*.</w:t>
            </w:r>
          </w:p>
        </w:tc>
        <w:tc>
          <w:tcPr>
            <w:tcW w:w="1416" w:type="pct"/>
          </w:tcPr>
          <w:p w14:paraId="425706C4" w14:textId="77777777" w:rsidR="004E408E" w:rsidRPr="00AA1BB1" w:rsidRDefault="004E408E">
            <w:pPr>
              <w:spacing w:before="60"/>
              <w:cnfStyle w:val="000000010000" w:firstRow="0" w:lastRow="0" w:firstColumn="0" w:lastColumn="0" w:oddVBand="0" w:evenVBand="0" w:oddHBand="0" w:evenHBand="1" w:firstRowFirstColumn="0" w:firstRowLastColumn="0" w:lastRowFirstColumn="0" w:lastRowLastColumn="0"/>
            </w:pPr>
            <w:r w:rsidRPr="00AA1BB1">
              <w:t>Nil</w:t>
            </w:r>
          </w:p>
        </w:tc>
        <w:tc>
          <w:tcPr>
            <w:tcW w:w="1416" w:type="pct"/>
          </w:tcPr>
          <w:p w14:paraId="1FAB6C5D" w14:textId="77777777" w:rsidR="004E408E" w:rsidRPr="00AA1BB1" w:rsidRDefault="004E408E">
            <w:pPr>
              <w:spacing w:before="60"/>
              <w:cnfStyle w:val="000000010000" w:firstRow="0" w:lastRow="0" w:firstColumn="0" w:lastColumn="0" w:oddVBand="0" w:evenVBand="0" w:oddHBand="0" w:evenHBand="1" w:firstRowFirstColumn="0" w:firstRowLastColumn="0" w:lastRowFirstColumn="0" w:lastRowLastColumn="0"/>
            </w:pPr>
            <w:r w:rsidRPr="007638B6">
              <w:t>Nil</w:t>
            </w:r>
          </w:p>
        </w:tc>
      </w:tr>
      <w:tr w:rsidR="004E408E" w:rsidRPr="00AA1BB1" w14:paraId="6507BD2D" w14:textId="77777777" w:rsidTr="001D5662">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689" w:type="pct"/>
          </w:tcPr>
          <w:p w14:paraId="6C37F1BF" w14:textId="77777777" w:rsidR="004E408E" w:rsidRPr="00AA1BB1" w:rsidRDefault="004E408E">
            <w:pPr>
              <w:spacing w:before="60"/>
            </w:pPr>
            <w:r w:rsidRPr="00AA1BB1">
              <w:t>Minus:</w:t>
            </w:r>
          </w:p>
        </w:tc>
        <w:tc>
          <w:tcPr>
            <w:tcW w:w="1478" w:type="pct"/>
          </w:tcPr>
          <w:p w14:paraId="39421536" w14:textId="77777777" w:rsidR="004E408E" w:rsidRPr="00AA1BB1" w:rsidRDefault="004E408E">
            <w:pPr>
              <w:spacing w:before="60"/>
              <w:cnfStyle w:val="000000100000" w:firstRow="0" w:lastRow="0" w:firstColumn="0" w:lastColumn="0" w:oddVBand="0" w:evenVBand="0" w:oddHBand="1" w:evenHBand="0" w:firstRowFirstColumn="0" w:firstRowLastColumn="0" w:lastRowFirstColumn="0" w:lastRowLastColumn="0"/>
              <w:rPr>
                <w:color w:val="auto"/>
                <w:lang w:eastAsia="en-AU"/>
              </w:rPr>
            </w:pPr>
            <w:r w:rsidRPr="00AA1BB1">
              <w:rPr>
                <w:color w:val="auto"/>
                <w:lang w:eastAsia="en-AU"/>
              </w:rPr>
              <w:t>The amount of electricity supplied for use outside the operation of the facility that is not supplied to the network.</w:t>
            </w:r>
          </w:p>
        </w:tc>
        <w:tc>
          <w:tcPr>
            <w:tcW w:w="1416" w:type="pct"/>
          </w:tcPr>
          <w:p w14:paraId="373496F4" w14:textId="77777777" w:rsidR="004E408E" w:rsidRPr="00AA1BB1" w:rsidRDefault="004E408E">
            <w:pPr>
              <w:spacing w:before="60"/>
              <w:cnfStyle w:val="000000100000" w:firstRow="0" w:lastRow="0" w:firstColumn="0" w:lastColumn="0" w:oddVBand="0" w:evenVBand="0" w:oddHBand="1" w:evenHBand="0" w:firstRowFirstColumn="0" w:firstRowLastColumn="0" w:lastRowFirstColumn="0" w:lastRowLastColumn="0"/>
            </w:pPr>
            <w:r w:rsidRPr="00AA1BB1">
              <w:t>Nil</w:t>
            </w:r>
          </w:p>
        </w:tc>
        <w:tc>
          <w:tcPr>
            <w:tcW w:w="1416" w:type="pct"/>
          </w:tcPr>
          <w:p w14:paraId="778FDC6A" w14:textId="77777777" w:rsidR="004E408E" w:rsidRPr="00AA1BB1" w:rsidRDefault="004E408E">
            <w:pPr>
              <w:spacing w:before="60"/>
              <w:cnfStyle w:val="000000100000" w:firstRow="0" w:lastRow="0" w:firstColumn="0" w:lastColumn="0" w:oddVBand="0" w:evenVBand="0" w:oddHBand="1" w:evenHBand="0" w:firstRowFirstColumn="0" w:firstRowLastColumn="0" w:lastRowFirstColumn="0" w:lastRowLastColumn="0"/>
            </w:pPr>
            <w:r w:rsidRPr="007638B6">
              <w:t>Nil</w:t>
            </w:r>
          </w:p>
        </w:tc>
      </w:tr>
      <w:tr w:rsidR="004E408E" w:rsidRPr="00AA1BB1" w14:paraId="75E6BF23" w14:textId="77777777" w:rsidTr="001D5662">
        <w:trPr>
          <w:cnfStyle w:val="000000010000" w:firstRow="0" w:lastRow="0" w:firstColumn="0" w:lastColumn="0" w:oddVBand="0" w:evenVBand="0" w:oddHBand="0" w:evenHBand="1"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689" w:type="pct"/>
          </w:tcPr>
          <w:p w14:paraId="74F14C20" w14:textId="77777777" w:rsidR="004E408E" w:rsidRPr="00AA1BB1" w:rsidRDefault="004E408E">
            <w:pPr>
              <w:spacing w:before="60"/>
            </w:pPr>
            <w:r w:rsidRPr="00AA1BB1">
              <w:t xml:space="preserve">*Measured according to either: </w:t>
            </w:r>
          </w:p>
        </w:tc>
        <w:tc>
          <w:tcPr>
            <w:tcW w:w="4311" w:type="pct"/>
            <w:gridSpan w:val="3"/>
          </w:tcPr>
          <w:p w14:paraId="68024D3A" w14:textId="77777777" w:rsidR="004E408E" w:rsidRPr="00AA1BB1" w:rsidRDefault="004E408E">
            <w:pPr>
              <w:spacing w:before="60"/>
              <w:cnfStyle w:val="000000010000" w:firstRow="0" w:lastRow="0" w:firstColumn="0" w:lastColumn="0" w:oddVBand="0" w:evenVBand="0" w:oddHBand="0" w:evenHBand="1" w:firstRowFirstColumn="0" w:firstRowLastColumn="0" w:lastRowFirstColumn="0" w:lastRowLastColumn="0"/>
              <w:rPr>
                <w:color w:val="auto"/>
                <w:lang w:eastAsia="en-AU"/>
              </w:rPr>
            </w:pPr>
            <w:r w:rsidRPr="00AA1BB1">
              <w:rPr>
                <w:color w:val="auto"/>
                <w:lang w:eastAsia="en-AU"/>
              </w:rPr>
              <w:t xml:space="preserve">Chapter 7 of the National Electricity Rules set out in the </w:t>
            </w:r>
            <w:r w:rsidRPr="00AA1BB1">
              <w:rPr>
                <w:i/>
                <w:color w:val="auto"/>
                <w:lang w:eastAsia="en-AU"/>
              </w:rPr>
              <w:t>National Electricity (South Australia) Act 1996</w:t>
            </w:r>
            <w:r w:rsidRPr="00AA1BB1">
              <w:rPr>
                <w:color w:val="auto"/>
                <w:lang w:eastAsia="en-AU"/>
              </w:rPr>
              <w:t>, or</w:t>
            </w:r>
          </w:p>
          <w:p w14:paraId="3B598F99" w14:textId="77777777" w:rsidR="004E408E" w:rsidRPr="00AA1BB1" w:rsidRDefault="004E408E">
            <w:pPr>
              <w:spacing w:before="60"/>
              <w:cnfStyle w:val="000000010000" w:firstRow="0" w:lastRow="0" w:firstColumn="0" w:lastColumn="0" w:oddVBand="0" w:evenVBand="0" w:oddHBand="0" w:evenHBand="1" w:firstRowFirstColumn="0" w:firstRowLastColumn="0" w:lastRowFirstColumn="0" w:lastRowLastColumn="0"/>
            </w:pPr>
            <w:r w:rsidRPr="00AA1BB1">
              <w:rPr>
                <w:color w:val="auto"/>
                <w:lang w:eastAsia="en-AU"/>
              </w:rPr>
              <w:t>Metering requirements applicable to the region in which the facility is located.</w:t>
            </w:r>
          </w:p>
        </w:tc>
      </w:tr>
    </w:tbl>
    <w:p w14:paraId="303FAAC3" w14:textId="77777777" w:rsidR="004E408E" w:rsidRPr="00892CAF" w:rsidRDefault="004E408E" w:rsidP="004E408E">
      <w:pPr>
        <w:spacing w:after="0"/>
        <w:rPr>
          <w:bCs/>
        </w:rPr>
      </w:pPr>
    </w:p>
    <w:p w14:paraId="1586B6DC" w14:textId="77777777" w:rsidR="004E408E" w:rsidRDefault="004E408E" w:rsidP="004E408E">
      <w:pPr>
        <w:spacing w:after="0"/>
      </w:pPr>
      <w:r w:rsidRPr="00892CAF">
        <w:rPr>
          <w:bCs/>
        </w:rPr>
        <w:t>Please note:</w:t>
      </w:r>
      <w:r w:rsidRPr="00CD36A3">
        <w:t xml:space="preserve"> </w:t>
      </w:r>
      <w:r w:rsidRPr="00434385">
        <w:t>EERS was updated for the 2019</w:t>
      </w:r>
      <w:r>
        <w:t>–</w:t>
      </w:r>
      <w:r w:rsidRPr="00434385">
        <w:t>20 reporting year (and onwards) so that it automatically reports an amount of consumption of electricity produced ‘</w:t>
      </w:r>
      <w:r w:rsidRPr="000645CA">
        <w:t>for use for the purposes of the facility (for use onsite)</w:t>
      </w:r>
      <w:r w:rsidRPr="00434385">
        <w:t>’, which is equal to the reported amount of electricity produced ‘for use for the purposes of the facility’. That means that if you input electricity produced ‘</w:t>
      </w:r>
      <w:r w:rsidRPr="000645CA">
        <w:t>for use for the purposes of the facility (for use onsite)</w:t>
      </w:r>
      <w:r w:rsidRPr="00434385">
        <w:t>’ into EERS, then you must not separately input consumption of that electricity.</w:t>
      </w:r>
      <w:r>
        <w:t xml:space="preserve"> </w:t>
      </w:r>
      <w:r w:rsidRPr="001362CE">
        <w:t>This is</w:t>
      </w:r>
      <w:r>
        <w:t xml:space="preserve"> illustrated </w:t>
      </w:r>
      <w:r w:rsidRPr="001362CE">
        <w:t>in</w:t>
      </w:r>
      <w:r>
        <w:t xml:space="preserve"> Example 6</w:t>
      </w:r>
      <w:r w:rsidRPr="001362CE">
        <w:t>.</w:t>
      </w:r>
      <w:r>
        <w:t xml:space="preserve"> </w:t>
      </w:r>
    </w:p>
    <w:p w14:paraId="01867FC2" w14:textId="77777777" w:rsidR="00182032" w:rsidRDefault="00182032" w:rsidP="004E408E">
      <w:pPr>
        <w:spacing w:after="0"/>
      </w:pPr>
    </w:p>
    <w:tbl>
      <w:tblPr>
        <w:tblStyle w:val="CERCallout"/>
        <w:tblW w:w="5000" w:type="pct"/>
        <w:tblLook w:val="04A0" w:firstRow="1" w:lastRow="0" w:firstColumn="1" w:lastColumn="0" w:noHBand="0" w:noVBand="1"/>
      </w:tblPr>
      <w:tblGrid>
        <w:gridCol w:w="9710"/>
      </w:tblGrid>
      <w:tr w:rsidR="004E408E" w:rsidRPr="007C21EA" w14:paraId="25C0553A" w14:textId="77777777" w:rsidTr="001D5662">
        <w:trPr>
          <w:cnfStyle w:val="100000000000" w:firstRow="1" w:lastRow="0" w:firstColumn="0" w:lastColumn="0" w:oddVBand="0" w:evenVBand="0" w:oddHBand="0" w:evenHBand="0" w:firstRowFirstColumn="0" w:firstRowLastColumn="0" w:lastRowFirstColumn="0" w:lastRowLastColumn="0"/>
        </w:trPr>
        <w:tc>
          <w:tcPr>
            <w:tcW w:w="5000" w:type="pct"/>
          </w:tcPr>
          <w:p w14:paraId="6C21DC5A" w14:textId="77777777" w:rsidR="004E408E" w:rsidRPr="0041399D" w:rsidRDefault="004E408E" w:rsidP="006013E9">
            <w:pPr>
              <w:pStyle w:val="Heading5"/>
              <w:rPr>
                <w:b/>
              </w:rPr>
            </w:pPr>
            <w:bookmarkStart w:id="63" w:name="_Toc205826952"/>
            <w:r w:rsidRPr="0041399D">
              <w:rPr>
                <w:b/>
              </w:rPr>
              <w:lastRenderedPageBreak/>
              <w:t>Example 6</w:t>
            </w:r>
            <w:bookmarkEnd w:id="63"/>
          </w:p>
          <w:p w14:paraId="6A0F5F01" w14:textId="20FFE4C7" w:rsidR="004E408E" w:rsidRPr="0041399D" w:rsidRDefault="004E408E">
            <w:pPr>
              <w:rPr>
                <w:b w:val="0"/>
                <w:szCs w:val="22"/>
              </w:rPr>
            </w:pPr>
            <w:r w:rsidRPr="0041399D">
              <w:rPr>
                <w:b w:val="0"/>
                <w:szCs w:val="22"/>
              </w:rPr>
              <w:t>The electricity produced by a facility includes 100,000</w:t>
            </w:r>
            <w:r w:rsidR="00830684">
              <w:rPr>
                <w:b w:val="0"/>
                <w:szCs w:val="22"/>
              </w:rPr>
              <w:t> </w:t>
            </w:r>
            <w:r w:rsidRPr="0041399D">
              <w:rPr>
                <w:b w:val="0"/>
                <w:szCs w:val="22"/>
              </w:rPr>
              <w:t>kWh of electricity produced ‘</w:t>
            </w:r>
            <w:r w:rsidRPr="0041399D">
              <w:rPr>
                <w:b w:val="0"/>
                <w:color w:val="333333"/>
                <w:szCs w:val="22"/>
              </w:rPr>
              <w:t>for use for the purposes of the facility (for use onsite)</w:t>
            </w:r>
            <w:r w:rsidRPr="0041399D">
              <w:rPr>
                <w:b w:val="0"/>
                <w:szCs w:val="22"/>
              </w:rPr>
              <w:t>’. The reporter inputs 100,000</w:t>
            </w:r>
            <w:r w:rsidR="00830684">
              <w:rPr>
                <w:b w:val="0"/>
                <w:szCs w:val="22"/>
              </w:rPr>
              <w:t> </w:t>
            </w:r>
            <w:r w:rsidRPr="0041399D">
              <w:rPr>
                <w:b w:val="0"/>
                <w:szCs w:val="22"/>
              </w:rPr>
              <w:t>kWh into EERS as electricity produced ‘for use for the purposes of the facility’.</w:t>
            </w:r>
          </w:p>
          <w:p w14:paraId="6ABCA25F" w14:textId="77777777" w:rsidR="004E408E" w:rsidRPr="0041399D" w:rsidRDefault="004E408E">
            <w:pPr>
              <w:rPr>
                <w:b w:val="0"/>
              </w:rPr>
            </w:pPr>
            <w:r w:rsidRPr="0041399D">
              <w:rPr>
                <w:b w:val="0"/>
              </w:rPr>
              <w:t>EERS then records:</w:t>
            </w:r>
          </w:p>
          <w:p w14:paraId="61ADFDC3" w14:textId="3A64C30F" w:rsidR="004E408E" w:rsidRPr="0041399D" w:rsidRDefault="004E408E" w:rsidP="00682491">
            <w:pPr>
              <w:pStyle w:val="CERbullets"/>
              <w:numPr>
                <w:ilvl w:val="0"/>
                <w:numId w:val="2"/>
              </w:numPr>
              <w:spacing w:beforeAutospacing="0"/>
              <w:ind w:left="714" w:hanging="357"/>
              <w:rPr>
                <w:b w:val="0"/>
              </w:rPr>
            </w:pPr>
            <w:r w:rsidRPr="0041399D">
              <w:rPr>
                <w:b w:val="0"/>
                <w:szCs w:val="22"/>
              </w:rPr>
              <w:t>100,000</w:t>
            </w:r>
            <w:r w:rsidR="00830684">
              <w:rPr>
                <w:b w:val="0"/>
                <w:szCs w:val="22"/>
              </w:rPr>
              <w:t> </w:t>
            </w:r>
            <w:r w:rsidRPr="0041399D">
              <w:rPr>
                <w:b w:val="0"/>
                <w:szCs w:val="22"/>
              </w:rPr>
              <w:t>kWh (360</w:t>
            </w:r>
            <w:r w:rsidR="00830684">
              <w:rPr>
                <w:b w:val="0"/>
                <w:szCs w:val="22"/>
              </w:rPr>
              <w:t> </w:t>
            </w:r>
            <w:r w:rsidRPr="0041399D">
              <w:rPr>
                <w:b w:val="0"/>
                <w:szCs w:val="22"/>
              </w:rPr>
              <w:t>GJ) of</w:t>
            </w:r>
            <w:r w:rsidRPr="0041399D">
              <w:rPr>
                <w:b w:val="0"/>
              </w:rPr>
              <w:t xml:space="preserve"> </w:t>
            </w:r>
            <w:r w:rsidRPr="0041399D">
              <w:rPr>
                <w:b w:val="0"/>
                <w:szCs w:val="22"/>
              </w:rPr>
              <w:t>electricity produced ‘</w:t>
            </w:r>
            <w:r w:rsidRPr="0041399D">
              <w:rPr>
                <w:b w:val="0"/>
                <w:color w:val="333333"/>
                <w:szCs w:val="22"/>
              </w:rPr>
              <w:t>for use for the purposes of the facility (for use onsite)’</w:t>
            </w:r>
          </w:p>
          <w:p w14:paraId="6AED0737" w14:textId="63B222D8" w:rsidR="004E408E" w:rsidRPr="0041399D" w:rsidRDefault="004E408E" w:rsidP="00682491">
            <w:pPr>
              <w:pStyle w:val="CERbullets"/>
              <w:numPr>
                <w:ilvl w:val="0"/>
                <w:numId w:val="2"/>
              </w:numPr>
              <w:spacing w:beforeAutospacing="0"/>
              <w:ind w:left="714" w:hanging="357"/>
              <w:rPr>
                <w:b w:val="0"/>
              </w:rPr>
            </w:pPr>
            <w:r w:rsidRPr="0041399D">
              <w:rPr>
                <w:b w:val="0"/>
                <w:szCs w:val="22"/>
              </w:rPr>
              <w:t>100,000</w:t>
            </w:r>
            <w:r w:rsidR="00830684">
              <w:rPr>
                <w:b w:val="0"/>
                <w:szCs w:val="22"/>
              </w:rPr>
              <w:t> </w:t>
            </w:r>
            <w:r w:rsidRPr="0041399D">
              <w:rPr>
                <w:b w:val="0"/>
                <w:szCs w:val="22"/>
              </w:rPr>
              <w:t>kWh (360</w:t>
            </w:r>
            <w:r w:rsidR="00830684">
              <w:rPr>
                <w:b w:val="0"/>
                <w:szCs w:val="22"/>
              </w:rPr>
              <w:t> </w:t>
            </w:r>
            <w:r w:rsidRPr="0041399D">
              <w:rPr>
                <w:b w:val="0"/>
                <w:szCs w:val="22"/>
              </w:rPr>
              <w:t>GJ) of consumption of electricity produced ‘for use for the purposes of the facility (for use onsite).</w:t>
            </w:r>
          </w:p>
          <w:p w14:paraId="223ABFF8" w14:textId="77777777" w:rsidR="004E408E" w:rsidRPr="0041399D" w:rsidRDefault="004E408E">
            <w:pPr>
              <w:rPr>
                <w:b w:val="0"/>
              </w:rPr>
            </w:pPr>
            <w:r w:rsidRPr="0041399D">
              <w:rPr>
                <w:b w:val="0"/>
              </w:rPr>
              <w:t>These values will be included in the NGER report generated by EERS.</w:t>
            </w:r>
          </w:p>
          <w:p w14:paraId="42E351A7" w14:textId="77777777" w:rsidR="004E408E" w:rsidRPr="00222962" w:rsidRDefault="004E408E">
            <w:r w:rsidRPr="0041399D">
              <w:rPr>
                <w:b w:val="0"/>
              </w:rPr>
              <w:t xml:space="preserve">The reporter correctly does not manually input </w:t>
            </w:r>
            <w:r w:rsidRPr="0041399D">
              <w:rPr>
                <w:b w:val="0"/>
                <w:szCs w:val="22"/>
              </w:rPr>
              <w:t>consumption of electricity produced ‘for use for the purposes of the facility (for use onsite)’,</w:t>
            </w:r>
            <w:r w:rsidRPr="0041399D">
              <w:rPr>
                <w:b w:val="0"/>
              </w:rPr>
              <w:t xml:space="preserve"> because it has been automatically recorded by EERS.</w:t>
            </w:r>
          </w:p>
        </w:tc>
      </w:tr>
    </w:tbl>
    <w:p w14:paraId="5E925894" w14:textId="44064804" w:rsidR="004E408E" w:rsidRPr="00DA6406" w:rsidRDefault="004E408E" w:rsidP="00041BA1">
      <w:pPr>
        <w:spacing w:before="240"/>
        <w:rPr>
          <w:szCs w:val="22"/>
        </w:rPr>
      </w:pPr>
      <w:r>
        <w:t xml:space="preserve">See </w:t>
      </w:r>
      <w:r w:rsidR="000940B7">
        <w:t>‘</w:t>
      </w:r>
      <w:r w:rsidR="000940B7" w:rsidRPr="000940B7">
        <w:t>Reporting consumption of renewable energy commodities for electricity generation</w:t>
      </w:r>
      <w:r w:rsidR="000940B7">
        <w:t xml:space="preserve">’ in the </w:t>
      </w:r>
      <w:hyperlink r:id="rId35" w:tooltip="A link to the NGER quick help topics document on the Clean Energy Regulator website" w:history="1">
        <w:r w:rsidR="000940B7">
          <w:rPr>
            <w:rStyle w:val="Hyperlink"/>
            <w:rFonts w:asciiTheme="minorHAnsi" w:hAnsiTheme="minorHAnsi"/>
          </w:rPr>
          <w:t>NGER quick help topics</w:t>
        </w:r>
      </w:hyperlink>
      <w:r>
        <w:rPr>
          <w:rStyle w:val="FootnoteReference"/>
        </w:rPr>
        <w:footnoteReference w:id="15"/>
      </w:r>
      <w:r>
        <w:t xml:space="preserve"> for guidance on automated reporting of this activity in EERS.</w:t>
      </w:r>
    </w:p>
    <w:p w14:paraId="2F5CFCAF" w14:textId="6877E38E" w:rsidR="004E408E" w:rsidRPr="00117461" w:rsidRDefault="004E408E" w:rsidP="00050308">
      <w:pPr>
        <w:pStyle w:val="Heading2"/>
        <w:numPr>
          <w:ilvl w:val="1"/>
          <w:numId w:val="9"/>
        </w:numPr>
        <w:ind w:left="709" w:hanging="709"/>
      </w:pPr>
      <w:bookmarkStart w:id="64" w:name="_Toc76036499"/>
      <w:bookmarkStart w:id="65" w:name="_Toc205826953"/>
      <w:r w:rsidRPr="00117461">
        <w:t>Estimating electricity consumption</w:t>
      </w:r>
      <w:bookmarkEnd w:id="64"/>
      <w:bookmarkEnd w:id="65"/>
      <w:r w:rsidRPr="00117461">
        <w:t xml:space="preserve"> </w:t>
      </w:r>
    </w:p>
    <w:p w14:paraId="1D569407" w14:textId="4562A21A" w:rsidR="004E408E" w:rsidRDefault="5B84EDD8" w:rsidP="00827BAB">
      <w:pPr>
        <w:spacing w:before="240"/>
        <w:rPr>
          <w:lang w:eastAsia="en-AU"/>
        </w:rPr>
      </w:pPr>
      <w:r>
        <w:t xml:space="preserve">The amount of electricity consumed from the operation of the facility must be evidenced by </w:t>
      </w:r>
      <w:r w:rsidRPr="7B7BB269">
        <w:rPr>
          <w:lang w:eastAsia="en-AU"/>
        </w:rPr>
        <w:t xml:space="preserve">invoices, contractual </w:t>
      </w:r>
      <w:r w:rsidR="74B8EF89" w:rsidRPr="7B7BB269">
        <w:rPr>
          <w:lang w:eastAsia="en-AU"/>
        </w:rPr>
        <w:t>arrangements,</w:t>
      </w:r>
      <w:r w:rsidRPr="7B7BB269">
        <w:rPr>
          <w:lang w:eastAsia="en-AU"/>
        </w:rPr>
        <w:t xml:space="preserve"> or industry metering records. </w:t>
      </w:r>
      <w:r w:rsidRPr="7B7BB269">
        <w:rPr>
          <w:rFonts w:cs="Arial"/>
          <w:color w:val="auto"/>
          <w:lang w:eastAsia="en-AU"/>
        </w:rPr>
        <w:t xml:space="preserve">If such evidence is unavailable, then it must be estimated in </w:t>
      </w:r>
      <w:r w:rsidRPr="7B7BB269">
        <w:rPr>
          <w:lang w:eastAsia="en-AU"/>
        </w:rPr>
        <w:t>accordance with industry practice.</w:t>
      </w:r>
    </w:p>
    <w:p w14:paraId="52654E60" w14:textId="009B8FF0" w:rsidR="00806D24" w:rsidRDefault="00636929" w:rsidP="209D54EA">
      <w:pPr>
        <w:rPr>
          <w:lang w:eastAsia="en-AU"/>
        </w:rPr>
      </w:pPr>
      <w:r>
        <w:t xml:space="preserve">If electricity invoices do not match up with a given financial year, it remains at the discretion of the reporter how to split that consumption for accurate reporting. </w:t>
      </w:r>
      <w:r w:rsidR="001917C6" w:rsidRPr="001362CE">
        <w:t>This is</w:t>
      </w:r>
      <w:r w:rsidR="001917C6">
        <w:t xml:space="preserve"> illustrated </w:t>
      </w:r>
      <w:r w:rsidR="001917C6" w:rsidRPr="001362CE">
        <w:t>in</w:t>
      </w:r>
      <w:r w:rsidR="001917C6">
        <w:t xml:space="preserve"> Example 7.</w:t>
      </w:r>
    </w:p>
    <w:tbl>
      <w:tblPr>
        <w:tblStyle w:val="CERCallout"/>
        <w:tblW w:w="0" w:type="auto"/>
        <w:tblLook w:val="0400" w:firstRow="0" w:lastRow="0" w:firstColumn="0" w:lastColumn="0" w:noHBand="0" w:noVBand="1"/>
      </w:tblPr>
      <w:tblGrid>
        <w:gridCol w:w="9710"/>
      </w:tblGrid>
      <w:tr w:rsidR="00302370" w14:paraId="7E15AAF7" w14:textId="77777777" w:rsidTr="00720C58">
        <w:tc>
          <w:tcPr>
            <w:tcW w:w="9730" w:type="dxa"/>
          </w:tcPr>
          <w:p w14:paraId="583C5A59" w14:textId="1F74C706" w:rsidR="004A3194" w:rsidRPr="0041399D" w:rsidRDefault="004A3194" w:rsidP="00B41D09">
            <w:pPr>
              <w:pStyle w:val="Heading5"/>
              <w:rPr>
                <w:b w:val="0"/>
              </w:rPr>
            </w:pPr>
            <w:bookmarkStart w:id="66" w:name="_Toc205826954"/>
            <w:r w:rsidRPr="0041399D">
              <w:lastRenderedPageBreak/>
              <w:t xml:space="preserve">Example </w:t>
            </w:r>
            <w:r>
              <w:t>7</w:t>
            </w:r>
            <w:bookmarkEnd w:id="66"/>
          </w:p>
          <w:p w14:paraId="333934D6" w14:textId="78C78B37" w:rsidR="00726615" w:rsidRDefault="00D7475B" w:rsidP="5F3B55FC">
            <w:pPr>
              <w:spacing w:before="0" w:beforeAutospacing="0"/>
              <w:ind w:left="0" w:right="0"/>
              <w:rPr>
                <w:b/>
                <w:bCs/>
              </w:rPr>
            </w:pPr>
            <w:r>
              <w:rPr>
                <w:bCs/>
              </w:rPr>
              <w:t>An NGER</w:t>
            </w:r>
            <w:r w:rsidRPr="00A56F41">
              <w:rPr>
                <w:bCs/>
              </w:rPr>
              <w:t xml:space="preserve"> reporter </w:t>
            </w:r>
            <w:r>
              <w:rPr>
                <w:bCs/>
              </w:rPr>
              <w:t>receives a</w:t>
            </w:r>
            <w:r w:rsidR="00C73AAE">
              <w:rPr>
                <w:bCs/>
              </w:rPr>
              <w:t>n invoice for 20,000 kWh of purchased electricity for the period of 1</w:t>
            </w:r>
            <w:r w:rsidR="00DB6677">
              <w:rPr>
                <w:bCs/>
              </w:rPr>
              <w:t>6</w:t>
            </w:r>
            <w:r w:rsidR="00452823">
              <w:rPr>
                <w:bCs/>
              </w:rPr>
              <w:t> </w:t>
            </w:r>
            <w:r w:rsidR="00C73AAE">
              <w:rPr>
                <w:bCs/>
              </w:rPr>
              <w:t>June</w:t>
            </w:r>
            <w:r w:rsidR="00131567">
              <w:rPr>
                <w:bCs/>
              </w:rPr>
              <w:t xml:space="preserve"> </w:t>
            </w:r>
            <w:r w:rsidR="00C73AAE">
              <w:rPr>
                <w:bCs/>
              </w:rPr>
              <w:t>to 15</w:t>
            </w:r>
            <w:r w:rsidR="00452823">
              <w:rPr>
                <w:bCs/>
              </w:rPr>
              <w:t> </w:t>
            </w:r>
            <w:r w:rsidR="00C73AAE">
              <w:rPr>
                <w:bCs/>
              </w:rPr>
              <w:t xml:space="preserve">July. </w:t>
            </w:r>
            <w:r w:rsidR="005D7E71">
              <w:rPr>
                <w:bCs/>
              </w:rPr>
              <w:t>The reporter may, at their discr</w:t>
            </w:r>
            <w:r w:rsidR="00726615">
              <w:rPr>
                <w:bCs/>
              </w:rPr>
              <w:t>e</w:t>
            </w:r>
            <w:r w:rsidR="005D7E71">
              <w:rPr>
                <w:bCs/>
              </w:rPr>
              <w:t>tion</w:t>
            </w:r>
            <w:r w:rsidR="00726615">
              <w:rPr>
                <w:bCs/>
              </w:rPr>
              <w:t xml:space="preserve">, </w:t>
            </w:r>
            <w:r w:rsidR="00E0345F">
              <w:rPr>
                <w:bCs/>
              </w:rPr>
              <w:t>report the electricity consumption in one of the following ways</w:t>
            </w:r>
            <w:r w:rsidR="00726615">
              <w:rPr>
                <w:bCs/>
              </w:rPr>
              <w:t xml:space="preserve">: </w:t>
            </w:r>
          </w:p>
          <w:p w14:paraId="6A8E786F" w14:textId="7844CD72" w:rsidR="00BD63CF" w:rsidRPr="00720C58" w:rsidRDefault="08F5B3D6" w:rsidP="00B41D09">
            <w:pPr>
              <w:pStyle w:val="CERbullets"/>
            </w:pPr>
            <w:r w:rsidRPr="00720C58">
              <w:t>a</w:t>
            </w:r>
            <w:r w:rsidR="10F09C0C" w:rsidRPr="00720C58">
              <w:t xml:space="preserve">llocate </w:t>
            </w:r>
            <w:r w:rsidR="00726615" w:rsidRPr="00720C58">
              <w:t xml:space="preserve">the </w:t>
            </w:r>
            <w:r w:rsidR="00BD63CF" w:rsidRPr="00720C58">
              <w:t xml:space="preserve">entire </w:t>
            </w:r>
            <w:r w:rsidR="00726615" w:rsidRPr="00720C58">
              <w:t>electricity consumption</w:t>
            </w:r>
            <w:r w:rsidR="00E0345F" w:rsidRPr="00720C58">
              <w:t xml:space="preserve"> (20,000 kWh)</w:t>
            </w:r>
            <w:r w:rsidR="00726615" w:rsidRPr="00720C58">
              <w:t xml:space="preserve"> to the </w:t>
            </w:r>
            <w:r w:rsidR="00716349" w:rsidRPr="00720C58">
              <w:t>fi</w:t>
            </w:r>
            <w:r w:rsidR="00BB20E8" w:rsidRPr="00720C58">
              <w:t>r</w:t>
            </w:r>
            <w:r w:rsidR="00716349" w:rsidRPr="00720C58">
              <w:t>st</w:t>
            </w:r>
            <w:r w:rsidR="00BD63CF" w:rsidRPr="00720C58">
              <w:t xml:space="preserve"> NGER reporting year</w:t>
            </w:r>
          </w:p>
          <w:p w14:paraId="664E0D6B" w14:textId="185D376C" w:rsidR="00726615" w:rsidRPr="00720C58" w:rsidRDefault="0E1D1CC8" w:rsidP="00B41D09">
            <w:pPr>
              <w:pStyle w:val="CERbullets"/>
            </w:pPr>
            <w:r w:rsidRPr="00720C58">
              <w:t>a</w:t>
            </w:r>
            <w:r w:rsidR="7F464A49" w:rsidRPr="00720C58">
              <w:t>llocate</w:t>
            </w:r>
            <w:r w:rsidR="00D7475B" w:rsidRPr="00720C58">
              <w:t xml:space="preserve"> the </w:t>
            </w:r>
            <w:r w:rsidR="00BD63CF" w:rsidRPr="00720C58">
              <w:t xml:space="preserve">entire </w:t>
            </w:r>
            <w:r w:rsidR="00D7475B" w:rsidRPr="00720C58">
              <w:t xml:space="preserve">electricity consumption </w:t>
            </w:r>
            <w:r w:rsidR="00DE4438" w:rsidRPr="00720C58">
              <w:t xml:space="preserve">(20,000 kWh) </w:t>
            </w:r>
            <w:r w:rsidR="00726615" w:rsidRPr="00720C58">
              <w:t xml:space="preserve">to the </w:t>
            </w:r>
            <w:r w:rsidR="00BB20E8" w:rsidRPr="00720C58">
              <w:t>subsequent</w:t>
            </w:r>
            <w:r w:rsidR="00726615" w:rsidRPr="00720C58">
              <w:t xml:space="preserve"> NGER </w:t>
            </w:r>
            <w:r w:rsidR="00BD63CF" w:rsidRPr="00720C58">
              <w:t>r</w:t>
            </w:r>
            <w:r w:rsidR="00726615" w:rsidRPr="00720C58">
              <w:t xml:space="preserve">eporting </w:t>
            </w:r>
            <w:r w:rsidR="00BD63CF" w:rsidRPr="00720C58">
              <w:t>year</w:t>
            </w:r>
          </w:p>
          <w:p w14:paraId="322FE0DA" w14:textId="3B030C06" w:rsidR="00BD63CF" w:rsidRPr="00720C58" w:rsidRDefault="73B852AC" w:rsidP="00B41D09">
            <w:pPr>
              <w:pStyle w:val="CERbullets"/>
            </w:pPr>
            <w:r w:rsidRPr="00720C58">
              <w:t>a</w:t>
            </w:r>
            <w:r w:rsidR="177F2B9D" w:rsidRPr="00720C58">
              <w:t>llocate</w:t>
            </w:r>
            <w:r w:rsidR="00BD63CF" w:rsidRPr="00720C58">
              <w:t xml:space="preserve"> the electricity consumption on a pro-rata basis based on the number of days. </w:t>
            </w:r>
            <w:r w:rsidR="00DB6677" w:rsidRPr="00720C58">
              <w:t>In this case, 15 days</w:t>
            </w:r>
            <w:r w:rsidR="003354D1" w:rsidRPr="00720C58">
              <w:t xml:space="preserve"> (50%</w:t>
            </w:r>
            <w:r w:rsidR="00DE4438" w:rsidRPr="00720C58">
              <w:t xml:space="preserve">) falls in June and 15 days (50%) falls in July. </w:t>
            </w:r>
            <w:r w:rsidR="001051BA" w:rsidRPr="00720C58">
              <w:t xml:space="preserve">50% of the electricity consumption (10,000 kWh) is allocated to </w:t>
            </w:r>
            <w:r w:rsidR="00E744D3" w:rsidRPr="00720C58">
              <w:t xml:space="preserve">the </w:t>
            </w:r>
            <w:r w:rsidR="00BB20E8" w:rsidRPr="00720C58">
              <w:t>first</w:t>
            </w:r>
            <w:r w:rsidR="003354D1" w:rsidRPr="00720C58">
              <w:t xml:space="preserve"> NGER reporting year and </w:t>
            </w:r>
            <w:r w:rsidR="00AE444B" w:rsidRPr="00720C58">
              <w:t xml:space="preserve">50% (10,000 kWh) is added to the </w:t>
            </w:r>
            <w:r w:rsidR="00BB20E8" w:rsidRPr="00720C58">
              <w:t>subsequent</w:t>
            </w:r>
            <w:r w:rsidR="00AE444B" w:rsidRPr="00720C58">
              <w:t xml:space="preserve"> NGER reporting year </w:t>
            </w:r>
          </w:p>
          <w:p w14:paraId="4BAB1A1D" w14:textId="7EF11B1E" w:rsidR="00302370" w:rsidRPr="00B41D09" w:rsidRDefault="18037C3D" w:rsidP="00B41D09">
            <w:pPr>
              <w:pStyle w:val="CERbullets"/>
              <w:rPr>
                <w:i/>
              </w:rPr>
            </w:pPr>
            <w:r w:rsidRPr="00720C58">
              <w:t>a</w:t>
            </w:r>
            <w:r w:rsidR="70B1D74E" w:rsidRPr="00720C58">
              <w:t>nother</w:t>
            </w:r>
            <w:r w:rsidR="002565E7" w:rsidRPr="00720C58">
              <w:t xml:space="preserve"> method </w:t>
            </w:r>
            <w:r w:rsidR="00AA63B9" w:rsidRPr="00720C58">
              <w:t xml:space="preserve">may be </w:t>
            </w:r>
            <w:r w:rsidR="003D2FF6" w:rsidRPr="00720C58">
              <w:t>appropriate.</w:t>
            </w:r>
            <w:r w:rsidR="003D2FF6">
              <w:t xml:space="preserve"> </w:t>
            </w:r>
            <w:r w:rsidR="00AA63B9">
              <w:t xml:space="preserve"> </w:t>
            </w:r>
          </w:p>
        </w:tc>
      </w:tr>
    </w:tbl>
    <w:p w14:paraId="45F86B8B" w14:textId="6AED878F" w:rsidR="005513E0" w:rsidRDefault="00EA36DE" w:rsidP="001D5662">
      <w:pPr>
        <w:pStyle w:val="BodyText1"/>
      </w:pPr>
      <w:r>
        <w:t>Other methods of apportioning electricity consumption may be appropriate</w:t>
      </w:r>
      <w:r w:rsidR="5318A790">
        <w:t>,</w:t>
      </w:r>
      <w:r>
        <w:t xml:space="preserve"> and justification of this decision is expected to be documented in accordance with record-keeping requirements outlined in Division 4.8 of the NGER Regulations.  Further, the reporter should use consistent methodology for apportioning electricity consumption in subsequent NGER reporting years. CER encourages reporters to consider submitting their Basis of Preparation (or a summary thereof) with each year’s NGER report to clarify key assumptions and decisions applied. </w:t>
      </w:r>
    </w:p>
    <w:p w14:paraId="1D798AD7" w14:textId="77777777" w:rsidR="004E408E" w:rsidRPr="00117461" w:rsidRDefault="004E408E" w:rsidP="00050308">
      <w:pPr>
        <w:pStyle w:val="Heading2"/>
        <w:numPr>
          <w:ilvl w:val="1"/>
          <w:numId w:val="9"/>
        </w:numPr>
        <w:ind w:left="709" w:hanging="709"/>
      </w:pPr>
      <w:bookmarkStart w:id="67" w:name="_Toc76036500"/>
      <w:bookmarkStart w:id="68" w:name="_Toc205826955"/>
      <w:r w:rsidRPr="00222962">
        <w:t>Cogeneration</w:t>
      </w:r>
      <w:bookmarkEnd w:id="67"/>
      <w:bookmarkEnd w:id="68"/>
    </w:p>
    <w:p w14:paraId="5AD019B8" w14:textId="16374B72" w:rsidR="004E408E" w:rsidRDefault="004E408E" w:rsidP="00827BAB">
      <w:pPr>
        <w:autoSpaceDE w:val="0"/>
        <w:autoSpaceDN w:val="0"/>
        <w:adjustRightInd w:val="0"/>
        <w:spacing w:before="240" w:after="0"/>
      </w:pPr>
      <w:r>
        <w:t xml:space="preserve">The NGER Regulations define </w:t>
      </w:r>
      <w:r w:rsidRPr="00EC40B7">
        <w:t xml:space="preserve">cogeneration </w:t>
      </w:r>
      <w:r>
        <w:t>as ‘</w:t>
      </w:r>
      <w:r w:rsidRPr="003C211F">
        <w:rPr>
          <w:i/>
        </w:rPr>
        <w:t>a process that combines the generation of heat and power to produce electricity and another product within one integrated production process</w:t>
      </w:r>
      <w:r>
        <w:rPr>
          <w:i/>
        </w:rPr>
        <w:t>’</w:t>
      </w:r>
      <w:r w:rsidRPr="00EC40B7">
        <w:t>.</w:t>
      </w:r>
      <w:r w:rsidRPr="00683A4B">
        <w:t xml:space="preserve"> </w:t>
      </w:r>
      <w:r>
        <w:t xml:space="preserve">There are specific requirements outlined in the NGER Regulations and the NGER Measurement Determination pertaining directly to cogeneration (see </w:t>
      </w:r>
      <w:r w:rsidR="00CB4C1E">
        <w:t xml:space="preserve">4.23 of the </w:t>
      </w:r>
      <w:r>
        <w:t>NGER Regulation</w:t>
      </w:r>
      <w:r w:rsidR="00CB4C1E">
        <w:t>s</w:t>
      </w:r>
      <w:r>
        <w:t xml:space="preserve"> and section 2.70 of the NGER Measurement Determination). </w:t>
      </w:r>
    </w:p>
    <w:p w14:paraId="5FE19995" w14:textId="77777777" w:rsidR="00B5622C" w:rsidRDefault="00B5622C" w:rsidP="004E408E">
      <w:pPr>
        <w:autoSpaceDE w:val="0"/>
        <w:autoSpaceDN w:val="0"/>
        <w:adjustRightInd w:val="0"/>
        <w:spacing w:after="0"/>
      </w:pPr>
    </w:p>
    <w:p w14:paraId="7C7789D9" w14:textId="77777777" w:rsidR="004E408E" w:rsidRPr="00BF7213" w:rsidRDefault="004E408E" w:rsidP="004E408E">
      <w:pPr>
        <w:rPr>
          <w:lang w:val="en-GB"/>
        </w:rPr>
      </w:pPr>
      <w:r w:rsidRPr="00BF7213">
        <w:rPr>
          <w:lang w:val="en-GB"/>
        </w:rPr>
        <w:t>Cogeneration occurs when energy (other than electricity) is consumed and results in the production of electricity and another product (</w:t>
      </w:r>
      <w:r>
        <w:rPr>
          <w:lang w:val="en-GB"/>
        </w:rPr>
        <w:t>for example heat or st</w:t>
      </w:r>
      <w:r w:rsidRPr="00BF7213">
        <w:rPr>
          <w:lang w:val="en-GB"/>
        </w:rPr>
        <w:t xml:space="preserve">eam). When this occurs, assuming that the appropriate thresholds have been met, </w:t>
      </w:r>
      <w:r>
        <w:rPr>
          <w:lang w:val="en-GB"/>
        </w:rPr>
        <w:t>it is necessary</w:t>
      </w:r>
      <w:r w:rsidRPr="00BF7213">
        <w:rPr>
          <w:lang w:val="en-GB"/>
        </w:rPr>
        <w:t xml:space="preserve"> to </w:t>
      </w:r>
      <w:r>
        <w:rPr>
          <w:lang w:val="en-GB"/>
        </w:rPr>
        <w:t xml:space="preserve">separately </w:t>
      </w:r>
      <w:r w:rsidRPr="00BF7213">
        <w:rPr>
          <w:lang w:val="en-GB"/>
        </w:rPr>
        <w:t xml:space="preserve">report the amount of energy </w:t>
      </w:r>
      <w:r>
        <w:rPr>
          <w:lang w:val="en-GB"/>
        </w:rPr>
        <w:t>consumed</w:t>
      </w:r>
      <w:r w:rsidRPr="00BF7213">
        <w:rPr>
          <w:lang w:val="en-GB"/>
        </w:rPr>
        <w:t xml:space="preserve"> to produce electricity </w:t>
      </w:r>
      <w:r>
        <w:rPr>
          <w:lang w:val="en-GB"/>
        </w:rPr>
        <w:t>and</w:t>
      </w:r>
      <w:r w:rsidRPr="00BF7213">
        <w:rPr>
          <w:lang w:val="en-GB"/>
        </w:rPr>
        <w:t xml:space="preserve"> the amount of energy </w:t>
      </w:r>
      <w:r>
        <w:rPr>
          <w:lang w:val="en-GB"/>
        </w:rPr>
        <w:t>consumed</w:t>
      </w:r>
      <w:r w:rsidRPr="00BF7213">
        <w:rPr>
          <w:lang w:val="en-GB"/>
        </w:rPr>
        <w:t xml:space="preserve"> to produce the other product. </w:t>
      </w:r>
    </w:p>
    <w:p w14:paraId="10F03A27" w14:textId="683F90D4" w:rsidR="004E408E" w:rsidRDefault="004E408E" w:rsidP="004E408E">
      <w:pPr>
        <w:rPr>
          <w:lang w:val="en-GB"/>
        </w:rPr>
      </w:pPr>
      <w:r>
        <w:rPr>
          <w:lang w:val="en-GB"/>
        </w:rPr>
        <w:t>T</w:t>
      </w:r>
      <w:r w:rsidRPr="00BF7213">
        <w:rPr>
          <w:lang w:val="en-GB"/>
        </w:rPr>
        <w:t xml:space="preserve">he amount of electricity produced </w:t>
      </w:r>
      <w:r w:rsidR="000956C9" w:rsidRPr="00BF7213">
        <w:rPr>
          <w:lang w:val="en-GB"/>
        </w:rPr>
        <w:t>because of</w:t>
      </w:r>
      <w:r w:rsidRPr="00BF7213">
        <w:rPr>
          <w:lang w:val="en-GB"/>
        </w:rPr>
        <w:t xml:space="preserve"> the cogeneration process</w:t>
      </w:r>
      <w:r>
        <w:rPr>
          <w:lang w:val="en-GB"/>
        </w:rPr>
        <w:t xml:space="preserve"> is also required to be reported</w:t>
      </w:r>
      <w:r w:rsidRPr="00BF7213">
        <w:rPr>
          <w:lang w:val="en-GB"/>
        </w:rPr>
        <w:t xml:space="preserve">. However, </w:t>
      </w:r>
      <w:r>
        <w:rPr>
          <w:lang w:val="en-GB"/>
        </w:rPr>
        <w:t xml:space="preserve">it is not necessary to </w:t>
      </w:r>
      <w:r w:rsidRPr="00BF7213">
        <w:rPr>
          <w:lang w:val="en-GB"/>
        </w:rPr>
        <w:t>report the production of the other product if that product is heat</w:t>
      </w:r>
      <w:r>
        <w:rPr>
          <w:lang w:val="en-GB"/>
        </w:rPr>
        <w:t xml:space="preserve">. </w:t>
      </w:r>
    </w:p>
    <w:tbl>
      <w:tblPr>
        <w:tblStyle w:val="CERCallout"/>
        <w:tblW w:w="5000" w:type="pct"/>
        <w:tblLook w:val="0400" w:firstRow="0" w:lastRow="0" w:firstColumn="0" w:lastColumn="0" w:noHBand="0" w:noVBand="1"/>
      </w:tblPr>
      <w:tblGrid>
        <w:gridCol w:w="9710"/>
      </w:tblGrid>
      <w:tr w:rsidR="004E408E" w:rsidRPr="00FA7635" w14:paraId="0934B4D5" w14:textId="77777777">
        <w:trPr>
          <w:trHeight w:val="2331"/>
        </w:trPr>
        <w:tc>
          <w:tcPr>
            <w:tcW w:w="4708" w:type="pct"/>
          </w:tcPr>
          <w:p w14:paraId="6AF3A86E" w14:textId="1F36A9C3" w:rsidR="004E408E" w:rsidRPr="00FA7635" w:rsidRDefault="004E408E" w:rsidP="00B41D09">
            <w:pPr>
              <w:pStyle w:val="Heading5"/>
            </w:pPr>
            <w:bookmarkStart w:id="69" w:name="_Toc205826956"/>
            <w:r>
              <w:lastRenderedPageBreak/>
              <w:t xml:space="preserve">Example </w:t>
            </w:r>
            <w:r w:rsidR="004A3194">
              <w:t>8</w:t>
            </w:r>
            <w:bookmarkEnd w:id="69"/>
          </w:p>
          <w:p w14:paraId="209181FE" w14:textId="05F398DB" w:rsidR="004E408E" w:rsidRPr="00FA7635" w:rsidRDefault="004E408E">
            <w:r w:rsidRPr="00D139C6">
              <w:t>A facility operates a cogen</w:t>
            </w:r>
            <w:r>
              <w:t>eration plant that combusts 200,</w:t>
            </w:r>
            <w:r w:rsidRPr="00D139C6">
              <w:t>000</w:t>
            </w:r>
            <w:r w:rsidR="00830684">
              <w:t> </w:t>
            </w:r>
            <w:r w:rsidRPr="00D139C6">
              <w:t>GJ of natural gas to generate electricity and</w:t>
            </w:r>
            <w:r>
              <w:t xml:space="preserve"> steam. It is estimated that 50% </w:t>
            </w:r>
            <w:r w:rsidRPr="00D139C6">
              <w:t>of the combusted natural gas is consumed</w:t>
            </w:r>
            <w:r>
              <w:t xml:space="preserve"> to generate electricity and 50% </w:t>
            </w:r>
            <w:r w:rsidRPr="00D139C6">
              <w:t xml:space="preserve">is consumed to produce steam. The </w:t>
            </w:r>
            <w:r>
              <w:t>reporter will need to</w:t>
            </w:r>
            <w:r w:rsidRPr="00D139C6">
              <w:t xml:space="preserve"> </w:t>
            </w:r>
            <w:r>
              <w:t>report the combustion of 100,</w:t>
            </w:r>
            <w:r w:rsidRPr="00D139C6">
              <w:t>000</w:t>
            </w:r>
            <w:r w:rsidR="00830684">
              <w:t> </w:t>
            </w:r>
            <w:r w:rsidRPr="00D139C6">
              <w:t>GJ of natural gas for the purpose of generating electr</w:t>
            </w:r>
            <w:r>
              <w:t>icity and the combustion of 100,</w:t>
            </w:r>
            <w:r w:rsidRPr="00D139C6">
              <w:t>000</w:t>
            </w:r>
            <w:r w:rsidR="00830684">
              <w:t> </w:t>
            </w:r>
            <w:r w:rsidRPr="00D139C6">
              <w:t>GJ for stationary energy purposes in the production of steam. The reporter is also required to report the production of electricity.</w:t>
            </w:r>
          </w:p>
        </w:tc>
      </w:tr>
    </w:tbl>
    <w:p w14:paraId="460A14C3" w14:textId="5A61BBCA" w:rsidR="004E408E" w:rsidRPr="00DD62A1" w:rsidRDefault="004E408E" w:rsidP="00050308">
      <w:pPr>
        <w:pStyle w:val="Heading1"/>
        <w:numPr>
          <w:ilvl w:val="0"/>
          <w:numId w:val="9"/>
        </w:numPr>
        <w:ind w:left="709" w:hanging="709"/>
      </w:pPr>
      <w:bookmarkStart w:id="70" w:name="_Toc76036501"/>
      <w:bookmarkStart w:id="71" w:name="_Ref140170336"/>
      <w:bookmarkStart w:id="72" w:name="_Toc205826957"/>
      <w:r>
        <w:t xml:space="preserve">Reporting </w:t>
      </w:r>
      <w:r w:rsidRPr="00DD62A1">
        <w:t xml:space="preserve">energy consumption from </w:t>
      </w:r>
      <w:r>
        <w:t xml:space="preserve">fugitive emissions including </w:t>
      </w:r>
      <w:r w:rsidRPr="00DD62A1">
        <w:t>venting</w:t>
      </w:r>
      <w:r>
        <w:t>,</w:t>
      </w:r>
      <w:r w:rsidRPr="00DD62A1">
        <w:t xml:space="preserve"> flaring</w:t>
      </w:r>
      <w:r>
        <w:t xml:space="preserve"> and leakage activities</w:t>
      </w:r>
      <w:bookmarkEnd w:id="70"/>
      <w:bookmarkEnd w:id="71"/>
      <w:bookmarkEnd w:id="72"/>
    </w:p>
    <w:p w14:paraId="2C97BF40" w14:textId="626FB32C" w:rsidR="00A52165" w:rsidRDefault="1D0BC3BC" w:rsidP="00827BAB">
      <w:pPr>
        <w:spacing w:before="240"/>
      </w:pPr>
      <w:r>
        <w:t xml:space="preserve">Consumption of energy, in relation to a facility, also includes any disposal or loss of energy (see </w:t>
      </w:r>
      <w:r w:rsidR="008E2EDE">
        <w:t xml:space="preserve">2.26 of the </w:t>
      </w:r>
      <w:r>
        <w:t>NGER Regulation</w:t>
      </w:r>
      <w:r w:rsidR="008E2EDE">
        <w:t>s</w:t>
      </w:r>
      <w:r>
        <w:t>). It is therefore necessary to report the energy content of fuels that are disposed of or lost through fugitive emissions activities, including venting</w:t>
      </w:r>
      <w:r w:rsidR="0015316D">
        <w:t>,</w:t>
      </w:r>
      <w:r w:rsidR="001D79B7">
        <w:t xml:space="preserve"> </w:t>
      </w:r>
      <w:r>
        <w:t xml:space="preserve">flaring </w:t>
      </w:r>
      <w:r w:rsidR="0015316D">
        <w:t xml:space="preserve">or </w:t>
      </w:r>
      <w:r w:rsidR="006324C4">
        <w:t>leakage</w:t>
      </w:r>
      <w:r>
        <w:t xml:space="preserve"> activities, where the energy consumed is a fuel listed in Schedule 1 of the NGER Regulations. Energy consumption from flaring</w:t>
      </w:r>
      <w:r w:rsidR="00535052">
        <w:t>, venting or leakage</w:t>
      </w:r>
      <w:r>
        <w:t xml:space="preserve"> should be reported by selecting the relevant fuel type in EERS</w:t>
      </w:r>
      <w:r w:rsidR="00DE243D">
        <w:t>.</w:t>
      </w:r>
      <w:r>
        <w:t xml:space="preserve"> Any energy consumption from fugitive emissions should be reported as energy consumed without combustion.</w:t>
      </w:r>
    </w:p>
    <w:p w14:paraId="53B11007" w14:textId="252A224E" w:rsidR="00E87B37" w:rsidRPr="00B41D09" w:rsidRDefault="00A52165" w:rsidP="00A52165">
      <w:r w:rsidRPr="00CA1BC8">
        <w:t>When flaring emission sources and activities are entered into the EERS, a reporter will be required to select the type of fuel and quantity of gas flared.</w:t>
      </w:r>
      <w:r w:rsidR="006A62D9">
        <w:t xml:space="preserve"> </w:t>
      </w:r>
      <w:r w:rsidRPr="00B41D09">
        <w:t xml:space="preserve">When a fuel type is selected, a reporter will then be required to enter the energy content factor associated with the fuel. This may be the default energy content factor associated with the fuel (from </w:t>
      </w:r>
      <w:r w:rsidR="00661EEF">
        <w:t>S</w:t>
      </w:r>
      <w:r w:rsidRPr="00B41D09">
        <w:t>chedule 1 of the NGER Measurement Determination) or a facility</w:t>
      </w:r>
      <w:r w:rsidR="77FD2F64">
        <w:t>-</w:t>
      </w:r>
      <w:r w:rsidRPr="00B41D09">
        <w:t>specific energy content factor.</w:t>
      </w:r>
    </w:p>
    <w:p w14:paraId="7D7F0233" w14:textId="6D00D324" w:rsidR="00A52165" w:rsidRPr="00CA1BC8" w:rsidRDefault="00A52165" w:rsidP="00A52165">
      <w:r w:rsidRPr="00CA1BC8">
        <w:t>EERS will automatically calculate the energy consumption associated with the quantity of the selected fuel type. The energy consumption will be categorised in the NGER report as 'energy consumed by means of combustion for purposes other than producing electricity, producing a chemical or metal product, or for transport'.</w:t>
      </w:r>
    </w:p>
    <w:p w14:paraId="0C845704" w14:textId="726E223A" w:rsidR="00A52165" w:rsidRPr="00CA1BC8" w:rsidRDefault="00A52165" w:rsidP="00A52165">
      <w:r w:rsidRPr="00CA1BC8">
        <w:t xml:space="preserve">When energy is consumed through venting or leakage, the energy consumption must be reported in EERS through a separate activity from the venting or leakage </w:t>
      </w:r>
      <w:r w:rsidRPr="3AC82E63">
        <w:t>emissions</w:t>
      </w:r>
      <w:r w:rsidRPr="00CA1BC8">
        <w:t xml:space="preserve"> activity.</w:t>
      </w:r>
    </w:p>
    <w:p w14:paraId="3EDB88E3" w14:textId="69742E71" w:rsidR="00A52165" w:rsidRDefault="00A52165" w:rsidP="004E408E">
      <w:r>
        <w:t xml:space="preserve">Please note where production of a fuel type occurs at a facility, any quantity of that fuel type consumed at the facility through venting, flaring </w:t>
      </w:r>
      <w:r w:rsidR="000A716D">
        <w:t>or</w:t>
      </w:r>
      <w:r>
        <w:t xml:space="preserve"> leakage activities should be included in the reported quantity of fuel type produced.</w:t>
      </w:r>
    </w:p>
    <w:p w14:paraId="2F264AF0" w14:textId="4F4DFA91" w:rsidR="004E408E" w:rsidRPr="00FB34DA" w:rsidRDefault="004E408E" w:rsidP="00050308">
      <w:pPr>
        <w:pStyle w:val="Heading2"/>
        <w:numPr>
          <w:ilvl w:val="1"/>
          <w:numId w:val="9"/>
        </w:numPr>
        <w:ind w:left="709" w:hanging="709"/>
      </w:pPr>
      <w:bookmarkStart w:id="73" w:name="_Toc140651656"/>
      <w:bookmarkStart w:id="74" w:name="_Toc140651702"/>
      <w:bookmarkStart w:id="75" w:name="_Toc140655404"/>
      <w:bookmarkStart w:id="76" w:name="_Toc140656551"/>
      <w:bookmarkStart w:id="77" w:name="_Toc140655405"/>
      <w:bookmarkStart w:id="78" w:name="_Toc140656552"/>
      <w:bookmarkStart w:id="79" w:name="_Toc140655406"/>
      <w:bookmarkStart w:id="80" w:name="_Toc140656553"/>
      <w:bookmarkStart w:id="81" w:name="_Toc140655407"/>
      <w:bookmarkStart w:id="82" w:name="_Toc140656554"/>
      <w:bookmarkStart w:id="83" w:name="_Toc140655408"/>
      <w:bookmarkStart w:id="84" w:name="_Toc140656555"/>
      <w:bookmarkStart w:id="85" w:name="_Toc140655409"/>
      <w:bookmarkStart w:id="86" w:name="_Toc140656556"/>
      <w:bookmarkStart w:id="87" w:name="_Toc140655410"/>
      <w:bookmarkStart w:id="88" w:name="_Toc140656557"/>
      <w:bookmarkStart w:id="89" w:name="_Toc140655411"/>
      <w:bookmarkStart w:id="90" w:name="_Toc140656558"/>
      <w:bookmarkStart w:id="91" w:name="_Toc140655412"/>
      <w:bookmarkStart w:id="92" w:name="_Toc140656559"/>
      <w:bookmarkStart w:id="93" w:name="_Toc140655413"/>
      <w:bookmarkStart w:id="94" w:name="_Toc140656560"/>
      <w:bookmarkStart w:id="95" w:name="_Toc76036502"/>
      <w:bookmarkStart w:id="96" w:name="_Toc20582695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222962">
        <w:t>Estimating</w:t>
      </w:r>
      <w:r w:rsidRPr="00FB34DA">
        <w:t xml:space="preserve"> energy consumption from venting and flaring activities</w:t>
      </w:r>
      <w:bookmarkEnd w:id="95"/>
      <w:bookmarkEnd w:id="96"/>
    </w:p>
    <w:p w14:paraId="6B159E92" w14:textId="2CAE3CD8" w:rsidR="004E408E" w:rsidRDefault="004E408E" w:rsidP="00827BAB">
      <w:pPr>
        <w:spacing w:before="240"/>
      </w:pPr>
      <w:r w:rsidRPr="00683A4B">
        <w:t>The quantity and energy content of gases</w:t>
      </w:r>
      <w:r>
        <w:t xml:space="preserve"> vented</w:t>
      </w:r>
      <w:r w:rsidR="7E63C5C8">
        <w:t>,</w:t>
      </w:r>
      <w:r>
        <w:t xml:space="preserve"> and gases</w:t>
      </w:r>
      <w:r w:rsidRPr="00683A4B">
        <w:t xml:space="preserve"> </w:t>
      </w:r>
      <w:r>
        <w:t>or</w:t>
      </w:r>
      <w:r w:rsidRPr="00683A4B">
        <w:t xml:space="preserve"> liquids flared should be measured </w:t>
      </w:r>
      <w:r>
        <w:t xml:space="preserve">in the same way that other fuel consumption is estimated. See the </w:t>
      </w:r>
      <w:hyperlink w:anchor="_Reporting_production_and">
        <w:r w:rsidRPr="3AC82E63">
          <w:rPr>
            <w:rStyle w:val="Hyperlink"/>
            <w:rFonts w:asciiTheme="minorHAnsi" w:hAnsiTheme="minorHAnsi"/>
          </w:rPr>
          <w:t>Reporting energy from production and consumption of fuels</w:t>
        </w:r>
      </w:hyperlink>
      <w:r>
        <w:t xml:space="preserve"> section of this document for more information. </w:t>
      </w:r>
    </w:p>
    <w:p w14:paraId="37712886" w14:textId="77777777" w:rsidR="004E408E" w:rsidRDefault="004E408E" w:rsidP="004E408E">
      <w:r>
        <w:t>T</w:t>
      </w:r>
      <w:r w:rsidRPr="00DC7785">
        <w:t>he approach t</w:t>
      </w:r>
      <w:r>
        <w:t xml:space="preserve">o measuring the quantity of fuel vented or flared </w:t>
      </w:r>
      <w:r w:rsidRPr="00DC7785">
        <w:t>must be consistent with the requirements for measuring gaseous fuels in</w:t>
      </w:r>
      <w:r>
        <w:t xml:space="preserve"> outlined in</w:t>
      </w:r>
      <w:r w:rsidRPr="00DC7785">
        <w:t xml:space="preserve"> </w:t>
      </w:r>
      <w:r>
        <w:t>D</w:t>
      </w:r>
      <w:r w:rsidRPr="00DC7785">
        <w:t xml:space="preserve">ivision 2.3.6 of the </w:t>
      </w:r>
      <w:r>
        <w:t>NGER Measurement Determination</w:t>
      </w:r>
      <w:r w:rsidRPr="00DC7785">
        <w:t xml:space="preserve"> and the general principles </w:t>
      </w:r>
      <w:r>
        <w:t xml:space="preserve">of emissions reporting </w:t>
      </w:r>
      <w:r w:rsidRPr="00DC7785">
        <w:t xml:space="preserve">detailed in </w:t>
      </w:r>
      <w:r>
        <w:t>s</w:t>
      </w:r>
      <w:r w:rsidRPr="00DC7785">
        <w:t xml:space="preserve">ection 1.13 of the </w:t>
      </w:r>
      <w:r>
        <w:t>NGER Measurement Determination</w:t>
      </w:r>
      <w:r w:rsidRPr="00DC7785">
        <w:t>.</w:t>
      </w:r>
      <w:r>
        <w:t xml:space="preserve"> </w:t>
      </w:r>
      <w:r>
        <w:lastRenderedPageBreak/>
        <w:t>W</w:t>
      </w:r>
      <w:r w:rsidRPr="00C040ED">
        <w:t>here sampling equipment does not meet the requirements for direct measurement of the quantity of gas</w:t>
      </w:r>
      <w:r>
        <w:t>,</w:t>
      </w:r>
      <w:r w:rsidRPr="00C040ED">
        <w:t xml:space="preserve"> reporting corporations should use industry practice </w:t>
      </w:r>
      <w:r w:rsidRPr="00DC7785">
        <w:t xml:space="preserve">as described in section 2.38 of the </w:t>
      </w:r>
      <w:r>
        <w:t>NGER Measurement Determination</w:t>
      </w:r>
      <w:r w:rsidRPr="00DC7785">
        <w:t>.</w:t>
      </w:r>
    </w:p>
    <w:p w14:paraId="0B2C5C4C" w14:textId="77777777" w:rsidR="004E408E" w:rsidRDefault="004E408E" w:rsidP="004E408E">
      <w:r w:rsidRPr="00DC7785">
        <w:t xml:space="preserve">Estimates of gas density must always be taken at standard temperature and pressure conditions which are specified in </w:t>
      </w:r>
      <w:r>
        <w:t>subs</w:t>
      </w:r>
      <w:r w:rsidRPr="00DC7785">
        <w:t xml:space="preserve">ection 2.32 (7) of the </w:t>
      </w:r>
      <w:r>
        <w:t>NGER Measurement Determination</w:t>
      </w:r>
      <w:r w:rsidRPr="00DC7785">
        <w:t xml:space="preserve"> and are as follows:</w:t>
      </w:r>
    </w:p>
    <w:p w14:paraId="3FDD8B41" w14:textId="65EB0BCF" w:rsidR="004E408E" w:rsidRPr="00DC7785" w:rsidRDefault="0001545B" w:rsidP="00682491">
      <w:pPr>
        <w:pStyle w:val="CERbullets"/>
        <w:numPr>
          <w:ilvl w:val="0"/>
          <w:numId w:val="30"/>
        </w:numPr>
        <w:spacing w:before="60"/>
        <w:ind w:left="360"/>
      </w:pPr>
      <w:r>
        <w:t xml:space="preserve">air </w:t>
      </w:r>
      <w:r w:rsidR="004E408E" w:rsidRPr="00DC7785">
        <w:t>pressure of 101.325</w:t>
      </w:r>
      <w:r w:rsidR="003013B2">
        <w:t> </w:t>
      </w:r>
      <w:r w:rsidR="004E408E" w:rsidRPr="00DC7785">
        <w:t>kilopascals</w:t>
      </w:r>
      <w:r w:rsidR="005D7206">
        <w:t xml:space="preserve"> (kPa)</w:t>
      </w:r>
    </w:p>
    <w:p w14:paraId="31340692" w14:textId="62408DE7" w:rsidR="004E408E" w:rsidRDefault="0001545B" w:rsidP="00682491">
      <w:pPr>
        <w:pStyle w:val="CERbullets"/>
        <w:numPr>
          <w:ilvl w:val="0"/>
          <w:numId w:val="30"/>
        </w:numPr>
        <w:spacing w:before="60"/>
        <w:ind w:left="360"/>
      </w:pPr>
      <w:r>
        <w:t xml:space="preserve">air </w:t>
      </w:r>
      <w:r w:rsidR="004E408E" w:rsidRPr="00DC7785">
        <w:t>temperature of 15.0</w:t>
      </w:r>
      <w:r w:rsidR="004E408E" w:rsidRPr="00DC7785" w:rsidDel="000C3FCF">
        <w:t xml:space="preserve"> d</w:t>
      </w:r>
      <w:r w:rsidR="004E408E" w:rsidDel="000C3FCF">
        <w:t>egrees</w:t>
      </w:r>
      <w:r w:rsidR="004E408E" w:rsidDel="003013B2">
        <w:t xml:space="preserve"> </w:t>
      </w:r>
      <w:r w:rsidR="004E408E">
        <w:t>C</w:t>
      </w:r>
      <w:r w:rsidR="004E408E" w:rsidRPr="00DC7785">
        <w:t>elsius</w:t>
      </w:r>
      <w:r w:rsidR="005D7206">
        <w:t xml:space="preserve"> </w:t>
      </w:r>
      <w:r w:rsidR="005D7206" w:rsidRPr="002C556E">
        <w:t>(°C) or 288</w:t>
      </w:r>
      <w:r w:rsidR="005D7206">
        <w:t xml:space="preserve"> </w:t>
      </w:r>
      <w:r w:rsidR="005D7206" w:rsidRPr="002C556E">
        <w:t>Kelvin (K)</w:t>
      </w:r>
    </w:p>
    <w:p w14:paraId="33ECCD3B" w14:textId="158FD0DB" w:rsidR="004E408E" w:rsidRPr="00DC7785" w:rsidRDefault="0001545B" w:rsidP="00682491">
      <w:pPr>
        <w:pStyle w:val="CERbullets"/>
        <w:numPr>
          <w:ilvl w:val="0"/>
          <w:numId w:val="30"/>
        </w:numPr>
        <w:spacing w:before="0" w:after="0"/>
        <w:ind w:left="360"/>
      </w:pPr>
      <w:r>
        <w:t xml:space="preserve">air </w:t>
      </w:r>
      <w:r w:rsidR="004E408E" w:rsidRPr="00DC7785">
        <w:t>density of 1.225 kilograms per cubic metre</w:t>
      </w:r>
      <w:r w:rsidR="005A2AD9">
        <w:t xml:space="preserve"> (kg/m</w:t>
      </w:r>
      <w:r w:rsidR="005A2AD9">
        <w:rPr>
          <w:vertAlign w:val="superscript"/>
        </w:rPr>
        <w:t>3</w:t>
      </w:r>
      <w:r w:rsidR="005A2AD9">
        <w:t>)</w:t>
      </w:r>
      <w:r w:rsidR="004E408E">
        <w:t>.</w:t>
      </w:r>
    </w:p>
    <w:p w14:paraId="1E8A2122" w14:textId="77777777" w:rsidR="004E408E" w:rsidRPr="00DC7785" w:rsidRDefault="004E408E">
      <w:pPr>
        <w:pStyle w:val="CERbullets"/>
        <w:numPr>
          <w:ilvl w:val="0"/>
          <w:numId w:val="0"/>
        </w:numPr>
        <w:spacing w:before="0" w:after="0"/>
      </w:pPr>
    </w:p>
    <w:tbl>
      <w:tblPr>
        <w:tblStyle w:val="CERCallout"/>
        <w:tblW w:w="5000" w:type="pct"/>
        <w:tblLook w:val="04A0" w:firstRow="1" w:lastRow="0" w:firstColumn="1" w:lastColumn="0" w:noHBand="0" w:noVBand="1"/>
      </w:tblPr>
      <w:tblGrid>
        <w:gridCol w:w="9710"/>
      </w:tblGrid>
      <w:tr w:rsidR="004E408E" w14:paraId="753A1F2C" w14:textId="77777777" w:rsidTr="1EE537F8">
        <w:trPr>
          <w:cnfStyle w:val="100000000000" w:firstRow="1" w:lastRow="0" w:firstColumn="0" w:lastColumn="0" w:oddVBand="0" w:evenVBand="0" w:oddHBand="0" w:evenHBand="0" w:firstRowFirstColumn="0" w:firstRowLastColumn="0" w:lastRowFirstColumn="0" w:lastRowLastColumn="0"/>
        </w:trPr>
        <w:tc>
          <w:tcPr>
            <w:tcW w:w="4708" w:type="pct"/>
          </w:tcPr>
          <w:p w14:paraId="3425E0E1" w14:textId="435CC4D8" w:rsidR="004E408E" w:rsidRPr="0071311F" w:rsidRDefault="004E408E" w:rsidP="00977E78">
            <w:pPr>
              <w:pStyle w:val="Heading5"/>
              <w:rPr>
                <w:b/>
              </w:rPr>
            </w:pPr>
            <w:bookmarkStart w:id="97" w:name="_Toc488066518"/>
            <w:bookmarkStart w:id="98" w:name="_Toc488853713"/>
            <w:bookmarkStart w:id="99" w:name="_Toc488915514"/>
            <w:bookmarkStart w:id="100" w:name="_Toc489001028"/>
            <w:bookmarkStart w:id="101" w:name="_Toc205826959"/>
            <w:r w:rsidRPr="0071311F">
              <w:rPr>
                <w:b/>
              </w:rPr>
              <w:t xml:space="preserve">Example </w:t>
            </w:r>
            <w:r w:rsidR="004A3194">
              <w:rPr>
                <w:b/>
              </w:rPr>
              <w:t>9</w:t>
            </w:r>
            <w:bookmarkEnd w:id="97"/>
            <w:bookmarkEnd w:id="98"/>
            <w:bookmarkEnd w:id="99"/>
            <w:bookmarkEnd w:id="100"/>
            <w:bookmarkEnd w:id="101"/>
          </w:p>
          <w:p w14:paraId="2C30F52D" w14:textId="58F87107" w:rsidR="004E408E" w:rsidRPr="0041399D" w:rsidRDefault="004E408E">
            <w:pPr>
              <w:rPr>
                <w:b w:val="0"/>
              </w:rPr>
            </w:pPr>
            <w:r w:rsidRPr="0041399D">
              <w:rPr>
                <w:b w:val="0"/>
              </w:rPr>
              <w:t>A facility flared 1,000,000</w:t>
            </w:r>
            <w:r w:rsidR="006F64CD">
              <w:rPr>
                <w:b w:val="0"/>
              </w:rPr>
              <w:t> </w:t>
            </w:r>
            <w:r w:rsidRPr="0041399D">
              <w:rPr>
                <w:b w:val="0"/>
              </w:rPr>
              <w:t>m</w:t>
            </w:r>
            <w:r w:rsidRPr="0041399D">
              <w:rPr>
                <w:b w:val="0"/>
                <w:vertAlign w:val="superscript"/>
              </w:rPr>
              <w:t>3</w:t>
            </w:r>
            <w:r w:rsidRPr="0041399D">
              <w:rPr>
                <w:b w:val="0"/>
              </w:rPr>
              <w:t xml:space="preserve"> of unprocessed natural gas measured at standard conditions in accordance with Part 2.3 of the NGER Measurement Determination. As this use of gas constitutes consumption, it is necessary to report the associated energy consumption (Z</w:t>
            </w:r>
            <w:r w:rsidRPr="0041399D">
              <w:rPr>
                <w:b w:val="0"/>
                <w:vertAlign w:val="subscript"/>
              </w:rPr>
              <w:t>i</w:t>
            </w:r>
            <w:r w:rsidRPr="0041399D">
              <w:rPr>
                <w:b w:val="0"/>
              </w:rPr>
              <w:t xml:space="preserve">) in accordance with the formula set out in section 6.5 of the NGER Measurement Determination. </w:t>
            </w:r>
          </w:p>
          <w:p w14:paraId="6D3A863A" w14:textId="341BADAB" w:rsidR="004E408E" w:rsidRPr="0041399D" w:rsidRDefault="00000000">
            <w:pPr>
              <w:rPr>
                <w:b w:val="0"/>
                <w:sz w:val="24"/>
                <w:szCs w:val="22"/>
              </w:rPr>
            </w:pPr>
            <m:oMathPara>
              <m:oMath>
                <m:sSub>
                  <m:sSubPr>
                    <m:ctrlPr>
                      <w:rPr>
                        <w:rFonts w:ascii="Cambria Math" w:hAnsi="Cambria Math"/>
                        <w:b w:val="0"/>
                        <w:i/>
                        <w:sz w:val="24"/>
                        <w:szCs w:val="22"/>
                      </w:rPr>
                    </m:ctrlPr>
                  </m:sSubPr>
                  <m:e>
                    <m:r>
                      <m:rPr>
                        <m:sty m:val="bi"/>
                      </m:rPr>
                      <w:rPr>
                        <w:rFonts w:ascii="Cambria Math" w:hAnsi="Cambria Math"/>
                        <w:sz w:val="24"/>
                        <w:szCs w:val="22"/>
                      </w:rPr>
                      <m:t>Z</m:t>
                    </m:r>
                  </m:e>
                  <m:sub>
                    <m:r>
                      <m:rPr>
                        <m:sty m:val="bi"/>
                      </m:rPr>
                      <w:rPr>
                        <w:rFonts w:ascii="Cambria Math" w:hAnsi="Cambria Math"/>
                        <w:sz w:val="24"/>
                        <w:szCs w:val="22"/>
                      </w:rPr>
                      <m:t>i</m:t>
                    </m:r>
                  </m:sub>
                </m:sSub>
                <m:r>
                  <m:rPr>
                    <m:sty m:val="bi"/>
                  </m:rPr>
                  <w:rPr>
                    <w:rFonts w:ascii="Cambria Math" w:hAnsi="Cambria Math"/>
                    <w:sz w:val="24"/>
                    <w:szCs w:val="22"/>
                  </w:rPr>
                  <m:t xml:space="preserve">= </m:t>
                </m:r>
                <m:sSub>
                  <m:sSubPr>
                    <m:ctrlPr>
                      <w:rPr>
                        <w:rFonts w:ascii="Cambria Math" w:hAnsi="Cambria Math"/>
                        <w:b w:val="0"/>
                        <w:i/>
                        <w:sz w:val="24"/>
                        <w:szCs w:val="22"/>
                      </w:rPr>
                    </m:ctrlPr>
                  </m:sSubPr>
                  <m:e>
                    <m:r>
                      <m:rPr>
                        <m:sty m:val="bi"/>
                      </m:rPr>
                      <w:rPr>
                        <w:rFonts w:ascii="Cambria Math" w:hAnsi="Cambria Math"/>
                        <w:sz w:val="24"/>
                        <w:szCs w:val="22"/>
                      </w:rPr>
                      <m:t>Q</m:t>
                    </m:r>
                  </m:e>
                  <m:sub>
                    <m:r>
                      <m:rPr>
                        <m:sty m:val="bi"/>
                      </m:rPr>
                      <w:rPr>
                        <w:rFonts w:ascii="Cambria Math" w:hAnsi="Cambria Math"/>
                        <w:sz w:val="24"/>
                        <w:szCs w:val="22"/>
                      </w:rPr>
                      <m:t>i</m:t>
                    </m:r>
                  </m:sub>
                </m:sSub>
                <m:r>
                  <m:rPr>
                    <m:sty m:val="bi"/>
                  </m:rPr>
                  <w:rPr>
                    <w:rFonts w:ascii="Cambria Math" w:hAnsi="Cambria Math"/>
                    <w:sz w:val="24"/>
                    <w:szCs w:val="22"/>
                  </w:rPr>
                  <m:t xml:space="preserve">× </m:t>
                </m:r>
                <m:sSub>
                  <m:sSubPr>
                    <m:ctrlPr>
                      <w:rPr>
                        <w:rFonts w:ascii="Cambria Math" w:hAnsi="Cambria Math"/>
                        <w:b w:val="0"/>
                        <w:i/>
                        <w:sz w:val="24"/>
                        <w:szCs w:val="22"/>
                      </w:rPr>
                    </m:ctrlPr>
                  </m:sSubPr>
                  <m:e>
                    <m:r>
                      <m:rPr>
                        <m:sty m:val="bi"/>
                      </m:rPr>
                      <w:rPr>
                        <w:rFonts w:ascii="Cambria Math" w:hAnsi="Cambria Math"/>
                        <w:sz w:val="24"/>
                        <w:szCs w:val="22"/>
                      </w:rPr>
                      <m:t>EC</m:t>
                    </m:r>
                  </m:e>
                  <m:sub>
                    <m:r>
                      <m:rPr>
                        <m:sty m:val="bi"/>
                      </m:rPr>
                      <w:rPr>
                        <w:rFonts w:ascii="Cambria Math" w:hAnsi="Cambria Math"/>
                        <w:sz w:val="24"/>
                        <w:szCs w:val="22"/>
                      </w:rPr>
                      <m:t>i</m:t>
                    </m:r>
                  </m:sub>
                </m:sSub>
              </m:oMath>
            </m:oMathPara>
          </w:p>
          <w:p w14:paraId="793C58D3" w14:textId="77777777" w:rsidR="004E408E" w:rsidRPr="0041399D" w:rsidRDefault="004E408E">
            <w:pPr>
              <w:rPr>
                <w:b w:val="0"/>
                <w:szCs w:val="22"/>
              </w:rPr>
            </w:pPr>
            <w:r w:rsidRPr="0041399D">
              <w:rPr>
                <w:b w:val="0"/>
                <w:szCs w:val="22"/>
              </w:rPr>
              <w:t>where:</w:t>
            </w:r>
          </w:p>
          <w:p w14:paraId="1B289D4D" w14:textId="4E14FC39" w:rsidR="004E408E" w:rsidRPr="0041399D" w:rsidRDefault="00000000">
            <w:pPr>
              <w:rPr>
                <w:b w:val="0"/>
              </w:rPr>
            </w:pPr>
            <m:oMath>
              <m:sSub>
                <m:sSubPr>
                  <m:ctrlPr>
                    <w:rPr>
                      <w:rFonts w:ascii="Cambria Math" w:hAnsi="Cambria Math"/>
                      <w:b w:val="0"/>
                      <w:i/>
                    </w:rPr>
                  </m:ctrlPr>
                </m:sSubPr>
                <m:e>
                  <m:r>
                    <m:rPr>
                      <m:sty m:val="bi"/>
                    </m:rPr>
                    <w:rPr>
                      <w:rFonts w:ascii="Cambria Math" w:hAnsi="Cambria Math"/>
                    </w:rPr>
                    <m:t>Z</m:t>
                  </m:r>
                </m:e>
                <m:sub>
                  <m:r>
                    <m:rPr>
                      <m:sty m:val="bi"/>
                    </m:rPr>
                    <w:rPr>
                      <w:rFonts w:ascii="Cambria Math" w:hAnsi="Cambria Math"/>
                    </w:rPr>
                    <m:t>i</m:t>
                  </m:r>
                </m:sub>
              </m:sSub>
              <m:r>
                <m:rPr>
                  <m:sty m:val="bi"/>
                </m:rPr>
                <w:rPr>
                  <w:rFonts w:ascii="Cambria Math" w:hAnsi="Cambria Math"/>
                </w:rPr>
                <m:t xml:space="preserve">= </m:t>
              </m:r>
            </m:oMath>
            <w:r w:rsidR="004E408E" w:rsidRPr="0041399D">
              <w:rPr>
                <w:b w:val="0"/>
              </w:rPr>
              <w:t>the energy content of fuel type (</w:t>
            </w:r>
            <w:r w:rsidR="004E408E" w:rsidRPr="0041399D">
              <w:rPr>
                <w:b w:val="0"/>
                <w:i/>
                <w:iCs/>
              </w:rPr>
              <w:t>i</w:t>
            </w:r>
            <w:r w:rsidR="004E408E" w:rsidRPr="0041399D">
              <w:rPr>
                <w:b w:val="0"/>
              </w:rPr>
              <w:t>) consumed and measured in</w:t>
            </w:r>
            <w:r w:rsidR="006F64CD">
              <w:rPr>
                <w:b w:val="0"/>
              </w:rPr>
              <w:t> GJ</w:t>
            </w:r>
            <w:r w:rsidR="004E408E" w:rsidRPr="0041399D">
              <w:rPr>
                <w:b w:val="0"/>
              </w:rPr>
              <w:t>.</w:t>
            </w:r>
          </w:p>
          <w:p w14:paraId="00275630" w14:textId="161CF904" w:rsidR="004E408E" w:rsidRPr="0041399D" w:rsidRDefault="00000000">
            <w:pPr>
              <w:rPr>
                <w:b w:val="0"/>
              </w:rPr>
            </w:pPr>
            <m:oMath>
              <m:sSub>
                <m:sSubPr>
                  <m:ctrlPr>
                    <w:rPr>
                      <w:rFonts w:ascii="Cambria Math" w:hAnsi="Cambria Math"/>
                      <w:b w:val="0"/>
                      <w:i/>
                    </w:rPr>
                  </m:ctrlPr>
                </m:sSubPr>
                <m:e>
                  <m:r>
                    <m:rPr>
                      <m:sty m:val="bi"/>
                    </m:rPr>
                    <w:rPr>
                      <w:rFonts w:ascii="Cambria Math" w:hAnsi="Cambria Math"/>
                    </w:rPr>
                    <m:t>Q</m:t>
                  </m:r>
                </m:e>
                <m:sub>
                  <m:r>
                    <m:rPr>
                      <m:sty m:val="bi"/>
                    </m:rPr>
                    <w:rPr>
                      <w:rFonts w:ascii="Cambria Math" w:hAnsi="Cambria Math"/>
                    </w:rPr>
                    <m:t>i</m:t>
                  </m:r>
                </m:sub>
              </m:sSub>
              <m:r>
                <m:rPr>
                  <m:sty m:val="bi"/>
                </m:rPr>
                <w:rPr>
                  <w:rFonts w:ascii="Cambria Math" w:hAnsi="Cambria Math"/>
                </w:rPr>
                <m:t xml:space="preserve">= </m:t>
              </m:r>
            </m:oMath>
            <w:r w:rsidR="004E408E" w:rsidRPr="0041399D">
              <w:rPr>
                <w:b w:val="0"/>
              </w:rPr>
              <w:t>the quantity of fuel type (</w:t>
            </w:r>
            <w:r w:rsidR="004E408E" w:rsidRPr="0041399D">
              <w:rPr>
                <w:b w:val="0"/>
                <w:i/>
                <w:iCs/>
              </w:rPr>
              <w:t>i</w:t>
            </w:r>
            <w:r w:rsidR="004E408E" w:rsidRPr="0041399D">
              <w:rPr>
                <w:b w:val="0"/>
              </w:rPr>
              <w:t>) consumed during the year which in this case is equal to 1,000,000</w:t>
            </w:r>
            <w:r w:rsidR="006F64CD">
              <w:rPr>
                <w:b w:val="0"/>
              </w:rPr>
              <w:t> </w:t>
            </w:r>
            <w:r w:rsidR="004E408E" w:rsidRPr="0041399D">
              <w:rPr>
                <w:b w:val="0"/>
              </w:rPr>
              <w:t>m</w:t>
            </w:r>
            <w:r w:rsidR="004E408E" w:rsidRPr="0041399D">
              <w:rPr>
                <w:b w:val="0"/>
                <w:vertAlign w:val="superscript"/>
              </w:rPr>
              <w:t>3.</w:t>
            </w:r>
          </w:p>
          <w:p w14:paraId="0022204C" w14:textId="7089CDEA" w:rsidR="004E408E" w:rsidRPr="0041399D" w:rsidRDefault="00000000">
            <w:pPr>
              <w:rPr>
                <w:b w:val="0"/>
              </w:rPr>
            </w:pPr>
            <m:oMath>
              <m:sSub>
                <m:sSubPr>
                  <m:ctrlPr>
                    <w:rPr>
                      <w:rFonts w:ascii="Cambria Math" w:hAnsi="Cambria Math"/>
                      <w:b w:val="0"/>
                      <w:i/>
                    </w:rPr>
                  </m:ctrlPr>
                </m:sSubPr>
                <m:e>
                  <m:r>
                    <m:rPr>
                      <m:sty m:val="bi"/>
                    </m:rPr>
                    <w:rPr>
                      <w:rFonts w:ascii="Cambria Math" w:hAnsi="Cambria Math"/>
                    </w:rPr>
                    <m:t>EC</m:t>
                  </m:r>
                </m:e>
                <m:sub>
                  <m:r>
                    <m:rPr>
                      <m:sty m:val="bi"/>
                    </m:rPr>
                    <w:rPr>
                      <w:rFonts w:ascii="Cambria Math" w:hAnsi="Cambria Math"/>
                    </w:rPr>
                    <m:t>i</m:t>
                  </m:r>
                </m:sub>
              </m:sSub>
              <m:r>
                <m:rPr>
                  <m:sty m:val="bi"/>
                </m:rPr>
                <w:rPr>
                  <w:rFonts w:ascii="Cambria Math" w:hAnsi="Cambria Math"/>
                </w:rPr>
                <m:t xml:space="preserve">= </m:t>
              </m:r>
            </m:oMath>
            <w:r w:rsidR="004E408E" w:rsidRPr="0041399D">
              <w:rPr>
                <w:b w:val="0"/>
              </w:rPr>
              <w:t>the energy content factor of fuel type (</w:t>
            </w:r>
            <w:r w:rsidR="004E408E" w:rsidRPr="0041399D">
              <w:rPr>
                <w:b w:val="0"/>
                <w:i/>
                <w:iCs/>
              </w:rPr>
              <w:t>i</w:t>
            </w:r>
            <w:r w:rsidR="004E408E" w:rsidRPr="0041399D">
              <w:rPr>
                <w:b w:val="0"/>
              </w:rPr>
              <w:t>), which in this case is equal to 39.3 × 10</w:t>
            </w:r>
            <w:r w:rsidR="004E408E" w:rsidRPr="0041399D">
              <w:rPr>
                <w:b w:val="0"/>
                <w:vertAlign w:val="superscript"/>
              </w:rPr>
              <w:t>-3</w:t>
            </w:r>
            <w:r w:rsidR="006F64CD">
              <w:rPr>
                <w:b w:val="0"/>
              </w:rPr>
              <w:t> </w:t>
            </w:r>
            <w:r w:rsidR="004E408E" w:rsidRPr="0041399D">
              <w:rPr>
                <w:b w:val="0"/>
              </w:rPr>
              <w:t>GJ/m</w:t>
            </w:r>
            <w:r w:rsidR="004E408E" w:rsidRPr="0041399D">
              <w:rPr>
                <w:b w:val="0"/>
                <w:vertAlign w:val="superscript"/>
              </w:rPr>
              <w:t>3</w:t>
            </w:r>
            <w:r w:rsidR="004E408E" w:rsidRPr="0041399D">
              <w:rPr>
                <w:b w:val="0"/>
              </w:rPr>
              <w:t xml:space="preserve"> as listed in Part 2 of Schedule 1 of the NGER Measurement Determination. </w:t>
            </w:r>
          </w:p>
          <w:p w14:paraId="383DA135" w14:textId="77777777" w:rsidR="004E408E" w:rsidRPr="0041399D" w:rsidRDefault="004E408E">
            <w:pPr>
              <w:rPr>
                <w:b w:val="0"/>
              </w:rPr>
            </w:pPr>
            <w:r w:rsidRPr="0041399D">
              <w:rPr>
                <w:b w:val="0"/>
              </w:rPr>
              <w:t xml:space="preserve">Consequently, the energy consumption associated with flaring at the facility is calculated as follows: </w:t>
            </w:r>
          </w:p>
          <w:p w14:paraId="2F5E4CCD" w14:textId="71AD8470" w:rsidR="004E408E" w:rsidRPr="0041399D" w:rsidRDefault="00000000">
            <w:pPr>
              <w:rPr>
                <w:b w:val="0"/>
              </w:rPr>
            </w:pPr>
            <m:oMath>
              <m:sSub>
                <m:sSubPr>
                  <m:ctrlPr>
                    <w:rPr>
                      <w:rFonts w:ascii="Cambria Math" w:hAnsi="Cambria Math"/>
                      <w:b w:val="0"/>
                    </w:rPr>
                  </m:ctrlPr>
                </m:sSubPr>
                <m:e>
                  <m:r>
                    <m:rPr>
                      <m:sty m:val="bi"/>
                    </m:rPr>
                    <w:rPr>
                      <w:rFonts w:ascii="Cambria Math" w:hAnsi="Cambria Math"/>
                    </w:rPr>
                    <m:t>Z</m:t>
                  </m:r>
                </m:e>
                <m:sub>
                  <m:r>
                    <m:rPr>
                      <m:sty m:val="bi"/>
                    </m:rPr>
                    <w:rPr>
                      <w:rFonts w:ascii="Cambria Math" w:hAnsi="Cambria Math"/>
                    </w:rPr>
                    <m:t>i</m:t>
                  </m:r>
                </m:sub>
              </m:sSub>
              <m:r>
                <m:rPr>
                  <m:sty m:val="b"/>
                </m:rPr>
                <w:rPr>
                  <w:rFonts w:ascii="Cambria Math" w:hAnsi="Cambria Math"/>
                </w:rPr>
                <m:t xml:space="preserve">= </m:t>
              </m:r>
              <m:sSub>
                <m:sSubPr>
                  <m:ctrlPr>
                    <w:rPr>
                      <w:rFonts w:ascii="Cambria Math" w:hAnsi="Cambria Math"/>
                      <w:b w:val="0"/>
                    </w:rPr>
                  </m:ctrlPr>
                </m:sSubPr>
                <m:e>
                  <m:r>
                    <m:rPr>
                      <m:sty m:val="bi"/>
                    </m:rPr>
                    <w:rPr>
                      <w:rFonts w:ascii="Cambria Math" w:hAnsi="Cambria Math"/>
                    </w:rPr>
                    <m:t>Q</m:t>
                  </m:r>
                </m:e>
                <m:sub>
                  <m:r>
                    <m:rPr>
                      <m:sty m:val="bi"/>
                    </m:rPr>
                    <w:rPr>
                      <w:rFonts w:ascii="Cambria Math" w:hAnsi="Cambria Math"/>
                    </w:rPr>
                    <m:t>i</m:t>
                  </m:r>
                </m:sub>
              </m:sSub>
              <m:r>
                <m:rPr>
                  <m:sty m:val="b"/>
                </m:rPr>
                <w:rPr>
                  <w:rFonts w:ascii="Cambria Math" w:hAnsi="Cambria Math"/>
                </w:rPr>
                <m:t xml:space="preserve">× </m:t>
              </m:r>
              <m:sSub>
                <m:sSubPr>
                  <m:ctrlPr>
                    <w:rPr>
                      <w:rFonts w:ascii="Cambria Math" w:hAnsi="Cambria Math"/>
                      <w:b w:val="0"/>
                    </w:rPr>
                  </m:ctrlPr>
                </m:sSubPr>
                <m:e>
                  <m:r>
                    <m:rPr>
                      <m:sty m:val="bi"/>
                    </m:rPr>
                    <w:rPr>
                      <w:rFonts w:ascii="Cambria Math" w:hAnsi="Cambria Math"/>
                    </w:rPr>
                    <m:t>EC</m:t>
                  </m:r>
                </m:e>
                <m:sub>
                  <m:r>
                    <m:rPr>
                      <m:sty m:val="bi"/>
                    </m:rPr>
                    <w:rPr>
                      <w:rFonts w:ascii="Cambria Math" w:hAnsi="Cambria Math"/>
                    </w:rPr>
                    <m:t>i</m:t>
                  </m:r>
                </m:sub>
              </m:sSub>
              <m:r>
                <m:rPr>
                  <m:sty m:val="b"/>
                </m:rPr>
                <w:rPr>
                  <w:rFonts w:ascii="Cambria Math" w:hAnsi="Cambria Math"/>
                </w:rPr>
                <m:t>=1,000,000 </m:t>
              </m:r>
              <m:sSup>
                <m:sSupPr>
                  <m:ctrlPr>
                    <w:rPr>
                      <w:rFonts w:ascii="Cambria Math" w:hAnsi="Cambria Math"/>
                      <w:bCs/>
                    </w:rPr>
                  </m:ctrlPr>
                </m:sSupPr>
                <m:e>
                  <m:r>
                    <m:rPr>
                      <m:sty m:val="bi"/>
                    </m:rPr>
                    <w:rPr>
                      <w:rFonts w:ascii="Cambria Math" w:hAnsi="Cambria Math"/>
                    </w:rPr>
                    <m:t>m</m:t>
                  </m:r>
                </m:e>
                <m:sup>
                  <m:r>
                    <m:rPr>
                      <m:sty m:val="b"/>
                    </m:rPr>
                    <w:rPr>
                      <w:rFonts w:ascii="Cambria Math" w:hAnsi="Cambria Math"/>
                    </w:rPr>
                    <m:t>3</m:t>
                  </m:r>
                </m:sup>
              </m:sSup>
              <m:r>
                <m:rPr>
                  <m:sty m:val="b"/>
                </m:rPr>
                <w:rPr>
                  <w:rFonts w:ascii="Cambria Math" w:hAnsi="Cambria Math"/>
                </w:rPr>
                <m:t>×39.3×</m:t>
              </m:r>
              <m:sSup>
                <m:sSupPr>
                  <m:ctrlPr>
                    <w:rPr>
                      <w:rFonts w:ascii="Cambria Math" w:hAnsi="Cambria Math"/>
                      <w:b w:val="0"/>
                    </w:rPr>
                  </m:ctrlPr>
                </m:sSupPr>
                <m:e>
                  <m:r>
                    <m:rPr>
                      <m:sty m:val="b"/>
                    </m:rPr>
                    <w:rPr>
                      <w:rFonts w:ascii="Cambria Math" w:hAnsi="Cambria Math"/>
                    </w:rPr>
                    <m:t>10</m:t>
                  </m:r>
                </m:e>
                <m:sup>
                  <m:r>
                    <m:rPr>
                      <m:sty m:val="b"/>
                    </m:rPr>
                    <w:rPr>
                      <w:rFonts w:ascii="Cambria Math" w:hAnsi="Cambria Math"/>
                    </w:rPr>
                    <m:t>-3</m:t>
                  </m:r>
                </m:sup>
              </m:sSup>
              <m:r>
                <m:rPr>
                  <m:sty m:val="bi"/>
                </m:rPr>
                <w:rPr>
                  <w:rFonts w:ascii="Cambria Math" w:hAnsi="Cambria Math"/>
                </w:rPr>
                <m:t> GJ</m:t>
              </m:r>
              <m:r>
                <m:rPr>
                  <m:sty m:val="b"/>
                </m:rPr>
                <w:rPr>
                  <w:rFonts w:ascii="Cambria Math" w:hAnsi="Cambria Math"/>
                </w:rPr>
                <m:t>/</m:t>
              </m:r>
              <m:sSup>
                <m:sSupPr>
                  <m:ctrlPr>
                    <w:rPr>
                      <w:rFonts w:ascii="Cambria Math" w:hAnsi="Cambria Math"/>
                      <w:b w:val="0"/>
                    </w:rPr>
                  </m:ctrlPr>
                </m:sSupPr>
                <m:e>
                  <m:r>
                    <m:rPr>
                      <m:sty m:val="bi"/>
                    </m:rPr>
                    <w:rPr>
                      <w:rFonts w:ascii="Cambria Math" w:hAnsi="Cambria Math"/>
                    </w:rPr>
                    <m:t>m</m:t>
                  </m:r>
                </m:e>
                <m:sup>
                  <m:r>
                    <m:rPr>
                      <m:sty m:val="b"/>
                    </m:rPr>
                    <w:rPr>
                      <w:rFonts w:ascii="Cambria Math" w:hAnsi="Cambria Math"/>
                    </w:rPr>
                    <m:t>3</m:t>
                  </m:r>
                </m:sup>
              </m:sSup>
              <m:r>
                <m:rPr>
                  <m:sty m:val="b"/>
                </m:rPr>
                <w:rPr>
                  <w:rFonts w:ascii="Cambria Math" w:hAnsi="Cambria Math"/>
                </w:rPr>
                <m:t xml:space="preserve"> =39,300 </m:t>
              </m:r>
              <m:r>
                <m:rPr>
                  <m:sty m:val="bi"/>
                </m:rPr>
                <w:rPr>
                  <w:rFonts w:ascii="Cambria Math" w:hAnsi="Cambria Math"/>
                </w:rPr>
                <m:t>GJ</m:t>
              </m:r>
            </m:oMath>
            <w:r w:rsidR="004E408E" w:rsidRPr="0041399D">
              <w:rPr>
                <w:b w:val="0"/>
              </w:rPr>
              <w:t>.</w:t>
            </w:r>
          </w:p>
          <w:p w14:paraId="4FB53188" w14:textId="77777777" w:rsidR="004E408E" w:rsidRDefault="004E408E" w:rsidP="0071311F">
            <w:r w:rsidRPr="0041399D">
              <w:rPr>
                <w:b w:val="0"/>
              </w:rPr>
              <w:t>Please note that reporting energy consumption from flaring is achieved in EERS by selecting the relevant fuel type when reporting flaring emissions. In this example, the flaring fuel type would be ‘21 – Unprocessed natural gas’.</w:t>
            </w:r>
          </w:p>
        </w:tc>
      </w:tr>
    </w:tbl>
    <w:p w14:paraId="51CAC2FC" w14:textId="77777777" w:rsidR="004E408E" w:rsidRPr="00683A4B" w:rsidRDefault="004E408E" w:rsidP="00050308">
      <w:pPr>
        <w:pStyle w:val="Heading1"/>
        <w:numPr>
          <w:ilvl w:val="0"/>
          <w:numId w:val="9"/>
        </w:numPr>
        <w:ind w:left="709" w:hanging="709"/>
      </w:pPr>
      <w:bookmarkStart w:id="102" w:name="_Toc370229997"/>
      <w:bookmarkStart w:id="103" w:name="_Toc76036503"/>
      <w:bookmarkStart w:id="104" w:name="_Toc205826960"/>
      <w:r w:rsidRPr="00683A4B">
        <w:t xml:space="preserve">Publication of </w:t>
      </w:r>
      <w:r>
        <w:t>e</w:t>
      </w:r>
      <w:r w:rsidRPr="00683A4B">
        <w:t xml:space="preserve">nergy </w:t>
      </w:r>
      <w:r>
        <w:t>production and c</w:t>
      </w:r>
      <w:r w:rsidRPr="00683A4B">
        <w:t>onsumption</w:t>
      </w:r>
      <w:bookmarkEnd w:id="102"/>
      <w:r>
        <w:t xml:space="preserve"> information</w:t>
      </w:r>
      <w:bookmarkEnd w:id="103"/>
      <w:bookmarkEnd w:id="104"/>
    </w:p>
    <w:p w14:paraId="6AA71BE1" w14:textId="4101DD71" w:rsidR="004E408E" w:rsidRDefault="004E408E" w:rsidP="00827BAB">
      <w:pPr>
        <w:spacing w:before="240"/>
        <w:rPr>
          <w:rFonts w:eastAsia="Times New Roman"/>
          <w:color w:val="333333"/>
          <w:szCs w:val="22"/>
          <w:lang w:eastAsia="en-AU"/>
        </w:rPr>
      </w:pPr>
      <w:r w:rsidRPr="00683A4B">
        <w:t xml:space="preserve">Under </w:t>
      </w:r>
      <w:r>
        <w:t>s</w:t>
      </w:r>
      <w:r w:rsidRPr="00683A4B">
        <w:t xml:space="preserve">ection 24 of the NGER Act, </w:t>
      </w:r>
      <w:r w:rsidR="003439D0">
        <w:t>CER</w:t>
      </w:r>
      <w:r w:rsidRPr="00683A4B">
        <w:t xml:space="preserve"> is required </w:t>
      </w:r>
      <w:r w:rsidRPr="00222962">
        <w:rPr>
          <w:rFonts w:eastAsia="Times New Roman"/>
          <w:color w:val="333333"/>
          <w:szCs w:val="22"/>
          <w:lang w:eastAsia="en-AU"/>
        </w:rPr>
        <w:t>to publish the following information by 28</w:t>
      </w:r>
      <w:r>
        <w:rPr>
          <w:rFonts w:eastAsia="Times New Roman"/>
          <w:color w:val="333333"/>
          <w:szCs w:val="22"/>
          <w:lang w:eastAsia="en-AU"/>
        </w:rPr>
        <w:t> </w:t>
      </w:r>
      <w:r w:rsidRPr="00222962">
        <w:rPr>
          <w:rFonts w:eastAsia="Times New Roman"/>
          <w:color w:val="333333"/>
          <w:szCs w:val="22"/>
          <w:lang w:eastAsia="en-AU"/>
        </w:rPr>
        <w:t>February each year:</w:t>
      </w:r>
    </w:p>
    <w:p w14:paraId="27E57AE1" w14:textId="2B760A5A" w:rsidR="004E408E" w:rsidRDefault="4C7DD445" w:rsidP="00682491">
      <w:pPr>
        <w:pStyle w:val="CERbullets"/>
        <w:numPr>
          <w:ilvl w:val="0"/>
          <w:numId w:val="31"/>
        </w:numPr>
      </w:pPr>
      <w:r w:rsidRPr="3AC82E63">
        <w:rPr>
          <w:lang w:eastAsia="en-AU"/>
        </w:rPr>
        <w:lastRenderedPageBreak/>
        <w:t>r</w:t>
      </w:r>
      <w:r w:rsidR="004E408E" w:rsidRPr="3AC82E63">
        <w:rPr>
          <w:lang w:eastAsia="en-AU"/>
        </w:rPr>
        <w:t>egistered</w:t>
      </w:r>
      <w:r w:rsidR="004E408E" w:rsidRPr="00222962">
        <w:rPr>
          <w:lang w:eastAsia="en-AU"/>
        </w:rPr>
        <w:t xml:space="preserve"> corporations</w:t>
      </w:r>
      <w:r w:rsidR="004E408E">
        <w:rPr>
          <w:lang w:eastAsia="en-AU"/>
        </w:rPr>
        <w:t xml:space="preserve"> – </w:t>
      </w:r>
      <w:r w:rsidR="004E408E" w:rsidRPr="00222962">
        <w:rPr>
          <w:lang w:eastAsia="en-AU"/>
        </w:rPr>
        <w:t>reported</w:t>
      </w:r>
      <w:r w:rsidR="004E408E">
        <w:rPr>
          <w:lang w:eastAsia="en-AU"/>
        </w:rPr>
        <w:t xml:space="preserve"> </w:t>
      </w:r>
      <w:r w:rsidR="004E408E" w:rsidRPr="00222962">
        <w:rPr>
          <w:lang w:eastAsia="en-AU"/>
        </w:rPr>
        <w:t>greenhouse gas emissions and net energy consumption for all registered corporations</w:t>
      </w:r>
      <w:r w:rsidR="004E408E">
        <w:rPr>
          <w:lang w:eastAsia="en-AU"/>
        </w:rPr>
        <w:t xml:space="preserve"> that meet the publication threshold</w:t>
      </w:r>
    </w:p>
    <w:p w14:paraId="29A7D20C" w14:textId="1359218E" w:rsidR="004E408E" w:rsidRPr="00892CAF" w:rsidRDefault="08777866" w:rsidP="00682491">
      <w:pPr>
        <w:pStyle w:val="CERbullets"/>
        <w:numPr>
          <w:ilvl w:val="0"/>
          <w:numId w:val="31"/>
        </w:numPr>
        <w:rPr>
          <w:rFonts w:eastAsia="Times New Roman"/>
          <w:color w:val="333333"/>
          <w:lang w:eastAsia="en-AU"/>
        </w:rPr>
      </w:pPr>
      <w:r w:rsidRPr="3AC82E63">
        <w:rPr>
          <w:lang w:eastAsia="en-AU"/>
        </w:rPr>
        <w:t>r</w:t>
      </w:r>
      <w:r w:rsidR="004E408E" w:rsidRPr="3AC82E63">
        <w:rPr>
          <w:lang w:eastAsia="en-AU"/>
        </w:rPr>
        <w:t>eporting</w:t>
      </w:r>
      <w:r w:rsidR="004E408E" w:rsidRPr="00222962">
        <w:rPr>
          <w:lang w:eastAsia="en-AU"/>
        </w:rPr>
        <w:t xml:space="preserve"> transfer certificate holders</w:t>
      </w:r>
      <w:r w:rsidR="004E408E">
        <w:rPr>
          <w:lang w:eastAsia="en-AU"/>
        </w:rPr>
        <w:t xml:space="preserve"> – </w:t>
      </w:r>
      <w:r w:rsidR="004E408E" w:rsidRPr="00222962">
        <w:rPr>
          <w:lang w:eastAsia="en-AU"/>
        </w:rPr>
        <w:t>reported</w:t>
      </w:r>
      <w:r w:rsidR="004E408E">
        <w:rPr>
          <w:lang w:eastAsia="en-AU"/>
        </w:rPr>
        <w:t xml:space="preserve"> </w:t>
      </w:r>
      <w:r w:rsidR="004E408E" w:rsidRPr="00222962">
        <w:rPr>
          <w:lang w:eastAsia="en-AU"/>
        </w:rPr>
        <w:t>greenhouse gas emissions and net energy consumption for reporting transfer certificate holders</w:t>
      </w:r>
    </w:p>
    <w:p w14:paraId="2631D4B4" w14:textId="1EB692D9" w:rsidR="004E408E" w:rsidRPr="00892CAF" w:rsidRDefault="5B76CA2C" w:rsidP="00682491">
      <w:pPr>
        <w:pStyle w:val="CERbullets"/>
        <w:numPr>
          <w:ilvl w:val="0"/>
          <w:numId w:val="31"/>
        </w:numPr>
        <w:rPr>
          <w:rFonts w:eastAsia="Times New Roman"/>
          <w:color w:val="333333"/>
          <w:lang w:eastAsia="en-AU"/>
        </w:rPr>
      </w:pPr>
      <w:r w:rsidRPr="3AC82E63">
        <w:rPr>
          <w:lang w:eastAsia="en-AU"/>
        </w:rPr>
        <w:t>d</w:t>
      </w:r>
      <w:r w:rsidR="004E408E" w:rsidRPr="3AC82E63">
        <w:rPr>
          <w:lang w:eastAsia="en-AU"/>
        </w:rPr>
        <w:t>esignated</w:t>
      </w:r>
      <w:r w:rsidR="004E408E" w:rsidRPr="00222962">
        <w:rPr>
          <w:lang w:eastAsia="en-AU"/>
        </w:rPr>
        <w:t xml:space="preserve"> generation facilities</w:t>
      </w:r>
      <w:r w:rsidR="004E408E">
        <w:rPr>
          <w:lang w:eastAsia="en-AU"/>
        </w:rPr>
        <w:t xml:space="preserve"> – </w:t>
      </w:r>
      <w:r w:rsidR="004E408E" w:rsidRPr="00222962">
        <w:rPr>
          <w:lang w:eastAsia="en-AU"/>
        </w:rPr>
        <w:t>greenhouse</w:t>
      </w:r>
      <w:r w:rsidR="004E408E">
        <w:rPr>
          <w:lang w:eastAsia="en-AU"/>
        </w:rPr>
        <w:t xml:space="preserve"> </w:t>
      </w:r>
      <w:r w:rsidR="004E408E" w:rsidRPr="00222962">
        <w:rPr>
          <w:lang w:eastAsia="en-AU"/>
        </w:rPr>
        <w:t>gas emissions, energy production, primary fuel source, emissions intensity and grid connection information for facilities where the principal activity is electricity generation.</w:t>
      </w:r>
      <w:r w:rsidR="004E408E" w:rsidRPr="00577E86">
        <w:rPr>
          <w:lang w:eastAsia="en-AU"/>
        </w:rPr>
        <w:t xml:space="preserve"> Included in this publication for each facility is the</w:t>
      </w:r>
      <w:r w:rsidR="004E408E">
        <w:rPr>
          <w:lang w:eastAsia="en-AU"/>
        </w:rPr>
        <w:t xml:space="preserve"> already</w:t>
      </w:r>
      <w:r w:rsidR="004E408E" w:rsidRPr="00577E86">
        <w:rPr>
          <w:lang w:eastAsia="en-AU"/>
        </w:rPr>
        <w:t xml:space="preserve"> publicly available primary fuel source and grid connection information</w:t>
      </w:r>
    </w:p>
    <w:p w14:paraId="60B9B5A9" w14:textId="2775B2DF" w:rsidR="004E408E" w:rsidRPr="00552D9C" w:rsidRDefault="000958E8" w:rsidP="00682491">
      <w:pPr>
        <w:pStyle w:val="CERbullets"/>
        <w:numPr>
          <w:ilvl w:val="0"/>
          <w:numId w:val="31"/>
        </w:numPr>
        <w:rPr>
          <w:rFonts w:eastAsia="Times New Roman"/>
          <w:color w:val="333333"/>
          <w:lang w:eastAsia="en-AU"/>
        </w:rPr>
      </w:pPr>
      <w:r>
        <w:t>e</w:t>
      </w:r>
      <w:r w:rsidR="00F0107A" w:rsidRPr="005251B7">
        <w:t>xtract of the National Greenhouse and Energy Register by year</w:t>
      </w:r>
      <w:r w:rsidR="004E408E">
        <w:rPr>
          <w:lang w:eastAsia="en-AU"/>
        </w:rPr>
        <w:t xml:space="preserve"> – c</w:t>
      </w:r>
      <w:r w:rsidR="004E408E" w:rsidRPr="00222962">
        <w:rPr>
          <w:lang w:eastAsia="en-AU"/>
        </w:rPr>
        <w:t>orporations</w:t>
      </w:r>
      <w:r w:rsidR="004E408E">
        <w:rPr>
          <w:lang w:eastAsia="en-AU"/>
        </w:rPr>
        <w:t xml:space="preserve"> </w:t>
      </w:r>
      <w:r w:rsidR="004E408E" w:rsidRPr="00222962">
        <w:rPr>
          <w:lang w:eastAsia="en-AU"/>
        </w:rPr>
        <w:t xml:space="preserve">registered under the </w:t>
      </w:r>
      <w:r w:rsidR="004E408E">
        <w:rPr>
          <w:lang w:eastAsia="en-AU"/>
        </w:rPr>
        <w:t>NGER Act</w:t>
      </w:r>
    </w:p>
    <w:p w14:paraId="4F7AFE0B" w14:textId="32E1275F" w:rsidR="004E408E" w:rsidRPr="00222962" w:rsidRDefault="004E408E" w:rsidP="00B41D09">
      <w:pPr>
        <w:pStyle w:val="CERbullets"/>
        <w:numPr>
          <w:ilvl w:val="0"/>
          <w:numId w:val="0"/>
        </w:numPr>
        <w:ind w:left="357" w:hanging="357"/>
      </w:pPr>
      <w:r>
        <w:t xml:space="preserve">The information is published on the </w:t>
      </w:r>
      <w:hyperlink r:id="rId36" w:tooltip="A link to the NGER reporting data and registers page on the Clean Energy Regulator website" w:history="1">
        <w:r w:rsidR="00F0107A">
          <w:rPr>
            <w:rStyle w:val="Hyperlink"/>
            <w:rFonts w:asciiTheme="minorHAnsi" w:hAnsiTheme="minorHAnsi"/>
          </w:rPr>
          <w:t>NGER reporting data and registers</w:t>
        </w:r>
      </w:hyperlink>
      <w:r>
        <w:rPr>
          <w:rStyle w:val="FootnoteReference"/>
        </w:rPr>
        <w:footnoteReference w:id="16"/>
      </w:r>
      <w:r>
        <w:t xml:space="preserve"> section of</w:t>
      </w:r>
      <w:r w:rsidRPr="00683A4B">
        <w:t xml:space="preserve"> </w:t>
      </w:r>
      <w:r w:rsidRPr="00100B77">
        <w:t>our website</w:t>
      </w:r>
      <w:r w:rsidRPr="00222962">
        <w:t>.</w:t>
      </w:r>
    </w:p>
    <w:p w14:paraId="3C70CA2E" w14:textId="77777777" w:rsidR="004E408E" w:rsidRPr="00222962" w:rsidRDefault="004E408E" w:rsidP="004E408E">
      <w:pPr>
        <w:rPr>
          <w:color w:val="auto"/>
        </w:rPr>
      </w:pPr>
      <w:r w:rsidRPr="00222962">
        <w:rPr>
          <w:color w:val="auto"/>
          <w:szCs w:val="22"/>
        </w:rPr>
        <w:t xml:space="preserve">Under section 25 of the </w:t>
      </w:r>
      <w:r w:rsidRPr="00222962">
        <w:rPr>
          <w:iCs/>
          <w:color w:val="auto"/>
          <w:szCs w:val="22"/>
        </w:rPr>
        <w:t>NGER Act</w:t>
      </w:r>
      <w:r w:rsidRPr="00222962">
        <w:rPr>
          <w:color w:val="auto"/>
          <w:szCs w:val="22"/>
        </w:rPr>
        <w:t>, registered corporations may apply to have all or part of their reported greenhouse gas emissions and energy production and consumption totals withheld from publication.</w:t>
      </w:r>
    </w:p>
    <w:p w14:paraId="57AB6CC5" w14:textId="77777777" w:rsidR="004E408E" w:rsidRPr="00FB34DA" w:rsidRDefault="004E408E" w:rsidP="00050308">
      <w:pPr>
        <w:pStyle w:val="Heading1"/>
        <w:numPr>
          <w:ilvl w:val="0"/>
          <w:numId w:val="9"/>
        </w:numPr>
        <w:ind w:left="709" w:hanging="709"/>
      </w:pPr>
      <w:bookmarkStart w:id="105" w:name="_Toc76036504"/>
      <w:bookmarkStart w:id="106" w:name="_Toc205826961"/>
      <w:r w:rsidRPr="00FB34DA">
        <w:t xml:space="preserve">Net </w:t>
      </w:r>
      <w:r w:rsidRPr="00222962">
        <w:t>energy</w:t>
      </w:r>
      <w:r w:rsidRPr="00FB34DA">
        <w:t xml:space="preserve"> consumption</w:t>
      </w:r>
      <w:bookmarkEnd w:id="105"/>
      <w:bookmarkEnd w:id="106"/>
      <w:r w:rsidRPr="00FB34DA">
        <w:t xml:space="preserve"> </w:t>
      </w:r>
    </w:p>
    <w:p w14:paraId="6678A2F9" w14:textId="344C4F28" w:rsidR="004E408E" w:rsidRPr="00683A4B" w:rsidRDefault="0000394C" w:rsidP="005251B7">
      <w:pPr>
        <w:spacing w:before="240"/>
      </w:pPr>
      <w:r>
        <w:t>Under</w:t>
      </w:r>
      <w:r w:rsidR="004E408E">
        <w:t xml:space="preserve"> </w:t>
      </w:r>
      <w:r w:rsidR="008E2EDE">
        <w:t xml:space="preserve">5.03 of the </w:t>
      </w:r>
      <w:r w:rsidR="004E408E" w:rsidRPr="00683A4B">
        <w:t>NGER Regulation</w:t>
      </w:r>
      <w:r w:rsidR="008E2EDE">
        <w:t>s</w:t>
      </w:r>
      <w:r w:rsidR="004E408E">
        <w:t>,</w:t>
      </w:r>
      <w:r w:rsidR="004E408E" w:rsidRPr="00683A4B">
        <w:t xml:space="preserve"> </w:t>
      </w:r>
      <w:r w:rsidR="004E408E">
        <w:t>t</w:t>
      </w:r>
      <w:r w:rsidR="004E408E" w:rsidRPr="00683A4B">
        <w:t xml:space="preserve">he equation for net energy consumption at the facility level is: </w:t>
      </w:r>
    </w:p>
    <w:p w14:paraId="3D110964" w14:textId="6E856DEC" w:rsidR="004E408E" w:rsidRPr="00733C4F" w:rsidRDefault="6F7F6698" w:rsidP="00682491">
      <w:pPr>
        <w:pStyle w:val="ListParagraph"/>
        <w:widowControl w:val="0"/>
        <w:numPr>
          <w:ilvl w:val="0"/>
          <w:numId w:val="7"/>
        </w:numPr>
        <w:spacing w:after="0"/>
      </w:pPr>
      <w:r>
        <w:t>n</w:t>
      </w:r>
      <w:r w:rsidR="004E408E">
        <w:t>et energy consumption (GJ) = total energy consumption (GJ) — energy content of secondary fuels and energy commodities produced (GJ).</w:t>
      </w:r>
    </w:p>
    <w:p w14:paraId="51A2207C" w14:textId="77777777" w:rsidR="004E408E" w:rsidRDefault="004E408E" w:rsidP="004E408E">
      <w:pPr>
        <w:widowControl w:val="0"/>
        <w:spacing w:after="0"/>
      </w:pPr>
    </w:p>
    <w:p w14:paraId="53C5291C" w14:textId="77777777" w:rsidR="004E408E" w:rsidRDefault="004E408E" w:rsidP="004E408E">
      <w:pPr>
        <w:widowControl w:val="0"/>
        <w:spacing w:after="0"/>
      </w:pPr>
      <w:r w:rsidRPr="00E94163">
        <w:t>In this formula:</w:t>
      </w:r>
    </w:p>
    <w:p w14:paraId="4DC6FEDF" w14:textId="77777777" w:rsidR="004E408E" w:rsidRPr="000725F1" w:rsidRDefault="004E408E" w:rsidP="00682491">
      <w:pPr>
        <w:pStyle w:val="CERbullets"/>
        <w:numPr>
          <w:ilvl w:val="0"/>
          <w:numId w:val="6"/>
        </w:numPr>
      </w:pPr>
      <w:r w:rsidRPr="000725F1">
        <w:t>net energy consumption is measured in gigajoules (GJ)</w:t>
      </w:r>
    </w:p>
    <w:p w14:paraId="662C99D6" w14:textId="77777777" w:rsidR="004E408E" w:rsidRPr="000725F1" w:rsidRDefault="004E408E" w:rsidP="00682491">
      <w:pPr>
        <w:pStyle w:val="CERbullets"/>
        <w:numPr>
          <w:ilvl w:val="0"/>
          <w:numId w:val="6"/>
        </w:numPr>
      </w:pPr>
      <w:r w:rsidRPr="000725F1">
        <w:t>total energy consumption (GJ) is the total amount of energy consumed by a facility</w:t>
      </w:r>
    </w:p>
    <w:p w14:paraId="58168500" w14:textId="77777777" w:rsidR="004E408E" w:rsidRPr="000725F1" w:rsidRDefault="004E408E" w:rsidP="00682491">
      <w:pPr>
        <w:pStyle w:val="CERbullets"/>
        <w:numPr>
          <w:ilvl w:val="0"/>
          <w:numId w:val="6"/>
        </w:numPr>
      </w:pPr>
      <w:r w:rsidRPr="000725F1">
        <w:t>secondary fuels and energy commodities produced (GJ) is the total amount of secondary energy produced by a facility.</w:t>
      </w:r>
    </w:p>
    <w:p w14:paraId="5A09072E" w14:textId="4D12E518" w:rsidR="00936279" w:rsidRDefault="004E408E" w:rsidP="005251B7">
      <w:pPr>
        <w:spacing w:after="0"/>
        <w:rPr>
          <w:rFonts w:ascii="Calibri" w:eastAsia="Times New Roman" w:hAnsi="Calibri" w:cs="Calibri"/>
          <w:b/>
          <w:bCs/>
          <w:kern w:val="32"/>
          <w:sz w:val="40"/>
        </w:rPr>
      </w:pPr>
      <w:r>
        <w:t>EERS automatically calculates n</w:t>
      </w:r>
      <w:r w:rsidRPr="00683A4B">
        <w:t>et energy consumption</w:t>
      </w:r>
      <w:r>
        <w:t xml:space="preserve"> </w:t>
      </w:r>
      <w:r w:rsidR="00C237B9">
        <w:t>for</w:t>
      </w:r>
      <w:r w:rsidRPr="00683A4B">
        <w:t xml:space="preserve"> </w:t>
      </w:r>
      <w:r>
        <w:t>each facility</w:t>
      </w:r>
      <w:r w:rsidRPr="00683A4B">
        <w:t xml:space="preserve"> </w:t>
      </w:r>
      <w:r>
        <w:t xml:space="preserve">based on </w:t>
      </w:r>
      <w:r w:rsidR="00904512">
        <w:t xml:space="preserve">reported </w:t>
      </w:r>
      <w:r>
        <w:t>energy production and consumption data</w:t>
      </w:r>
      <w:r w:rsidRPr="00683A4B">
        <w:t xml:space="preserve">. </w:t>
      </w:r>
      <w:r w:rsidR="00C237B9">
        <w:t xml:space="preserve">This is then aggregated to a </w:t>
      </w:r>
      <w:r w:rsidR="00232475">
        <w:t>total of net energy consumption for a controlling corporation.</w:t>
      </w:r>
      <w:r w:rsidRPr="00683A4B">
        <w:t xml:space="preserve"> </w:t>
      </w:r>
      <w:r>
        <w:t>Only corporat</w:t>
      </w:r>
      <w:r w:rsidR="00232475">
        <w:t>e</w:t>
      </w:r>
      <w:r>
        <w:t xml:space="preserve"> </w:t>
      </w:r>
      <w:r w:rsidRPr="00B41D09">
        <w:rPr>
          <w:b/>
        </w:rPr>
        <w:t>net</w:t>
      </w:r>
      <w:r w:rsidRPr="00C166EA">
        <w:t xml:space="preserve"> energy consumption figure will be published for </w:t>
      </w:r>
      <w:r>
        <w:t>reporters</w:t>
      </w:r>
      <w:r w:rsidRPr="00C166EA">
        <w:t xml:space="preserve"> that have met the publication threshold for</w:t>
      </w:r>
      <w:r>
        <w:t xml:space="preserve"> a reporting</w:t>
      </w:r>
      <w:r w:rsidRPr="00C166EA">
        <w:t xml:space="preserve"> year</w:t>
      </w:r>
      <w:r>
        <w:t>. E</w:t>
      </w:r>
      <w:r w:rsidRPr="00683A4B">
        <w:t xml:space="preserve">nergy </w:t>
      </w:r>
      <w:r>
        <w:t xml:space="preserve">consumption is not published. </w:t>
      </w:r>
      <w:bookmarkStart w:id="107" w:name="_Further_information"/>
      <w:bookmarkStart w:id="108" w:name="_Toc76036505"/>
      <w:bookmarkEnd w:id="107"/>
    </w:p>
    <w:p w14:paraId="5ED2EA69" w14:textId="126F7C87" w:rsidR="004E408E" w:rsidRPr="005D4879" w:rsidRDefault="004E408E" w:rsidP="004E408E">
      <w:pPr>
        <w:pStyle w:val="Heading1"/>
      </w:pPr>
      <w:bookmarkStart w:id="109" w:name="_Toc205826962"/>
      <w:r>
        <w:t>More information</w:t>
      </w:r>
      <w:bookmarkEnd w:id="108"/>
      <w:bookmarkEnd w:id="109"/>
    </w:p>
    <w:p w14:paraId="5C77A279" w14:textId="2D082C48" w:rsidR="004E408E" w:rsidRPr="00683A4B" w:rsidRDefault="004E408E" w:rsidP="005251B7">
      <w:pPr>
        <w:spacing w:before="240"/>
      </w:pPr>
      <w:r w:rsidRPr="00683A4B">
        <w:t xml:space="preserve">Email: </w:t>
      </w:r>
      <w:hyperlink r:id="rId37" w:history="1">
        <w:r w:rsidR="00DD3CEB">
          <w:rPr>
            <w:rStyle w:val="Hyperlink"/>
          </w:rPr>
          <w:t>cer-nger-reporting@cer.gov.au</w:t>
        </w:r>
      </w:hyperlink>
    </w:p>
    <w:p w14:paraId="74A0DE1C" w14:textId="77777777" w:rsidR="004E408E" w:rsidRPr="00683A4B" w:rsidRDefault="004E408E" w:rsidP="004E408E">
      <w:r w:rsidRPr="00683A4B">
        <w:t xml:space="preserve">Phone: </w:t>
      </w:r>
      <w:r w:rsidRPr="00100B77">
        <w:t>1300 553 542</w:t>
      </w:r>
      <w:r w:rsidRPr="00683A4B">
        <w:t xml:space="preserve"> within Australia </w:t>
      </w:r>
    </w:p>
    <w:p w14:paraId="40B874F5" w14:textId="697205A4" w:rsidR="00235142" w:rsidRDefault="00716468" w:rsidP="00B41D09">
      <w:r>
        <w:t xml:space="preserve">Website: </w:t>
      </w:r>
      <w:hyperlink r:id="rId38" w:tooltip="A link to the Clean Energy Regulator website" w:history="1">
        <w:r>
          <w:rPr>
            <w:rStyle w:val="Hyperlink"/>
          </w:rPr>
          <w:t>www.cer.gov.au</w:t>
        </w:r>
      </w:hyperlink>
    </w:p>
    <w:sectPr w:rsidR="00235142" w:rsidSect="00225A2C">
      <w:headerReference w:type="default" r:id="rId39"/>
      <w:footerReference w:type="even" r:id="rId40"/>
      <w:footerReference w:type="default" r:id="rId41"/>
      <w:headerReference w:type="first" r:id="rId42"/>
      <w:footerReference w:type="first" r:id="rId43"/>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997B" w14:textId="77777777" w:rsidR="00B1301A" w:rsidRDefault="00B1301A" w:rsidP="00176C28">
      <w:r>
        <w:separator/>
      </w:r>
    </w:p>
    <w:p w14:paraId="457FF49A" w14:textId="77777777" w:rsidR="00B1301A" w:rsidRDefault="00B1301A"/>
  </w:endnote>
  <w:endnote w:type="continuationSeparator" w:id="0">
    <w:p w14:paraId="5F76CF68" w14:textId="77777777" w:rsidR="00B1301A" w:rsidRDefault="00B1301A" w:rsidP="00176C28">
      <w:r>
        <w:continuationSeparator/>
      </w:r>
    </w:p>
    <w:p w14:paraId="6BFFBDAB" w14:textId="77777777" w:rsidR="00B1301A" w:rsidRDefault="00B1301A"/>
  </w:endnote>
  <w:endnote w:type="continuationNotice" w:id="1">
    <w:p w14:paraId="4D86F151" w14:textId="77777777" w:rsidR="00B1301A" w:rsidRDefault="00B130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F52B" w14:textId="0740632B" w:rsidR="00050308" w:rsidRPr="00E613C9" w:rsidRDefault="00050308" w:rsidP="00050308">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www.c</w:t>
    </w:r>
    <w:r>
      <w:t>e</w:t>
    </w:r>
    <w:r w:rsidRPr="002D18F3">
      <w:t>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w:t>
    </w:r>
    <w:r>
      <w:rPr>
        <w:rStyle w:val="PageNumber"/>
      </w:rPr>
      <w:t>e</w:t>
    </w:r>
    <w:r w:rsidRPr="002D18F3">
      <w:rPr>
        <w:rStyle w:val="PageNumber"/>
      </w:rPr>
      <w:t>r.gov.au</w:t>
    </w:r>
    <w:r>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sdt>
    <w:sdtPr>
      <w:rPr>
        <w:rStyle w:val="Protectivemarker"/>
        <w:sz w:val="28"/>
        <w:szCs w:val="26"/>
      </w:rPr>
      <w:id w:val="1849744529"/>
      <w:showingPlcHdr/>
      <w:dataBinding w:prefixMappings="xmlns:ns0='http://schemas.microsoft.com/office/2006/coverPageProps' " w:xpath="/ns0:CoverPageProperties[1]/ns0:CompanyEmail[1]" w:storeItemID="{55AF091B-3C7A-41E3-B477-F2FDAA23CFDA}"/>
      <w:text/>
    </w:sdtPr>
    <w:sdtContent>
      <w:p w14:paraId="788087B7" w14:textId="551770E7" w:rsidR="00F76419" w:rsidRPr="00050308" w:rsidRDefault="002448F3" w:rsidP="00050308">
        <w:pPr>
          <w:pStyle w:val="Footer"/>
          <w:spacing w:before="60"/>
          <w:jc w:val="center"/>
          <w:rPr>
            <w:rStyle w:val="Protectivemarker"/>
            <w:sz w:val="28"/>
            <w:szCs w:val="26"/>
          </w:rPr>
        </w:pPr>
        <w:r>
          <w:rPr>
            <w:rStyle w:val="Protectivemarker"/>
            <w:sz w:val="28"/>
            <w:szCs w:val="2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7839AB4F" w:rsidR="0065750A" w:rsidRPr="009C30B4" w:rsidRDefault="00862D08" w:rsidP="00AA2792">
    <w:pPr>
      <w:tabs>
        <w:tab w:val="left" w:pos="2694"/>
        <w:tab w:val="left" w:pos="3969"/>
        <w:tab w:val="left" w:pos="6946"/>
        <w:tab w:val="right" w:pos="9498"/>
      </w:tabs>
      <w:spacing w:after="720"/>
      <w:ind w:right="242"/>
      <w:rPr>
        <w:color w:val="005874"/>
        <w:sz w:val="16"/>
        <w:szCs w:val="16"/>
      </w:rPr>
    </w:pPr>
    <w:r w:rsidRPr="00862D08">
      <w:t xml:space="preserve"> </w:t>
    </w:r>
    <w:r>
      <w:rPr>
        <w:noProof/>
      </w:rPr>
      <w:drawing>
        <wp:inline distT="0" distB="0" distL="0" distR="0" wp14:anchorId="24F8CBCA" wp14:editId="1428B1CC">
          <wp:extent cx="2097679" cy="638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425" cy="6535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A6A0" w14:textId="77777777" w:rsidR="00B1301A" w:rsidRDefault="00B1301A" w:rsidP="00176C28">
      <w:r>
        <w:separator/>
      </w:r>
    </w:p>
    <w:p w14:paraId="6990F6A7" w14:textId="77777777" w:rsidR="00B1301A" w:rsidRDefault="00B1301A"/>
  </w:footnote>
  <w:footnote w:type="continuationSeparator" w:id="0">
    <w:p w14:paraId="0E297E02" w14:textId="77777777" w:rsidR="00B1301A" w:rsidRDefault="00B1301A" w:rsidP="00176C28">
      <w:r>
        <w:continuationSeparator/>
      </w:r>
    </w:p>
    <w:p w14:paraId="68D3C84C" w14:textId="77777777" w:rsidR="00B1301A" w:rsidRDefault="00B1301A"/>
  </w:footnote>
  <w:footnote w:type="continuationNotice" w:id="1">
    <w:p w14:paraId="71EF24A3" w14:textId="77777777" w:rsidR="00B1301A" w:rsidRDefault="00B1301A">
      <w:pPr>
        <w:spacing w:after="0"/>
      </w:pPr>
    </w:p>
  </w:footnote>
  <w:footnote w:id="2">
    <w:p w14:paraId="7EC7DDD3" w14:textId="6D1A752E" w:rsidR="0034438C" w:rsidRPr="0034438C" w:rsidRDefault="0034438C">
      <w:pPr>
        <w:pStyle w:val="FootnoteText"/>
        <w:rPr>
          <w:lang w:val="en-AU"/>
        </w:rPr>
      </w:pPr>
      <w:r>
        <w:rPr>
          <w:rStyle w:val="FootnoteReference"/>
        </w:rPr>
        <w:footnoteRef/>
      </w:r>
      <w:r>
        <w:t xml:space="preserve"> </w:t>
      </w:r>
      <w:r w:rsidRPr="0034438C">
        <w:t>https://www.legislation.gov.au/help-and-resources/understanding-legislation/reading-legislation</w:t>
      </w:r>
    </w:p>
  </w:footnote>
  <w:footnote w:id="3">
    <w:p w14:paraId="2D84276F" w14:textId="0E3DF4F8" w:rsidR="004E408E" w:rsidRPr="003D3249" w:rsidRDefault="004E408E" w:rsidP="004E408E">
      <w:pPr>
        <w:pStyle w:val="FootnoteText"/>
        <w:rPr>
          <w:lang w:val="en-AU"/>
        </w:rPr>
      </w:pPr>
      <w:r w:rsidRPr="003D3249">
        <w:rPr>
          <w:rStyle w:val="FootnoteReference"/>
        </w:rPr>
        <w:footnoteRef/>
      </w:r>
      <w:r w:rsidRPr="003D3249">
        <w:t xml:space="preserve"> </w:t>
      </w:r>
      <w:r w:rsidR="006175B7" w:rsidRPr="007A3B3A">
        <w:t>https://www.legislation.gov.au/Series/C2007A00175</w:t>
      </w:r>
      <w:r w:rsidRPr="003D3249">
        <w:t xml:space="preserve"> </w:t>
      </w:r>
    </w:p>
  </w:footnote>
  <w:footnote w:id="4">
    <w:p w14:paraId="41E997F4" w14:textId="3B9AE2F0" w:rsidR="004E408E" w:rsidRPr="003D3249" w:rsidRDefault="004E408E" w:rsidP="004E408E">
      <w:pPr>
        <w:pStyle w:val="FootnoteText"/>
        <w:rPr>
          <w:lang w:val="en-AU"/>
        </w:rPr>
      </w:pPr>
      <w:r w:rsidRPr="003D3249">
        <w:rPr>
          <w:rStyle w:val="FootnoteReference"/>
        </w:rPr>
        <w:footnoteRef/>
      </w:r>
      <w:r w:rsidRPr="003D3249">
        <w:t xml:space="preserve"> </w:t>
      </w:r>
      <w:r w:rsidR="006175B7" w:rsidRPr="007A3B3A">
        <w:t>https://www.legislation.gov.au/Series/F2008L0223</w:t>
      </w:r>
    </w:p>
  </w:footnote>
  <w:footnote w:id="5">
    <w:p w14:paraId="3977422F" w14:textId="4000D23A" w:rsidR="004E408E" w:rsidRPr="003D3249" w:rsidRDefault="004E408E" w:rsidP="004E408E">
      <w:pPr>
        <w:pStyle w:val="FootnoteText"/>
        <w:rPr>
          <w:lang w:val="en-AU"/>
        </w:rPr>
      </w:pPr>
      <w:r w:rsidRPr="003D3249">
        <w:rPr>
          <w:rStyle w:val="FootnoteReference"/>
        </w:rPr>
        <w:footnoteRef/>
      </w:r>
      <w:r w:rsidRPr="003D3249">
        <w:t xml:space="preserve"> </w:t>
      </w:r>
      <w:r w:rsidR="006175B7" w:rsidRPr="007A3B3A">
        <w:t>https://www.legislation.gov.au/Series/F2008L02309</w:t>
      </w:r>
      <w:r w:rsidRPr="003D3249">
        <w:t xml:space="preserve"> </w:t>
      </w:r>
    </w:p>
  </w:footnote>
  <w:footnote w:id="6">
    <w:p w14:paraId="2F32D70C" w14:textId="7A8DC805" w:rsidR="004E408E" w:rsidRPr="00740092" w:rsidRDefault="004E408E" w:rsidP="004E408E">
      <w:pPr>
        <w:pStyle w:val="FootnoteText"/>
        <w:rPr>
          <w:lang w:val="en-AU"/>
        </w:rPr>
      </w:pPr>
      <w:r w:rsidRPr="003D3249">
        <w:rPr>
          <w:rStyle w:val="FootnoteReference"/>
        </w:rPr>
        <w:footnoteRef/>
      </w:r>
      <w:r w:rsidRPr="003D3249">
        <w:t xml:space="preserve"> </w:t>
      </w:r>
      <w:r w:rsidR="006175B7" w:rsidRPr="007A3B3A">
        <w:t>https://cer.gov.au/schemes/national-greenhouse-and-energy-reporting-scheme</w:t>
      </w:r>
      <w:r w:rsidR="004A3875">
        <w:t xml:space="preserve"> </w:t>
      </w:r>
    </w:p>
  </w:footnote>
  <w:footnote w:id="7">
    <w:p w14:paraId="6257F7DC" w14:textId="01F289F2" w:rsidR="00DD1709" w:rsidRPr="00041BA1" w:rsidRDefault="00DD1709">
      <w:pPr>
        <w:pStyle w:val="FootnoteText"/>
        <w:rPr>
          <w:lang w:val="en-AU"/>
        </w:rPr>
      </w:pPr>
      <w:r>
        <w:rPr>
          <w:rStyle w:val="FootnoteReference"/>
        </w:rPr>
        <w:footnoteRef/>
      </w:r>
      <w:r>
        <w:t xml:space="preserve"> </w:t>
      </w:r>
      <w:r w:rsidR="0071219E" w:rsidRPr="007A3B3A">
        <w:t>https://cer.gov.au/schemes/national-greenhouse-and-energy-reporting-scheme/report-emissions-and-energy/amendments</w:t>
      </w:r>
      <w:r>
        <w:t xml:space="preserve"> </w:t>
      </w:r>
    </w:p>
  </w:footnote>
  <w:footnote w:id="8">
    <w:p w14:paraId="50ACF2E4" w14:textId="5C2C6B29" w:rsidR="00D775F4" w:rsidRPr="00B41D09" w:rsidRDefault="00D775F4">
      <w:pPr>
        <w:pStyle w:val="FootnoteText"/>
        <w:rPr>
          <w:lang w:val="en-AU"/>
        </w:rPr>
      </w:pPr>
      <w:r>
        <w:rPr>
          <w:rStyle w:val="FootnoteReference"/>
        </w:rPr>
        <w:footnoteRef/>
      </w:r>
      <w:r>
        <w:t xml:space="preserve"> </w:t>
      </w:r>
      <w:r w:rsidR="00643661" w:rsidRPr="007A3B3A">
        <w:t>https://cer.gov.au/schemes/national-greenhouse-and-energy-reporting-scheme/about-emissions-and-energy-data/emissions-and-energy-types#types-of-emissions</w:t>
      </w:r>
      <w:r w:rsidR="00667518">
        <w:t xml:space="preserve"> </w:t>
      </w:r>
    </w:p>
  </w:footnote>
  <w:footnote w:id="9">
    <w:p w14:paraId="2642BA77" w14:textId="107A9715" w:rsidR="004E408E" w:rsidRPr="00600089" w:rsidRDefault="004E408E" w:rsidP="004E408E">
      <w:pPr>
        <w:pStyle w:val="FootnoteText"/>
        <w:rPr>
          <w:lang w:val="en-AU"/>
        </w:rPr>
      </w:pPr>
      <w:r>
        <w:rPr>
          <w:rStyle w:val="FootnoteReference"/>
        </w:rPr>
        <w:footnoteRef/>
      </w:r>
      <w:r>
        <w:t xml:space="preserve"> </w:t>
      </w:r>
      <w:r w:rsidR="0071219E" w:rsidRPr="007A3B3A">
        <w:t>https://cer.gov.au/about-us/contact-us</w:t>
      </w:r>
    </w:p>
  </w:footnote>
  <w:footnote w:id="10">
    <w:p w14:paraId="372FF6F7" w14:textId="57218874" w:rsidR="00AD52FB" w:rsidRPr="00B41D09" w:rsidRDefault="00AD52FB">
      <w:pPr>
        <w:pStyle w:val="FootnoteText"/>
        <w:rPr>
          <w:lang w:val="en-AU"/>
        </w:rPr>
      </w:pPr>
      <w:r>
        <w:rPr>
          <w:rStyle w:val="FootnoteReference"/>
        </w:rPr>
        <w:footnoteRef/>
      </w:r>
      <w:r>
        <w:t xml:space="preserve"> </w:t>
      </w:r>
      <w:hyperlink r:id="rId1" w:history="1"/>
      <w:r w:rsidR="00095BA4">
        <w:t xml:space="preserve"> </w:t>
      </w:r>
      <w:r w:rsidR="0071219E" w:rsidRPr="007A3B3A">
        <w:t>https://cer.gov.au/document_page/reporting-blended-fuels-other-fuel-mixes-bitumen-and-explosives-guideline</w:t>
      </w:r>
    </w:p>
  </w:footnote>
  <w:footnote w:id="11">
    <w:p w14:paraId="68F81CE1" w14:textId="4C55664D" w:rsidR="004E408E" w:rsidRPr="00041BA1" w:rsidRDefault="004E408E" w:rsidP="004E408E">
      <w:pPr>
        <w:pStyle w:val="FootnoteText"/>
        <w:rPr>
          <w:rStyle w:val="Hyperlink"/>
          <w:rFonts w:asciiTheme="minorHAnsi" w:hAnsiTheme="minorHAnsi"/>
          <w:sz w:val="20"/>
        </w:rPr>
      </w:pPr>
      <w:r>
        <w:rPr>
          <w:rStyle w:val="FootnoteReference"/>
        </w:rPr>
        <w:footnoteRef/>
      </w:r>
      <w:r>
        <w:t xml:space="preserve"> </w:t>
      </w:r>
      <w:r w:rsidR="0071219E" w:rsidRPr="007A3B3A">
        <w:t>https://cer.gov.au/document_page/estimating-emissions-and-energy-coal-mining-guideline</w:t>
      </w:r>
    </w:p>
  </w:footnote>
  <w:footnote w:id="12">
    <w:p w14:paraId="1178BFAE" w14:textId="45DA8806" w:rsidR="004E408E" w:rsidRPr="00041BA1" w:rsidRDefault="004E408E" w:rsidP="004E408E">
      <w:pPr>
        <w:pStyle w:val="FootnoteText"/>
        <w:rPr>
          <w:rFonts w:ascii="Arial" w:hAnsi="Arial" w:cs="Arial"/>
          <w:lang w:val="en-AU"/>
        </w:rPr>
      </w:pPr>
      <w:r>
        <w:rPr>
          <w:rStyle w:val="FootnoteReference"/>
        </w:rPr>
        <w:footnoteRef/>
      </w:r>
      <w:r>
        <w:t xml:space="preserve"> </w:t>
      </w:r>
      <w:r w:rsidR="0071219E" w:rsidRPr="007A3B3A">
        <w:t>https://cer.gov.au/document_page/estimating-emissions-and-energy-solid-waste-and-landfill-biogas-management-guideline</w:t>
      </w:r>
    </w:p>
  </w:footnote>
  <w:footnote w:id="13">
    <w:p w14:paraId="605E24D1" w14:textId="77777777" w:rsidR="004E408E" w:rsidRPr="00114032" w:rsidRDefault="004E408E" w:rsidP="004E408E">
      <w:pPr>
        <w:autoSpaceDE w:val="0"/>
        <w:autoSpaceDN w:val="0"/>
        <w:adjustRightInd w:val="0"/>
        <w:spacing w:after="0"/>
        <w:rPr>
          <w:rFonts w:cs="Arial"/>
          <w:sz w:val="20"/>
          <w:szCs w:val="20"/>
        </w:rPr>
      </w:pPr>
      <w:r w:rsidRPr="00C22BF0">
        <w:rPr>
          <w:rStyle w:val="FootnoteReference"/>
          <w:rFonts w:cs="Arial"/>
          <w:sz w:val="20"/>
          <w:szCs w:val="20"/>
        </w:rPr>
        <w:footnoteRef/>
      </w:r>
      <w:r w:rsidRPr="00C22BF0">
        <w:rPr>
          <w:rFonts w:cs="Arial"/>
          <w:sz w:val="20"/>
          <w:szCs w:val="20"/>
        </w:rPr>
        <w:t xml:space="preserve"> </w:t>
      </w:r>
      <w:r w:rsidRPr="00C22BF0">
        <w:rPr>
          <w:rFonts w:cs="Arial"/>
          <w:color w:val="auto"/>
          <w:sz w:val="20"/>
          <w:szCs w:val="20"/>
          <w:lang w:eastAsia="en-AU"/>
        </w:rPr>
        <w:t xml:space="preserve">If the fuel is coal, </w:t>
      </w:r>
      <w:r>
        <w:rPr>
          <w:rFonts w:cs="Arial"/>
          <w:color w:val="auto"/>
          <w:sz w:val="20"/>
          <w:szCs w:val="20"/>
          <w:lang w:eastAsia="en-AU"/>
        </w:rPr>
        <w:t>the quantity</w:t>
      </w:r>
      <w:r w:rsidRPr="00C22BF0">
        <w:rPr>
          <w:rFonts w:cs="Arial"/>
          <w:color w:val="auto"/>
          <w:sz w:val="20"/>
          <w:szCs w:val="20"/>
          <w:lang w:eastAsia="en-AU"/>
        </w:rPr>
        <w:t xml:space="preserve"> must be estimated </w:t>
      </w:r>
      <w:r>
        <w:rPr>
          <w:rFonts w:cs="Arial"/>
          <w:color w:val="auto"/>
          <w:sz w:val="20"/>
          <w:szCs w:val="20"/>
          <w:lang w:eastAsia="en-AU"/>
        </w:rPr>
        <w:t xml:space="preserve">based on </w:t>
      </w:r>
      <w:r w:rsidRPr="00C22BF0">
        <w:rPr>
          <w:rFonts w:cs="Arial"/>
          <w:color w:val="auto"/>
          <w:sz w:val="20"/>
          <w:szCs w:val="20"/>
          <w:lang w:eastAsia="en-AU"/>
        </w:rPr>
        <w:t>saleable coa</w:t>
      </w:r>
      <w:r>
        <w:rPr>
          <w:rFonts w:cs="Arial"/>
          <w:color w:val="auto"/>
          <w:sz w:val="20"/>
          <w:szCs w:val="20"/>
          <w:lang w:eastAsia="en-AU"/>
        </w:rPr>
        <w:t>l.</w:t>
      </w:r>
    </w:p>
  </w:footnote>
  <w:footnote w:id="14">
    <w:p w14:paraId="7F97FFFD" w14:textId="43E467C9" w:rsidR="004E408E" w:rsidRPr="00600089" w:rsidRDefault="004E408E" w:rsidP="004E408E">
      <w:pPr>
        <w:pStyle w:val="FootnoteText"/>
        <w:rPr>
          <w:lang w:val="en-AU"/>
        </w:rPr>
      </w:pPr>
      <w:r>
        <w:rPr>
          <w:rStyle w:val="FootnoteReference"/>
        </w:rPr>
        <w:footnoteRef/>
      </w:r>
      <w:r w:rsidRPr="00C179E0">
        <w:t xml:space="preserve"> </w:t>
      </w:r>
      <w:r w:rsidR="0012176C" w:rsidRPr="007A3B3A">
        <w:t>https://cer.gov.au/document</w:t>
      </w:r>
      <w:r w:rsidR="009467CF">
        <w:t>_page</w:t>
      </w:r>
      <w:r w:rsidR="0012176C" w:rsidRPr="007A3B3A">
        <w:t>/nger-quick-help-topics</w:t>
      </w:r>
      <w:r w:rsidR="00E1163C">
        <w:t xml:space="preserve"> </w:t>
      </w:r>
    </w:p>
  </w:footnote>
  <w:footnote w:id="15">
    <w:p w14:paraId="0EF9552C" w14:textId="626CCDC1" w:rsidR="004E408E" w:rsidRPr="00720C58" w:rsidRDefault="004E408E" w:rsidP="004E408E">
      <w:pPr>
        <w:pStyle w:val="FootnoteText"/>
        <w:rPr>
          <w:rFonts w:asciiTheme="majorHAnsi" w:hAnsiTheme="majorHAnsi" w:cstheme="majorHAnsi"/>
          <w:lang w:val="en-AU"/>
        </w:rPr>
      </w:pPr>
      <w:r w:rsidRPr="00720C58">
        <w:rPr>
          <w:rStyle w:val="FootnoteReference"/>
          <w:rFonts w:asciiTheme="majorHAnsi" w:hAnsiTheme="majorHAnsi" w:cstheme="majorHAnsi"/>
        </w:rPr>
        <w:footnoteRef/>
      </w:r>
      <w:r w:rsidRPr="00720C58">
        <w:rPr>
          <w:rFonts w:asciiTheme="majorHAnsi" w:hAnsiTheme="majorHAnsi" w:cstheme="majorHAnsi"/>
        </w:rPr>
        <w:t xml:space="preserve"> </w:t>
      </w:r>
      <w:r w:rsidR="009161AF" w:rsidRPr="00720C58">
        <w:rPr>
          <w:rFonts w:asciiTheme="majorHAnsi" w:hAnsiTheme="majorHAnsi" w:cstheme="majorHAnsi"/>
        </w:rPr>
        <w:t xml:space="preserve"> </w:t>
      </w:r>
      <w:r w:rsidR="004C3AE8" w:rsidRPr="004C3AE8">
        <w:t>https://cer.gov.au/document_page/nger-quick-help-topics</w:t>
      </w:r>
    </w:p>
  </w:footnote>
  <w:footnote w:id="16">
    <w:p w14:paraId="0F237867" w14:textId="3C231F75" w:rsidR="004E408E" w:rsidRPr="000556E2" w:rsidRDefault="004E408E" w:rsidP="004E408E">
      <w:pPr>
        <w:pStyle w:val="FootnoteText"/>
        <w:rPr>
          <w:rFonts w:asciiTheme="majorHAnsi" w:hAnsiTheme="majorHAnsi" w:cstheme="majorHAnsi"/>
          <w:lang w:val="en-AU"/>
        </w:rPr>
      </w:pPr>
      <w:r w:rsidRPr="000556E2">
        <w:rPr>
          <w:rStyle w:val="FootnoteReference"/>
          <w:rFonts w:asciiTheme="majorHAnsi" w:hAnsiTheme="majorHAnsi" w:cstheme="majorHAnsi"/>
        </w:rPr>
        <w:footnoteRef/>
      </w:r>
      <w:r w:rsidRPr="000556E2">
        <w:rPr>
          <w:rFonts w:asciiTheme="majorHAnsi" w:hAnsiTheme="majorHAnsi" w:cstheme="majorHAnsi"/>
        </w:rPr>
        <w:t xml:space="preserve"> </w:t>
      </w:r>
      <w:r w:rsidR="00243AAE" w:rsidRPr="007A3B3A">
        <w:t>https://cer.gov.au/markets/reports-and-data/nger-reporting-data-and-registers</w:t>
      </w:r>
      <w:r w:rsidR="00F0107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D762" w14:textId="29962A38" w:rsidR="00050308" w:rsidRPr="00050308" w:rsidRDefault="00000000" w:rsidP="00050308">
    <w:pPr>
      <w:pStyle w:val="Heading5"/>
      <w:tabs>
        <w:tab w:val="center" w:pos="4870"/>
        <w:tab w:val="left" w:pos="8745"/>
      </w:tabs>
      <w:spacing w:before="200" w:after="60"/>
      <w:jc w:val="center"/>
      <w:rPr>
        <w:sz w:val="24"/>
        <w:szCs w:val="28"/>
      </w:rPr>
    </w:pPr>
    <w:sdt>
      <w:sdtPr>
        <w:rPr>
          <w:rStyle w:val="Protectivemarker"/>
          <w:b/>
          <w:sz w:val="28"/>
          <w:szCs w:val="28"/>
        </w:rPr>
        <w:alias w:val="Security classifications"/>
        <w:tag w:val="Security classifications"/>
        <w:id w:val="1928065569"/>
        <w:showingPlcHdr/>
        <w:dataBinding w:prefixMappings="xmlns:ns0='http://schemas.microsoft.com/office/2006/coverPageProps' " w:xpath="/ns0:CoverPageProperties[1]/ns0:CompanyEmail[1]" w:storeItemID="{55AF091B-3C7A-41E3-B477-F2FDAA23CFDA}"/>
        <w:dropDownList w:lastValue="">
          <w:listItem w:displayText="OFFICIAL" w:value="OFFICIAL"/>
          <w:listItem w:displayText="OFFICIAL: Sensitive" w:value="OFFICIAL: Sensitive"/>
          <w:listItem w:displayText="OFFICIAL: Sensitive Personal Privacy" w:value="OFFICIAL: Sensitive Personal Privacy"/>
          <w:listItem w:displayText="OFFICIAL: Sensitive Legal Privilege" w:value="OFFICIAL: Sensitive Legal Privilege"/>
          <w:listItem w:displayText="OFFICIAL: Sensitive Legislative Sensitivity:" w:value="OFFICIAL: Sensitive Legislative Sensitivity:"/>
          <w:listItem w:displayText="PROTECTED" w:value="PROTECTED"/>
          <w:listItem w:displayText="PROTECTED Personal Privacy" w:value="PROTECTED Personal Privacy"/>
          <w:listItem w:displayText="PROTECTED Legal Privilege" w:value="PROTECTED Legal Privilege"/>
          <w:listItem w:displayText="PROTECTED Legislative Secrecy:" w:value="PROTECTED Legislative Secrecy:"/>
          <w:listItem w:displayText="PROTECTED//CABINET" w:value="PROTECTED//CABINET"/>
          <w:listItem w:displayText="PROTECTED//CABINET Personal Privacy" w:value="PROTECTED//CABINET Personal Privacy"/>
          <w:listItem w:displayText="PROTECTED//CABINET Legal Privilege" w:value="PROTECTED//CABINET Legal Privilege"/>
          <w:listItem w:displayText="PROTECTED//CABINET Legislative Secrecy:" w:value="PROTECTED//CABINET Legislative Secrecy:"/>
        </w:dropDownList>
      </w:sdtPr>
      <w:sdtContent>
        <w:r w:rsidR="002448F3">
          <w:rPr>
            <w:rStyle w:val="Protectivemarker"/>
            <w:b/>
            <w:sz w:val="28"/>
            <w:szCs w:val="28"/>
          </w:rPr>
          <w:t xml:space="preserve">     </w:t>
        </w:r>
      </w:sdtContent>
    </w:sdt>
  </w:p>
  <w:p w14:paraId="1657C533" w14:textId="4F0014AA" w:rsidR="00D81782" w:rsidRPr="00050308" w:rsidRDefault="00050308" w:rsidP="00050308">
    <w:pPr>
      <w:pStyle w:val="LegislativesecrecyACT"/>
    </w:pPr>
    <w:r>
      <w:rPr>
        <w:noProof/>
      </w:rPr>
      <w:drawing>
        <wp:anchor distT="0" distB="0" distL="114300" distR="114300" simplePos="0" relativeHeight="251658240" behindDoc="0" locked="0" layoutInCell="1" allowOverlap="1" wp14:anchorId="4B32931A" wp14:editId="6E4216ED">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B3"/>
    <w:multiLevelType w:val="multilevel"/>
    <w:tmpl w:val="D640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175B0"/>
    <w:multiLevelType w:val="multilevel"/>
    <w:tmpl w:val="E8F21BC8"/>
    <w:lvl w:ilvl="0">
      <w:start w:val="1"/>
      <w:numFmt w:val="decimal"/>
      <w:lvlText w:val="%1)"/>
      <w:lvlJc w:val="left"/>
      <w:pPr>
        <w:ind w:left="360" w:hanging="360"/>
      </w:pPr>
      <w:rPr>
        <w:rFonts w:hint="default"/>
        <w:color w:val="005874"/>
      </w:rPr>
    </w:lvl>
    <w:lvl w:ilvl="1">
      <w:start w:val="1"/>
      <w:numFmt w:val="bullet"/>
      <w:lvlText w:val=""/>
      <w:lvlJc w:val="left"/>
      <w:pPr>
        <w:ind w:left="720" w:hanging="360"/>
      </w:pPr>
      <w:rPr>
        <w:rFonts w:ascii="Symbol" w:hAnsi="Symbol" w:hint="default"/>
        <w:color w:val="005874"/>
      </w:rPr>
    </w:lvl>
    <w:lvl w:ilvl="2">
      <w:start w:val="1"/>
      <w:numFmt w:val="lowerRoman"/>
      <w:lvlText w:val="%3)"/>
      <w:lvlJc w:val="left"/>
      <w:pPr>
        <w:ind w:left="1080" w:hanging="360"/>
      </w:pPr>
      <w:rPr>
        <w:rFonts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EF02E7"/>
    <w:multiLevelType w:val="multilevel"/>
    <w:tmpl w:val="90B865DA"/>
    <w:lvl w:ilvl="0">
      <w:start w:val="1"/>
      <w:numFmt w:val="decimal"/>
      <w:lvlText w:val="%1)"/>
      <w:lvlJc w:val="left"/>
      <w:pPr>
        <w:ind w:left="360" w:hanging="360"/>
      </w:pPr>
      <w:rPr>
        <w:rFonts w:hint="default"/>
        <w:color w:val="005874"/>
      </w:rPr>
    </w:lvl>
    <w:lvl w:ilvl="1">
      <w:start w:val="1"/>
      <w:numFmt w:val="bullet"/>
      <w:lvlText w:val=""/>
      <w:lvlJc w:val="left"/>
      <w:pPr>
        <w:ind w:left="720" w:hanging="360"/>
      </w:pPr>
      <w:rPr>
        <w:rFonts w:ascii="Symbol" w:hAnsi="Symbol" w:hint="default"/>
        <w:color w:val="005874"/>
      </w:rPr>
    </w:lvl>
    <w:lvl w:ilvl="2">
      <w:start w:val="1"/>
      <w:numFmt w:val="lowerRoman"/>
      <w:lvlText w:val="%3)"/>
      <w:lvlJc w:val="left"/>
      <w:pPr>
        <w:ind w:left="1080" w:hanging="360"/>
      </w:pPr>
      <w:rPr>
        <w:rFonts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6B0749"/>
    <w:multiLevelType w:val="multilevel"/>
    <w:tmpl w:val="CC600D14"/>
    <w:lvl w:ilvl="0">
      <w:start w:val="1"/>
      <w:numFmt w:val="decimal"/>
      <w:lvlText w:val="%1)"/>
      <w:lvlJc w:val="left"/>
      <w:pPr>
        <w:ind w:left="360" w:hanging="360"/>
      </w:pPr>
      <w:rPr>
        <w:rFonts w:hint="default"/>
        <w:color w:val="00587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D16B9A"/>
    <w:multiLevelType w:val="hybridMultilevel"/>
    <w:tmpl w:val="908A8BF6"/>
    <w:lvl w:ilvl="0" w:tplc="CB5AC89E">
      <w:start w:val="1"/>
      <w:numFmt w:val="bullet"/>
      <w:lvlText w:val=""/>
      <w:lvlJc w:val="left"/>
      <w:pPr>
        <w:ind w:left="720" w:hanging="360"/>
      </w:pPr>
      <w:rPr>
        <w:rFonts w:ascii="Symbol" w:hAnsi="Symbol"/>
      </w:rPr>
    </w:lvl>
    <w:lvl w:ilvl="1" w:tplc="F036D2F8">
      <w:start w:val="1"/>
      <w:numFmt w:val="bullet"/>
      <w:lvlText w:val=""/>
      <w:lvlJc w:val="left"/>
      <w:pPr>
        <w:ind w:left="720" w:hanging="360"/>
      </w:pPr>
      <w:rPr>
        <w:rFonts w:ascii="Symbol" w:hAnsi="Symbol"/>
      </w:rPr>
    </w:lvl>
    <w:lvl w:ilvl="2" w:tplc="0B32F604">
      <w:start w:val="1"/>
      <w:numFmt w:val="bullet"/>
      <w:lvlText w:val=""/>
      <w:lvlJc w:val="left"/>
      <w:pPr>
        <w:ind w:left="720" w:hanging="360"/>
      </w:pPr>
      <w:rPr>
        <w:rFonts w:ascii="Symbol" w:hAnsi="Symbol"/>
      </w:rPr>
    </w:lvl>
    <w:lvl w:ilvl="3" w:tplc="86087E12">
      <w:start w:val="1"/>
      <w:numFmt w:val="bullet"/>
      <w:lvlText w:val=""/>
      <w:lvlJc w:val="left"/>
      <w:pPr>
        <w:ind w:left="720" w:hanging="360"/>
      </w:pPr>
      <w:rPr>
        <w:rFonts w:ascii="Symbol" w:hAnsi="Symbol"/>
      </w:rPr>
    </w:lvl>
    <w:lvl w:ilvl="4" w:tplc="06B0EE60">
      <w:start w:val="1"/>
      <w:numFmt w:val="bullet"/>
      <w:lvlText w:val=""/>
      <w:lvlJc w:val="left"/>
      <w:pPr>
        <w:ind w:left="720" w:hanging="360"/>
      </w:pPr>
      <w:rPr>
        <w:rFonts w:ascii="Symbol" w:hAnsi="Symbol"/>
      </w:rPr>
    </w:lvl>
    <w:lvl w:ilvl="5" w:tplc="874843DE">
      <w:start w:val="1"/>
      <w:numFmt w:val="bullet"/>
      <w:lvlText w:val=""/>
      <w:lvlJc w:val="left"/>
      <w:pPr>
        <w:ind w:left="720" w:hanging="360"/>
      </w:pPr>
      <w:rPr>
        <w:rFonts w:ascii="Symbol" w:hAnsi="Symbol"/>
      </w:rPr>
    </w:lvl>
    <w:lvl w:ilvl="6" w:tplc="ED98A9F2">
      <w:start w:val="1"/>
      <w:numFmt w:val="bullet"/>
      <w:lvlText w:val=""/>
      <w:lvlJc w:val="left"/>
      <w:pPr>
        <w:ind w:left="720" w:hanging="360"/>
      </w:pPr>
      <w:rPr>
        <w:rFonts w:ascii="Symbol" w:hAnsi="Symbol"/>
      </w:rPr>
    </w:lvl>
    <w:lvl w:ilvl="7" w:tplc="2966A02C">
      <w:start w:val="1"/>
      <w:numFmt w:val="bullet"/>
      <w:lvlText w:val=""/>
      <w:lvlJc w:val="left"/>
      <w:pPr>
        <w:ind w:left="720" w:hanging="360"/>
      </w:pPr>
      <w:rPr>
        <w:rFonts w:ascii="Symbol" w:hAnsi="Symbol"/>
      </w:rPr>
    </w:lvl>
    <w:lvl w:ilvl="8" w:tplc="2C54EE54">
      <w:start w:val="1"/>
      <w:numFmt w:val="bullet"/>
      <w:lvlText w:val=""/>
      <w:lvlJc w:val="left"/>
      <w:pPr>
        <w:ind w:left="720" w:hanging="360"/>
      </w:pPr>
      <w:rPr>
        <w:rFonts w:ascii="Symbol" w:hAnsi="Symbol"/>
      </w:rPr>
    </w:lvl>
  </w:abstractNum>
  <w:abstractNum w:abstractNumId="5" w15:restartNumberingAfterBreak="0">
    <w:nsid w:val="12503F50"/>
    <w:multiLevelType w:val="hybridMultilevel"/>
    <w:tmpl w:val="2BE65D30"/>
    <w:lvl w:ilvl="0" w:tplc="4F76EB48">
      <w:start w:val="1"/>
      <w:numFmt w:val="bullet"/>
      <w:lvlText w:val=""/>
      <w:lvlJc w:val="left"/>
      <w:pPr>
        <w:ind w:left="1020" w:hanging="360"/>
      </w:pPr>
      <w:rPr>
        <w:rFonts w:ascii="Symbol" w:hAnsi="Symbol"/>
      </w:rPr>
    </w:lvl>
    <w:lvl w:ilvl="1" w:tplc="E570B29C">
      <w:start w:val="1"/>
      <w:numFmt w:val="bullet"/>
      <w:lvlText w:val=""/>
      <w:lvlJc w:val="left"/>
      <w:pPr>
        <w:ind w:left="1020" w:hanging="360"/>
      </w:pPr>
      <w:rPr>
        <w:rFonts w:ascii="Symbol" w:hAnsi="Symbol"/>
      </w:rPr>
    </w:lvl>
    <w:lvl w:ilvl="2" w:tplc="89B43BE8">
      <w:start w:val="1"/>
      <w:numFmt w:val="bullet"/>
      <w:lvlText w:val=""/>
      <w:lvlJc w:val="left"/>
      <w:pPr>
        <w:ind w:left="1020" w:hanging="360"/>
      </w:pPr>
      <w:rPr>
        <w:rFonts w:ascii="Symbol" w:hAnsi="Symbol"/>
      </w:rPr>
    </w:lvl>
    <w:lvl w:ilvl="3" w:tplc="BD004192">
      <w:start w:val="1"/>
      <w:numFmt w:val="bullet"/>
      <w:lvlText w:val=""/>
      <w:lvlJc w:val="left"/>
      <w:pPr>
        <w:ind w:left="1020" w:hanging="360"/>
      </w:pPr>
      <w:rPr>
        <w:rFonts w:ascii="Symbol" w:hAnsi="Symbol"/>
      </w:rPr>
    </w:lvl>
    <w:lvl w:ilvl="4" w:tplc="0636C456">
      <w:start w:val="1"/>
      <w:numFmt w:val="bullet"/>
      <w:lvlText w:val=""/>
      <w:lvlJc w:val="left"/>
      <w:pPr>
        <w:ind w:left="1020" w:hanging="360"/>
      </w:pPr>
      <w:rPr>
        <w:rFonts w:ascii="Symbol" w:hAnsi="Symbol"/>
      </w:rPr>
    </w:lvl>
    <w:lvl w:ilvl="5" w:tplc="A5727FFC">
      <w:start w:val="1"/>
      <w:numFmt w:val="bullet"/>
      <w:lvlText w:val=""/>
      <w:lvlJc w:val="left"/>
      <w:pPr>
        <w:ind w:left="1020" w:hanging="360"/>
      </w:pPr>
      <w:rPr>
        <w:rFonts w:ascii="Symbol" w:hAnsi="Symbol"/>
      </w:rPr>
    </w:lvl>
    <w:lvl w:ilvl="6" w:tplc="4D6C8A12">
      <w:start w:val="1"/>
      <w:numFmt w:val="bullet"/>
      <w:lvlText w:val=""/>
      <w:lvlJc w:val="left"/>
      <w:pPr>
        <w:ind w:left="1020" w:hanging="360"/>
      </w:pPr>
      <w:rPr>
        <w:rFonts w:ascii="Symbol" w:hAnsi="Symbol"/>
      </w:rPr>
    </w:lvl>
    <w:lvl w:ilvl="7" w:tplc="39D64424">
      <w:start w:val="1"/>
      <w:numFmt w:val="bullet"/>
      <w:lvlText w:val=""/>
      <w:lvlJc w:val="left"/>
      <w:pPr>
        <w:ind w:left="1020" w:hanging="360"/>
      </w:pPr>
      <w:rPr>
        <w:rFonts w:ascii="Symbol" w:hAnsi="Symbol"/>
      </w:rPr>
    </w:lvl>
    <w:lvl w:ilvl="8" w:tplc="6D943614">
      <w:start w:val="1"/>
      <w:numFmt w:val="bullet"/>
      <w:lvlText w:val=""/>
      <w:lvlJc w:val="left"/>
      <w:pPr>
        <w:ind w:left="1020" w:hanging="360"/>
      </w:pPr>
      <w:rPr>
        <w:rFonts w:ascii="Symbol" w:hAnsi="Symbol"/>
      </w:rPr>
    </w:lvl>
  </w:abstractNum>
  <w:abstractNum w:abstractNumId="6" w15:restartNumberingAfterBreak="0">
    <w:nsid w:val="15A33925"/>
    <w:multiLevelType w:val="multilevel"/>
    <w:tmpl w:val="190053CE"/>
    <w:lvl w:ilvl="0">
      <w:start w:val="1"/>
      <w:numFmt w:val="decimal"/>
      <w:lvlText w:val="%1)"/>
      <w:lvlJc w:val="left"/>
      <w:pPr>
        <w:ind w:left="360" w:hanging="360"/>
      </w:pPr>
      <w:rPr>
        <w:rFonts w:hint="default"/>
        <w:color w:val="005874"/>
      </w:rPr>
    </w:lvl>
    <w:lvl w:ilvl="1">
      <w:start w:val="1"/>
      <w:numFmt w:val="lowerLetter"/>
      <w:lvlText w:val="%2)"/>
      <w:lvlJc w:val="left"/>
      <w:pPr>
        <w:ind w:left="720" w:hanging="360"/>
      </w:pPr>
      <w:rPr>
        <w:rFonts w:hint="default"/>
        <w:color w:val="005874"/>
      </w:r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4176A0"/>
    <w:multiLevelType w:val="multilevel"/>
    <w:tmpl w:val="2A38EF64"/>
    <w:lvl w:ilvl="0">
      <w:start w:val="1"/>
      <w:numFmt w:val="bullet"/>
      <w:lvlText w:val=""/>
      <w:lvlJc w:val="left"/>
      <w:pPr>
        <w:ind w:left="720" w:hanging="360"/>
      </w:pPr>
      <w:rPr>
        <w:rFonts w:ascii="Symbol" w:hAnsi="Symbol" w:hint="default"/>
        <w:color w:val="006C93" w:themeColor="accent3"/>
      </w:rPr>
    </w:lvl>
    <w:lvl w:ilvl="1">
      <w:start w:val="1"/>
      <w:numFmt w:val="bullet"/>
      <w:lvlText w:val="»"/>
      <w:lvlJc w:val="left"/>
      <w:pPr>
        <w:ind w:left="1080" w:hanging="360"/>
      </w:pPr>
      <w:rPr>
        <w:rFonts w:ascii="Arial" w:hAnsi="Arial" w:hint="default"/>
        <w:color w:val="005874"/>
      </w:rPr>
    </w:lvl>
    <w:lvl w:ilvl="2">
      <w:start w:val="1"/>
      <w:numFmt w:val="bullet"/>
      <w:lvlText w:val="›"/>
      <w:lvlJc w:val="left"/>
      <w:pPr>
        <w:ind w:left="1440" w:hanging="360"/>
      </w:pPr>
      <w:rPr>
        <w:rFonts w:ascii="Arial" w:hAnsi="Arial" w:hint="default"/>
        <w:color w:val="00587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1FEA1428"/>
    <w:multiLevelType w:val="multilevel"/>
    <w:tmpl w:val="A06AB0AA"/>
    <w:lvl w:ilvl="0">
      <w:start w:val="1"/>
      <w:numFmt w:val="decimal"/>
      <w:lvlText w:val="%1)"/>
      <w:lvlJc w:val="left"/>
      <w:pPr>
        <w:ind w:left="360" w:hanging="360"/>
      </w:pPr>
      <w:rPr>
        <w:rFonts w:hint="default"/>
        <w:color w:val="005874"/>
      </w:rPr>
    </w:lvl>
    <w:lvl w:ilvl="1">
      <w:start w:val="1"/>
      <w:numFmt w:val="lowerLetter"/>
      <w:lvlText w:val="%2)"/>
      <w:lvlJc w:val="left"/>
      <w:pPr>
        <w:ind w:left="720" w:hanging="360"/>
      </w:pPr>
      <w:rPr>
        <w:rFonts w:hint="default"/>
        <w:color w:val="005874"/>
      </w:r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28C1C09"/>
    <w:multiLevelType w:val="multilevel"/>
    <w:tmpl w:val="B55625BC"/>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Symbol" w:hAnsi="Symbol" w:hint="default"/>
        <w:color w:val="006C93" w:themeColor="accent3"/>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1F4C3C"/>
    <w:multiLevelType w:val="multilevel"/>
    <w:tmpl w:val="7CE86572"/>
    <w:lvl w:ilvl="0">
      <w:start w:val="1"/>
      <w:numFmt w:val="decimal"/>
      <w:lvlText w:val="%1)"/>
      <w:lvlJc w:val="left"/>
      <w:pPr>
        <w:ind w:left="360" w:hanging="360"/>
      </w:pPr>
      <w:rPr>
        <w:rFonts w:hint="default"/>
        <w:color w:val="005874"/>
      </w:rPr>
    </w:lvl>
    <w:lvl w:ilvl="1">
      <w:start w:val="1"/>
      <w:numFmt w:val="lowerLetter"/>
      <w:lvlText w:val="%2)"/>
      <w:lvlJc w:val="left"/>
      <w:pPr>
        <w:ind w:left="720" w:hanging="360"/>
      </w:pPr>
      <w:rPr>
        <w:rFonts w:hint="default"/>
        <w:color w:val="005874"/>
      </w:r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2253EF"/>
    <w:multiLevelType w:val="multilevel"/>
    <w:tmpl w:val="A79EC23A"/>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C63144"/>
    <w:multiLevelType w:val="multilevel"/>
    <w:tmpl w:val="CB287176"/>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703842"/>
    <w:multiLevelType w:val="multilevel"/>
    <w:tmpl w:val="0F081ECE"/>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A226C7"/>
    <w:multiLevelType w:val="multilevel"/>
    <w:tmpl w:val="5CE660DE"/>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567554"/>
    <w:multiLevelType w:val="multilevel"/>
    <w:tmpl w:val="F96081E2"/>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D45E86"/>
    <w:multiLevelType w:val="multilevel"/>
    <w:tmpl w:val="C3DC59DE"/>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BA5ED4"/>
    <w:multiLevelType w:val="multilevel"/>
    <w:tmpl w:val="461E6E20"/>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E13403"/>
    <w:multiLevelType w:val="hybridMultilevel"/>
    <w:tmpl w:val="32AC6810"/>
    <w:lvl w:ilvl="0" w:tplc="1EBA1F58">
      <w:start w:val="1"/>
      <w:numFmt w:val="bullet"/>
      <w:lvlText w:val=""/>
      <w:lvlJc w:val="left"/>
      <w:pPr>
        <w:ind w:left="360" w:hanging="360"/>
      </w:pPr>
      <w:rPr>
        <w:rFonts w:ascii="Symbol" w:hAnsi="Symbol" w:hint="default"/>
        <w:color w:val="006C93"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D9A7B21"/>
    <w:multiLevelType w:val="multilevel"/>
    <w:tmpl w:val="2D4E8666"/>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E087E4E"/>
    <w:multiLevelType w:val="hybridMultilevel"/>
    <w:tmpl w:val="DCF4161C"/>
    <w:lvl w:ilvl="0" w:tplc="FC6C5790">
      <w:start w:val="1"/>
      <w:numFmt w:val="bullet"/>
      <w:lvlText w:val=""/>
      <w:lvlJc w:val="left"/>
      <w:pPr>
        <w:ind w:left="720" w:hanging="360"/>
      </w:pPr>
      <w:rPr>
        <w:rFonts w:ascii="Symbol" w:hAnsi="Symbol" w:hint="default"/>
        <w:color w:val="006E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9F25F3"/>
    <w:multiLevelType w:val="multilevel"/>
    <w:tmpl w:val="0F081ECE"/>
    <w:lvl w:ilvl="0">
      <w:start w:val="1"/>
      <w:numFmt w:val="bullet"/>
      <w:lvlText w:val=""/>
      <w:lvlJc w:val="left"/>
      <w:pPr>
        <w:ind w:left="720" w:hanging="360"/>
      </w:pPr>
      <w:rPr>
        <w:rFonts w:ascii="Symbol" w:hAnsi="Symbol" w:hint="default"/>
        <w:color w:val="005874"/>
      </w:rPr>
    </w:lvl>
    <w:lvl w:ilvl="1">
      <w:start w:val="1"/>
      <w:numFmt w:val="bullet"/>
      <w:lvlText w:val="»"/>
      <w:lvlJc w:val="left"/>
      <w:pPr>
        <w:ind w:left="1080" w:hanging="360"/>
      </w:pPr>
      <w:rPr>
        <w:rFonts w:ascii="Arial" w:hAnsi="Arial" w:hint="default"/>
        <w:color w:val="005874"/>
      </w:rPr>
    </w:lvl>
    <w:lvl w:ilvl="2">
      <w:start w:val="1"/>
      <w:numFmt w:val="bullet"/>
      <w:lvlText w:val="›"/>
      <w:lvlJc w:val="left"/>
      <w:pPr>
        <w:ind w:left="1440" w:hanging="360"/>
      </w:pPr>
      <w:rPr>
        <w:rFonts w:ascii="Arial" w:hAnsi="Arial" w:hint="default"/>
        <w:color w:val="00587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6A510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164AA2"/>
    <w:multiLevelType w:val="multilevel"/>
    <w:tmpl w:val="A614FFA2"/>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49305D2"/>
    <w:multiLevelType w:val="multilevel"/>
    <w:tmpl w:val="0FAA6476"/>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3259D8"/>
    <w:multiLevelType w:val="multilevel"/>
    <w:tmpl w:val="F972222E"/>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E240C11"/>
    <w:multiLevelType w:val="hybridMultilevel"/>
    <w:tmpl w:val="4A3AE960"/>
    <w:lvl w:ilvl="0" w:tplc="CE1EF9AA">
      <w:start w:val="1"/>
      <w:numFmt w:val="bullet"/>
      <w:lvlText w:val=""/>
      <w:lvlJc w:val="left"/>
      <w:pPr>
        <w:ind w:left="720" w:hanging="360"/>
      </w:pPr>
      <w:rPr>
        <w:rFonts w:ascii="Symbol" w:hAnsi="Symbol"/>
      </w:rPr>
    </w:lvl>
    <w:lvl w:ilvl="1" w:tplc="8586E5C8">
      <w:start w:val="1"/>
      <w:numFmt w:val="bullet"/>
      <w:lvlText w:val=""/>
      <w:lvlJc w:val="left"/>
      <w:pPr>
        <w:ind w:left="720" w:hanging="360"/>
      </w:pPr>
      <w:rPr>
        <w:rFonts w:ascii="Symbol" w:hAnsi="Symbol"/>
      </w:rPr>
    </w:lvl>
    <w:lvl w:ilvl="2" w:tplc="B2D89430">
      <w:start w:val="1"/>
      <w:numFmt w:val="bullet"/>
      <w:lvlText w:val=""/>
      <w:lvlJc w:val="left"/>
      <w:pPr>
        <w:ind w:left="720" w:hanging="360"/>
      </w:pPr>
      <w:rPr>
        <w:rFonts w:ascii="Symbol" w:hAnsi="Symbol"/>
      </w:rPr>
    </w:lvl>
    <w:lvl w:ilvl="3" w:tplc="9346484C">
      <w:start w:val="1"/>
      <w:numFmt w:val="bullet"/>
      <w:lvlText w:val=""/>
      <w:lvlJc w:val="left"/>
      <w:pPr>
        <w:ind w:left="720" w:hanging="360"/>
      </w:pPr>
      <w:rPr>
        <w:rFonts w:ascii="Symbol" w:hAnsi="Symbol"/>
      </w:rPr>
    </w:lvl>
    <w:lvl w:ilvl="4" w:tplc="0A048CD8">
      <w:start w:val="1"/>
      <w:numFmt w:val="bullet"/>
      <w:lvlText w:val=""/>
      <w:lvlJc w:val="left"/>
      <w:pPr>
        <w:ind w:left="720" w:hanging="360"/>
      </w:pPr>
      <w:rPr>
        <w:rFonts w:ascii="Symbol" w:hAnsi="Symbol"/>
      </w:rPr>
    </w:lvl>
    <w:lvl w:ilvl="5" w:tplc="ACF6F73A">
      <w:start w:val="1"/>
      <w:numFmt w:val="bullet"/>
      <w:lvlText w:val=""/>
      <w:lvlJc w:val="left"/>
      <w:pPr>
        <w:ind w:left="720" w:hanging="360"/>
      </w:pPr>
      <w:rPr>
        <w:rFonts w:ascii="Symbol" w:hAnsi="Symbol"/>
      </w:rPr>
    </w:lvl>
    <w:lvl w:ilvl="6" w:tplc="3886F250">
      <w:start w:val="1"/>
      <w:numFmt w:val="bullet"/>
      <w:lvlText w:val=""/>
      <w:lvlJc w:val="left"/>
      <w:pPr>
        <w:ind w:left="720" w:hanging="360"/>
      </w:pPr>
      <w:rPr>
        <w:rFonts w:ascii="Symbol" w:hAnsi="Symbol"/>
      </w:rPr>
    </w:lvl>
    <w:lvl w:ilvl="7" w:tplc="8A02F3FE">
      <w:start w:val="1"/>
      <w:numFmt w:val="bullet"/>
      <w:lvlText w:val=""/>
      <w:lvlJc w:val="left"/>
      <w:pPr>
        <w:ind w:left="720" w:hanging="360"/>
      </w:pPr>
      <w:rPr>
        <w:rFonts w:ascii="Symbol" w:hAnsi="Symbol"/>
      </w:rPr>
    </w:lvl>
    <w:lvl w:ilvl="8" w:tplc="F8103680">
      <w:start w:val="1"/>
      <w:numFmt w:val="bullet"/>
      <w:lvlText w:val=""/>
      <w:lvlJc w:val="left"/>
      <w:pPr>
        <w:ind w:left="720" w:hanging="360"/>
      </w:pPr>
      <w:rPr>
        <w:rFonts w:ascii="Symbol" w:hAnsi="Symbol"/>
      </w:rPr>
    </w:lvl>
  </w:abstractNum>
  <w:abstractNum w:abstractNumId="29" w15:restartNumberingAfterBreak="0">
    <w:nsid w:val="4E501FBE"/>
    <w:multiLevelType w:val="hybridMultilevel"/>
    <w:tmpl w:val="D4E8526A"/>
    <w:lvl w:ilvl="0" w:tplc="47166D76">
      <w:start w:val="1"/>
      <w:numFmt w:val="bullet"/>
      <w:lvlText w:val=""/>
      <w:lvlJc w:val="left"/>
      <w:pPr>
        <w:ind w:left="720" w:hanging="360"/>
      </w:pPr>
      <w:rPr>
        <w:rFonts w:ascii="Symbol" w:hAnsi="Symbol"/>
      </w:rPr>
    </w:lvl>
    <w:lvl w:ilvl="1" w:tplc="BFDCDA6E">
      <w:start w:val="1"/>
      <w:numFmt w:val="bullet"/>
      <w:lvlText w:val=""/>
      <w:lvlJc w:val="left"/>
      <w:pPr>
        <w:ind w:left="720" w:hanging="360"/>
      </w:pPr>
      <w:rPr>
        <w:rFonts w:ascii="Symbol" w:hAnsi="Symbol"/>
      </w:rPr>
    </w:lvl>
    <w:lvl w:ilvl="2" w:tplc="63F2A392">
      <w:start w:val="1"/>
      <w:numFmt w:val="bullet"/>
      <w:lvlText w:val=""/>
      <w:lvlJc w:val="left"/>
      <w:pPr>
        <w:ind w:left="720" w:hanging="360"/>
      </w:pPr>
      <w:rPr>
        <w:rFonts w:ascii="Symbol" w:hAnsi="Symbol"/>
      </w:rPr>
    </w:lvl>
    <w:lvl w:ilvl="3" w:tplc="A704B016">
      <w:start w:val="1"/>
      <w:numFmt w:val="bullet"/>
      <w:lvlText w:val=""/>
      <w:lvlJc w:val="left"/>
      <w:pPr>
        <w:ind w:left="720" w:hanging="360"/>
      </w:pPr>
      <w:rPr>
        <w:rFonts w:ascii="Symbol" w:hAnsi="Symbol"/>
      </w:rPr>
    </w:lvl>
    <w:lvl w:ilvl="4" w:tplc="C750C530">
      <w:start w:val="1"/>
      <w:numFmt w:val="bullet"/>
      <w:lvlText w:val=""/>
      <w:lvlJc w:val="left"/>
      <w:pPr>
        <w:ind w:left="720" w:hanging="360"/>
      </w:pPr>
      <w:rPr>
        <w:rFonts w:ascii="Symbol" w:hAnsi="Symbol"/>
      </w:rPr>
    </w:lvl>
    <w:lvl w:ilvl="5" w:tplc="57247FEC">
      <w:start w:val="1"/>
      <w:numFmt w:val="bullet"/>
      <w:lvlText w:val=""/>
      <w:lvlJc w:val="left"/>
      <w:pPr>
        <w:ind w:left="720" w:hanging="360"/>
      </w:pPr>
      <w:rPr>
        <w:rFonts w:ascii="Symbol" w:hAnsi="Symbol"/>
      </w:rPr>
    </w:lvl>
    <w:lvl w:ilvl="6" w:tplc="03AE83F0">
      <w:start w:val="1"/>
      <w:numFmt w:val="bullet"/>
      <w:lvlText w:val=""/>
      <w:lvlJc w:val="left"/>
      <w:pPr>
        <w:ind w:left="720" w:hanging="360"/>
      </w:pPr>
      <w:rPr>
        <w:rFonts w:ascii="Symbol" w:hAnsi="Symbol"/>
      </w:rPr>
    </w:lvl>
    <w:lvl w:ilvl="7" w:tplc="0164C51A">
      <w:start w:val="1"/>
      <w:numFmt w:val="bullet"/>
      <w:lvlText w:val=""/>
      <w:lvlJc w:val="left"/>
      <w:pPr>
        <w:ind w:left="720" w:hanging="360"/>
      </w:pPr>
      <w:rPr>
        <w:rFonts w:ascii="Symbol" w:hAnsi="Symbol"/>
      </w:rPr>
    </w:lvl>
    <w:lvl w:ilvl="8" w:tplc="01C66412">
      <w:start w:val="1"/>
      <w:numFmt w:val="bullet"/>
      <w:lvlText w:val=""/>
      <w:lvlJc w:val="left"/>
      <w:pPr>
        <w:ind w:left="720" w:hanging="360"/>
      </w:pPr>
      <w:rPr>
        <w:rFonts w:ascii="Symbol" w:hAnsi="Symbol"/>
      </w:rPr>
    </w:lvl>
  </w:abstractNum>
  <w:abstractNum w:abstractNumId="30" w15:restartNumberingAfterBreak="0">
    <w:nsid w:val="55D8757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3E47BD"/>
    <w:multiLevelType w:val="multilevel"/>
    <w:tmpl w:val="0F081ECE"/>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D66E3C"/>
    <w:multiLevelType w:val="multilevel"/>
    <w:tmpl w:val="C91E21CC"/>
    <w:lvl w:ilvl="0">
      <w:start w:val="1"/>
      <w:numFmt w:val="decimal"/>
      <w:lvlText w:val="%1)"/>
      <w:lvlJc w:val="left"/>
      <w:pPr>
        <w:ind w:left="360" w:hanging="360"/>
      </w:pPr>
      <w:rPr>
        <w:rFonts w:hint="default"/>
        <w:color w:val="005874"/>
      </w:rPr>
    </w:lvl>
    <w:lvl w:ilvl="1">
      <w:start w:val="1"/>
      <w:numFmt w:val="bullet"/>
      <w:lvlText w:val=""/>
      <w:lvlJc w:val="left"/>
      <w:pPr>
        <w:ind w:left="720" w:hanging="360"/>
      </w:pPr>
      <w:rPr>
        <w:rFonts w:ascii="Symbol" w:hAnsi="Symbol" w:hint="default"/>
        <w:color w:val="006C93" w:themeColor="accent3"/>
      </w:rPr>
    </w:lvl>
    <w:lvl w:ilvl="2">
      <w:start w:val="1"/>
      <w:numFmt w:val="lowerRoman"/>
      <w:lvlText w:val="%3)"/>
      <w:lvlJc w:val="left"/>
      <w:pPr>
        <w:ind w:left="1080" w:hanging="360"/>
      </w:pPr>
      <w:rPr>
        <w:rFonts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DCC71FC"/>
    <w:multiLevelType w:val="hybridMultilevel"/>
    <w:tmpl w:val="0136C3F6"/>
    <w:lvl w:ilvl="0" w:tplc="1EBA1F58">
      <w:start w:val="1"/>
      <w:numFmt w:val="bullet"/>
      <w:lvlText w:val=""/>
      <w:lvlJc w:val="left"/>
      <w:pPr>
        <w:ind w:left="360" w:hanging="360"/>
      </w:pPr>
      <w:rPr>
        <w:rFonts w:ascii="Symbol" w:hAnsi="Symbol" w:hint="default"/>
        <w:color w:val="006C93" w:themeColor="accent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DE24A88"/>
    <w:multiLevelType w:val="multilevel"/>
    <w:tmpl w:val="EC9EEAF4"/>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15E7061"/>
    <w:multiLevelType w:val="multilevel"/>
    <w:tmpl w:val="04F6C778"/>
    <w:lvl w:ilvl="0">
      <w:start w:val="1"/>
      <w:numFmt w:val="decimal"/>
      <w:lvlText w:val="%1)"/>
      <w:lvlJc w:val="left"/>
      <w:pPr>
        <w:ind w:left="360" w:hanging="360"/>
      </w:pPr>
      <w:rPr>
        <w:rFonts w:hint="default"/>
        <w:color w:val="005874"/>
      </w:rPr>
    </w:lvl>
    <w:lvl w:ilvl="1">
      <w:start w:val="1"/>
      <w:numFmt w:val="lowerLetter"/>
      <w:lvlText w:val="%2)"/>
      <w:lvlJc w:val="left"/>
      <w:pPr>
        <w:ind w:left="720" w:hanging="360"/>
      </w:pPr>
      <w:rPr>
        <w:rFonts w:hint="default"/>
        <w:color w:val="005874"/>
      </w:r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6697BA9"/>
    <w:multiLevelType w:val="hybridMultilevel"/>
    <w:tmpl w:val="9D044F88"/>
    <w:lvl w:ilvl="0" w:tplc="9246FC1A">
      <w:start w:val="1"/>
      <w:numFmt w:val="bullet"/>
      <w:lvlText w:val=""/>
      <w:lvlJc w:val="left"/>
      <w:pPr>
        <w:ind w:left="720" w:hanging="360"/>
      </w:pPr>
      <w:rPr>
        <w:rFonts w:ascii="Symbol" w:hAnsi="Symbol"/>
      </w:rPr>
    </w:lvl>
    <w:lvl w:ilvl="1" w:tplc="347E313E">
      <w:start w:val="1"/>
      <w:numFmt w:val="bullet"/>
      <w:lvlText w:val=""/>
      <w:lvlJc w:val="left"/>
      <w:pPr>
        <w:ind w:left="720" w:hanging="360"/>
      </w:pPr>
      <w:rPr>
        <w:rFonts w:ascii="Symbol" w:hAnsi="Symbol"/>
      </w:rPr>
    </w:lvl>
    <w:lvl w:ilvl="2" w:tplc="A274B9A0">
      <w:start w:val="1"/>
      <w:numFmt w:val="bullet"/>
      <w:lvlText w:val=""/>
      <w:lvlJc w:val="left"/>
      <w:pPr>
        <w:ind w:left="720" w:hanging="360"/>
      </w:pPr>
      <w:rPr>
        <w:rFonts w:ascii="Symbol" w:hAnsi="Symbol"/>
      </w:rPr>
    </w:lvl>
    <w:lvl w:ilvl="3" w:tplc="C706C6AE">
      <w:start w:val="1"/>
      <w:numFmt w:val="bullet"/>
      <w:lvlText w:val=""/>
      <w:lvlJc w:val="left"/>
      <w:pPr>
        <w:ind w:left="720" w:hanging="360"/>
      </w:pPr>
      <w:rPr>
        <w:rFonts w:ascii="Symbol" w:hAnsi="Symbol"/>
      </w:rPr>
    </w:lvl>
    <w:lvl w:ilvl="4" w:tplc="9D86AEAA">
      <w:start w:val="1"/>
      <w:numFmt w:val="bullet"/>
      <w:lvlText w:val=""/>
      <w:lvlJc w:val="left"/>
      <w:pPr>
        <w:ind w:left="720" w:hanging="360"/>
      </w:pPr>
      <w:rPr>
        <w:rFonts w:ascii="Symbol" w:hAnsi="Symbol"/>
      </w:rPr>
    </w:lvl>
    <w:lvl w:ilvl="5" w:tplc="3250B492">
      <w:start w:val="1"/>
      <w:numFmt w:val="bullet"/>
      <w:lvlText w:val=""/>
      <w:lvlJc w:val="left"/>
      <w:pPr>
        <w:ind w:left="720" w:hanging="360"/>
      </w:pPr>
      <w:rPr>
        <w:rFonts w:ascii="Symbol" w:hAnsi="Symbol"/>
      </w:rPr>
    </w:lvl>
    <w:lvl w:ilvl="6" w:tplc="E8F21E9E">
      <w:start w:val="1"/>
      <w:numFmt w:val="bullet"/>
      <w:lvlText w:val=""/>
      <w:lvlJc w:val="left"/>
      <w:pPr>
        <w:ind w:left="720" w:hanging="360"/>
      </w:pPr>
      <w:rPr>
        <w:rFonts w:ascii="Symbol" w:hAnsi="Symbol"/>
      </w:rPr>
    </w:lvl>
    <w:lvl w:ilvl="7" w:tplc="06262B1A">
      <w:start w:val="1"/>
      <w:numFmt w:val="bullet"/>
      <w:lvlText w:val=""/>
      <w:lvlJc w:val="left"/>
      <w:pPr>
        <w:ind w:left="720" w:hanging="360"/>
      </w:pPr>
      <w:rPr>
        <w:rFonts w:ascii="Symbol" w:hAnsi="Symbol"/>
      </w:rPr>
    </w:lvl>
    <w:lvl w:ilvl="8" w:tplc="0610FCD4">
      <w:start w:val="1"/>
      <w:numFmt w:val="bullet"/>
      <w:lvlText w:val=""/>
      <w:lvlJc w:val="left"/>
      <w:pPr>
        <w:ind w:left="720" w:hanging="360"/>
      </w:pPr>
      <w:rPr>
        <w:rFonts w:ascii="Symbol" w:hAnsi="Symbol"/>
      </w:rPr>
    </w:lvl>
  </w:abstractNum>
  <w:abstractNum w:abstractNumId="37" w15:restartNumberingAfterBreak="0">
    <w:nsid w:val="79C07EBC"/>
    <w:multiLevelType w:val="hybridMultilevel"/>
    <w:tmpl w:val="B04E5664"/>
    <w:lvl w:ilvl="0" w:tplc="B7583A8A">
      <w:start w:val="1"/>
      <w:numFmt w:val="bullet"/>
      <w:lvlText w:val=""/>
      <w:lvlJc w:val="left"/>
      <w:pPr>
        <w:ind w:left="1020" w:hanging="360"/>
      </w:pPr>
      <w:rPr>
        <w:rFonts w:ascii="Symbol" w:hAnsi="Symbol"/>
      </w:rPr>
    </w:lvl>
    <w:lvl w:ilvl="1" w:tplc="38A68326">
      <w:start w:val="1"/>
      <w:numFmt w:val="bullet"/>
      <w:lvlText w:val=""/>
      <w:lvlJc w:val="left"/>
      <w:pPr>
        <w:ind w:left="1020" w:hanging="360"/>
      </w:pPr>
      <w:rPr>
        <w:rFonts w:ascii="Symbol" w:hAnsi="Symbol"/>
      </w:rPr>
    </w:lvl>
    <w:lvl w:ilvl="2" w:tplc="E550ED98">
      <w:start w:val="1"/>
      <w:numFmt w:val="bullet"/>
      <w:lvlText w:val=""/>
      <w:lvlJc w:val="left"/>
      <w:pPr>
        <w:ind w:left="1020" w:hanging="360"/>
      </w:pPr>
      <w:rPr>
        <w:rFonts w:ascii="Symbol" w:hAnsi="Symbol"/>
      </w:rPr>
    </w:lvl>
    <w:lvl w:ilvl="3" w:tplc="A0601AB4">
      <w:start w:val="1"/>
      <w:numFmt w:val="bullet"/>
      <w:lvlText w:val=""/>
      <w:lvlJc w:val="left"/>
      <w:pPr>
        <w:ind w:left="1020" w:hanging="360"/>
      </w:pPr>
      <w:rPr>
        <w:rFonts w:ascii="Symbol" w:hAnsi="Symbol"/>
      </w:rPr>
    </w:lvl>
    <w:lvl w:ilvl="4" w:tplc="CFA2F11C">
      <w:start w:val="1"/>
      <w:numFmt w:val="bullet"/>
      <w:lvlText w:val=""/>
      <w:lvlJc w:val="left"/>
      <w:pPr>
        <w:ind w:left="1020" w:hanging="360"/>
      </w:pPr>
      <w:rPr>
        <w:rFonts w:ascii="Symbol" w:hAnsi="Symbol"/>
      </w:rPr>
    </w:lvl>
    <w:lvl w:ilvl="5" w:tplc="7EE0EACA">
      <w:start w:val="1"/>
      <w:numFmt w:val="bullet"/>
      <w:lvlText w:val=""/>
      <w:lvlJc w:val="left"/>
      <w:pPr>
        <w:ind w:left="1020" w:hanging="360"/>
      </w:pPr>
      <w:rPr>
        <w:rFonts w:ascii="Symbol" w:hAnsi="Symbol"/>
      </w:rPr>
    </w:lvl>
    <w:lvl w:ilvl="6" w:tplc="FEA6C946">
      <w:start w:val="1"/>
      <w:numFmt w:val="bullet"/>
      <w:lvlText w:val=""/>
      <w:lvlJc w:val="left"/>
      <w:pPr>
        <w:ind w:left="1020" w:hanging="360"/>
      </w:pPr>
      <w:rPr>
        <w:rFonts w:ascii="Symbol" w:hAnsi="Symbol"/>
      </w:rPr>
    </w:lvl>
    <w:lvl w:ilvl="7" w:tplc="FE3E50BA">
      <w:start w:val="1"/>
      <w:numFmt w:val="bullet"/>
      <w:lvlText w:val=""/>
      <w:lvlJc w:val="left"/>
      <w:pPr>
        <w:ind w:left="1020" w:hanging="360"/>
      </w:pPr>
      <w:rPr>
        <w:rFonts w:ascii="Symbol" w:hAnsi="Symbol"/>
      </w:rPr>
    </w:lvl>
    <w:lvl w:ilvl="8" w:tplc="4830DF86">
      <w:start w:val="1"/>
      <w:numFmt w:val="bullet"/>
      <w:lvlText w:val=""/>
      <w:lvlJc w:val="left"/>
      <w:pPr>
        <w:ind w:left="1020" w:hanging="360"/>
      </w:pPr>
      <w:rPr>
        <w:rFonts w:ascii="Symbol" w:hAnsi="Symbol"/>
      </w:rPr>
    </w:lvl>
  </w:abstractNum>
  <w:abstractNum w:abstractNumId="38"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5F2363"/>
    <w:multiLevelType w:val="multilevel"/>
    <w:tmpl w:val="91527D66"/>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F82029A"/>
    <w:multiLevelType w:val="hybridMultilevel"/>
    <w:tmpl w:val="0C86CE22"/>
    <w:lvl w:ilvl="0" w:tplc="9CF261C0">
      <w:start w:val="1"/>
      <w:numFmt w:val="bullet"/>
      <w:lvlText w:val=""/>
      <w:lvlJc w:val="left"/>
      <w:pPr>
        <w:ind w:left="1020" w:hanging="360"/>
      </w:pPr>
      <w:rPr>
        <w:rFonts w:ascii="Symbol" w:hAnsi="Symbol"/>
      </w:rPr>
    </w:lvl>
    <w:lvl w:ilvl="1" w:tplc="996A1F2E">
      <w:start w:val="1"/>
      <w:numFmt w:val="bullet"/>
      <w:lvlText w:val=""/>
      <w:lvlJc w:val="left"/>
      <w:pPr>
        <w:ind w:left="1020" w:hanging="360"/>
      </w:pPr>
      <w:rPr>
        <w:rFonts w:ascii="Symbol" w:hAnsi="Symbol"/>
      </w:rPr>
    </w:lvl>
    <w:lvl w:ilvl="2" w:tplc="7B085DF0">
      <w:start w:val="1"/>
      <w:numFmt w:val="bullet"/>
      <w:lvlText w:val=""/>
      <w:lvlJc w:val="left"/>
      <w:pPr>
        <w:ind w:left="1020" w:hanging="360"/>
      </w:pPr>
      <w:rPr>
        <w:rFonts w:ascii="Symbol" w:hAnsi="Symbol"/>
      </w:rPr>
    </w:lvl>
    <w:lvl w:ilvl="3" w:tplc="51C09C58">
      <w:start w:val="1"/>
      <w:numFmt w:val="bullet"/>
      <w:lvlText w:val=""/>
      <w:lvlJc w:val="left"/>
      <w:pPr>
        <w:ind w:left="1020" w:hanging="360"/>
      </w:pPr>
      <w:rPr>
        <w:rFonts w:ascii="Symbol" w:hAnsi="Symbol"/>
      </w:rPr>
    </w:lvl>
    <w:lvl w:ilvl="4" w:tplc="79D07C8E">
      <w:start w:val="1"/>
      <w:numFmt w:val="bullet"/>
      <w:lvlText w:val=""/>
      <w:lvlJc w:val="left"/>
      <w:pPr>
        <w:ind w:left="1020" w:hanging="360"/>
      </w:pPr>
      <w:rPr>
        <w:rFonts w:ascii="Symbol" w:hAnsi="Symbol"/>
      </w:rPr>
    </w:lvl>
    <w:lvl w:ilvl="5" w:tplc="E16A4D72">
      <w:start w:val="1"/>
      <w:numFmt w:val="bullet"/>
      <w:lvlText w:val=""/>
      <w:lvlJc w:val="left"/>
      <w:pPr>
        <w:ind w:left="1020" w:hanging="360"/>
      </w:pPr>
      <w:rPr>
        <w:rFonts w:ascii="Symbol" w:hAnsi="Symbol"/>
      </w:rPr>
    </w:lvl>
    <w:lvl w:ilvl="6" w:tplc="5EA674A4">
      <w:start w:val="1"/>
      <w:numFmt w:val="bullet"/>
      <w:lvlText w:val=""/>
      <w:lvlJc w:val="left"/>
      <w:pPr>
        <w:ind w:left="1020" w:hanging="360"/>
      </w:pPr>
      <w:rPr>
        <w:rFonts w:ascii="Symbol" w:hAnsi="Symbol"/>
      </w:rPr>
    </w:lvl>
    <w:lvl w:ilvl="7" w:tplc="4566CD8A">
      <w:start w:val="1"/>
      <w:numFmt w:val="bullet"/>
      <w:lvlText w:val=""/>
      <w:lvlJc w:val="left"/>
      <w:pPr>
        <w:ind w:left="1020" w:hanging="360"/>
      </w:pPr>
      <w:rPr>
        <w:rFonts w:ascii="Symbol" w:hAnsi="Symbol"/>
      </w:rPr>
    </w:lvl>
    <w:lvl w:ilvl="8" w:tplc="E3FCC210">
      <w:start w:val="1"/>
      <w:numFmt w:val="bullet"/>
      <w:lvlText w:val=""/>
      <w:lvlJc w:val="left"/>
      <w:pPr>
        <w:ind w:left="1020" w:hanging="360"/>
      </w:pPr>
      <w:rPr>
        <w:rFonts w:ascii="Symbol" w:hAnsi="Symbol"/>
      </w:rPr>
    </w:lvl>
  </w:abstractNum>
  <w:num w:numId="1" w16cid:durableId="852379732">
    <w:abstractNumId w:val="38"/>
  </w:num>
  <w:num w:numId="2" w16cid:durableId="1791588288">
    <w:abstractNumId w:val="22"/>
  </w:num>
  <w:num w:numId="3" w16cid:durableId="1335034550">
    <w:abstractNumId w:val="2"/>
  </w:num>
  <w:num w:numId="4" w16cid:durableId="1744793944">
    <w:abstractNumId w:val="1"/>
  </w:num>
  <w:num w:numId="5" w16cid:durableId="70665611">
    <w:abstractNumId w:val="10"/>
  </w:num>
  <w:num w:numId="6" w16cid:durableId="674965802">
    <w:abstractNumId w:val="31"/>
  </w:num>
  <w:num w:numId="7" w16cid:durableId="41683332">
    <w:abstractNumId w:val="14"/>
  </w:num>
  <w:num w:numId="8" w16cid:durableId="1960598458">
    <w:abstractNumId w:val="24"/>
  </w:num>
  <w:num w:numId="9" w16cid:durableId="1219439036">
    <w:abstractNumId w:val="30"/>
  </w:num>
  <w:num w:numId="10" w16cid:durableId="1051466769">
    <w:abstractNumId w:val="32"/>
  </w:num>
  <w:num w:numId="11" w16cid:durableId="1588614951">
    <w:abstractNumId w:val="9"/>
  </w:num>
  <w:num w:numId="12" w16cid:durableId="1030495493">
    <w:abstractNumId w:val="15"/>
  </w:num>
  <w:num w:numId="13" w16cid:durableId="2114788527">
    <w:abstractNumId w:val="34"/>
  </w:num>
  <w:num w:numId="14" w16cid:durableId="403646913">
    <w:abstractNumId w:val="3"/>
  </w:num>
  <w:num w:numId="15" w16cid:durableId="34473773">
    <w:abstractNumId w:val="39"/>
  </w:num>
  <w:num w:numId="16" w16cid:durableId="185950451">
    <w:abstractNumId w:val="17"/>
  </w:num>
  <w:num w:numId="17" w16cid:durableId="469054460">
    <w:abstractNumId w:val="16"/>
  </w:num>
  <w:num w:numId="18" w16cid:durableId="148985518">
    <w:abstractNumId w:val="26"/>
  </w:num>
  <w:num w:numId="19" w16cid:durableId="420683916">
    <w:abstractNumId w:val="11"/>
  </w:num>
  <w:num w:numId="20" w16cid:durableId="1344043982">
    <w:abstractNumId w:val="18"/>
  </w:num>
  <w:num w:numId="21" w16cid:durableId="1642421565">
    <w:abstractNumId w:val="21"/>
  </w:num>
  <w:num w:numId="22" w16cid:durableId="1342971929">
    <w:abstractNumId w:val="19"/>
  </w:num>
  <w:num w:numId="23" w16cid:durableId="641037240">
    <w:abstractNumId w:val="33"/>
  </w:num>
  <w:num w:numId="24" w16cid:durableId="900753160">
    <w:abstractNumId w:val="35"/>
  </w:num>
  <w:num w:numId="25" w16cid:durableId="1577789523">
    <w:abstractNumId w:val="6"/>
  </w:num>
  <w:num w:numId="26" w16cid:durableId="1095320249">
    <w:abstractNumId w:val="8"/>
  </w:num>
  <w:num w:numId="27" w16cid:durableId="1791977189">
    <w:abstractNumId w:val="20"/>
  </w:num>
  <w:num w:numId="28" w16cid:durableId="450174480">
    <w:abstractNumId w:val="13"/>
  </w:num>
  <w:num w:numId="29" w16cid:durableId="344593568">
    <w:abstractNumId w:val="25"/>
  </w:num>
  <w:num w:numId="30" w16cid:durableId="1634360067">
    <w:abstractNumId w:val="7"/>
  </w:num>
  <w:num w:numId="31" w16cid:durableId="989944231">
    <w:abstractNumId w:val="27"/>
  </w:num>
  <w:num w:numId="32" w16cid:durableId="1912809720">
    <w:abstractNumId w:val="0"/>
  </w:num>
  <w:num w:numId="33" w16cid:durableId="1853378770">
    <w:abstractNumId w:val="37"/>
  </w:num>
  <w:num w:numId="34" w16cid:durableId="1190409269">
    <w:abstractNumId w:val="40"/>
  </w:num>
  <w:num w:numId="35" w16cid:durableId="2000231380">
    <w:abstractNumId w:val="5"/>
  </w:num>
  <w:num w:numId="36" w16cid:durableId="1369527800">
    <w:abstractNumId w:val="4"/>
  </w:num>
  <w:num w:numId="37" w16cid:durableId="735325347">
    <w:abstractNumId w:val="28"/>
  </w:num>
  <w:num w:numId="38" w16cid:durableId="7024624">
    <w:abstractNumId w:val="36"/>
  </w:num>
  <w:num w:numId="39" w16cid:durableId="792792694">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1" w:spinCount="100000" w:hashValue="LhnAg8NiYjuep+BeXJ6xxTlT3CyToLMbbQDKtW33CJo=" w:saltValue="MJXThfXAfZdVG177oww5Tg=="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B2"/>
    <w:rsid w:val="000015BE"/>
    <w:rsid w:val="0000394C"/>
    <w:rsid w:val="00003A27"/>
    <w:rsid w:val="000043B8"/>
    <w:rsid w:val="00005059"/>
    <w:rsid w:val="00006F31"/>
    <w:rsid w:val="000142EF"/>
    <w:rsid w:val="0001545B"/>
    <w:rsid w:val="000169C9"/>
    <w:rsid w:val="00022D6D"/>
    <w:rsid w:val="000238C3"/>
    <w:rsid w:val="000244AB"/>
    <w:rsid w:val="0002468B"/>
    <w:rsid w:val="00026023"/>
    <w:rsid w:val="000264AE"/>
    <w:rsid w:val="0002708B"/>
    <w:rsid w:val="000277D9"/>
    <w:rsid w:val="000306C2"/>
    <w:rsid w:val="00031090"/>
    <w:rsid w:val="00035321"/>
    <w:rsid w:val="0003582F"/>
    <w:rsid w:val="00036DDD"/>
    <w:rsid w:val="000378B6"/>
    <w:rsid w:val="00041BA1"/>
    <w:rsid w:val="00041FB9"/>
    <w:rsid w:val="000434DF"/>
    <w:rsid w:val="00043D0C"/>
    <w:rsid w:val="000440E3"/>
    <w:rsid w:val="000442F7"/>
    <w:rsid w:val="000444AD"/>
    <w:rsid w:val="0004466E"/>
    <w:rsid w:val="000455B9"/>
    <w:rsid w:val="00046423"/>
    <w:rsid w:val="00046F12"/>
    <w:rsid w:val="00047400"/>
    <w:rsid w:val="0004799F"/>
    <w:rsid w:val="00047A3C"/>
    <w:rsid w:val="00050308"/>
    <w:rsid w:val="00050388"/>
    <w:rsid w:val="00052B46"/>
    <w:rsid w:val="000548A8"/>
    <w:rsid w:val="000554B3"/>
    <w:rsid w:val="000556E2"/>
    <w:rsid w:val="0005622A"/>
    <w:rsid w:val="00056FF0"/>
    <w:rsid w:val="00057327"/>
    <w:rsid w:val="00057E31"/>
    <w:rsid w:val="00065026"/>
    <w:rsid w:val="00065283"/>
    <w:rsid w:val="000664FD"/>
    <w:rsid w:val="000678AA"/>
    <w:rsid w:val="00072D69"/>
    <w:rsid w:val="000730EF"/>
    <w:rsid w:val="00074A9F"/>
    <w:rsid w:val="00074FE4"/>
    <w:rsid w:val="000774AE"/>
    <w:rsid w:val="00081F12"/>
    <w:rsid w:val="00082020"/>
    <w:rsid w:val="00083590"/>
    <w:rsid w:val="00083F1D"/>
    <w:rsid w:val="00083FFC"/>
    <w:rsid w:val="000842FE"/>
    <w:rsid w:val="00084A99"/>
    <w:rsid w:val="000866AE"/>
    <w:rsid w:val="000873E6"/>
    <w:rsid w:val="000906DE"/>
    <w:rsid w:val="00090D4E"/>
    <w:rsid w:val="00093089"/>
    <w:rsid w:val="000940B7"/>
    <w:rsid w:val="000943FA"/>
    <w:rsid w:val="00094778"/>
    <w:rsid w:val="000948D5"/>
    <w:rsid w:val="00095173"/>
    <w:rsid w:val="000956C9"/>
    <w:rsid w:val="000958E8"/>
    <w:rsid w:val="00095BA4"/>
    <w:rsid w:val="00096878"/>
    <w:rsid w:val="000A07F2"/>
    <w:rsid w:val="000A0DD5"/>
    <w:rsid w:val="000A0ED9"/>
    <w:rsid w:val="000A1CF7"/>
    <w:rsid w:val="000A1D90"/>
    <w:rsid w:val="000A56E5"/>
    <w:rsid w:val="000A7073"/>
    <w:rsid w:val="000A716D"/>
    <w:rsid w:val="000B0634"/>
    <w:rsid w:val="000B2225"/>
    <w:rsid w:val="000B3A2E"/>
    <w:rsid w:val="000B56F9"/>
    <w:rsid w:val="000B587F"/>
    <w:rsid w:val="000B7A8C"/>
    <w:rsid w:val="000C1E0C"/>
    <w:rsid w:val="000C1F65"/>
    <w:rsid w:val="000C33FC"/>
    <w:rsid w:val="000C397A"/>
    <w:rsid w:val="000C3FCF"/>
    <w:rsid w:val="000C5140"/>
    <w:rsid w:val="000C53CF"/>
    <w:rsid w:val="000C6580"/>
    <w:rsid w:val="000C76F2"/>
    <w:rsid w:val="000C7DB2"/>
    <w:rsid w:val="000D0C59"/>
    <w:rsid w:val="000D0D17"/>
    <w:rsid w:val="000D34A9"/>
    <w:rsid w:val="000D396B"/>
    <w:rsid w:val="000D643A"/>
    <w:rsid w:val="000D793F"/>
    <w:rsid w:val="000E1577"/>
    <w:rsid w:val="000E1B6E"/>
    <w:rsid w:val="000E3D1C"/>
    <w:rsid w:val="000E440A"/>
    <w:rsid w:val="000E5263"/>
    <w:rsid w:val="000E5A13"/>
    <w:rsid w:val="000F03DC"/>
    <w:rsid w:val="000F07CF"/>
    <w:rsid w:val="000F0884"/>
    <w:rsid w:val="000F2191"/>
    <w:rsid w:val="000F36DA"/>
    <w:rsid w:val="000F3F02"/>
    <w:rsid w:val="000F6B44"/>
    <w:rsid w:val="001051BA"/>
    <w:rsid w:val="00106BBB"/>
    <w:rsid w:val="00106E6C"/>
    <w:rsid w:val="00107721"/>
    <w:rsid w:val="00111242"/>
    <w:rsid w:val="001115C2"/>
    <w:rsid w:val="00111EE8"/>
    <w:rsid w:val="00112B01"/>
    <w:rsid w:val="00112E29"/>
    <w:rsid w:val="001135C1"/>
    <w:rsid w:val="00113B44"/>
    <w:rsid w:val="0011477F"/>
    <w:rsid w:val="00114C71"/>
    <w:rsid w:val="00117CA0"/>
    <w:rsid w:val="001214B6"/>
    <w:rsid w:val="0012176C"/>
    <w:rsid w:val="00122E13"/>
    <w:rsid w:val="0012574A"/>
    <w:rsid w:val="00125E1E"/>
    <w:rsid w:val="00125FD9"/>
    <w:rsid w:val="00126842"/>
    <w:rsid w:val="0012703D"/>
    <w:rsid w:val="00127057"/>
    <w:rsid w:val="001276AA"/>
    <w:rsid w:val="001304D4"/>
    <w:rsid w:val="00130A79"/>
    <w:rsid w:val="00131567"/>
    <w:rsid w:val="0013264E"/>
    <w:rsid w:val="00132680"/>
    <w:rsid w:val="00132688"/>
    <w:rsid w:val="001326CA"/>
    <w:rsid w:val="00133711"/>
    <w:rsid w:val="001355A6"/>
    <w:rsid w:val="00137B54"/>
    <w:rsid w:val="00137CAD"/>
    <w:rsid w:val="00140939"/>
    <w:rsid w:val="00142C21"/>
    <w:rsid w:val="0014438A"/>
    <w:rsid w:val="00146BE1"/>
    <w:rsid w:val="00146FC8"/>
    <w:rsid w:val="00147848"/>
    <w:rsid w:val="00150CEB"/>
    <w:rsid w:val="001512C0"/>
    <w:rsid w:val="00151DC0"/>
    <w:rsid w:val="0015316D"/>
    <w:rsid w:val="00155115"/>
    <w:rsid w:val="00156A96"/>
    <w:rsid w:val="00157175"/>
    <w:rsid w:val="0016027D"/>
    <w:rsid w:val="00161931"/>
    <w:rsid w:val="00162F14"/>
    <w:rsid w:val="001641AC"/>
    <w:rsid w:val="001651F7"/>
    <w:rsid w:val="001652E7"/>
    <w:rsid w:val="00165594"/>
    <w:rsid w:val="00165CD3"/>
    <w:rsid w:val="00166F31"/>
    <w:rsid w:val="00166FC1"/>
    <w:rsid w:val="0016733B"/>
    <w:rsid w:val="0016782F"/>
    <w:rsid w:val="0017038F"/>
    <w:rsid w:val="00172F37"/>
    <w:rsid w:val="00175E1B"/>
    <w:rsid w:val="001762C9"/>
    <w:rsid w:val="00176871"/>
    <w:rsid w:val="00176A21"/>
    <w:rsid w:val="00176C28"/>
    <w:rsid w:val="001774C8"/>
    <w:rsid w:val="00177BA5"/>
    <w:rsid w:val="00177E54"/>
    <w:rsid w:val="001801AB"/>
    <w:rsid w:val="001813DE"/>
    <w:rsid w:val="00182032"/>
    <w:rsid w:val="001827A1"/>
    <w:rsid w:val="00185C83"/>
    <w:rsid w:val="001908E7"/>
    <w:rsid w:val="001917C6"/>
    <w:rsid w:val="00192C60"/>
    <w:rsid w:val="00193A6C"/>
    <w:rsid w:val="00197461"/>
    <w:rsid w:val="00197499"/>
    <w:rsid w:val="0019766C"/>
    <w:rsid w:val="00197F43"/>
    <w:rsid w:val="001A3635"/>
    <w:rsid w:val="001A4617"/>
    <w:rsid w:val="001A4EE5"/>
    <w:rsid w:val="001A7681"/>
    <w:rsid w:val="001A768F"/>
    <w:rsid w:val="001A7AB5"/>
    <w:rsid w:val="001B080B"/>
    <w:rsid w:val="001B0E2B"/>
    <w:rsid w:val="001B1592"/>
    <w:rsid w:val="001B1676"/>
    <w:rsid w:val="001B31E4"/>
    <w:rsid w:val="001B323B"/>
    <w:rsid w:val="001B591E"/>
    <w:rsid w:val="001B6035"/>
    <w:rsid w:val="001B66AA"/>
    <w:rsid w:val="001B79FA"/>
    <w:rsid w:val="001C0531"/>
    <w:rsid w:val="001C191F"/>
    <w:rsid w:val="001C1CBE"/>
    <w:rsid w:val="001C2D7F"/>
    <w:rsid w:val="001C5DE8"/>
    <w:rsid w:val="001C6A92"/>
    <w:rsid w:val="001D20C5"/>
    <w:rsid w:val="001D28F9"/>
    <w:rsid w:val="001D2DB3"/>
    <w:rsid w:val="001D462A"/>
    <w:rsid w:val="001D5662"/>
    <w:rsid w:val="001D579A"/>
    <w:rsid w:val="001D5E01"/>
    <w:rsid w:val="001D79B7"/>
    <w:rsid w:val="001E1BAB"/>
    <w:rsid w:val="001E3CE2"/>
    <w:rsid w:val="001E4BC1"/>
    <w:rsid w:val="001E4EEA"/>
    <w:rsid w:val="001F0179"/>
    <w:rsid w:val="001F280F"/>
    <w:rsid w:val="001F41A3"/>
    <w:rsid w:val="001F5310"/>
    <w:rsid w:val="001F71D4"/>
    <w:rsid w:val="001F752C"/>
    <w:rsid w:val="002001F7"/>
    <w:rsid w:val="00200337"/>
    <w:rsid w:val="002003A7"/>
    <w:rsid w:val="00200EC7"/>
    <w:rsid w:val="002015DB"/>
    <w:rsid w:val="00204619"/>
    <w:rsid w:val="00206F71"/>
    <w:rsid w:val="00211017"/>
    <w:rsid w:val="0021168E"/>
    <w:rsid w:val="002118E5"/>
    <w:rsid w:val="00211B6A"/>
    <w:rsid w:val="002122EF"/>
    <w:rsid w:val="00214C64"/>
    <w:rsid w:val="00216E5D"/>
    <w:rsid w:val="0021764A"/>
    <w:rsid w:val="00217735"/>
    <w:rsid w:val="0021782A"/>
    <w:rsid w:val="00221461"/>
    <w:rsid w:val="002226A1"/>
    <w:rsid w:val="00223676"/>
    <w:rsid w:val="00225A2C"/>
    <w:rsid w:val="00226A34"/>
    <w:rsid w:val="0023157A"/>
    <w:rsid w:val="0023237F"/>
    <w:rsid w:val="00232475"/>
    <w:rsid w:val="002327A0"/>
    <w:rsid w:val="00232A9A"/>
    <w:rsid w:val="002337E1"/>
    <w:rsid w:val="00235142"/>
    <w:rsid w:val="0023558B"/>
    <w:rsid w:val="00235B98"/>
    <w:rsid w:val="0024204C"/>
    <w:rsid w:val="00242946"/>
    <w:rsid w:val="00242B9D"/>
    <w:rsid w:val="00243AAE"/>
    <w:rsid w:val="002448F3"/>
    <w:rsid w:val="00245338"/>
    <w:rsid w:val="0024558D"/>
    <w:rsid w:val="002455F0"/>
    <w:rsid w:val="00245B4E"/>
    <w:rsid w:val="00245C0B"/>
    <w:rsid w:val="002478A2"/>
    <w:rsid w:val="00247DA1"/>
    <w:rsid w:val="00250CAB"/>
    <w:rsid w:val="00250FD0"/>
    <w:rsid w:val="00251C44"/>
    <w:rsid w:val="00252802"/>
    <w:rsid w:val="002537CF"/>
    <w:rsid w:val="00253ACD"/>
    <w:rsid w:val="00253FFC"/>
    <w:rsid w:val="002565E7"/>
    <w:rsid w:val="002576ED"/>
    <w:rsid w:val="00257C1B"/>
    <w:rsid w:val="0026021F"/>
    <w:rsid w:val="002622E9"/>
    <w:rsid w:val="00262AA1"/>
    <w:rsid w:val="002636CA"/>
    <w:rsid w:val="00264692"/>
    <w:rsid w:val="0026576B"/>
    <w:rsid w:val="00265F84"/>
    <w:rsid w:val="00266C34"/>
    <w:rsid w:val="00266FD8"/>
    <w:rsid w:val="00270902"/>
    <w:rsid w:val="00270BAB"/>
    <w:rsid w:val="00271690"/>
    <w:rsid w:val="00271DF6"/>
    <w:rsid w:val="00272064"/>
    <w:rsid w:val="002730C6"/>
    <w:rsid w:val="002736AC"/>
    <w:rsid w:val="00273751"/>
    <w:rsid w:val="002743B0"/>
    <w:rsid w:val="0027456C"/>
    <w:rsid w:val="00277204"/>
    <w:rsid w:val="002805EB"/>
    <w:rsid w:val="00283398"/>
    <w:rsid w:val="002848D7"/>
    <w:rsid w:val="00284D6B"/>
    <w:rsid w:val="00285312"/>
    <w:rsid w:val="002858AD"/>
    <w:rsid w:val="00285D8F"/>
    <w:rsid w:val="00290733"/>
    <w:rsid w:val="00290E3D"/>
    <w:rsid w:val="00291203"/>
    <w:rsid w:val="0029262D"/>
    <w:rsid w:val="00293BB9"/>
    <w:rsid w:val="002950E1"/>
    <w:rsid w:val="00295B02"/>
    <w:rsid w:val="00296276"/>
    <w:rsid w:val="00296CE8"/>
    <w:rsid w:val="00297534"/>
    <w:rsid w:val="00297BF4"/>
    <w:rsid w:val="002A00E2"/>
    <w:rsid w:val="002A03DE"/>
    <w:rsid w:val="002A061A"/>
    <w:rsid w:val="002A2CD4"/>
    <w:rsid w:val="002A2EE9"/>
    <w:rsid w:val="002A2EFF"/>
    <w:rsid w:val="002A30DB"/>
    <w:rsid w:val="002A5A1B"/>
    <w:rsid w:val="002A6BDA"/>
    <w:rsid w:val="002A71D5"/>
    <w:rsid w:val="002A7EA6"/>
    <w:rsid w:val="002B039C"/>
    <w:rsid w:val="002B17AD"/>
    <w:rsid w:val="002B3010"/>
    <w:rsid w:val="002B3226"/>
    <w:rsid w:val="002B404F"/>
    <w:rsid w:val="002B5A5C"/>
    <w:rsid w:val="002B67CF"/>
    <w:rsid w:val="002B7198"/>
    <w:rsid w:val="002C19F9"/>
    <w:rsid w:val="002C3F24"/>
    <w:rsid w:val="002C427B"/>
    <w:rsid w:val="002C4ECF"/>
    <w:rsid w:val="002C5E0E"/>
    <w:rsid w:val="002C702A"/>
    <w:rsid w:val="002C7135"/>
    <w:rsid w:val="002C7E12"/>
    <w:rsid w:val="002D073E"/>
    <w:rsid w:val="002D18F3"/>
    <w:rsid w:val="002D2074"/>
    <w:rsid w:val="002D2754"/>
    <w:rsid w:val="002D2949"/>
    <w:rsid w:val="002D29E0"/>
    <w:rsid w:val="002D2B16"/>
    <w:rsid w:val="002D2DE7"/>
    <w:rsid w:val="002D30B2"/>
    <w:rsid w:val="002D7E25"/>
    <w:rsid w:val="002E06B7"/>
    <w:rsid w:val="002E153E"/>
    <w:rsid w:val="002E2067"/>
    <w:rsid w:val="002E2EFC"/>
    <w:rsid w:val="002E3EA1"/>
    <w:rsid w:val="002E5373"/>
    <w:rsid w:val="002E5A94"/>
    <w:rsid w:val="002F1986"/>
    <w:rsid w:val="002F4EBA"/>
    <w:rsid w:val="002F6703"/>
    <w:rsid w:val="002F6D87"/>
    <w:rsid w:val="002F7EF7"/>
    <w:rsid w:val="002F7FF6"/>
    <w:rsid w:val="00301332"/>
    <w:rsid w:val="003013B2"/>
    <w:rsid w:val="00302370"/>
    <w:rsid w:val="0030245A"/>
    <w:rsid w:val="00302BB7"/>
    <w:rsid w:val="00302FD0"/>
    <w:rsid w:val="00303251"/>
    <w:rsid w:val="00304026"/>
    <w:rsid w:val="00304659"/>
    <w:rsid w:val="00305055"/>
    <w:rsid w:val="00307B1C"/>
    <w:rsid w:val="003107D0"/>
    <w:rsid w:val="00310939"/>
    <w:rsid w:val="0031130D"/>
    <w:rsid w:val="00315C7C"/>
    <w:rsid w:val="00315D7C"/>
    <w:rsid w:val="00315D84"/>
    <w:rsid w:val="003205FC"/>
    <w:rsid w:val="0032097E"/>
    <w:rsid w:val="00320F82"/>
    <w:rsid w:val="00322156"/>
    <w:rsid w:val="003235AF"/>
    <w:rsid w:val="003240A9"/>
    <w:rsid w:val="00324BF6"/>
    <w:rsid w:val="0032670C"/>
    <w:rsid w:val="00331F1E"/>
    <w:rsid w:val="003323FD"/>
    <w:rsid w:val="003340B5"/>
    <w:rsid w:val="003354D1"/>
    <w:rsid w:val="00335B68"/>
    <w:rsid w:val="00336422"/>
    <w:rsid w:val="00336C89"/>
    <w:rsid w:val="003377BE"/>
    <w:rsid w:val="00337CCB"/>
    <w:rsid w:val="0034190A"/>
    <w:rsid w:val="00342671"/>
    <w:rsid w:val="0034297D"/>
    <w:rsid w:val="00342F90"/>
    <w:rsid w:val="003431AA"/>
    <w:rsid w:val="003439D0"/>
    <w:rsid w:val="0034438C"/>
    <w:rsid w:val="003456B2"/>
    <w:rsid w:val="00346AEF"/>
    <w:rsid w:val="00354B50"/>
    <w:rsid w:val="003559BA"/>
    <w:rsid w:val="003560EB"/>
    <w:rsid w:val="00360DBD"/>
    <w:rsid w:val="00365CD3"/>
    <w:rsid w:val="0036763B"/>
    <w:rsid w:val="00370CE8"/>
    <w:rsid w:val="00371059"/>
    <w:rsid w:val="0037303A"/>
    <w:rsid w:val="0037589C"/>
    <w:rsid w:val="00375D3D"/>
    <w:rsid w:val="00376F0F"/>
    <w:rsid w:val="00382258"/>
    <w:rsid w:val="00384671"/>
    <w:rsid w:val="00384707"/>
    <w:rsid w:val="00384E3E"/>
    <w:rsid w:val="00385791"/>
    <w:rsid w:val="00385EB7"/>
    <w:rsid w:val="003876A2"/>
    <w:rsid w:val="003923C8"/>
    <w:rsid w:val="00393DAD"/>
    <w:rsid w:val="00394510"/>
    <w:rsid w:val="003953FA"/>
    <w:rsid w:val="00396AC7"/>
    <w:rsid w:val="00397FC5"/>
    <w:rsid w:val="003A0D22"/>
    <w:rsid w:val="003A288B"/>
    <w:rsid w:val="003A37D6"/>
    <w:rsid w:val="003A44FE"/>
    <w:rsid w:val="003A5739"/>
    <w:rsid w:val="003A760B"/>
    <w:rsid w:val="003A7731"/>
    <w:rsid w:val="003B0BAE"/>
    <w:rsid w:val="003B2311"/>
    <w:rsid w:val="003B28BC"/>
    <w:rsid w:val="003B35F1"/>
    <w:rsid w:val="003B3D00"/>
    <w:rsid w:val="003B5990"/>
    <w:rsid w:val="003C15DB"/>
    <w:rsid w:val="003C2FE4"/>
    <w:rsid w:val="003C43D7"/>
    <w:rsid w:val="003C54D8"/>
    <w:rsid w:val="003C675D"/>
    <w:rsid w:val="003D0BCC"/>
    <w:rsid w:val="003D1E86"/>
    <w:rsid w:val="003D2060"/>
    <w:rsid w:val="003D2936"/>
    <w:rsid w:val="003D2FF6"/>
    <w:rsid w:val="003D3990"/>
    <w:rsid w:val="003D52FD"/>
    <w:rsid w:val="003D5BAC"/>
    <w:rsid w:val="003D5C96"/>
    <w:rsid w:val="003D6675"/>
    <w:rsid w:val="003D790E"/>
    <w:rsid w:val="003E22E2"/>
    <w:rsid w:val="003E6C04"/>
    <w:rsid w:val="003F012A"/>
    <w:rsid w:val="003F0517"/>
    <w:rsid w:val="003F3CEC"/>
    <w:rsid w:val="003F3CF2"/>
    <w:rsid w:val="003F3D8B"/>
    <w:rsid w:val="003F403D"/>
    <w:rsid w:val="003F5145"/>
    <w:rsid w:val="004000E5"/>
    <w:rsid w:val="00400BA0"/>
    <w:rsid w:val="00400D4D"/>
    <w:rsid w:val="00401259"/>
    <w:rsid w:val="00403E76"/>
    <w:rsid w:val="00404940"/>
    <w:rsid w:val="00404F1D"/>
    <w:rsid w:val="0040572E"/>
    <w:rsid w:val="00407A97"/>
    <w:rsid w:val="00407F17"/>
    <w:rsid w:val="00410956"/>
    <w:rsid w:val="00412FBE"/>
    <w:rsid w:val="00413046"/>
    <w:rsid w:val="004131E9"/>
    <w:rsid w:val="0041399D"/>
    <w:rsid w:val="0041574C"/>
    <w:rsid w:val="00415B57"/>
    <w:rsid w:val="00416C4C"/>
    <w:rsid w:val="0041771C"/>
    <w:rsid w:val="00420BF6"/>
    <w:rsid w:val="00421CC6"/>
    <w:rsid w:val="00422EF0"/>
    <w:rsid w:val="00424B68"/>
    <w:rsid w:val="00424CC6"/>
    <w:rsid w:val="0042515B"/>
    <w:rsid w:val="00425A6F"/>
    <w:rsid w:val="00425ECF"/>
    <w:rsid w:val="0042620F"/>
    <w:rsid w:val="00426275"/>
    <w:rsid w:val="004266C2"/>
    <w:rsid w:val="00426E74"/>
    <w:rsid w:val="004271E6"/>
    <w:rsid w:val="00430456"/>
    <w:rsid w:val="004325B0"/>
    <w:rsid w:val="00432DF2"/>
    <w:rsid w:val="00435CA3"/>
    <w:rsid w:val="00436660"/>
    <w:rsid w:val="00441FE3"/>
    <w:rsid w:val="0044255D"/>
    <w:rsid w:val="0044335F"/>
    <w:rsid w:val="00443553"/>
    <w:rsid w:val="004447CF"/>
    <w:rsid w:val="00445492"/>
    <w:rsid w:val="0044577B"/>
    <w:rsid w:val="004458B4"/>
    <w:rsid w:val="0045207F"/>
    <w:rsid w:val="0045238F"/>
    <w:rsid w:val="00452823"/>
    <w:rsid w:val="00454360"/>
    <w:rsid w:val="00454B27"/>
    <w:rsid w:val="00455455"/>
    <w:rsid w:val="004559EF"/>
    <w:rsid w:val="00456AD9"/>
    <w:rsid w:val="004615CA"/>
    <w:rsid w:val="00461C0A"/>
    <w:rsid w:val="004626C6"/>
    <w:rsid w:val="004638E4"/>
    <w:rsid w:val="00463F16"/>
    <w:rsid w:val="00465287"/>
    <w:rsid w:val="0046645F"/>
    <w:rsid w:val="00470F99"/>
    <w:rsid w:val="00471254"/>
    <w:rsid w:val="00471682"/>
    <w:rsid w:val="00474594"/>
    <w:rsid w:val="00474A03"/>
    <w:rsid w:val="00475E9A"/>
    <w:rsid w:val="00476A23"/>
    <w:rsid w:val="00476F8A"/>
    <w:rsid w:val="00477A78"/>
    <w:rsid w:val="00480154"/>
    <w:rsid w:val="004802DC"/>
    <w:rsid w:val="0048085B"/>
    <w:rsid w:val="00482F97"/>
    <w:rsid w:val="004843CC"/>
    <w:rsid w:val="004845CD"/>
    <w:rsid w:val="00484621"/>
    <w:rsid w:val="00485E7B"/>
    <w:rsid w:val="004874EB"/>
    <w:rsid w:val="00487645"/>
    <w:rsid w:val="00491CF7"/>
    <w:rsid w:val="00492A41"/>
    <w:rsid w:val="0049333C"/>
    <w:rsid w:val="004937E1"/>
    <w:rsid w:val="00494151"/>
    <w:rsid w:val="004948DA"/>
    <w:rsid w:val="00494F07"/>
    <w:rsid w:val="004960FB"/>
    <w:rsid w:val="00496823"/>
    <w:rsid w:val="00497D36"/>
    <w:rsid w:val="004A1FAD"/>
    <w:rsid w:val="004A3194"/>
    <w:rsid w:val="004A349F"/>
    <w:rsid w:val="004A3875"/>
    <w:rsid w:val="004A581F"/>
    <w:rsid w:val="004A5F95"/>
    <w:rsid w:val="004A7EB9"/>
    <w:rsid w:val="004B0246"/>
    <w:rsid w:val="004B15C4"/>
    <w:rsid w:val="004B1706"/>
    <w:rsid w:val="004B28CE"/>
    <w:rsid w:val="004B3961"/>
    <w:rsid w:val="004B39D5"/>
    <w:rsid w:val="004B3C32"/>
    <w:rsid w:val="004B4B06"/>
    <w:rsid w:val="004B66C7"/>
    <w:rsid w:val="004B6AF5"/>
    <w:rsid w:val="004C0FE9"/>
    <w:rsid w:val="004C1481"/>
    <w:rsid w:val="004C173C"/>
    <w:rsid w:val="004C1E2E"/>
    <w:rsid w:val="004C3AE8"/>
    <w:rsid w:val="004C64D6"/>
    <w:rsid w:val="004C6C49"/>
    <w:rsid w:val="004C6DF4"/>
    <w:rsid w:val="004D0162"/>
    <w:rsid w:val="004D0FA9"/>
    <w:rsid w:val="004D1607"/>
    <w:rsid w:val="004D1701"/>
    <w:rsid w:val="004D1E1A"/>
    <w:rsid w:val="004D2D37"/>
    <w:rsid w:val="004D3F8B"/>
    <w:rsid w:val="004D4C5F"/>
    <w:rsid w:val="004D52CD"/>
    <w:rsid w:val="004D586B"/>
    <w:rsid w:val="004D70CF"/>
    <w:rsid w:val="004D7A17"/>
    <w:rsid w:val="004D7C47"/>
    <w:rsid w:val="004E0D45"/>
    <w:rsid w:val="004E11BA"/>
    <w:rsid w:val="004E14B7"/>
    <w:rsid w:val="004E2707"/>
    <w:rsid w:val="004E408E"/>
    <w:rsid w:val="004E609B"/>
    <w:rsid w:val="004E6283"/>
    <w:rsid w:val="004E7715"/>
    <w:rsid w:val="004E77BE"/>
    <w:rsid w:val="004F0808"/>
    <w:rsid w:val="004F1FF7"/>
    <w:rsid w:val="004F2602"/>
    <w:rsid w:val="004F27DF"/>
    <w:rsid w:val="004F2E1E"/>
    <w:rsid w:val="004F5319"/>
    <w:rsid w:val="004F5CE3"/>
    <w:rsid w:val="004F6A5D"/>
    <w:rsid w:val="005001EA"/>
    <w:rsid w:val="00500EE5"/>
    <w:rsid w:val="00502BDE"/>
    <w:rsid w:val="00505D3B"/>
    <w:rsid w:val="005075A7"/>
    <w:rsid w:val="00507A27"/>
    <w:rsid w:val="00510631"/>
    <w:rsid w:val="00511840"/>
    <w:rsid w:val="00511E51"/>
    <w:rsid w:val="00514A6F"/>
    <w:rsid w:val="00515599"/>
    <w:rsid w:val="00516089"/>
    <w:rsid w:val="00516243"/>
    <w:rsid w:val="00521016"/>
    <w:rsid w:val="00521112"/>
    <w:rsid w:val="0052147B"/>
    <w:rsid w:val="00522547"/>
    <w:rsid w:val="005230BD"/>
    <w:rsid w:val="0052457E"/>
    <w:rsid w:val="005251B7"/>
    <w:rsid w:val="00526090"/>
    <w:rsid w:val="00527F8E"/>
    <w:rsid w:val="00531F3B"/>
    <w:rsid w:val="00532B1F"/>
    <w:rsid w:val="0053317F"/>
    <w:rsid w:val="0053397D"/>
    <w:rsid w:val="00533DAB"/>
    <w:rsid w:val="00535052"/>
    <w:rsid w:val="00536543"/>
    <w:rsid w:val="00537E01"/>
    <w:rsid w:val="0054199F"/>
    <w:rsid w:val="00542077"/>
    <w:rsid w:val="005425F6"/>
    <w:rsid w:val="005430A4"/>
    <w:rsid w:val="0054310A"/>
    <w:rsid w:val="00544AD3"/>
    <w:rsid w:val="005458DC"/>
    <w:rsid w:val="005465B5"/>
    <w:rsid w:val="00546D43"/>
    <w:rsid w:val="0054714A"/>
    <w:rsid w:val="005475B7"/>
    <w:rsid w:val="005507E3"/>
    <w:rsid w:val="005513E0"/>
    <w:rsid w:val="00552CFE"/>
    <w:rsid w:val="0055401D"/>
    <w:rsid w:val="00554CBF"/>
    <w:rsid w:val="00555C61"/>
    <w:rsid w:val="00561DEA"/>
    <w:rsid w:val="00562CD2"/>
    <w:rsid w:val="00564A5C"/>
    <w:rsid w:val="00565531"/>
    <w:rsid w:val="00565595"/>
    <w:rsid w:val="0056752E"/>
    <w:rsid w:val="00567B8B"/>
    <w:rsid w:val="0057001A"/>
    <w:rsid w:val="005772E8"/>
    <w:rsid w:val="0057798A"/>
    <w:rsid w:val="005800E5"/>
    <w:rsid w:val="005802FC"/>
    <w:rsid w:val="005815D1"/>
    <w:rsid w:val="00582000"/>
    <w:rsid w:val="005828FE"/>
    <w:rsid w:val="0058312F"/>
    <w:rsid w:val="0058396C"/>
    <w:rsid w:val="00584ADA"/>
    <w:rsid w:val="00585D42"/>
    <w:rsid w:val="0058604D"/>
    <w:rsid w:val="00591183"/>
    <w:rsid w:val="00592E0F"/>
    <w:rsid w:val="00594215"/>
    <w:rsid w:val="00594EA3"/>
    <w:rsid w:val="005965AE"/>
    <w:rsid w:val="00596C3E"/>
    <w:rsid w:val="00597194"/>
    <w:rsid w:val="005975F8"/>
    <w:rsid w:val="005A1F68"/>
    <w:rsid w:val="005A266D"/>
    <w:rsid w:val="005A2AD9"/>
    <w:rsid w:val="005A2DEF"/>
    <w:rsid w:val="005A354E"/>
    <w:rsid w:val="005A70C7"/>
    <w:rsid w:val="005A7104"/>
    <w:rsid w:val="005A7F0A"/>
    <w:rsid w:val="005B01B6"/>
    <w:rsid w:val="005B0566"/>
    <w:rsid w:val="005B0B43"/>
    <w:rsid w:val="005B21A5"/>
    <w:rsid w:val="005B2609"/>
    <w:rsid w:val="005B28BB"/>
    <w:rsid w:val="005B2F93"/>
    <w:rsid w:val="005B339D"/>
    <w:rsid w:val="005B583D"/>
    <w:rsid w:val="005B6066"/>
    <w:rsid w:val="005B60B5"/>
    <w:rsid w:val="005C0A94"/>
    <w:rsid w:val="005C32E5"/>
    <w:rsid w:val="005C4417"/>
    <w:rsid w:val="005C45F7"/>
    <w:rsid w:val="005C59F7"/>
    <w:rsid w:val="005D0FFE"/>
    <w:rsid w:val="005D22D8"/>
    <w:rsid w:val="005D2B55"/>
    <w:rsid w:val="005D4D95"/>
    <w:rsid w:val="005D5B1B"/>
    <w:rsid w:val="005D5FA9"/>
    <w:rsid w:val="005D7206"/>
    <w:rsid w:val="005D7E71"/>
    <w:rsid w:val="005E0083"/>
    <w:rsid w:val="005E0BEF"/>
    <w:rsid w:val="005E2720"/>
    <w:rsid w:val="005E4974"/>
    <w:rsid w:val="005E7951"/>
    <w:rsid w:val="005F21BD"/>
    <w:rsid w:val="005F3356"/>
    <w:rsid w:val="005F43D5"/>
    <w:rsid w:val="005F45B5"/>
    <w:rsid w:val="005F4BE4"/>
    <w:rsid w:val="005F6488"/>
    <w:rsid w:val="006013E9"/>
    <w:rsid w:val="00601EF3"/>
    <w:rsid w:val="00602E93"/>
    <w:rsid w:val="00604724"/>
    <w:rsid w:val="00605160"/>
    <w:rsid w:val="006055B4"/>
    <w:rsid w:val="00605F76"/>
    <w:rsid w:val="00606425"/>
    <w:rsid w:val="00606A92"/>
    <w:rsid w:val="00607BA5"/>
    <w:rsid w:val="0061010A"/>
    <w:rsid w:val="0061317D"/>
    <w:rsid w:val="00613420"/>
    <w:rsid w:val="00613A3E"/>
    <w:rsid w:val="006142DA"/>
    <w:rsid w:val="00616C7F"/>
    <w:rsid w:val="0061748A"/>
    <w:rsid w:val="006175B7"/>
    <w:rsid w:val="0062080A"/>
    <w:rsid w:val="00622625"/>
    <w:rsid w:val="00622DA5"/>
    <w:rsid w:val="006236B5"/>
    <w:rsid w:val="006244CA"/>
    <w:rsid w:val="00626548"/>
    <w:rsid w:val="0062705C"/>
    <w:rsid w:val="00627CA3"/>
    <w:rsid w:val="006306D4"/>
    <w:rsid w:val="00631180"/>
    <w:rsid w:val="00632381"/>
    <w:rsid w:val="006324C4"/>
    <w:rsid w:val="00632E89"/>
    <w:rsid w:val="00633090"/>
    <w:rsid w:val="00634901"/>
    <w:rsid w:val="00635E1A"/>
    <w:rsid w:val="00636929"/>
    <w:rsid w:val="00637EBD"/>
    <w:rsid w:val="00640C77"/>
    <w:rsid w:val="006423DF"/>
    <w:rsid w:val="00642855"/>
    <w:rsid w:val="006433B6"/>
    <w:rsid w:val="00643661"/>
    <w:rsid w:val="00644D46"/>
    <w:rsid w:val="006452C0"/>
    <w:rsid w:val="006465B0"/>
    <w:rsid w:val="00650919"/>
    <w:rsid w:val="0065253F"/>
    <w:rsid w:val="006530B0"/>
    <w:rsid w:val="00656247"/>
    <w:rsid w:val="00656A84"/>
    <w:rsid w:val="00657003"/>
    <w:rsid w:val="006574A6"/>
    <w:rsid w:val="0065750A"/>
    <w:rsid w:val="006608DD"/>
    <w:rsid w:val="00661EEF"/>
    <w:rsid w:val="00662E3B"/>
    <w:rsid w:val="00662ED8"/>
    <w:rsid w:val="00664584"/>
    <w:rsid w:val="00667518"/>
    <w:rsid w:val="00667A7B"/>
    <w:rsid w:val="00674456"/>
    <w:rsid w:val="00674932"/>
    <w:rsid w:val="0067685A"/>
    <w:rsid w:val="00676E3D"/>
    <w:rsid w:val="00677448"/>
    <w:rsid w:val="00677557"/>
    <w:rsid w:val="00680B5A"/>
    <w:rsid w:val="00680BAD"/>
    <w:rsid w:val="00681B2D"/>
    <w:rsid w:val="00681BB2"/>
    <w:rsid w:val="00682491"/>
    <w:rsid w:val="00682911"/>
    <w:rsid w:val="00683372"/>
    <w:rsid w:val="00683AA9"/>
    <w:rsid w:val="0068486A"/>
    <w:rsid w:val="00684CB6"/>
    <w:rsid w:val="00685465"/>
    <w:rsid w:val="00691EDD"/>
    <w:rsid w:val="006937D8"/>
    <w:rsid w:val="006954E3"/>
    <w:rsid w:val="0069600C"/>
    <w:rsid w:val="006962A2"/>
    <w:rsid w:val="00696AAF"/>
    <w:rsid w:val="00696C9D"/>
    <w:rsid w:val="006A0449"/>
    <w:rsid w:val="006A1280"/>
    <w:rsid w:val="006A1906"/>
    <w:rsid w:val="006A1B17"/>
    <w:rsid w:val="006A37D7"/>
    <w:rsid w:val="006A3D73"/>
    <w:rsid w:val="006A4A6F"/>
    <w:rsid w:val="006A62D9"/>
    <w:rsid w:val="006A661B"/>
    <w:rsid w:val="006A7A4E"/>
    <w:rsid w:val="006A7B0D"/>
    <w:rsid w:val="006B1959"/>
    <w:rsid w:val="006B1A01"/>
    <w:rsid w:val="006B1CC3"/>
    <w:rsid w:val="006B237B"/>
    <w:rsid w:val="006B3B11"/>
    <w:rsid w:val="006B6021"/>
    <w:rsid w:val="006B677D"/>
    <w:rsid w:val="006B6C07"/>
    <w:rsid w:val="006C0BB2"/>
    <w:rsid w:val="006C121A"/>
    <w:rsid w:val="006C2037"/>
    <w:rsid w:val="006C58B9"/>
    <w:rsid w:val="006C5AA0"/>
    <w:rsid w:val="006C5FB6"/>
    <w:rsid w:val="006C637C"/>
    <w:rsid w:val="006C673D"/>
    <w:rsid w:val="006C6954"/>
    <w:rsid w:val="006D4507"/>
    <w:rsid w:val="006D471C"/>
    <w:rsid w:val="006D5C66"/>
    <w:rsid w:val="006D671F"/>
    <w:rsid w:val="006E0916"/>
    <w:rsid w:val="006E0D56"/>
    <w:rsid w:val="006E208E"/>
    <w:rsid w:val="006E20EA"/>
    <w:rsid w:val="006E2A85"/>
    <w:rsid w:val="006E3938"/>
    <w:rsid w:val="006E3CA9"/>
    <w:rsid w:val="006E4BAD"/>
    <w:rsid w:val="006E5BAB"/>
    <w:rsid w:val="006E75B4"/>
    <w:rsid w:val="006F0FD1"/>
    <w:rsid w:val="006F19E1"/>
    <w:rsid w:val="006F2BAC"/>
    <w:rsid w:val="006F5985"/>
    <w:rsid w:val="006F64CD"/>
    <w:rsid w:val="006F7680"/>
    <w:rsid w:val="006F7D38"/>
    <w:rsid w:val="007007FB"/>
    <w:rsid w:val="00701977"/>
    <w:rsid w:val="00701CA4"/>
    <w:rsid w:val="00702D68"/>
    <w:rsid w:val="00704327"/>
    <w:rsid w:val="007055C7"/>
    <w:rsid w:val="007059B0"/>
    <w:rsid w:val="00705C32"/>
    <w:rsid w:val="00705E0B"/>
    <w:rsid w:val="007071B4"/>
    <w:rsid w:val="00707D84"/>
    <w:rsid w:val="00711C38"/>
    <w:rsid w:val="0071219E"/>
    <w:rsid w:val="007123F7"/>
    <w:rsid w:val="0071311F"/>
    <w:rsid w:val="007136B5"/>
    <w:rsid w:val="0071421A"/>
    <w:rsid w:val="00716349"/>
    <w:rsid w:val="00716468"/>
    <w:rsid w:val="007173E8"/>
    <w:rsid w:val="0072047F"/>
    <w:rsid w:val="00720C58"/>
    <w:rsid w:val="00720F16"/>
    <w:rsid w:val="007215A1"/>
    <w:rsid w:val="007229ED"/>
    <w:rsid w:val="00722B35"/>
    <w:rsid w:val="007232EE"/>
    <w:rsid w:val="00723970"/>
    <w:rsid w:val="00724B10"/>
    <w:rsid w:val="0072546E"/>
    <w:rsid w:val="00726615"/>
    <w:rsid w:val="007270A5"/>
    <w:rsid w:val="00731592"/>
    <w:rsid w:val="0073364C"/>
    <w:rsid w:val="00733C45"/>
    <w:rsid w:val="0073580F"/>
    <w:rsid w:val="00736E62"/>
    <w:rsid w:val="0073718B"/>
    <w:rsid w:val="007374BF"/>
    <w:rsid w:val="00742395"/>
    <w:rsid w:val="00742B13"/>
    <w:rsid w:val="00743C28"/>
    <w:rsid w:val="0074417D"/>
    <w:rsid w:val="00745A7E"/>
    <w:rsid w:val="007515B4"/>
    <w:rsid w:val="007516CF"/>
    <w:rsid w:val="00754B33"/>
    <w:rsid w:val="00755506"/>
    <w:rsid w:val="00757ACD"/>
    <w:rsid w:val="00757C7F"/>
    <w:rsid w:val="007605FB"/>
    <w:rsid w:val="007621EE"/>
    <w:rsid w:val="0076297F"/>
    <w:rsid w:val="0076397A"/>
    <w:rsid w:val="00764580"/>
    <w:rsid w:val="00764669"/>
    <w:rsid w:val="007658F3"/>
    <w:rsid w:val="00767D59"/>
    <w:rsid w:val="00767FAB"/>
    <w:rsid w:val="00770771"/>
    <w:rsid w:val="007710B4"/>
    <w:rsid w:val="00771E4B"/>
    <w:rsid w:val="0077483A"/>
    <w:rsid w:val="007755B7"/>
    <w:rsid w:val="00775971"/>
    <w:rsid w:val="007773D1"/>
    <w:rsid w:val="007808D0"/>
    <w:rsid w:val="007813C1"/>
    <w:rsid w:val="007813EC"/>
    <w:rsid w:val="007816FD"/>
    <w:rsid w:val="00781B2A"/>
    <w:rsid w:val="00781B44"/>
    <w:rsid w:val="00781FEB"/>
    <w:rsid w:val="00784ACD"/>
    <w:rsid w:val="00785E43"/>
    <w:rsid w:val="0078632E"/>
    <w:rsid w:val="00786E16"/>
    <w:rsid w:val="007901B7"/>
    <w:rsid w:val="00790E79"/>
    <w:rsid w:val="00791914"/>
    <w:rsid w:val="00792140"/>
    <w:rsid w:val="00792EB1"/>
    <w:rsid w:val="00792F50"/>
    <w:rsid w:val="0079377B"/>
    <w:rsid w:val="00793CAA"/>
    <w:rsid w:val="00796295"/>
    <w:rsid w:val="00796972"/>
    <w:rsid w:val="00797ECC"/>
    <w:rsid w:val="00797ED6"/>
    <w:rsid w:val="007A195E"/>
    <w:rsid w:val="007A3B3A"/>
    <w:rsid w:val="007A5CF8"/>
    <w:rsid w:val="007A68DD"/>
    <w:rsid w:val="007A6D18"/>
    <w:rsid w:val="007A7F45"/>
    <w:rsid w:val="007B0023"/>
    <w:rsid w:val="007B0492"/>
    <w:rsid w:val="007B22CB"/>
    <w:rsid w:val="007B2652"/>
    <w:rsid w:val="007B26F4"/>
    <w:rsid w:val="007B31E7"/>
    <w:rsid w:val="007B3307"/>
    <w:rsid w:val="007B5B4E"/>
    <w:rsid w:val="007B6433"/>
    <w:rsid w:val="007B6EED"/>
    <w:rsid w:val="007B7B93"/>
    <w:rsid w:val="007C310C"/>
    <w:rsid w:val="007C4CFB"/>
    <w:rsid w:val="007C5058"/>
    <w:rsid w:val="007C52BD"/>
    <w:rsid w:val="007C5683"/>
    <w:rsid w:val="007C6115"/>
    <w:rsid w:val="007C6E5F"/>
    <w:rsid w:val="007C7046"/>
    <w:rsid w:val="007D00F7"/>
    <w:rsid w:val="007D3256"/>
    <w:rsid w:val="007D40F4"/>
    <w:rsid w:val="007D451F"/>
    <w:rsid w:val="007D69DE"/>
    <w:rsid w:val="007D6E63"/>
    <w:rsid w:val="007D7525"/>
    <w:rsid w:val="007D7E15"/>
    <w:rsid w:val="007E2AC3"/>
    <w:rsid w:val="007E34F8"/>
    <w:rsid w:val="007E3B99"/>
    <w:rsid w:val="007E47AC"/>
    <w:rsid w:val="007E6B9D"/>
    <w:rsid w:val="007E7656"/>
    <w:rsid w:val="007F06D3"/>
    <w:rsid w:val="007F1164"/>
    <w:rsid w:val="007F2C91"/>
    <w:rsid w:val="007F3061"/>
    <w:rsid w:val="007F3928"/>
    <w:rsid w:val="007F5B81"/>
    <w:rsid w:val="007F6D15"/>
    <w:rsid w:val="007F7BDB"/>
    <w:rsid w:val="00800C51"/>
    <w:rsid w:val="00801EDE"/>
    <w:rsid w:val="008037AC"/>
    <w:rsid w:val="008038FC"/>
    <w:rsid w:val="00805956"/>
    <w:rsid w:val="00805A26"/>
    <w:rsid w:val="00805C87"/>
    <w:rsid w:val="00806B97"/>
    <w:rsid w:val="00806D24"/>
    <w:rsid w:val="00807A93"/>
    <w:rsid w:val="00807CB5"/>
    <w:rsid w:val="00807D33"/>
    <w:rsid w:val="008109AA"/>
    <w:rsid w:val="00810A2C"/>
    <w:rsid w:val="00811121"/>
    <w:rsid w:val="00811622"/>
    <w:rsid w:val="00814076"/>
    <w:rsid w:val="008155CB"/>
    <w:rsid w:val="00816BAF"/>
    <w:rsid w:val="00816D8B"/>
    <w:rsid w:val="00816FF4"/>
    <w:rsid w:val="00817752"/>
    <w:rsid w:val="00817934"/>
    <w:rsid w:val="00817E52"/>
    <w:rsid w:val="00820940"/>
    <w:rsid w:val="00820A2D"/>
    <w:rsid w:val="00821035"/>
    <w:rsid w:val="0082435D"/>
    <w:rsid w:val="0082538C"/>
    <w:rsid w:val="0082630F"/>
    <w:rsid w:val="00826A84"/>
    <w:rsid w:val="00826EAD"/>
    <w:rsid w:val="008274E3"/>
    <w:rsid w:val="00827BAB"/>
    <w:rsid w:val="00830684"/>
    <w:rsid w:val="00830D7D"/>
    <w:rsid w:val="00833D01"/>
    <w:rsid w:val="00834B5A"/>
    <w:rsid w:val="00835039"/>
    <w:rsid w:val="008352D1"/>
    <w:rsid w:val="00835A0C"/>
    <w:rsid w:val="00835DCA"/>
    <w:rsid w:val="00835F87"/>
    <w:rsid w:val="008369DE"/>
    <w:rsid w:val="0083796D"/>
    <w:rsid w:val="00841C40"/>
    <w:rsid w:val="0084242E"/>
    <w:rsid w:val="00842BC2"/>
    <w:rsid w:val="00842DDB"/>
    <w:rsid w:val="0084403C"/>
    <w:rsid w:val="0084430E"/>
    <w:rsid w:val="008444A8"/>
    <w:rsid w:val="00845CB8"/>
    <w:rsid w:val="00846B70"/>
    <w:rsid w:val="008474CB"/>
    <w:rsid w:val="00854D58"/>
    <w:rsid w:val="008554CE"/>
    <w:rsid w:val="00855844"/>
    <w:rsid w:val="0085728D"/>
    <w:rsid w:val="008614AE"/>
    <w:rsid w:val="0086168E"/>
    <w:rsid w:val="00861A11"/>
    <w:rsid w:val="00861B56"/>
    <w:rsid w:val="00861B85"/>
    <w:rsid w:val="00861BEB"/>
    <w:rsid w:val="00862B22"/>
    <w:rsid w:val="00862D08"/>
    <w:rsid w:val="00863207"/>
    <w:rsid w:val="00863E7C"/>
    <w:rsid w:val="00864DD2"/>
    <w:rsid w:val="0086645F"/>
    <w:rsid w:val="00866B9A"/>
    <w:rsid w:val="00870EC7"/>
    <w:rsid w:val="0087612C"/>
    <w:rsid w:val="00877ABC"/>
    <w:rsid w:val="00877FD0"/>
    <w:rsid w:val="008828E3"/>
    <w:rsid w:val="00882A51"/>
    <w:rsid w:val="00884A50"/>
    <w:rsid w:val="00885415"/>
    <w:rsid w:val="00885A31"/>
    <w:rsid w:val="00885AB6"/>
    <w:rsid w:val="00886506"/>
    <w:rsid w:val="0088787C"/>
    <w:rsid w:val="00890472"/>
    <w:rsid w:val="00890D2E"/>
    <w:rsid w:val="00891C95"/>
    <w:rsid w:val="00891F45"/>
    <w:rsid w:val="0089620A"/>
    <w:rsid w:val="008963F1"/>
    <w:rsid w:val="008A18F1"/>
    <w:rsid w:val="008A32B8"/>
    <w:rsid w:val="008A4F2A"/>
    <w:rsid w:val="008A57A0"/>
    <w:rsid w:val="008A6690"/>
    <w:rsid w:val="008A706F"/>
    <w:rsid w:val="008B0D79"/>
    <w:rsid w:val="008B434A"/>
    <w:rsid w:val="008B50A3"/>
    <w:rsid w:val="008B6AEF"/>
    <w:rsid w:val="008C0055"/>
    <w:rsid w:val="008C2E8E"/>
    <w:rsid w:val="008C3FD0"/>
    <w:rsid w:val="008C4C5C"/>
    <w:rsid w:val="008C5C16"/>
    <w:rsid w:val="008C63A1"/>
    <w:rsid w:val="008D2CBD"/>
    <w:rsid w:val="008D3B60"/>
    <w:rsid w:val="008D3F64"/>
    <w:rsid w:val="008D54FD"/>
    <w:rsid w:val="008D602F"/>
    <w:rsid w:val="008D647B"/>
    <w:rsid w:val="008D6A95"/>
    <w:rsid w:val="008D6B4F"/>
    <w:rsid w:val="008D7C6F"/>
    <w:rsid w:val="008E15CA"/>
    <w:rsid w:val="008E15DF"/>
    <w:rsid w:val="008E2075"/>
    <w:rsid w:val="008E2EDE"/>
    <w:rsid w:val="008E4068"/>
    <w:rsid w:val="008E5FE1"/>
    <w:rsid w:val="008E6722"/>
    <w:rsid w:val="008E6A9F"/>
    <w:rsid w:val="008E6CE0"/>
    <w:rsid w:val="008F2286"/>
    <w:rsid w:val="008F41E1"/>
    <w:rsid w:val="008F4AFD"/>
    <w:rsid w:val="008F548E"/>
    <w:rsid w:val="008F66BF"/>
    <w:rsid w:val="008F6B59"/>
    <w:rsid w:val="008F6BA7"/>
    <w:rsid w:val="008F6ED0"/>
    <w:rsid w:val="009008F6"/>
    <w:rsid w:val="00900ED1"/>
    <w:rsid w:val="009018B3"/>
    <w:rsid w:val="00903B80"/>
    <w:rsid w:val="00903BED"/>
    <w:rsid w:val="00903E8B"/>
    <w:rsid w:val="00904512"/>
    <w:rsid w:val="00904DB6"/>
    <w:rsid w:val="0090538E"/>
    <w:rsid w:val="00906BAF"/>
    <w:rsid w:val="00906DED"/>
    <w:rsid w:val="009075F9"/>
    <w:rsid w:val="009105B7"/>
    <w:rsid w:val="00912DF8"/>
    <w:rsid w:val="00912E29"/>
    <w:rsid w:val="009135D3"/>
    <w:rsid w:val="0091408F"/>
    <w:rsid w:val="009161AF"/>
    <w:rsid w:val="00916A46"/>
    <w:rsid w:val="00916B9A"/>
    <w:rsid w:val="00917198"/>
    <w:rsid w:val="00920630"/>
    <w:rsid w:val="0092568B"/>
    <w:rsid w:val="00925DD9"/>
    <w:rsid w:val="00926A4A"/>
    <w:rsid w:val="00926BA9"/>
    <w:rsid w:val="0092706B"/>
    <w:rsid w:val="00927162"/>
    <w:rsid w:val="00930D2E"/>
    <w:rsid w:val="0093226C"/>
    <w:rsid w:val="00933596"/>
    <w:rsid w:val="00936096"/>
    <w:rsid w:val="00936279"/>
    <w:rsid w:val="00937236"/>
    <w:rsid w:val="00937E1B"/>
    <w:rsid w:val="00943A7E"/>
    <w:rsid w:val="00945ADE"/>
    <w:rsid w:val="009467CF"/>
    <w:rsid w:val="00946AD0"/>
    <w:rsid w:val="00946C0C"/>
    <w:rsid w:val="009478F3"/>
    <w:rsid w:val="00950D6A"/>
    <w:rsid w:val="0095110E"/>
    <w:rsid w:val="00952C79"/>
    <w:rsid w:val="0095754D"/>
    <w:rsid w:val="00960250"/>
    <w:rsid w:val="009628C5"/>
    <w:rsid w:val="00962DF6"/>
    <w:rsid w:val="009633DE"/>
    <w:rsid w:val="00963C45"/>
    <w:rsid w:val="009645EA"/>
    <w:rsid w:val="009651ED"/>
    <w:rsid w:val="00965E91"/>
    <w:rsid w:val="00966165"/>
    <w:rsid w:val="00966745"/>
    <w:rsid w:val="00967D42"/>
    <w:rsid w:val="00973028"/>
    <w:rsid w:val="009757EB"/>
    <w:rsid w:val="00975DC3"/>
    <w:rsid w:val="00977234"/>
    <w:rsid w:val="00977E14"/>
    <w:rsid w:val="00977E78"/>
    <w:rsid w:val="009801E4"/>
    <w:rsid w:val="009822E0"/>
    <w:rsid w:val="00983137"/>
    <w:rsid w:val="0098359E"/>
    <w:rsid w:val="00984496"/>
    <w:rsid w:val="00985127"/>
    <w:rsid w:val="0098585E"/>
    <w:rsid w:val="009858E9"/>
    <w:rsid w:val="009871EE"/>
    <w:rsid w:val="0099038B"/>
    <w:rsid w:val="00990C52"/>
    <w:rsid w:val="00991C35"/>
    <w:rsid w:val="00995887"/>
    <w:rsid w:val="00996268"/>
    <w:rsid w:val="009A2199"/>
    <w:rsid w:val="009A2E7F"/>
    <w:rsid w:val="009A5F69"/>
    <w:rsid w:val="009A7DB0"/>
    <w:rsid w:val="009B2433"/>
    <w:rsid w:val="009B2742"/>
    <w:rsid w:val="009B2BB2"/>
    <w:rsid w:val="009B5801"/>
    <w:rsid w:val="009B62EC"/>
    <w:rsid w:val="009B6379"/>
    <w:rsid w:val="009B72E3"/>
    <w:rsid w:val="009B7519"/>
    <w:rsid w:val="009C03F2"/>
    <w:rsid w:val="009C094A"/>
    <w:rsid w:val="009C30B4"/>
    <w:rsid w:val="009C5E33"/>
    <w:rsid w:val="009C7B28"/>
    <w:rsid w:val="009D01EB"/>
    <w:rsid w:val="009D1393"/>
    <w:rsid w:val="009D34FD"/>
    <w:rsid w:val="009D3A4D"/>
    <w:rsid w:val="009D4D75"/>
    <w:rsid w:val="009E0602"/>
    <w:rsid w:val="009E06AB"/>
    <w:rsid w:val="009E3287"/>
    <w:rsid w:val="009E332D"/>
    <w:rsid w:val="009E509F"/>
    <w:rsid w:val="009E5D3A"/>
    <w:rsid w:val="009E667A"/>
    <w:rsid w:val="009E70B0"/>
    <w:rsid w:val="009F00BF"/>
    <w:rsid w:val="009F39BA"/>
    <w:rsid w:val="009F461E"/>
    <w:rsid w:val="009F473C"/>
    <w:rsid w:val="009F4AB1"/>
    <w:rsid w:val="009F526E"/>
    <w:rsid w:val="009F5813"/>
    <w:rsid w:val="009F736B"/>
    <w:rsid w:val="00A01C5F"/>
    <w:rsid w:val="00A03035"/>
    <w:rsid w:val="00A03668"/>
    <w:rsid w:val="00A04FDA"/>
    <w:rsid w:val="00A06C47"/>
    <w:rsid w:val="00A11434"/>
    <w:rsid w:val="00A114F2"/>
    <w:rsid w:val="00A117C0"/>
    <w:rsid w:val="00A12697"/>
    <w:rsid w:val="00A1274C"/>
    <w:rsid w:val="00A1381D"/>
    <w:rsid w:val="00A13BB1"/>
    <w:rsid w:val="00A154D3"/>
    <w:rsid w:val="00A1585A"/>
    <w:rsid w:val="00A16F45"/>
    <w:rsid w:val="00A23C1D"/>
    <w:rsid w:val="00A261AA"/>
    <w:rsid w:val="00A268AF"/>
    <w:rsid w:val="00A27999"/>
    <w:rsid w:val="00A300F8"/>
    <w:rsid w:val="00A34BF7"/>
    <w:rsid w:val="00A34DC1"/>
    <w:rsid w:val="00A35474"/>
    <w:rsid w:val="00A40B48"/>
    <w:rsid w:val="00A41A11"/>
    <w:rsid w:val="00A43F0E"/>
    <w:rsid w:val="00A44C0C"/>
    <w:rsid w:val="00A45990"/>
    <w:rsid w:val="00A470D6"/>
    <w:rsid w:val="00A47F80"/>
    <w:rsid w:val="00A50A9D"/>
    <w:rsid w:val="00A51508"/>
    <w:rsid w:val="00A52165"/>
    <w:rsid w:val="00A546A2"/>
    <w:rsid w:val="00A54B14"/>
    <w:rsid w:val="00A54CDF"/>
    <w:rsid w:val="00A550C2"/>
    <w:rsid w:val="00A5600D"/>
    <w:rsid w:val="00A56AE0"/>
    <w:rsid w:val="00A609A5"/>
    <w:rsid w:val="00A615BB"/>
    <w:rsid w:val="00A62208"/>
    <w:rsid w:val="00A6271A"/>
    <w:rsid w:val="00A63B69"/>
    <w:rsid w:val="00A64203"/>
    <w:rsid w:val="00A64A2B"/>
    <w:rsid w:val="00A65D0A"/>
    <w:rsid w:val="00A66458"/>
    <w:rsid w:val="00A73919"/>
    <w:rsid w:val="00A75199"/>
    <w:rsid w:val="00A75F71"/>
    <w:rsid w:val="00A77886"/>
    <w:rsid w:val="00A827DA"/>
    <w:rsid w:val="00A82E28"/>
    <w:rsid w:val="00A85D21"/>
    <w:rsid w:val="00A87B22"/>
    <w:rsid w:val="00A9061C"/>
    <w:rsid w:val="00A908BD"/>
    <w:rsid w:val="00A92D78"/>
    <w:rsid w:val="00A93593"/>
    <w:rsid w:val="00A9588C"/>
    <w:rsid w:val="00A958BB"/>
    <w:rsid w:val="00AA22DF"/>
    <w:rsid w:val="00AA2792"/>
    <w:rsid w:val="00AA314E"/>
    <w:rsid w:val="00AA36A5"/>
    <w:rsid w:val="00AA4FDF"/>
    <w:rsid w:val="00AA574B"/>
    <w:rsid w:val="00AA63B9"/>
    <w:rsid w:val="00AA705A"/>
    <w:rsid w:val="00AB04A4"/>
    <w:rsid w:val="00AB05F7"/>
    <w:rsid w:val="00AB1657"/>
    <w:rsid w:val="00AB1D66"/>
    <w:rsid w:val="00AB3CBF"/>
    <w:rsid w:val="00AB44F0"/>
    <w:rsid w:val="00AB5B67"/>
    <w:rsid w:val="00AB627E"/>
    <w:rsid w:val="00AB648B"/>
    <w:rsid w:val="00AB71C7"/>
    <w:rsid w:val="00AC2400"/>
    <w:rsid w:val="00AC2F10"/>
    <w:rsid w:val="00AC3392"/>
    <w:rsid w:val="00AC49FB"/>
    <w:rsid w:val="00AC5357"/>
    <w:rsid w:val="00AC53B3"/>
    <w:rsid w:val="00AC751C"/>
    <w:rsid w:val="00AD05EE"/>
    <w:rsid w:val="00AD0839"/>
    <w:rsid w:val="00AD1541"/>
    <w:rsid w:val="00AD28B2"/>
    <w:rsid w:val="00AD2B60"/>
    <w:rsid w:val="00AD3999"/>
    <w:rsid w:val="00AD52FB"/>
    <w:rsid w:val="00AD5494"/>
    <w:rsid w:val="00AD649E"/>
    <w:rsid w:val="00AD7D6C"/>
    <w:rsid w:val="00AE2B8B"/>
    <w:rsid w:val="00AE345D"/>
    <w:rsid w:val="00AE444B"/>
    <w:rsid w:val="00AE5497"/>
    <w:rsid w:val="00AE76BE"/>
    <w:rsid w:val="00AE7F23"/>
    <w:rsid w:val="00AF04AD"/>
    <w:rsid w:val="00AF196E"/>
    <w:rsid w:val="00AF43A3"/>
    <w:rsid w:val="00AF4C24"/>
    <w:rsid w:val="00AF5942"/>
    <w:rsid w:val="00AF5F77"/>
    <w:rsid w:val="00B024CB"/>
    <w:rsid w:val="00B04946"/>
    <w:rsid w:val="00B057EF"/>
    <w:rsid w:val="00B06D73"/>
    <w:rsid w:val="00B11FEE"/>
    <w:rsid w:val="00B1301A"/>
    <w:rsid w:val="00B144D8"/>
    <w:rsid w:val="00B14D6E"/>
    <w:rsid w:val="00B153F8"/>
    <w:rsid w:val="00B15884"/>
    <w:rsid w:val="00B15B22"/>
    <w:rsid w:val="00B16D30"/>
    <w:rsid w:val="00B200C0"/>
    <w:rsid w:val="00B217F0"/>
    <w:rsid w:val="00B2330A"/>
    <w:rsid w:val="00B27A99"/>
    <w:rsid w:val="00B30975"/>
    <w:rsid w:val="00B311DC"/>
    <w:rsid w:val="00B3199B"/>
    <w:rsid w:val="00B338C5"/>
    <w:rsid w:val="00B34935"/>
    <w:rsid w:val="00B36D8F"/>
    <w:rsid w:val="00B37E6C"/>
    <w:rsid w:val="00B4052B"/>
    <w:rsid w:val="00B41D09"/>
    <w:rsid w:val="00B41D78"/>
    <w:rsid w:val="00B42777"/>
    <w:rsid w:val="00B4300C"/>
    <w:rsid w:val="00B44479"/>
    <w:rsid w:val="00B44978"/>
    <w:rsid w:val="00B45921"/>
    <w:rsid w:val="00B45B95"/>
    <w:rsid w:val="00B467E1"/>
    <w:rsid w:val="00B47618"/>
    <w:rsid w:val="00B47D7A"/>
    <w:rsid w:val="00B531D4"/>
    <w:rsid w:val="00B53FF0"/>
    <w:rsid w:val="00B54894"/>
    <w:rsid w:val="00B54A89"/>
    <w:rsid w:val="00B5622C"/>
    <w:rsid w:val="00B6074C"/>
    <w:rsid w:val="00B61357"/>
    <w:rsid w:val="00B61486"/>
    <w:rsid w:val="00B655DB"/>
    <w:rsid w:val="00B66C7D"/>
    <w:rsid w:val="00B71A11"/>
    <w:rsid w:val="00B71DB3"/>
    <w:rsid w:val="00B71E2D"/>
    <w:rsid w:val="00B760E4"/>
    <w:rsid w:val="00B76566"/>
    <w:rsid w:val="00B76825"/>
    <w:rsid w:val="00B817CC"/>
    <w:rsid w:val="00B819DD"/>
    <w:rsid w:val="00B83051"/>
    <w:rsid w:val="00B832A4"/>
    <w:rsid w:val="00B8649D"/>
    <w:rsid w:val="00B91FE8"/>
    <w:rsid w:val="00B92DF4"/>
    <w:rsid w:val="00B93DC4"/>
    <w:rsid w:val="00B95BA6"/>
    <w:rsid w:val="00B97171"/>
    <w:rsid w:val="00BA0CC5"/>
    <w:rsid w:val="00BA1AA4"/>
    <w:rsid w:val="00BA250C"/>
    <w:rsid w:val="00BA35F0"/>
    <w:rsid w:val="00BA3B5E"/>
    <w:rsid w:val="00BA3D6B"/>
    <w:rsid w:val="00BA561F"/>
    <w:rsid w:val="00BA5C97"/>
    <w:rsid w:val="00BA74C6"/>
    <w:rsid w:val="00BA77FB"/>
    <w:rsid w:val="00BB08F4"/>
    <w:rsid w:val="00BB1068"/>
    <w:rsid w:val="00BB1CC3"/>
    <w:rsid w:val="00BB20E8"/>
    <w:rsid w:val="00BB2BCE"/>
    <w:rsid w:val="00BB3B22"/>
    <w:rsid w:val="00BB59EF"/>
    <w:rsid w:val="00BB7E3E"/>
    <w:rsid w:val="00BC08E4"/>
    <w:rsid w:val="00BC13CF"/>
    <w:rsid w:val="00BC1C1C"/>
    <w:rsid w:val="00BC220B"/>
    <w:rsid w:val="00BC26ED"/>
    <w:rsid w:val="00BC2DA9"/>
    <w:rsid w:val="00BC31E5"/>
    <w:rsid w:val="00BC327C"/>
    <w:rsid w:val="00BC34F4"/>
    <w:rsid w:val="00BC4A5F"/>
    <w:rsid w:val="00BC5177"/>
    <w:rsid w:val="00BC5764"/>
    <w:rsid w:val="00BC6342"/>
    <w:rsid w:val="00BC7DDB"/>
    <w:rsid w:val="00BD0732"/>
    <w:rsid w:val="00BD08AF"/>
    <w:rsid w:val="00BD2A46"/>
    <w:rsid w:val="00BD4AEB"/>
    <w:rsid w:val="00BD5708"/>
    <w:rsid w:val="00BD5ED5"/>
    <w:rsid w:val="00BD63CF"/>
    <w:rsid w:val="00BD6E46"/>
    <w:rsid w:val="00BE00CF"/>
    <w:rsid w:val="00BE0A71"/>
    <w:rsid w:val="00BE217B"/>
    <w:rsid w:val="00BE28CE"/>
    <w:rsid w:val="00BE33AC"/>
    <w:rsid w:val="00BE5C04"/>
    <w:rsid w:val="00BE7462"/>
    <w:rsid w:val="00BE754B"/>
    <w:rsid w:val="00BE79B9"/>
    <w:rsid w:val="00BF4B31"/>
    <w:rsid w:val="00BF5EC0"/>
    <w:rsid w:val="00BF635B"/>
    <w:rsid w:val="00C0065C"/>
    <w:rsid w:val="00C0119F"/>
    <w:rsid w:val="00C01CC1"/>
    <w:rsid w:val="00C033D8"/>
    <w:rsid w:val="00C05F96"/>
    <w:rsid w:val="00C067A3"/>
    <w:rsid w:val="00C06FDE"/>
    <w:rsid w:val="00C07B72"/>
    <w:rsid w:val="00C114F7"/>
    <w:rsid w:val="00C11598"/>
    <w:rsid w:val="00C1204F"/>
    <w:rsid w:val="00C13A44"/>
    <w:rsid w:val="00C13C5C"/>
    <w:rsid w:val="00C15D84"/>
    <w:rsid w:val="00C17464"/>
    <w:rsid w:val="00C179E0"/>
    <w:rsid w:val="00C21687"/>
    <w:rsid w:val="00C21F10"/>
    <w:rsid w:val="00C22A15"/>
    <w:rsid w:val="00C237B9"/>
    <w:rsid w:val="00C24DA6"/>
    <w:rsid w:val="00C250DE"/>
    <w:rsid w:val="00C25B1A"/>
    <w:rsid w:val="00C27341"/>
    <w:rsid w:val="00C300F1"/>
    <w:rsid w:val="00C30F4C"/>
    <w:rsid w:val="00C310B2"/>
    <w:rsid w:val="00C3122E"/>
    <w:rsid w:val="00C33420"/>
    <w:rsid w:val="00C3375F"/>
    <w:rsid w:val="00C371E3"/>
    <w:rsid w:val="00C40CF0"/>
    <w:rsid w:val="00C412CA"/>
    <w:rsid w:val="00C41459"/>
    <w:rsid w:val="00C455F6"/>
    <w:rsid w:val="00C45B8A"/>
    <w:rsid w:val="00C47609"/>
    <w:rsid w:val="00C50725"/>
    <w:rsid w:val="00C5108B"/>
    <w:rsid w:val="00C53B49"/>
    <w:rsid w:val="00C557C0"/>
    <w:rsid w:val="00C56884"/>
    <w:rsid w:val="00C617AD"/>
    <w:rsid w:val="00C61B4C"/>
    <w:rsid w:val="00C62926"/>
    <w:rsid w:val="00C62A74"/>
    <w:rsid w:val="00C63E72"/>
    <w:rsid w:val="00C64544"/>
    <w:rsid w:val="00C65AB0"/>
    <w:rsid w:val="00C67FA0"/>
    <w:rsid w:val="00C71A77"/>
    <w:rsid w:val="00C73199"/>
    <w:rsid w:val="00C73AAE"/>
    <w:rsid w:val="00C73C2B"/>
    <w:rsid w:val="00C745D3"/>
    <w:rsid w:val="00C74BBC"/>
    <w:rsid w:val="00C75083"/>
    <w:rsid w:val="00C771B7"/>
    <w:rsid w:val="00C800C3"/>
    <w:rsid w:val="00C805F5"/>
    <w:rsid w:val="00C80AA0"/>
    <w:rsid w:val="00C83354"/>
    <w:rsid w:val="00C83C48"/>
    <w:rsid w:val="00C86B21"/>
    <w:rsid w:val="00C86B48"/>
    <w:rsid w:val="00C86D5A"/>
    <w:rsid w:val="00C8756B"/>
    <w:rsid w:val="00C87FF2"/>
    <w:rsid w:val="00C915BF"/>
    <w:rsid w:val="00C9183D"/>
    <w:rsid w:val="00C91D45"/>
    <w:rsid w:val="00C93555"/>
    <w:rsid w:val="00C9471E"/>
    <w:rsid w:val="00C94B1B"/>
    <w:rsid w:val="00C94FB2"/>
    <w:rsid w:val="00C969A6"/>
    <w:rsid w:val="00C96EFE"/>
    <w:rsid w:val="00C973F9"/>
    <w:rsid w:val="00CA04EB"/>
    <w:rsid w:val="00CA0829"/>
    <w:rsid w:val="00CA0E82"/>
    <w:rsid w:val="00CA18C3"/>
    <w:rsid w:val="00CA2954"/>
    <w:rsid w:val="00CA2E9C"/>
    <w:rsid w:val="00CA3610"/>
    <w:rsid w:val="00CA3DBC"/>
    <w:rsid w:val="00CA45C1"/>
    <w:rsid w:val="00CA62D1"/>
    <w:rsid w:val="00CA63D2"/>
    <w:rsid w:val="00CA6C24"/>
    <w:rsid w:val="00CA7F6D"/>
    <w:rsid w:val="00CB1D0B"/>
    <w:rsid w:val="00CB2FBD"/>
    <w:rsid w:val="00CB32DB"/>
    <w:rsid w:val="00CB4C1E"/>
    <w:rsid w:val="00CB6811"/>
    <w:rsid w:val="00CB7175"/>
    <w:rsid w:val="00CB769F"/>
    <w:rsid w:val="00CB7ED6"/>
    <w:rsid w:val="00CC0456"/>
    <w:rsid w:val="00CC312F"/>
    <w:rsid w:val="00CC68CB"/>
    <w:rsid w:val="00CD0F9C"/>
    <w:rsid w:val="00CD1C64"/>
    <w:rsid w:val="00CD3769"/>
    <w:rsid w:val="00CD47CC"/>
    <w:rsid w:val="00CD5B4E"/>
    <w:rsid w:val="00CD70EB"/>
    <w:rsid w:val="00CD77C1"/>
    <w:rsid w:val="00CE00F6"/>
    <w:rsid w:val="00CE2ABD"/>
    <w:rsid w:val="00CE324A"/>
    <w:rsid w:val="00CE3E30"/>
    <w:rsid w:val="00CE7D0D"/>
    <w:rsid w:val="00CF18F4"/>
    <w:rsid w:val="00CF214B"/>
    <w:rsid w:val="00CF260B"/>
    <w:rsid w:val="00CF38FA"/>
    <w:rsid w:val="00CF67EE"/>
    <w:rsid w:val="00CF6D1B"/>
    <w:rsid w:val="00D0368F"/>
    <w:rsid w:val="00D05375"/>
    <w:rsid w:val="00D058AA"/>
    <w:rsid w:val="00D05BEE"/>
    <w:rsid w:val="00D0678D"/>
    <w:rsid w:val="00D06E1A"/>
    <w:rsid w:val="00D07937"/>
    <w:rsid w:val="00D102D0"/>
    <w:rsid w:val="00D10B32"/>
    <w:rsid w:val="00D14513"/>
    <w:rsid w:val="00D163F8"/>
    <w:rsid w:val="00D2008F"/>
    <w:rsid w:val="00D22BDD"/>
    <w:rsid w:val="00D258EE"/>
    <w:rsid w:val="00D264EE"/>
    <w:rsid w:val="00D275B2"/>
    <w:rsid w:val="00D27916"/>
    <w:rsid w:val="00D30BD2"/>
    <w:rsid w:val="00D32F66"/>
    <w:rsid w:val="00D33109"/>
    <w:rsid w:val="00D33625"/>
    <w:rsid w:val="00D341E9"/>
    <w:rsid w:val="00D36D28"/>
    <w:rsid w:val="00D37357"/>
    <w:rsid w:val="00D37AEE"/>
    <w:rsid w:val="00D40E7E"/>
    <w:rsid w:val="00D435BB"/>
    <w:rsid w:val="00D43A46"/>
    <w:rsid w:val="00D4447B"/>
    <w:rsid w:val="00D45071"/>
    <w:rsid w:val="00D45367"/>
    <w:rsid w:val="00D465AE"/>
    <w:rsid w:val="00D511CC"/>
    <w:rsid w:val="00D5130D"/>
    <w:rsid w:val="00D52082"/>
    <w:rsid w:val="00D574C9"/>
    <w:rsid w:val="00D60D45"/>
    <w:rsid w:val="00D60E0B"/>
    <w:rsid w:val="00D613D4"/>
    <w:rsid w:val="00D61BFD"/>
    <w:rsid w:val="00D620E0"/>
    <w:rsid w:val="00D65500"/>
    <w:rsid w:val="00D66533"/>
    <w:rsid w:val="00D71293"/>
    <w:rsid w:val="00D720C6"/>
    <w:rsid w:val="00D722FC"/>
    <w:rsid w:val="00D73983"/>
    <w:rsid w:val="00D73BEA"/>
    <w:rsid w:val="00D7475B"/>
    <w:rsid w:val="00D74E7E"/>
    <w:rsid w:val="00D76BC9"/>
    <w:rsid w:val="00D775F4"/>
    <w:rsid w:val="00D81782"/>
    <w:rsid w:val="00D81AFA"/>
    <w:rsid w:val="00D82C4D"/>
    <w:rsid w:val="00D908DF"/>
    <w:rsid w:val="00D918F0"/>
    <w:rsid w:val="00D93BE7"/>
    <w:rsid w:val="00D93E2B"/>
    <w:rsid w:val="00D94D04"/>
    <w:rsid w:val="00D9617F"/>
    <w:rsid w:val="00D9684E"/>
    <w:rsid w:val="00DA25B7"/>
    <w:rsid w:val="00DA349E"/>
    <w:rsid w:val="00DA34A5"/>
    <w:rsid w:val="00DA3CD4"/>
    <w:rsid w:val="00DA422D"/>
    <w:rsid w:val="00DA46D8"/>
    <w:rsid w:val="00DA4B18"/>
    <w:rsid w:val="00DA5332"/>
    <w:rsid w:val="00DA6BC5"/>
    <w:rsid w:val="00DA6D68"/>
    <w:rsid w:val="00DA7CC0"/>
    <w:rsid w:val="00DB14C0"/>
    <w:rsid w:val="00DB16FB"/>
    <w:rsid w:val="00DB3722"/>
    <w:rsid w:val="00DB40A7"/>
    <w:rsid w:val="00DB41FB"/>
    <w:rsid w:val="00DB5FD4"/>
    <w:rsid w:val="00DB6649"/>
    <w:rsid w:val="00DB6677"/>
    <w:rsid w:val="00DB6801"/>
    <w:rsid w:val="00DC1734"/>
    <w:rsid w:val="00DC1B0F"/>
    <w:rsid w:val="00DC1B26"/>
    <w:rsid w:val="00DC2DBD"/>
    <w:rsid w:val="00DC3A30"/>
    <w:rsid w:val="00DC47F9"/>
    <w:rsid w:val="00DC4BDF"/>
    <w:rsid w:val="00DC6CD6"/>
    <w:rsid w:val="00DC7806"/>
    <w:rsid w:val="00DD1709"/>
    <w:rsid w:val="00DD19D6"/>
    <w:rsid w:val="00DD2705"/>
    <w:rsid w:val="00DD3CEB"/>
    <w:rsid w:val="00DD4B1F"/>
    <w:rsid w:val="00DD5BB5"/>
    <w:rsid w:val="00DD600C"/>
    <w:rsid w:val="00DD61C4"/>
    <w:rsid w:val="00DD61F7"/>
    <w:rsid w:val="00DD77EE"/>
    <w:rsid w:val="00DE10E8"/>
    <w:rsid w:val="00DE243D"/>
    <w:rsid w:val="00DE4438"/>
    <w:rsid w:val="00DE4DA8"/>
    <w:rsid w:val="00DE7FA1"/>
    <w:rsid w:val="00DF013D"/>
    <w:rsid w:val="00DF028C"/>
    <w:rsid w:val="00DF0F4C"/>
    <w:rsid w:val="00DF1E0C"/>
    <w:rsid w:val="00DF21E2"/>
    <w:rsid w:val="00DF2C6C"/>
    <w:rsid w:val="00DF4814"/>
    <w:rsid w:val="00DF4B77"/>
    <w:rsid w:val="00DF4BD7"/>
    <w:rsid w:val="00DF5570"/>
    <w:rsid w:val="00DF5606"/>
    <w:rsid w:val="00E0077A"/>
    <w:rsid w:val="00E014BA"/>
    <w:rsid w:val="00E022C6"/>
    <w:rsid w:val="00E02D61"/>
    <w:rsid w:val="00E0345F"/>
    <w:rsid w:val="00E0365A"/>
    <w:rsid w:val="00E03719"/>
    <w:rsid w:val="00E0371B"/>
    <w:rsid w:val="00E040A9"/>
    <w:rsid w:val="00E05488"/>
    <w:rsid w:val="00E0623D"/>
    <w:rsid w:val="00E0649E"/>
    <w:rsid w:val="00E06623"/>
    <w:rsid w:val="00E06F32"/>
    <w:rsid w:val="00E073A3"/>
    <w:rsid w:val="00E07853"/>
    <w:rsid w:val="00E101B5"/>
    <w:rsid w:val="00E10BAD"/>
    <w:rsid w:val="00E114BB"/>
    <w:rsid w:val="00E1163C"/>
    <w:rsid w:val="00E12286"/>
    <w:rsid w:val="00E12489"/>
    <w:rsid w:val="00E12875"/>
    <w:rsid w:val="00E13F7A"/>
    <w:rsid w:val="00E1479D"/>
    <w:rsid w:val="00E152E2"/>
    <w:rsid w:val="00E15F3F"/>
    <w:rsid w:val="00E17A35"/>
    <w:rsid w:val="00E17D00"/>
    <w:rsid w:val="00E214F6"/>
    <w:rsid w:val="00E22AE5"/>
    <w:rsid w:val="00E23233"/>
    <w:rsid w:val="00E234A4"/>
    <w:rsid w:val="00E2535D"/>
    <w:rsid w:val="00E349EF"/>
    <w:rsid w:val="00E350CB"/>
    <w:rsid w:val="00E352E5"/>
    <w:rsid w:val="00E35861"/>
    <w:rsid w:val="00E35ABB"/>
    <w:rsid w:val="00E368FA"/>
    <w:rsid w:val="00E36DC4"/>
    <w:rsid w:val="00E37A34"/>
    <w:rsid w:val="00E43581"/>
    <w:rsid w:val="00E45082"/>
    <w:rsid w:val="00E45416"/>
    <w:rsid w:val="00E45938"/>
    <w:rsid w:val="00E468BC"/>
    <w:rsid w:val="00E507A9"/>
    <w:rsid w:val="00E51A55"/>
    <w:rsid w:val="00E55A0D"/>
    <w:rsid w:val="00E55BE1"/>
    <w:rsid w:val="00E5615D"/>
    <w:rsid w:val="00E56E39"/>
    <w:rsid w:val="00E57A9A"/>
    <w:rsid w:val="00E57CA5"/>
    <w:rsid w:val="00E57F05"/>
    <w:rsid w:val="00E60F0B"/>
    <w:rsid w:val="00E626DB"/>
    <w:rsid w:val="00E6587E"/>
    <w:rsid w:val="00E65ED4"/>
    <w:rsid w:val="00E66760"/>
    <w:rsid w:val="00E66B93"/>
    <w:rsid w:val="00E67228"/>
    <w:rsid w:val="00E67835"/>
    <w:rsid w:val="00E6789F"/>
    <w:rsid w:val="00E71180"/>
    <w:rsid w:val="00E717C7"/>
    <w:rsid w:val="00E71BAE"/>
    <w:rsid w:val="00E724ED"/>
    <w:rsid w:val="00E72556"/>
    <w:rsid w:val="00E72F51"/>
    <w:rsid w:val="00E744D3"/>
    <w:rsid w:val="00E7537B"/>
    <w:rsid w:val="00E75537"/>
    <w:rsid w:val="00E75BF8"/>
    <w:rsid w:val="00E770EC"/>
    <w:rsid w:val="00E7721D"/>
    <w:rsid w:val="00E82636"/>
    <w:rsid w:val="00E8342E"/>
    <w:rsid w:val="00E85BF6"/>
    <w:rsid w:val="00E877EE"/>
    <w:rsid w:val="00E87B37"/>
    <w:rsid w:val="00E90440"/>
    <w:rsid w:val="00E93628"/>
    <w:rsid w:val="00E93F0F"/>
    <w:rsid w:val="00E948AE"/>
    <w:rsid w:val="00E94FFF"/>
    <w:rsid w:val="00E956A9"/>
    <w:rsid w:val="00EA06DA"/>
    <w:rsid w:val="00EA13BB"/>
    <w:rsid w:val="00EA165D"/>
    <w:rsid w:val="00EA19AB"/>
    <w:rsid w:val="00EA289D"/>
    <w:rsid w:val="00EA36DE"/>
    <w:rsid w:val="00EA5280"/>
    <w:rsid w:val="00EA684D"/>
    <w:rsid w:val="00EA722D"/>
    <w:rsid w:val="00EA7A28"/>
    <w:rsid w:val="00EA7AB4"/>
    <w:rsid w:val="00EB0114"/>
    <w:rsid w:val="00EB072C"/>
    <w:rsid w:val="00EB0A89"/>
    <w:rsid w:val="00EB1846"/>
    <w:rsid w:val="00EB20A5"/>
    <w:rsid w:val="00EB2E04"/>
    <w:rsid w:val="00EB3171"/>
    <w:rsid w:val="00EB4AC0"/>
    <w:rsid w:val="00EB73C5"/>
    <w:rsid w:val="00EB7F5F"/>
    <w:rsid w:val="00EC0480"/>
    <w:rsid w:val="00EC17EF"/>
    <w:rsid w:val="00EC1AF7"/>
    <w:rsid w:val="00EC3443"/>
    <w:rsid w:val="00EC3C74"/>
    <w:rsid w:val="00EC3F39"/>
    <w:rsid w:val="00EC6540"/>
    <w:rsid w:val="00ED05F9"/>
    <w:rsid w:val="00ED1345"/>
    <w:rsid w:val="00ED20ED"/>
    <w:rsid w:val="00ED47FE"/>
    <w:rsid w:val="00ED657D"/>
    <w:rsid w:val="00EE1211"/>
    <w:rsid w:val="00EE1521"/>
    <w:rsid w:val="00EE277A"/>
    <w:rsid w:val="00EE552E"/>
    <w:rsid w:val="00EE5E15"/>
    <w:rsid w:val="00EE7410"/>
    <w:rsid w:val="00EF33E9"/>
    <w:rsid w:val="00EF3A32"/>
    <w:rsid w:val="00EF4021"/>
    <w:rsid w:val="00EF57FC"/>
    <w:rsid w:val="00EF588A"/>
    <w:rsid w:val="00EF6C06"/>
    <w:rsid w:val="00EF6F7D"/>
    <w:rsid w:val="00EF753D"/>
    <w:rsid w:val="00F00B9B"/>
    <w:rsid w:val="00F0107A"/>
    <w:rsid w:val="00F029FE"/>
    <w:rsid w:val="00F02D2E"/>
    <w:rsid w:val="00F035E1"/>
    <w:rsid w:val="00F0455A"/>
    <w:rsid w:val="00F051CC"/>
    <w:rsid w:val="00F05BAB"/>
    <w:rsid w:val="00F1084B"/>
    <w:rsid w:val="00F10B23"/>
    <w:rsid w:val="00F10C70"/>
    <w:rsid w:val="00F11BF8"/>
    <w:rsid w:val="00F11C45"/>
    <w:rsid w:val="00F11D23"/>
    <w:rsid w:val="00F12AEA"/>
    <w:rsid w:val="00F12BFA"/>
    <w:rsid w:val="00F13B2A"/>
    <w:rsid w:val="00F14DC3"/>
    <w:rsid w:val="00F179A2"/>
    <w:rsid w:val="00F17C52"/>
    <w:rsid w:val="00F202C9"/>
    <w:rsid w:val="00F21096"/>
    <w:rsid w:val="00F216C9"/>
    <w:rsid w:val="00F220E4"/>
    <w:rsid w:val="00F25779"/>
    <w:rsid w:val="00F263FB"/>
    <w:rsid w:val="00F265D3"/>
    <w:rsid w:val="00F2767A"/>
    <w:rsid w:val="00F31E56"/>
    <w:rsid w:val="00F321B0"/>
    <w:rsid w:val="00F32404"/>
    <w:rsid w:val="00F3244B"/>
    <w:rsid w:val="00F330EF"/>
    <w:rsid w:val="00F33BA7"/>
    <w:rsid w:val="00F34070"/>
    <w:rsid w:val="00F3522B"/>
    <w:rsid w:val="00F353EB"/>
    <w:rsid w:val="00F366B3"/>
    <w:rsid w:val="00F37212"/>
    <w:rsid w:val="00F37EFD"/>
    <w:rsid w:val="00F40F08"/>
    <w:rsid w:val="00F41205"/>
    <w:rsid w:val="00F42C25"/>
    <w:rsid w:val="00F44346"/>
    <w:rsid w:val="00F44CC2"/>
    <w:rsid w:val="00F45677"/>
    <w:rsid w:val="00F46CF0"/>
    <w:rsid w:val="00F5137E"/>
    <w:rsid w:val="00F61759"/>
    <w:rsid w:val="00F61B6D"/>
    <w:rsid w:val="00F62166"/>
    <w:rsid w:val="00F63639"/>
    <w:rsid w:val="00F6430B"/>
    <w:rsid w:val="00F64B15"/>
    <w:rsid w:val="00F66F8A"/>
    <w:rsid w:val="00F67A6F"/>
    <w:rsid w:val="00F67F4E"/>
    <w:rsid w:val="00F70B17"/>
    <w:rsid w:val="00F711D2"/>
    <w:rsid w:val="00F71D97"/>
    <w:rsid w:val="00F71D98"/>
    <w:rsid w:val="00F726B7"/>
    <w:rsid w:val="00F72CEB"/>
    <w:rsid w:val="00F736A6"/>
    <w:rsid w:val="00F7560C"/>
    <w:rsid w:val="00F75ABD"/>
    <w:rsid w:val="00F76419"/>
    <w:rsid w:val="00F8070C"/>
    <w:rsid w:val="00F81AED"/>
    <w:rsid w:val="00F831A1"/>
    <w:rsid w:val="00F83E8B"/>
    <w:rsid w:val="00F84733"/>
    <w:rsid w:val="00F873FC"/>
    <w:rsid w:val="00F91A12"/>
    <w:rsid w:val="00F9227C"/>
    <w:rsid w:val="00F92D44"/>
    <w:rsid w:val="00F93A81"/>
    <w:rsid w:val="00F93D3B"/>
    <w:rsid w:val="00F93E9B"/>
    <w:rsid w:val="00F94571"/>
    <w:rsid w:val="00F9621F"/>
    <w:rsid w:val="00FA016D"/>
    <w:rsid w:val="00FA04FB"/>
    <w:rsid w:val="00FA14CD"/>
    <w:rsid w:val="00FA1F6E"/>
    <w:rsid w:val="00FA285D"/>
    <w:rsid w:val="00FA3417"/>
    <w:rsid w:val="00FA4C53"/>
    <w:rsid w:val="00FA7635"/>
    <w:rsid w:val="00FB06D9"/>
    <w:rsid w:val="00FB1385"/>
    <w:rsid w:val="00FB1435"/>
    <w:rsid w:val="00FB1D16"/>
    <w:rsid w:val="00FB26CE"/>
    <w:rsid w:val="00FB2DA2"/>
    <w:rsid w:val="00FB3CCD"/>
    <w:rsid w:val="00FB3D27"/>
    <w:rsid w:val="00FB4BFF"/>
    <w:rsid w:val="00FB6B94"/>
    <w:rsid w:val="00FC0CE2"/>
    <w:rsid w:val="00FC20CB"/>
    <w:rsid w:val="00FC282F"/>
    <w:rsid w:val="00FC2C37"/>
    <w:rsid w:val="00FC3B02"/>
    <w:rsid w:val="00FC3CD6"/>
    <w:rsid w:val="00FC45CB"/>
    <w:rsid w:val="00FC5CAA"/>
    <w:rsid w:val="00FC5CFC"/>
    <w:rsid w:val="00FC70C6"/>
    <w:rsid w:val="00FC77A1"/>
    <w:rsid w:val="00FC7B70"/>
    <w:rsid w:val="00FD22A9"/>
    <w:rsid w:val="00FD2635"/>
    <w:rsid w:val="00FD46EB"/>
    <w:rsid w:val="00FD7B33"/>
    <w:rsid w:val="00FE07BB"/>
    <w:rsid w:val="00FE08CE"/>
    <w:rsid w:val="00FE0A83"/>
    <w:rsid w:val="00FE129F"/>
    <w:rsid w:val="00FE2F68"/>
    <w:rsid w:val="00FE6AAC"/>
    <w:rsid w:val="00FF051C"/>
    <w:rsid w:val="00FF1D18"/>
    <w:rsid w:val="00FF230C"/>
    <w:rsid w:val="00FF36C9"/>
    <w:rsid w:val="00FF3BC7"/>
    <w:rsid w:val="00FF4A82"/>
    <w:rsid w:val="00FF6ADE"/>
    <w:rsid w:val="01B04786"/>
    <w:rsid w:val="0298C9F7"/>
    <w:rsid w:val="02C2069C"/>
    <w:rsid w:val="03456B71"/>
    <w:rsid w:val="03AC799B"/>
    <w:rsid w:val="03B35AC7"/>
    <w:rsid w:val="03EDFCF7"/>
    <w:rsid w:val="0407BE23"/>
    <w:rsid w:val="040969F7"/>
    <w:rsid w:val="0485A593"/>
    <w:rsid w:val="04D34F02"/>
    <w:rsid w:val="04D4B517"/>
    <w:rsid w:val="05A8A271"/>
    <w:rsid w:val="07C04B01"/>
    <w:rsid w:val="07F7601D"/>
    <w:rsid w:val="08777866"/>
    <w:rsid w:val="08883E67"/>
    <w:rsid w:val="08F5B3D6"/>
    <w:rsid w:val="091E6B03"/>
    <w:rsid w:val="094067AB"/>
    <w:rsid w:val="094BC535"/>
    <w:rsid w:val="09EFC96C"/>
    <w:rsid w:val="0A18EBBB"/>
    <w:rsid w:val="0A1BAE42"/>
    <w:rsid w:val="0C83E243"/>
    <w:rsid w:val="0CC04F67"/>
    <w:rsid w:val="0CD74B24"/>
    <w:rsid w:val="0D0D1AD4"/>
    <w:rsid w:val="0D7B63AC"/>
    <w:rsid w:val="0DA039F1"/>
    <w:rsid w:val="0E1D1CC8"/>
    <w:rsid w:val="0EC18D12"/>
    <w:rsid w:val="0EFFC86E"/>
    <w:rsid w:val="103531FB"/>
    <w:rsid w:val="105673B2"/>
    <w:rsid w:val="10D24F2C"/>
    <w:rsid w:val="10F09C0C"/>
    <w:rsid w:val="123B6FC0"/>
    <w:rsid w:val="12F94378"/>
    <w:rsid w:val="14055D36"/>
    <w:rsid w:val="15624277"/>
    <w:rsid w:val="164C3199"/>
    <w:rsid w:val="1664E324"/>
    <w:rsid w:val="17188C6C"/>
    <w:rsid w:val="1757BCED"/>
    <w:rsid w:val="177F2B9D"/>
    <w:rsid w:val="18037C3D"/>
    <w:rsid w:val="18437E0E"/>
    <w:rsid w:val="194B606A"/>
    <w:rsid w:val="198B7EC4"/>
    <w:rsid w:val="19925227"/>
    <w:rsid w:val="1A7B7798"/>
    <w:rsid w:val="1B43A048"/>
    <w:rsid w:val="1B91956D"/>
    <w:rsid w:val="1BBE6CB1"/>
    <w:rsid w:val="1CC84F7A"/>
    <w:rsid w:val="1D0BC3BC"/>
    <w:rsid w:val="1D71E18E"/>
    <w:rsid w:val="1DF72AD9"/>
    <w:rsid w:val="1EB0C33C"/>
    <w:rsid w:val="1EE537F8"/>
    <w:rsid w:val="1FD002C9"/>
    <w:rsid w:val="209D54EA"/>
    <w:rsid w:val="2190239C"/>
    <w:rsid w:val="21AFC636"/>
    <w:rsid w:val="22BAC0FC"/>
    <w:rsid w:val="24738EF1"/>
    <w:rsid w:val="258CFC91"/>
    <w:rsid w:val="2601BCF8"/>
    <w:rsid w:val="270B3CDC"/>
    <w:rsid w:val="2A70D793"/>
    <w:rsid w:val="2A98A28E"/>
    <w:rsid w:val="2B60F4C3"/>
    <w:rsid w:val="2C1CBBA7"/>
    <w:rsid w:val="2CB0A71A"/>
    <w:rsid w:val="2CCBEC52"/>
    <w:rsid w:val="2D35F18D"/>
    <w:rsid w:val="2E569340"/>
    <w:rsid w:val="2ED7D5A3"/>
    <w:rsid w:val="2F3B75AF"/>
    <w:rsid w:val="2FDF3712"/>
    <w:rsid w:val="3043807B"/>
    <w:rsid w:val="308FA5ED"/>
    <w:rsid w:val="3196A6A1"/>
    <w:rsid w:val="321D2768"/>
    <w:rsid w:val="328594E3"/>
    <w:rsid w:val="32B0AD68"/>
    <w:rsid w:val="32F1B457"/>
    <w:rsid w:val="33434B70"/>
    <w:rsid w:val="33CE6789"/>
    <w:rsid w:val="342E172C"/>
    <w:rsid w:val="344CDF77"/>
    <w:rsid w:val="34DE613B"/>
    <w:rsid w:val="352ABB15"/>
    <w:rsid w:val="35D67428"/>
    <w:rsid w:val="36272488"/>
    <w:rsid w:val="369AD5BD"/>
    <w:rsid w:val="36D75629"/>
    <w:rsid w:val="376A84D3"/>
    <w:rsid w:val="37EE8630"/>
    <w:rsid w:val="382FB3E1"/>
    <w:rsid w:val="3873DAFE"/>
    <w:rsid w:val="3966D840"/>
    <w:rsid w:val="3975A7CF"/>
    <w:rsid w:val="39F9A193"/>
    <w:rsid w:val="3A2B1C6D"/>
    <w:rsid w:val="3A5ABFA1"/>
    <w:rsid w:val="3AC82E63"/>
    <w:rsid w:val="3D246801"/>
    <w:rsid w:val="3D6F77BF"/>
    <w:rsid w:val="3DD5FAA1"/>
    <w:rsid w:val="3DEA6329"/>
    <w:rsid w:val="3F25ACC1"/>
    <w:rsid w:val="3FF29F1C"/>
    <w:rsid w:val="400CFE1A"/>
    <w:rsid w:val="4116B2C9"/>
    <w:rsid w:val="420B4EEE"/>
    <w:rsid w:val="427BF9BE"/>
    <w:rsid w:val="42883F8C"/>
    <w:rsid w:val="42CBD8D3"/>
    <w:rsid w:val="43BE7F06"/>
    <w:rsid w:val="453F3236"/>
    <w:rsid w:val="455336ED"/>
    <w:rsid w:val="4591183A"/>
    <w:rsid w:val="45E5D28A"/>
    <w:rsid w:val="473B08F8"/>
    <w:rsid w:val="4777EFF8"/>
    <w:rsid w:val="487D4DAD"/>
    <w:rsid w:val="487EDA51"/>
    <w:rsid w:val="4A05B0E5"/>
    <w:rsid w:val="4A705B47"/>
    <w:rsid w:val="4A893589"/>
    <w:rsid w:val="4AD66262"/>
    <w:rsid w:val="4C316CF9"/>
    <w:rsid w:val="4C7DD445"/>
    <w:rsid w:val="4CF41586"/>
    <w:rsid w:val="4F7848E8"/>
    <w:rsid w:val="5192456D"/>
    <w:rsid w:val="51966D26"/>
    <w:rsid w:val="519AE8E1"/>
    <w:rsid w:val="52D4076A"/>
    <w:rsid w:val="5318A790"/>
    <w:rsid w:val="53489C49"/>
    <w:rsid w:val="53775D07"/>
    <w:rsid w:val="538A192D"/>
    <w:rsid w:val="53B8459F"/>
    <w:rsid w:val="5545D4E8"/>
    <w:rsid w:val="557E2182"/>
    <w:rsid w:val="558D602E"/>
    <w:rsid w:val="55B64C2E"/>
    <w:rsid w:val="5608FCB1"/>
    <w:rsid w:val="57E4F470"/>
    <w:rsid w:val="58E28058"/>
    <w:rsid w:val="5958E47B"/>
    <w:rsid w:val="5971944C"/>
    <w:rsid w:val="5989685C"/>
    <w:rsid w:val="5B409C37"/>
    <w:rsid w:val="5B76CA2C"/>
    <w:rsid w:val="5B84EDD8"/>
    <w:rsid w:val="5D0D4C3D"/>
    <w:rsid w:val="5E392DBA"/>
    <w:rsid w:val="5E6B7BBD"/>
    <w:rsid w:val="5EE8420C"/>
    <w:rsid w:val="5F3B55FC"/>
    <w:rsid w:val="601BC80F"/>
    <w:rsid w:val="601FE9E0"/>
    <w:rsid w:val="6164BA2E"/>
    <w:rsid w:val="61749ABA"/>
    <w:rsid w:val="61D24B2F"/>
    <w:rsid w:val="62175439"/>
    <w:rsid w:val="6356236C"/>
    <w:rsid w:val="63C17FB5"/>
    <w:rsid w:val="642E8B8B"/>
    <w:rsid w:val="65816AF2"/>
    <w:rsid w:val="66D1A265"/>
    <w:rsid w:val="66E46B5F"/>
    <w:rsid w:val="66EE7FF7"/>
    <w:rsid w:val="677D5F7A"/>
    <w:rsid w:val="69AAE111"/>
    <w:rsid w:val="6A590478"/>
    <w:rsid w:val="6CA11C48"/>
    <w:rsid w:val="6D17F1B8"/>
    <w:rsid w:val="6E44F150"/>
    <w:rsid w:val="6F7F6698"/>
    <w:rsid w:val="70106BEC"/>
    <w:rsid w:val="701DC9DE"/>
    <w:rsid w:val="70B1D74E"/>
    <w:rsid w:val="70B2B012"/>
    <w:rsid w:val="71F72E88"/>
    <w:rsid w:val="72CFBE6F"/>
    <w:rsid w:val="730DC9B3"/>
    <w:rsid w:val="7359B8F3"/>
    <w:rsid w:val="73B852AC"/>
    <w:rsid w:val="73F96EC6"/>
    <w:rsid w:val="7494249A"/>
    <w:rsid w:val="74B8EF89"/>
    <w:rsid w:val="7525B946"/>
    <w:rsid w:val="75273C2D"/>
    <w:rsid w:val="75B26298"/>
    <w:rsid w:val="75D9F2AE"/>
    <w:rsid w:val="76513914"/>
    <w:rsid w:val="76819D5C"/>
    <w:rsid w:val="769DC2F7"/>
    <w:rsid w:val="76FB7EAF"/>
    <w:rsid w:val="77FD2F64"/>
    <w:rsid w:val="782EE899"/>
    <w:rsid w:val="78E38551"/>
    <w:rsid w:val="79C331C3"/>
    <w:rsid w:val="7A14E2DD"/>
    <w:rsid w:val="7A5E2206"/>
    <w:rsid w:val="7AB0353D"/>
    <w:rsid w:val="7AEB5705"/>
    <w:rsid w:val="7B7BB269"/>
    <w:rsid w:val="7CABE74D"/>
    <w:rsid w:val="7D75ED77"/>
    <w:rsid w:val="7E0B5511"/>
    <w:rsid w:val="7E63C5C8"/>
    <w:rsid w:val="7F464A49"/>
    <w:rsid w:val="7FBD282D"/>
    <w:rsid w:val="7FBE40E0"/>
    <w:rsid w:val="7FC54502"/>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3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H1"/>
    <w:basedOn w:val="Contents"/>
    <w:next w:val="Heading2"/>
    <w:link w:val="Heading1Char"/>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H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277204"/>
    <w:pPr>
      <w:tabs>
        <w:tab w:val="left" w:pos="880"/>
        <w:tab w:val="right" w:leader="dot" w:pos="9730"/>
      </w:tabs>
      <w:spacing w:after="100"/>
      <w:ind w:left="220"/>
    </w:pPr>
  </w:style>
  <w:style w:type="paragraph" w:styleId="TOC1">
    <w:name w:val="toc 1"/>
    <w:basedOn w:val="Normal"/>
    <w:next w:val="Normal"/>
    <w:autoRedefine/>
    <w:uiPriority w:val="39"/>
    <w:unhideWhenUsed/>
    <w:rsid w:val="00315D84"/>
    <w:pPr>
      <w:tabs>
        <w:tab w:val="left" w:pos="440"/>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link w:val="ListParagraphChar"/>
    <w:uiPriority w:val="34"/>
    <w:qFormat/>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paragraph" w:styleId="BalloonText">
    <w:name w:val="Balloon Text"/>
    <w:basedOn w:val="Normal"/>
    <w:link w:val="BalloonTextChar"/>
    <w:rsid w:val="004E408E"/>
    <w:pPr>
      <w:spacing w:after="0"/>
    </w:pPr>
    <w:rPr>
      <w:rFonts w:ascii="Tahoma" w:hAnsi="Tahoma" w:cs="Tahoma"/>
      <w:sz w:val="16"/>
      <w:szCs w:val="16"/>
    </w:rPr>
  </w:style>
  <w:style w:type="character" w:customStyle="1" w:styleId="BalloonTextChar">
    <w:name w:val="Balloon Text Char"/>
    <w:basedOn w:val="DefaultParagraphFont"/>
    <w:link w:val="BalloonText"/>
    <w:rsid w:val="004E408E"/>
    <w:rPr>
      <w:rFonts w:ascii="Tahoma" w:hAnsi="Tahoma" w:cs="Tahoma"/>
      <w:color w:val="000000" w:themeColor="text1"/>
      <w:sz w:val="16"/>
      <w:szCs w:val="16"/>
      <w:lang w:eastAsia="en-US"/>
    </w:rPr>
  </w:style>
  <w:style w:type="paragraph" w:customStyle="1" w:styleId="NGERbullets">
    <w:name w:val="NGER bullets"/>
    <w:basedOn w:val="Normal"/>
    <w:link w:val="NGERbulletsChar"/>
    <w:uiPriority w:val="7"/>
    <w:qFormat/>
    <w:rsid w:val="004E408E"/>
    <w:pPr>
      <w:spacing w:before="60" w:after="120"/>
      <w:ind w:left="360" w:hanging="360"/>
    </w:pPr>
    <w:rPr>
      <w:rFonts w:ascii="Arial" w:hAnsi="Arial" w:cs="Times New Roman"/>
      <w:color w:val="000000"/>
      <w:sz w:val="24"/>
      <w:lang w:val="en-US"/>
    </w:rPr>
  </w:style>
  <w:style w:type="character" w:customStyle="1" w:styleId="NGERbulletsChar">
    <w:name w:val="NGER bullets Char"/>
    <w:link w:val="NGERbullets"/>
    <w:uiPriority w:val="7"/>
    <w:rsid w:val="004E408E"/>
    <w:rPr>
      <w:rFonts w:ascii="Arial" w:hAnsi="Arial"/>
      <w:color w:val="000000"/>
      <w:sz w:val="24"/>
      <w:szCs w:val="24"/>
      <w:lang w:val="en-US" w:eastAsia="en-US"/>
    </w:rPr>
  </w:style>
  <w:style w:type="character" w:styleId="Emphasis">
    <w:name w:val="Emphasis"/>
    <w:qFormat/>
    <w:rsid w:val="004E408E"/>
    <w:rPr>
      <w:i/>
      <w:iCs/>
    </w:rPr>
  </w:style>
  <w:style w:type="character" w:customStyle="1" w:styleId="ListParagraphChar">
    <w:name w:val="List Paragraph Char"/>
    <w:link w:val="ListParagraph"/>
    <w:uiPriority w:val="34"/>
    <w:rsid w:val="004E408E"/>
    <w:rPr>
      <w:rFonts w:asciiTheme="minorHAnsi" w:hAnsiTheme="minorHAnsi" w:cstheme="minorHAnsi"/>
      <w:color w:val="000000" w:themeColor="text1"/>
      <w:sz w:val="22"/>
      <w:szCs w:val="24"/>
      <w:lang w:val="en-GB" w:eastAsia="en-US"/>
    </w:rPr>
  </w:style>
  <w:style w:type="paragraph" w:styleId="CommentSubject">
    <w:name w:val="annotation subject"/>
    <w:basedOn w:val="CommentText"/>
    <w:next w:val="CommentText"/>
    <w:link w:val="CommentSubjectChar"/>
    <w:uiPriority w:val="99"/>
    <w:semiHidden/>
    <w:unhideWhenUsed/>
    <w:rsid w:val="004E408E"/>
    <w:rPr>
      <w:b/>
      <w:bCs/>
      <w:lang w:val="en-AU"/>
    </w:rPr>
  </w:style>
  <w:style w:type="character" w:customStyle="1" w:styleId="CommentSubjectChar">
    <w:name w:val="Comment Subject Char"/>
    <w:basedOn w:val="CommentTextChar"/>
    <w:link w:val="CommentSubject"/>
    <w:uiPriority w:val="99"/>
    <w:semiHidden/>
    <w:rsid w:val="004E408E"/>
    <w:rPr>
      <w:rFonts w:asciiTheme="minorHAnsi" w:hAnsiTheme="minorHAnsi" w:cstheme="minorHAnsi"/>
      <w:b/>
      <w:bCs/>
      <w:color w:val="000000" w:themeColor="text1"/>
      <w:lang w:val="en-GB" w:eastAsia="en-US"/>
    </w:rPr>
  </w:style>
  <w:style w:type="paragraph" w:styleId="Revision">
    <w:name w:val="Revision"/>
    <w:hidden/>
    <w:semiHidden/>
    <w:rsid w:val="004E408E"/>
    <w:rPr>
      <w:rFonts w:asciiTheme="minorHAnsi" w:hAnsiTheme="minorHAnsi" w:cstheme="minorHAnsi"/>
      <w:color w:val="000000" w:themeColor="text1"/>
      <w:sz w:val="22"/>
      <w:szCs w:val="24"/>
      <w:lang w:eastAsia="en-US"/>
    </w:rPr>
  </w:style>
  <w:style w:type="paragraph" w:styleId="TOC5">
    <w:name w:val="toc 5"/>
    <w:basedOn w:val="Normal"/>
    <w:next w:val="Normal"/>
    <w:autoRedefine/>
    <w:uiPriority w:val="39"/>
    <w:unhideWhenUsed/>
    <w:rsid w:val="00F93D3B"/>
    <w:pPr>
      <w:tabs>
        <w:tab w:val="right" w:leader="dot" w:pos="9730"/>
      </w:tabs>
      <w:spacing w:after="100"/>
      <w:ind w:left="880"/>
    </w:pPr>
  </w:style>
  <w:style w:type="character" w:styleId="UnresolvedMention">
    <w:name w:val="Unresolved Mention"/>
    <w:basedOn w:val="DefaultParagraphFont"/>
    <w:uiPriority w:val="99"/>
    <w:unhideWhenUsed/>
    <w:rsid w:val="004E408E"/>
    <w:rPr>
      <w:color w:val="605E5C"/>
      <w:shd w:val="clear" w:color="auto" w:fill="E1DFDD"/>
    </w:rPr>
  </w:style>
  <w:style w:type="paragraph" w:customStyle="1" w:styleId="paragraph">
    <w:name w:val="paragraph"/>
    <w:basedOn w:val="Normal"/>
    <w:rsid w:val="004E408E"/>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4E408E"/>
  </w:style>
  <w:style w:type="character" w:customStyle="1" w:styleId="eop">
    <w:name w:val="eop"/>
    <w:basedOn w:val="DefaultParagraphFont"/>
    <w:rsid w:val="004E408E"/>
  </w:style>
  <w:style w:type="character" w:styleId="Mention">
    <w:name w:val="Mention"/>
    <w:basedOn w:val="DefaultParagraphFont"/>
    <w:uiPriority w:val="99"/>
    <w:unhideWhenUsed/>
    <w:rsid w:val="004E408E"/>
    <w:rPr>
      <w:color w:val="2B579A"/>
      <w:shd w:val="clear" w:color="auto" w:fill="E1DFDD"/>
    </w:rPr>
  </w:style>
  <w:style w:type="character" w:customStyle="1" w:styleId="ui-provider">
    <w:name w:val="ui-provider"/>
    <w:basedOn w:val="DefaultParagraphFont"/>
    <w:rsid w:val="00D33625"/>
  </w:style>
  <w:style w:type="character" w:customStyle="1" w:styleId="scxw124599275">
    <w:name w:val="scxw124599275"/>
    <w:basedOn w:val="DefaultParagraphFont"/>
    <w:rsid w:val="002E5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98011">
      <w:bodyDiv w:val="1"/>
      <w:marLeft w:val="0"/>
      <w:marRight w:val="0"/>
      <w:marTop w:val="0"/>
      <w:marBottom w:val="0"/>
      <w:divBdr>
        <w:top w:val="none" w:sz="0" w:space="0" w:color="auto"/>
        <w:left w:val="none" w:sz="0" w:space="0" w:color="auto"/>
        <w:bottom w:val="none" w:sz="0" w:space="0" w:color="auto"/>
        <w:right w:val="none" w:sz="0" w:space="0" w:color="auto"/>
      </w:divBdr>
    </w:div>
    <w:div w:id="861164436">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83132586">
      <w:bodyDiv w:val="1"/>
      <w:marLeft w:val="0"/>
      <w:marRight w:val="0"/>
      <w:marTop w:val="0"/>
      <w:marBottom w:val="0"/>
      <w:divBdr>
        <w:top w:val="none" w:sz="0" w:space="0" w:color="auto"/>
        <w:left w:val="none" w:sz="0" w:space="0" w:color="auto"/>
        <w:bottom w:val="none" w:sz="0" w:space="0" w:color="auto"/>
        <w:right w:val="none" w:sz="0" w:space="0" w:color="auto"/>
      </w:divBdr>
    </w:div>
    <w:div w:id="2052000585">
      <w:bodyDiv w:val="1"/>
      <w:marLeft w:val="0"/>
      <w:marRight w:val="0"/>
      <w:marTop w:val="0"/>
      <w:marBottom w:val="0"/>
      <w:divBdr>
        <w:top w:val="none" w:sz="0" w:space="0" w:color="auto"/>
        <w:left w:val="none" w:sz="0" w:space="0" w:color="auto"/>
        <w:bottom w:val="none" w:sz="0" w:space="0" w:color="auto"/>
        <w:right w:val="none" w:sz="0" w:space="0" w:color="auto"/>
      </w:divBdr>
    </w:div>
    <w:div w:id="212719608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hyperlink" Target="https://cer.gov.au/schemes/national-greenhouse-and-energy-reporting-scheme" TargetMode="External"/><Relationship Id="rId39" Type="http://schemas.openxmlformats.org/officeDocument/2006/relationships/header" Target="header1.xml"/><Relationship Id="rId21" Type="http://schemas.openxmlformats.org/officeDocument/2006/relationships/image" Target="media/image12.png"/><Relationship Id="rId34" Type="http://schemas.openxmlformats.org/officeDocument/2006/relationships/hyperlink" Target="https://cer.gov.au/document_page/nger-quick-help-topics" TargetMode="External"/><Relationship Id="rId42"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hyperlink" Target="https://cer.gov.au/about-us/contact-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legislation.gov.au/Series/F2008L02230" TargetMode="External"/><Relationship Id="rId32" Type="http://schemas.openxmlformats.org/officeDocument/2006/relationships/hyperlink" Target="http://www.cleanenergyregulator.gov.au/DocumentAssets/Pages/estimating-emissions-and-energy-from-coal-mining.aspx" TargetMode="External"/><Relationship Id="rId37" Type="http://schemas.openxmlformats.org/officeDocument/2006/relationships/hyperlink" Target="mailto:cer-nger-reporting@cer.gov.au"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legislation.gov.au/Series/C2007A00175" TargetMode="External"/><Relationship Id="rId28" Type="http://schemas.openxmlformats.org/officeDocument/2006/relationships/hyperlink" Target="https://cer.gov.au/schemes/national-greenhouse-and-energy-reporting-scheme/about-emissions-and-energy-data/emissions-and-energy-types" TargetMode="External"/><Relationship Id="rId36" Type="http://schemas.openxmlformats.org/officeDocument/2006/relationships/hyperlink" Target="https://cer.gov.au/markets/reports-and-data/nger-reporting-data-and-registers" TargetMode="External"/><Relationship Id="rId10" Type="http://schemas.openxmlformats.org/officeDocument/2006/relationships/image" Target="media/image2.svg"/><Relationship Id="rId19" Type="http://schemas.openxmlformats.org/officeDocument/2006/relationships/image" Target="media/image10.png"/><Relationship Id="rId31" Type="http://schemas.openxmlformats.org/officeDocument/2006/relationships/hyperlink" Target="https://cer.gov.au/document_page/estimating-emissions-and-energy-coal-mining-guideline"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svg"/><Relationship Id="rId22" Type="http://schemas.openxmlformats.org/officeDocument/2006/relationships/hyperlink" Target="https://www.legislation.gov.au/help-and-resources/understanding-legislation/reading-legislation" TargetMode="External"/><Relationship Id="rId27" Type="http://schemas.openxmlformats.org/officeDocument/2006/relationships/hyperlink" Target="https://cer.gov.au/schemes/national-greenhouse-and-energy-reporting-scheme/report-emissions-and-energy/amendments" TargetMode="External"/><Relationship Id="rId30" Type="http://schemas.openxmlformats.org/officeDocument/2006/relationships/hyperlink" Target="https://cer.gov.au/document_page/reporting-blended-fuels-other-fuel-mixes-bitumen-and-explosives-guideline" TargetMode="External"/><Relationship Id="rId35" Type="http://schemas.openxmlformats.org/officeDocument/2006/relationships/hyperlink" Target="https://cer.gov.au/document_page/nger-quick-help-topics" TargetMode="External"/><Relationship Id="rId43"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www.legislation.gov.au/Series/F2008L02309" TargetMode="External"/><Relationship Id="rId33" Type="http://schemas.openxmlformats.org/officeDocument/2006/relationships/hyperlink" Target="https://cer.gov.au/document_page/estimating-emissions-and-energy-solid-waste-and-landfill-biogas-management-guideline" TargetMode="External"/><Relationship Id="rId38" Type="http://schemas.openxmlformats.org/officeDocument/2006/relationships/hyperlink" Target="https://cer.gov.au/" TargetMode="External"/><Relationship Id="rId20" Type="http://schemas.openxmlformats.org/officeDocument/2006/relationships/image" Target="media/image11.svg"/><Relationship Id="rId41"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5.png"/></Relationships>
</file>

<file path=word/_rels/footnotes.xml.rels><?xml version="1.0" encoding="UTF-8" standalone="yes"?>
<Relationships xmlns="http://schemas.openxmlformats.org/package/2006/relationships"><Relationship Id="rId1" Type="http://schemas.openxmlformats.org/officeDocument/2006/relationships/hyperlink" Target="https://www.cleanenergyregulator.gov.au/DocumentAssets/Pages/Reporting-blended-fuels-other-fuel-mixes-and-bitumen-guideli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9526-310E-4236-9A29-461AB6BF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7132</Words>
  <Characters>40658</Characters>
  <Application>Microsoft Office Word</Application>
  <DocSecurity>8</DocSecurity>
  <Lines>338</Lines>
  <Paragraphs>95</Paragraphs>
  <ScaleCrop>false</ScaleCrop>
  <HeadingPairs>
    <vt:vector size="2" baseType="variant">
      <vt:variant>
        <vt:lpstr>Title</vt:lpstr>
      </vt:variant>
      <vt:variant>
        <vt:i4>1</vt:i4>
      </vt:variant>
    </vt:vector>
  </HeadingPairs>
  <TitlesOfParts>
    <vt:vector size="1" baseType="lpstr">
      <vt:lpstr>Reporting energy production and consumption guideline</vt:lpstr>
    </vt:vector>
  </TitlesOfParts>
  <Company/>
  <LinksUpToDate>false</LinksUpToDate>
  <CharactersWithSpaces>47695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energy production and consumption guideline</dc:title>
  <dc:subject/>
  <dc:creator/>
  <cp:keywords/>
  <cp:lastModifiedBy/>
  <cp:revision>1</cp:revision>
  <dcterms:created xsi:type="dcterms:W3CDTF">2025-08-13T23:44:00Z</dcterms:created>
  <dcterms:modified xsi:type="dcterms:W3CDTF">2025-08-13T23:50:00Z</dcterms:modified>
  <cp:contentStatus/>
</cp:coreProperties>
</file>