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841BE" w14:textId="2C7C620A" w:rsidR="0012468E" w:rsidRDefault="006224D0" w:rsidP="00FA7635">
      <w:pPr>
        <w:pStyle w:val="Heading2"/>
        <w:rPr>
          <w:kern w:val="32"/>
          <w:sz w:val="40"/>
          <w:szCs w:val="24"/>
        </w:rPr>
      </w:pPr>
      <w:r>
        <w:rPr>
          <w:kern w:val="32"/>
          <w:sz w:val="40"/>
          <w:szCs w:val="24"/>
        </w:rPr>
        <w:t>Interim</w:t>
      </w:r>
      <w:r w:rsidR="0012468E" w:rsidRPr="0012468E">
        <w:rPr>
          <w:kern w:val="32"/>
          <w:sz w:val="40"/>
          <w:szCs w:val="24"/>
        </w:rPr>
        <w:t xml:space="preserve"> operational policy</w:t>
      </w:r>
      <w:r w:rsidR="0012468E">
        <w:rPr>
          <w:kern w:val="32"/>
          <w:sz w:val="40"/>
          <w:szCs w:val="24"/>
        </w:rPr>
        <w:t>—s</w:t>
      </w:r>
      <w:r w:rsidR="0012468E" w:rsidRPr="0012468E">
        <w:rPr>
          <w:kern w:val="32"/>
          <w:sz w:val="40"/>
          <w:szCs w:val="24"/>
        </w:rPr>
        <w:t xml:space="preserve">tratification of carbon estimation areas </w:t>
      </w:r>
      <w:r w:rsidR="0012468E">
        <w:rPr>
          <w:kern w:val="32"/>
          <w:sz w:val="40"/>
          <w:szCs w:val="24"/>
        </w:rPr>
        <w:t>un</w:t>
      </w:r>
      <w:r w:rsidR="0012468E" w:rsidRPr="0012468E">
        <w:rPr>
          <w:kern w:val="32"/>
          <w:sz w:val="40"/>
          <w:szCs w:val="24"/>
        </w:rPr>
        <w:t>der the NFMR</w:t>
      </w:r>
      <w:r w:rsidR="0012468E">
        <w:rPr>
          <w:kern w:val="32"/>
          <w:sz w:val="40"/>
          <w:szCs w:val="24"/>
        </w:rPr>
        <w:t xml:space="preserve"> </w:t>
      </w:r>
      <w:r w:rsidR="0012468E" w:rsidRPr="0012468E">
        <w:rPr>
          <w:kern w:val="32"/>
          <w:sz w:val="40"/>
          <w:szCs w:val="24"/>
        </w:rPr>
        <w:t xml:space="preserve">and HIR methods  </w:t>
      </w:r>
    </w:p>
    <w:p w14:paraId="4DBEDDBB" w14:textId="7C3216AA" w:rsidR="0012468E" w:rsidRDefault="0012468E" w:rsidP="0012468E">
      <w:r>
        <w:t xml:space="preserve">The </w:t>
      </w:r>
      <w:r w:rsidRPr="0012468E">
        <w:t xml:space="preserve">native forest </w:t>
      </w:r>
      <w:r>
        <w:t xml:space="preserve">from </w:t>
      </w:r>
      <w:r w:rsidRPr="0012468E">
        <w:t xml:space="preserve">managed regrowth </w:t>
      </w:r>
      <w:r>
        <w:t xml:space="preserve">(NFMR) and </w:t>
      </w:r>
      <w:r w:rsidRPr="0012468E">
        <w:t xml:space="preserve">human induced regeneration </w:t>
      </w:r>
      <w:r>
        <w:t>(HIR) family of methods are designed to achieve forest cover of Australian native tree species that are indigenous to a project’s local area through regeneration. It is expected that areas with forest potential can and should reach forest cover by the end of the crediting period for the project.</w:t>
      </w:r>
    </w:p>
    <w:p w14:paraId="2E4D2241" w14:textId="77777777" w:rsidR="0012468E" w:rsidRDefault="0012468E" w:rsidP="0012468E">
      <w:r>
        <w:t>The purpose of this policy is to clarify requirements for stratifying carbon estimation areas (CEAs) under the NFMR and HIR methods,</w:t>
      </w:r>
      <w:r w:rsidR="005C6BE8">
        <w:t xml:space="preserve"> including the requirement</w:t>
      </w:r>
      <w:r>
        <w:t xml:space="preserve"> that a CEA must have forest potential when it is first stratified</w:t>
      </w:r>
      <w:r w:rsidR="005C6BE8">
        <w:t>,</w:t>
      </w:r>
      <w:r>
        <w:t xml:space="preserve"> and </w:t>
      </w:r>
      <w:r w:rsidR="005C6BE8">
        <w:t xml:space="preserve">that it demonstrates </w:t>
      </w:r>
      <w:r>
        <w:t>regeneration during each subsequent reporting period</w:t>
      </w:r>
      <w:r>
        <w:rPr>
          <w:rStyle w:val="FootnoteReference"/>
        </w:rPr>
        <w:footnoteReference w:id="1"/>
      </w:r>
      <w:r>
        <w:t>.</w:t>
      </w:r>
    </w:p>
    <w:p w14:paraId="49CC75D4" w14:textId="77777777" w:rsidR="0012468E" w:rsidRDefault="0012468E" w:rsidP="0012468E">
      <w:pPr>
        <w:shd w:val="clear" w:color="auto" w:fill="FFFFFF"/>
        <w:spacing w:before="100" w:beforeAutospacing="1" w:after="120"/>
      </w:pPr>
      <w:r>
        <w:t xml:space="preserve">Stratification refers to defining the boundaries of </w:t>
      </w:r>
      <w:r w:rsidR="005C6BE8">
        <w:t>a CEA—which i</w:t>
      </w:r>
      <w:r>
        <w:t>s an area of land within a project area where the project activity or activities are being carried out</w:t>
      </w:r>
      <w:r w:rsidR="005C6BE8">
        <w:t>,</w:t>
      </w:r>
      <w:r>
        <w:t xml:space="preserve"> and for which you expect to receive credits. </w:t>
      </w:r>
    </w:p>
    <w:p w14:paraId="43D11152" w14:textId="77777777" w:rsidR="0012468E" w:rsidRDefault="0012468E" w:rsidP="0012468E">
      <w:pPr>
        <w:shd w:val="clear" w:color="auto" w:fill="FFFFFF"/>
        <w:spacing w:before="100" w:beforeAutospacing="1" w:after="120"/>
      </w:pPr>
      <w:r>
        <w:t xml:space="preserve">Initial stratification of a CEA requires that the land must have forest potential and be a minimum area of 0.2 hectares. For a CEA to have forest potential, it must contain trees across the CEA and the trees must be of a type that are likely to reach </w:t>
      </w:r>
      <w:r w:rsidR="005C6BE8">
        <w:t>two</w:t>
      </w:r>
      <w:r>
        <w:t xml:space="preserve"> metres or more in height and at least 20 per cent crown cover over the area of the CEA</w:t>
      </w:r>
      <w:r>
        <w:rPr>
          <w:rStyle w:val="FootnoteReference"/>
        </w:rPr>
        <w:footnoteReference w:id="2"/>
      </w:r>
      <w:r>
        <w:t xml:space="preserve">. </w:t>
      </w:r>
    </w:p>
    <w:p w14:paraId="73940008" w14:textId="3EE8A20B" w:rsidR="0012468E" w:rsidRDefault="0012468E" w:rsidP="0012468E">
      <w:r>
        <w:t xml:space="preserve">For NFMR </w:t>
      </w:r>
      <w:r w:rsidR="005C6BE8">
        <w:t xml:space="preserve">projects, </w:t>
      </w:r>
      <w:r>
        <w:t>the minimum tree stem density required to achieve 20 per</w:t>
      </w:r>
      <w:r w:rsidR="005C6BE8">
        <w:t xml:space="preserve"> </w:t>
      </w:r>
      <w:r>
        <w:t xml:space="preserve">cent crown cover for a given crown diameter is set out in the table below. </w:t>
      </w:r>
    </w:p>
    <w:p w14:paraId="75DF31DA" w14:textId="77777777" w:rsidR="0081666A" w:rsidRDefault="0081666A" w:rsidP="0012468E">
      <w:pPr>
        <w:rPr>
          <w:i/>
        </w:rPr>
        <w:sectPr w:rsidR="0081666A" w:rsidSect="00AD649E">
          <w:headerReference w:type="default" r:id="rId10"/>
          <w:footerReference w:type="default" r:id="rId11"/>
          <w:headerReference w:type="first" r:id="rId12"/>
          <w:footerReference w:type="first" r:id="rId13"/>
          <w:pgSz w:w="11900" w:h="16840" w:code="9"/>
          <w:pgMar w:top="889" w:right="1080" w:bottom="993" w:left="1080" w:header="397" w:footer="113" w:gutter="0"/>
          <w:cols w:space="708"/>
          <w:titlePg/>
          <w:docGrid w:linePitch="326"/>
        </w:sectPr>
      </w:pPr>
    </w:p>
    <w:p w14:paraId="7D9D56C2" w14:textId="6F38ECBE" w:rsidR="0081666A" w:rsidRPr="0081666A" w:rsidRDefault="0081666A" w:rsidP="0012468E">
      <w:pPr>
        <w:rPr>
          <w:i/>
        </w:rPr>
      </w:pPr>
      <w:r w:rsidRPr="0081666A">
        <w:rPr>
          <w:i/>
        </w:rPr>
        <w:lastRenderedPageBreak/>
        <w:t>Table 1—Minimum number of trees per hectare to achieve 20% crown cover in a stand of trees</w:t>
      </w:r>
    </w:p>
    <w:tbl>
      <w:tblPr>
        <w:tblStyle w:val="CERTable"/>
        <w:tblW w:w="9776" w:type="dxa"/>
        <w:tblLook w:val="0620" w:firstRow="1" w:lastRow="0" w:firstColumn="0" w:lastColumn="0" w:noHBand="1" w:noVBand="1"/>
      </w:tblPr>
      <w:tblGrid>
        <w:gridCol w:w="2444"/>
        <w:gridCol w:w="2444"/>
        <w:gridCol w:w="2444"/>
        <w:gridCol w:w="2444"/>
      </w:tblGrid>
      <w:tr w:rsidR="0081666A" w:rsidRPr="00FA7635" w14:paraId="20CBCE98" w14:textId="77777777" w:rsidTr="0081666A">
        <w:trPr>
          <w:cnfStyle w:val="100000000000" w:firstRow="1" w:lastRow="0" w:firstColumn="0" w:lastColumn="0" w:oddVBand="0" w:evenVBand="0" w:oddHBand="0" w:evenHBand="0" w:firstRowFirstColumn="0" w:firstRowLastColumn="0" w:lastRowFirstColumn="0" w:lastRowLastColumn="0"/>
        </w:trPr>
        <w:tc>
          <w:tcPr>
            <w:tcW w:w="2444" w:type="dxa"/>
          </w:tcPr>
          <w:p w14:paraId="160BB304" w14:textId="38B7C42E" w:rsidR="0081666A" w:rsidRPr="00FA7635" w:rsidRDefault="0081666A" w:rsidP="0081666A">
            <w:r w:rsidRPr="007E2921">
              <w:t>Mature crown diameter per tree (m)</w:t>
            </w:r>
          </w:p>
        </w:tc>
        <w:tc>
          <w:tcPr>
            <w:tcW w:w="2444" w:type="dxa"/>
          </w:tcPr>
          <w:p w14:paraId="59DF4E28" w14:textId="6FC0A0BB" w:rsidR="0081666A" w:rsidRPr="00FA7635" w:rsidRDefault="0081666A" w:rsidP="0081666A">
            <w:r w:rsidRPr="007E2921">
              <w:t>Crown area per tree at maturity (m2)</w:t>
            </w:r>
          </w:p>
        </w:tc>
        <w:tc>
          <w:tcPr>
            <w:tcW w:w="2444" w:type="dxa"/>
          </w:tcPr>
          <w:p w14:paraId="60884F29" w14:textId="6210177F" w:rsidR="0081666A" w:rsidRPr="00FA7635" w:rsidRDefault="0081666A" w:rsidP="0081666A">
            <w:r w:rsidRPr="007E2921">
              <w:t>Crown area per tree at maturity (ha)</w:t>
            </w:r>
          </w:p>
        </w:tc>
        <w:tc>
          <w:tcPr>
            <w:tcW w:w="2444" w:type="dxa"/>
          </w:tcPr>
          <w:p w14:paraId="6851AFA2" w14:textId="4AC2A4CC" w:rsidR="0081666A" w:rsidRPr="00FA7635" w:rsidRDefault="0081666A" w:rsidP="0081666A">
            <w:r w:rsidRPr="007E2921">
              <w:t>Minimum number of trees per hectare required for 20% crown cover</w:t>
            </w:r>
            <w:r>
              <w:t>*</w:t>
            </w:r>
          </w:p>
        </w:tc>
      </w:tr>
      <w:tr w:rsidR="0081666A" w:rsidRPr="00FA7635" w14:paraId="14ACDA56" w14:textId="77777777" w:rsidTr="0081666A">
        <w:tc>
          <w:tcPr>
            <w:tcW w:w="2444" w:type="dxa"/>
          </w:tcPr>
          <w:p w14:paraId="5B950951" w14:textId="7DCAA6F4" w:rsidR="0081666A" w:rsidRPr="00FA7635" w:rsidRDefault="0081666A" w:rsidP="0081666A">
            <w:r w:rsidRPr="007E2921">
              <w:t>5.0</w:t>
            </w:r>
          </w:p>
        </w:tc>
        <w:tc>
          <w:tcPr>
            <w:tcW w:w="2444" w:type="dxa"/>
          </w:tcPr>
          <w:p w14:paraId="7F936028" w14:textId="12DF8EB8" w:rsidR="0081666A" w:rsidRPr="00FA7635" w:rsidRDefault="0081666A" w:rsidP="0081666A">
            <w:r w:rsidRPr="007E2921">
              <w:t>19.63</w:t>
            </w:r>
          </w:p>
        </w:tc>
        <w:tc>
          <w:tcPr>
            <w:tcW w:w="2444" w:type="dxa"/>
          </w:tcPr>
          <w:p w14:paraId="5CDAD2B6" w14:textId="4221EB78" w:rsidR="0081666A" w:rsidRPr="00FA7635" w:rsidRDefault="0081666A" w:rsidP="0081666A">
            <w:r w:rsidRPr="007E2921">
              <w:t>0.00196</w:t>
            </w:r>
          </w:p>
        </w:tc>
        <w:tc>
          <w:tcPr>
            <w:tcW w:w="2444" w:type="dxa"/>
          </w:tcPr>
          <w:p w14:paraId="51D287B4" w14:textId="56E3E2EA" w:rsidR="0081666A" w:rsidRPr="00FA7635" w:rsidRDefault="0081666A" w:rsidP="0081666A">
            <w:r w:rsidRPr="007E2921">
              <w:t>102</w:t>
            </w:r>
          </w:p>
        </w:tc>
      </w:tr>
      <w:tr w:rsidR="0081666A" w:rsidRPr="00FA7635" w14:paraId="575ADCCB" w14:textId="77777777" w:rsidTr="0081666A">
        <w:tc>
          <w:tcPr>
            <w:tcW w:w="2444" w:type="dxa"/>
          </w:tcPr>
          <w:p w14:paraId="33E3DD9A" w14:textId="7F851733" w:rsidR="0081666A" w:rsidRPr="00FA7635" w:rsidRDefault="0081666A" w:rsidP="0081666A">
            <w:r w:rsidRPr="007E2921">
              <w:t>4.5</w:t>
            </w:r>
          </w:p>
        </w:tc>
        <w:tc>
          <w:tcPr>
            <w:tcW w:w="2444" w:type="dxa"/>
          </w:tcPr>
          <w:p w14:paraId="47B92E65" w14:textId="2FD80AD2" w:rsidR="0081666A" w:rsidRPr="00FA7635" w:rsidRDefault="0081666A" w:rsidP="0081666A">
            <w:r w:rsidRPr="007E2921">
              <w:t>15.90</w:t>
            </w:r>
          </w:p>
        </w:tc>
        <w:tc>
          <w:tcPr>
            <w:tcW w:w="2444" w:type="dxa"/>
          </w:tcPr>
          <w:p w14:paraId="754E1A3B" w14:textId="0E23E78B" w:rsidR="0081666A" w:rsidRPr="00FA7635" w:rsidRDefault="0081666A" w:rsidP="0081666A">
            <w:r w:rsidRPr="007E2921">
              <w:t>0.00159</w:t>
            </w:r>
          </w:p>
        </w:tc>
        <w:tc>
          <w:tcPr>
            <w:tcW w:w="2444" w:type="dxa"/>
          </w:tcPr>
          <w:p w14:paraId="50513B40" w14:textId="12767D64" w:rsidR="0081666A" w:rsidRPr="00FA7635" w:rsidRDefault="0081666A" w:rsidP="0081666A">
            <w:r w:rsidRPr="007E2921">
              <w:t>126</w:t>
            </w:r>
          </w:p>
        </w:tc>
      </w:tr>
      <w:tr w:rsidR="0081666A" w:rsidRPr="00FA7635" w14:paraId="3848C06D" w14:textId="77777777" w:rsidTr="0081666A">
        <w:tc>
          <w:tcPr>
            <w:tcW w:w="2444" w:type="dxa"/>
          </w:tcPr>
          <w:p w14:paraId="5B1E43C1" w14:textId="66B51A27" w:rsidR="0081666A" w:rsidRPr="00FA7635" w:rsidRDefault="0081666A" w:rsidP="0081666A">
            <w:r w:rsidRPr="007E2921">
              <w:t>4.0</w:t>
            </w:r>
          </w:p>
        </w:tc>
        <w:tc>
          <w:tcPr>
            <w:tcW w:w="2444" w:type="dxa"/>
          </w:tcPr>
          <w:p w14:paraId="331A1CA7" w14:textId="4CB9262E" w:rsidR="0081666A" w:rsidRPr="00FA7635" w:rsidRDefault="0081666A" w:rsidP="0081666A">
            <w:r w:rsidRPr="007E2921">
              <w:t>12.57</w:t>
            </w:r>
          </w:p>
        </w:tc>
        <w:tc>
          <w:tcPr>
            <w:tcW w:w="2444" w:type="dxa"/>
          </w:tcPr>
          <w:p w14:paraId="61A7C4E3" w14:textId="75FA8EA5" w:rsidR="0081666A" w:rsidRPr="00FA7635" w:rsidRDefault="0081666A" w:rsidP="0081666A">
            <w:r w:rsidRPr="007E2921">
              <w:t>0.00126</w:t>
            </w:r>
          </w:p>
        </w:tc>
        <w:tc>
          <w:tcPr>
            <w:tcW w:w="2444" w:type="dxa"/>
          </w:tcPr>
          <w:p w14:paraId="7C392B8D" w14:textId="283F4B46" w:rsidR="0081666A" w:rsidRPr="00FA7635" w:rsidRDefault="0081666A" w:rsidP="0081666A">
            <w:r w:rsidRPr="007E2921">
              <w:t>160</w:t>
            </w:r>
          </w:p>
        </w:tc>
      </w:tr>
      <w:tr w:rsidR="0081666A" w:rsidRPr="00FA7635" w14:paraId="04A5462D" w14:textId="77777777" w:rsidTr="0081666A">
        <w:tc>
          <w:tcPr>
            <w:tcW w:w="2444" w:type="dxa"/>
          </w:tcPr>
          <w:p w14:paraId="65ECC7F1" w14:textId="1F3795AC" w:rsidR="0081666A" w:rsidRPr="00FA7635" w:rsidRDefault="0081666A" w:rsidP="0081666A">
            <w:r w:rsidRPr="007E2921">
              <w:t>3.5</w:t>
            </w:r>
          </w:p>
        </w:tc>
        <w:tc>
          <w:tcPr>
            <w:tcW w:w="2444" w:type="dxa"/>
          </w:tcPr>
          <w:p w14:paraId="47BF63A8" w14:textId="3275A7C6" w:rsidR="0081666A" w:rsidRPr="00FA7635" w:rsidRDefault="0081666A" w:rsidP="0081666A">
            <w:r w:rsidRPr="007E2921">
              <w:t>9.62</w:t>
            </w:r>
          </w:p>
        </w:tc>
        <w:tc>
          <w:tcPr>
            <w:tcW w:w="2444" w:type="dxa"/>
          </w:tcPr>
          <w:p w14:paraId="1DBF28D9" w14:textId="66B22AEC" w:rsidR="0081666A" w:rsidRPr="00FA7635" w:rsidRDefault="0081666A" w:rsidP="0081666A">
            <w:r w:rsidRPr="007E2921">
              <w:t>0.00096</w:t>
            </w:r>
          </w:p>
        </w:tc>
        <w:tc>
          <w:tcPr>
            <w:tcW w:w="2444" w:type="dxa"/>
          </w:tcPr>
          <w:p w14:paraId="498EC195" w14:textId="5C259153" w:rsidR="0081666A" w:rsidRPr="00FA7635" w:rsidRDefault="0081666A" w:rsidP="0081666A">
            <w:r w:rsidRPr="007E2921">
              <w:t>208</w:t>
            </w:r>
          </w:p>
        </w:tc>
      </w:tr>
      <w:tr w:rsidR="0081666A" w:rsidRPr="00FA7635" w14:paraId="06EC7255" w14:textId="77777777" w:rsidTr="0081666A">
        <w:tc>
          <w:tcPr>
            <w:tcW w:w="2444" w:type="dxa"/>
          </w:tcPr>
          <w:p w14:paraId="4ED7E1E6" w14:textId="28450514" w:rsidR="0081666A" w:rsidRPr="00FA7635" w:rsidRDefault="0081666A" w:rsidP="0081666A">
            <w:r w:rsidRPr="007E2921">
              <w:t>3.0</w:t>
            </w:r>
          </w:p>
        </w:tc>
        <w:tc>
          <w:tcPr>
            <w:tcW w:w="2444" w:type="dxa"/>
          </w:tcPr>
          <w:p w14:paraId="4B02252C" w14:textId="7AE0A7A1" w:rsidR="0081666A" w:rsidRPr="00FA7635" w:rsidRDefault="0081666A" w:rsidP="0081666A">
            <w:r w:rsidRPr="007E2921">
              <w:t>7.07</w:t>
            </w:r>
          </w:p>
        </w:tc>
        <w:tc>
          <w:tcPr>
            <w:tcW w:w="2444" w:type="dxa"/>
          </w:tcPr>
          <w:p w14:paraId="690B29EF" w14:textId="178BC3C0" w:rsidR="0081666A" w:rsidRPr="00FA7635" w:rsidRDefault="0081666A" w:rsidP="0081666A">
            <w:r w:rsidRPr="007E2921">
              <w:t>0.00071</w:t>
            </w:r>
          </w:p>
        </w:tc>
        <w:tc>
          <w:tcPr>
            <w:tcW w:w="2444" w:type="dxa"/>
          </w:tcPr>
          <w:p w14:paraId="6C54A936" w14:textId="67E164C1" w:rsidR="0081666A" w:rsidRPr="00FA7635" w:rsidRDefault="0081666A" w:rsidP="0081666A">
            <w:r w:rsidRPr="007E2921">
              <w:t>283</w:t>
            </w:r>
          </w:p>
        </w:tc>
      </w:tr>
      <w:tr w:rsidR="0081666A" w:rsidRPr="00FA7635" w14:paraId="3A75B503" w14:textId="77777777" w:rsidTr="0081666A">
        <w:tc>
          <w:tcPr>
            <w:tcW w:w="2444" w:type="dxa"/>
          </w:tcPr>
          <w:p w14:paraId="4CED5CA7" w14:textId="4CE32F4E" w:rsidR="0081666A" w:rsidRPr="00FA7635" w:rsidRDefault="0081666A" w:rsidP="0081666A">
            <w:r w:rsidRPr="007E2921">
              <w:t>2.5</w:t>
            </w:r>
          </w:p>
        </w:tc>
        <w:tc>
          <w:tcPr>
            <w:tcW w:w="2444" w:type="dxa"/>
          </w:tcPr>
          <w:p w14:paraId="490842C4" w14:textId="429AB274" w:rsidR="0081666A" w:rsidRPr="00FA7635" w:rsidRDefault="0081666A" w:rsidP="0081666A">
            <w:r w:rsidRPr="007E2921">
              <w:t>4.91</w:t>
            </w:r>
          </w:p>
        </w:tc>
        <w:tc>
          <w:tcPr>
            <w:tcW w:w="2444" w:type="dxa"/>
          </w:tcPr>
          <w:p w14:paraId="6D10D328" w14:textId="43BCF44B" w:rsidR="0081666A" w:rsidRPr="00FA7635" w:rsidRDefault="0081666A" w:rsidP="0081666A">
            <w:r w:rsidRPr="007E2921">
              <w:t>0.00049</w:t>
            </w:r>
          </w:p>
        </w:tc>
        <w:tc>
          <w:tcPr>
            <w:tcW w:w="2444" w:type="dxa"/>
          </w:tcPr>
          <w:p w14:paraId="39818FC8" w14:textId="2A2A6D81" w:rsidR="0081666A" w:rsidRPr="00FA7635" w:rsidRDefault="0081666A" w:rsidP="0081666A">
            <w:r w:rsidRPr="007E2921">
              <w:t>408</w:t>
            </w:r>
          </w:p>
        </w:tc>
      </w:tr>
      <w:tr w:rsidR="0081666A" w:rsidRPr="00FA7635" w14:paraId="6A5A6D92" w14:textId="77777777" w:rsidTr="0081666A">
        <w:tc>
          <w:tcPr>
            <w:tcW w:w="2444" w:type="dxa"/>
          </w:tcPr>
          <w:p w14:paraId="331861C1" w14:textId="676E6796" w:rsidR="0081666A" w:rsidRPr="007E2921" w:rsidRDefault="0081666A" w:rsidP="0081666A">
            <w:r w:rsidRPr="0081666A">
              <w:t>2.0</w:t>
            </w:r>
          </w:p>
        </w:tc>
        <w:tc>
          <w:tcPr>
            <w:tcW w:w="2444" w:type="dxa"/>
          </w:tcPr>
          <w:p w14:paraId="496AF850" w14:textId="3B3C256F" w:rsidR="0081666A" w:rsidRPr="007E2921" w:rsidRDefault="0081666A" w:rsidP="0081666A">
            <w:r w:rsidRPr="0081666A">
              <w:t>3.14</w:t>
            </w:r>
          </w:p>
        </w:tc>
        <w:tc>
          <w:tcPr>
            <w:tcW w:w="2444" w:type="dxa"/>
          </w:tcPr>
          <w:p w14:paraId="27C4EEAE" w14:textId="0D74F7F5" w:rsidR="0081666A" w:rsidRPr="007E2921" w:rsidRDefault="0081666A" w:rsidP="0081666A">
            <w:r w:rsidRPr="0081666A">
              <w:t>0.00031</w:t>
            </w:r>
          </w:p>
        </w:tc>
        <w:tc>
          <w:tcPr>
            <w:tcW w:w="2444" w:type="dxa"/>
          </w:tcPr>
          <w:p w14:paraId="490545FA" w14:textId="46D7FF6A" w:rsidR="0081666A" w:rsidRPr="007E2921" w:rsidRDefault="0081666A" w:rsidP="0081666A">
            <w:r w:rsidRPr="0081666A">
              <w:t>637</w:t>
            </w:r>
          </w:p>
        </w:tc>
      </w:tr>
    </w:tbl>
    <w:p w14:paraId="0FD22B8B" w14:textId="164818E3" w:rsidR="0012468E" w:rsidRDefault="0081666A" w:rsidP="0012468E">
      <w:r>
        <w:t>*Crown cover of 20 per cent</w:t>
      </w:r>
      <w:r w:rsidRPr="007E2921">
        <w:t xml:space="preserve"> divided by </w:t>
      </w:r>
      <w:r>
        <w:t>crown area per tree at maturity.</w:t>
      </w:r>
    </w:p>
    <w:p w14:paraId="56F05598" w14:textId="3628DAC7" w:rsidR="0081666A" w:rsidRDefault="0081666A" w:rsidP="00BC21A1">
      <w:r>
        <w:t xml:space="preserve">CEAs should be selected according to </w:t>
      </w:r>
      <w:r w:rsidRPr="003B7F77">
        <w:t>the site characteristics and management practices that affect the growth rate of trees in the area.</w:t>
      </w:r>
      <w:r>
        <w:t xml:space="preserve"> It is not sufficient that a CEA was once vegetated or forest</w:t>
      </w:r>
      <w:r w:rsidR="00BC21A1">
        <w:t>—t</w:t>
      </w:r>
      <w:r>
        <w:t>he CEA must have trees regrowing that meet the requirements outlined above to have forest potential</w:t>
      </w:r>
      <w:r>
        <w:rPr>
          <w:rStyle w:val="FootnoteReference"/>
        </w:rPr>
        <w:footnoteReference w:id="3"/>
      </w:r>
      <w:r>
        <w:t xml:space="preserve">. </w:t>
      </w:r>
    </w:p>
    <w:p w14:paraId="5D109BD5" w14:textId="14822B58" w:rsidR="0081666A" w:rsidRDefault="00BC21A1" w:rsidP="00BC21A1">
      <w:r>
        <w:t>All Emissions Reduction Fund</w:t>
      </w:r>
      <w:r w:rsidR="0081666A">
        <w:t xml:space="preserve"> methods include rules about which areas of land can be included in</w:t>
      </w:r>
      <w:r>
        <w:t>,</w:t>
      </w:r>
      <w:r w:rsidR="0081666A">
        <w:t xml:space="preserve"> </w:t>
      </w:r>
      <w:r>
        <w:t>or</w:t>
      </w:r>
      <w:r w:rsidR="0081666A">
        <w:t xml:space="preserve"> must be excluded from</w:t>
      </w:r>
      <w:r>
        <w:t>,</w:t>
      </w:r>
      <w:r w:rsidR="0081666A">
        <w:t xml:space="preserve"> a CEA. For HIR projects</w:t>
      </w:r>
      <w:r>
        <w:t>,</w:t>
      </w:r>
      <w:r w:rsidR="0081666A">
        <w:t xml:space="preserve"> the boundary of each CEA must be no further than two metres from a tree stem. Both HIR and NFMR methods also require re-stratification of CEAs when circumstances change. </w:t>
      </w:r>
    </w:p>
    <w:p w14:paraId="61371EA2" w14:textId="6DD52EBF" w:rsidR="0081666A" w:rsidRDefault="0081666A" w:rsidP="00BC21A1">
      <w:r>
        <w:t>Under the HIR method</w:t>
      </w:r>
      <w:r w:rsidR="00BC21A1">
        <w:t>,</w:t>
      </w:r>
      <w:r>
        <w:t xml:space="preserve"> a CEA may need to be re-stratified </w:t>
      </w:r>
      <w:r w:rsidR="00BC21A1">
        <w:t>at the time of reporting to exclude any area that</w:t>
      </w:r>
      <w:r>
        <w:t xml:space="preserve"> does not have forest potential and its inclusion in the CEA will prevent the CEA from attaining forest cover. U</w:t>
      </w:r>
      <w:r w:rsidR="00BC21A1">
        <w:t>nder HIR c</w:t>
      </w:r>
      <w:r>
        <w:t xml:space="preserve">ompilation </w:t>
      </w:r>
      <w:r w:rsidR="00BC21A1">
        <w:t>two</w:t>
      </w:r>
      <w:r>
        <w:t xml:space="preserve">, if it at the time of reporting it can no longer reasonably be expected that a CEA will become native forest through regeneration or attain forest cover, the area making up the CEA must be re-stratified. Land </w:t>
      </w:r>
      <w:r w:rsidR="009472C1">
        <w:t>that</w:t>
      </w:r>
      <w:r>
        <w:t xml:space="preserve"> can reasonably be expected to become native forest through regeneration and attain </w:t>
      </w:r>
      <w:r>
        <w:lastRenderedPageBreak/>
        <w:t xml:space="preserve">forest cover remains in the CEA and the remaining land is not part of the CEA. For NFMR projects any area greater than 0.2 hectares that has lost forest potential must be excluded from the CEA.  </w:t>
      </w:r>
    </w:p>
    <w:p w14:paraId="1A9F080B" w14:textId="2DF34DD8" w:rsidR="0081666A" w:rsidRDefault="0081666A" w:rsidP="0081666A">
      <w:r>
        <w:t>If you continue to apply the project activity on an area in an HIR or NFMR project that is not part of a CEA and at a later date trees regenerate on that area or it exhibits forest potential</w:t>
      </w:r>
      <w:r w:rsidR="009472C1">
        <w:t>, it may</w:t>
      </w:r>
      <w:r>
        <w:t xml:space="preserve"> be re-introduced as a CEA in the next offsets report.</w:t>
      </w:r>
    </w:p>
    <w:p w14:paraId="620443A5" w14:textId="405D9411" w:rsidR="0081666A" w:rsidRDefault="009472C1" w:rsidP="0081666A">
      <w:r>
        <w:t>Project participants</w:t>
      </w:r>
      <w:r w:rsidR="0081666A">
        <w:t xml:space="preserve"> should carefully assess each CEA for compliance with CEA stratification rules in the relevant method </w:t>
      </w:r>
      <w:r>
        <w:t>each</w:t>
      </w:r>
      <w:r w:rsidR="0081666A">
        <w:t xml:space="preserve"> time they </w:t>
      </w:r>
      <w:proofErr w:type="gramStart"/>
      <w:r w:rsidR="0081666A">
        <w:t>report</w:t>
      </w:r>
      <w:r>
        <w:t>,</w:t>
      </w:r>
      <w:r w:rsidR="0081666A">
        <w:t xml:space="preserve"> and</w:t>
      </w:r>
      <w:proofErr w:type="gramEnd"/>
      <w:r w:rsidR="0081666A">
        <w:t xml:space="preserve"> satisfy themselves that trees exist and growth can be detected in the intervening period. Where five years has elapsed since the CEA was first included in a report and no tree growth has been observed, the land must be excised.</w:t>
      </w:r>
    </w:p>
    <w:p w14:paraId="58A3ECE1" w14:textId="77777777" w:rsidR="0081666A" w:rsidRDefault="0081666A" w:rsidP="0081666A">
      <w:r>
        <w:t xml:space="preserve">To summarise, an area: </w:t>
      </w:r>
    </w:p>
    <w:p w14:paraId="23C348B6" w14:textId="77777777" w:rsidR="0081666A" w:rsidRPr="00DA73A6" w:rsidRDefault="0081666A" w:rsidP="00DA73A6">
      <w:pPr>
        <w:pStyle w:val="Heading4"/>
      </w:pPr>
      <w:bookmarkStart w:id="0" w:name="_Ref496275728"/>
      <w:r w:rsidRPr="00DA73A6">
        <w:t>Has forest potential</w:t>
      </w:r>
      <w:bookmarkEnd w:id="0"/>
      <w:r w:rsidRPr="00DA73A6">
        <w:t xml:space="preserve"> when, at the time of reporting:</w:t>
      </w:r>
    </w:p>
    <w:p w14:paraId="15C920D9" w14:textId="36A98701" w:rsidR="0081666A" w:rsidRDefault="008834E5" w:rsidP="0081666A">
      <w:pPr>
        <w:pStyle w:val="CERbullets"/>
        <w:ind w:left="360" w:hanging="360"/>
      </w:pPr>
      <w:r>
        <w:t>i</w:t>
      </w:r>
      <w:r w:rsidR="0081666A">
        <w:t>t is at least 0.2 hectares and includes trees or saplin</w:t>
      </w:r>
      <w:r>
        <w:t>gs with the potential to reach two</w:t>
      </w:r>
      <w:r w:rsidR="0081666A">
        <w:t xml:space="preserve"> metr</w:t>
      </w:r>
      <w:r w:rsidR="00B538EF">
        <w:t>e</w:t>
      </w:r>
      <w:r w:rsidR="0081666A">
        <w:t>s or more in height and provide at least 20 per cent canopy cover over the area</w:t>
      </w:r>
    </w:p>
    <w:p w14:paraId="5FFDD72F" w14:textId="6EC81C87" w:rsidR="0081666A" w:rsidRDefault="008834E5" w:rsidP="0081666A">
      <w:pPr>
        <w:pStyle w:val="CERbullets"/>
        <w:ind w:left="360" w:hanging="360"/>
      </w:pPr>
      <w:r>
        <w:t>t</w:t>
      </w:r>
      <w:r w:rsidR="0081666A">
        <w:t>rees appear across the area</w:t>
      </w:r>
    </w:p>
    <w:p w14:paraId="28350250" w14:textId="150D6542" w:rsidR="0081666A" w:rsidRDefault="008834E5" w:rsidP="0081666A">
      <w:pPr>
        <w:pStyle w:val="CERbullets"/>
        <w:ind w:left="360" w:hanging="360"/>
      </w:pPr>
      <w:r>
        <w:t>t</w:t>
      </w:r>
      <w:r w:rsidR="0081666A">
        <w:t xml:space="preserve">he boundary of the area is no more than </w:t>
      </w:r>
      <w:r>
        <w:t>two</w:t>
      </w:r>
      <w:r w:rsidR="0081666A">
        <w:t xml:space="preserve"> metres from the nearest tree stem for HIR projects</w:t>
      </w:r>
      <w:r>
        <w:t>, or</w:t>
      </w:r>
    </w:p>
    <w:p w14:paraId="14A6818B" w14:textId="792EE5E4" w:rsidR="0081666A" w:rsidRDefault="0081666A" w:rsidP="0081666A">
      <w:pPr>
        <w:pStyle w:val="CERbullets"/>
        <w:ind w:left="360" w:hanging="360"/>
      </w:pPr>
      <w:r>
        <w:t>the minimum tree density is equal to or greater than the relevant number set out in Table 1</w:t>
      </w:r>
      <w:r w:rsidR="008834E5">
        <w:t xml:space="preserve"> for NFMR projects</w:t>
      </w:r>
      <w:r>
        <w:t xml:space="preserve">. </w:t>
      </w:r>
    </w:p>
    <w:p w14:paraId="52C47A1A" w14:textId="77777777" w:rsidR="0081666A" w:rsidRPr="00416F61" w:rsidRDefault="0081666A" w:rsidP="00DA73A6">
      <w:pPr>
        <w:pStyle w:val="Heading4"/>
        <w:rPr>
          <w:rFonts w:eastAsia="Times New Roman"/>
        </w:rPr>
      </w:pPr>
      <w:r>
        <w:rPr>
          <w:rFonts w:eastAsia="Times New Roman"/>
        </w:rPr>
        <w:t>Has no</w:t>
      </w:r>
      <w:r w:rsidRPr="00416F61">
        <w:rPr>
          <w:rFonts w:eastAsia="Times New Roman"/>
        </w:rPr>
        <w:t xml:space="preserve"> forest potential when</w:t>
      </w:r>
      <w:r>
        <w:rPr>
          <w:rFonts w:eastAsia="Times New Roman"/>
        </w:rPr>
        <w:t>, at the time of reporting:</w:t>
      </w:r>
    </w:p>
    <w:p w14:paraId="568D11A8" w14:textId="1E2237DD" w:rsidR="0081666A" w:rsidRDefault="0081666A" w:rsidP="0081666A">
      <w:pPr>
        <w:pStyle w:val="CERbullets"/>
        <w:ind w:left="360" w:hanging="360"/>
      </w:pPr>
      <w:r>
        <w:t>the</w:t>
      </w:r>
      <w:r w:rsidR="008834E5">
        <w:t xml:space="preserve"> area is less than 0.2 hectares</w:t>
      </w:r>
    </w:p>
    <w:p w14:paraId="7CEB4E8B" w14:textId="547E74AA" w:rsidR="0081666A" w:rsidRDefault="0081666A" w:rsidP="0081666A">
      <w:pPr>
        <w:pStyle w:val="CERbullets"/>
        <w:ind w:left="360" w:hanging="360"/>
      </w:pPr>
      <w:r>
        <w:t>the are</w:t>
      </w:r>
      <w:r w:rsidR="0006075D">
        <w:t xml:space="preserve">a </w:t>
      </w:r>
      <w:r>
        <w:t xml:space="preserve">is at least 0.2 hectares and does not include any tree stems, i.e. includes only shrubs, </w:t>
      </w:r>
      <w:proofErr w:type="gramStart"/>
      <w:r>
        <w:t>understory</w:t>
      </w:r>
      <w:proofErr w:type="gramEnd"/>
      <w:r>
        <w:t xml:space="preserve"> or grasses</w:t>
      </w:r>
      <w:r w:rsidR="008834E5">
        <w:t>, or</w:t>
      </w:r>
      <w:r>
        <w:t xml:space="preserve"> </w:t>
      </w:r>
    </w:p>
    <w:p w14:paraId="6A3115A4" w14:textId="28F4C8F7" w:rsidR="0081666A" w:rsidRDefault="0081666A" w:rsidP="0081666A">
      <w:pPr>
        <w:pStyle w:val="CERbullets"/>
        <w:ind w:left="360" w:hanging="360"/>
      </w:pPr>
      <w:r>
        <w:t xml:space="preserve">the trees that are present do not have the potential to </w:t>
      </w:r>
      <w:r w:rsidR="008834E5">
        <w:t>attain two</w:t>
      </w:r>
      <w:r>
        <w:t xml:space="preserve"> metres or more in height or crown cover that is at least 20</w:t>
      </w:r>
      <w:r w:rsidR="008834E5">
        <w:t xml:space="preserve"> per cent</w:t>
      </w:r>
      <w:r>
        <w:t xml:space="preserve"> of the area within the project crediting period.</w:t>
      </w:r>
    </w:p>
    <w:p w14:paraId="78182B30" w14:textId="77777777" w:rsidR="0081666A" w:rsidRPr="009A77B2" w:rsidRDefault="0081666A" w:rsidP="00DA73A6">
      <w:pPr>
        <w:pStyle w:val="Heading4"/>
        <w:rPr>
          <w:rFonts w:eastAsia="Times New Roman"/>
        </w:rPr>
      </w:pPr>
      <w:r w:rsidRPr="009A77B2">
        <w:rPr>
          <w:rFonts w:eastAsia="Times New Roman"/>
        </w:rPr>
        <w:t>Has lost forest potential when:</w:t>
      </w:r>
    </w:p>
    <w:p w14:paraId="523DBEE2" w14:textId="7065CC88" w:rsidR="0081666A" w:rsidRDefault="008834E5" w:rsidP="0081666A">
      <w:pPr>
        <w:pStyle w:val="CERbullets"/>
        <w:ind w:left="360" w:hanging="360"/>
      </w:pPr>
      <w:r>
        <w:t>i</w:t>
      </w:r>
      <w:r w:rsidR="0081666A">
        <w:t xml:space="preserve">t was previously included in an </w:t>
      </w:r>
      <w:proofErr w:type="gramStart"/>
      <w:r w:rsidR="0081666A">
        <w:t>offsets</w:t>
      </w:r>
      <w:proofErr w:type="gramEnd"/>
      <w:r w:rsidR="0081666A">
        <w:t xml:space="preserve"> report and showed forest potential but exhibits a similar or smaller crown cover at the time of reporting and </w:t>
      </w:r>
      <w:r>
        <w:t>five</w:t>
      </w:r>
      <w:r w:rsidR="0081666A">
        <w:t xml:space="preserve"> years has elapsed</w:t>
      </w:r>
      <w:r>
        <w:t>,</w:t>
      </w:r>
      <w:r w:rsidR="0081666A">
        <w:t xml:space="preserve"> or</w:t>
      </w:r>
    </w:p>
    <w:p w14:paraId="3B0B5065" w14:textId="48524EAC" w:rsidR="0081666A" w:rsidRPr="008834E5" w:rsidRDefault="008834E5" w:rsidP="008D224B">
      <w:pPr>
        <w:pStyle w:val="CERbullets"/>
        <w:ind w:left="360" w:hanging="360"/>
      </w:pPr>
      <w:r>
        <w:t>t</w:t>
      </w:r>
      <w:r w:rsidR="0081666A">
        <w:t xml:space="preserve">he number of tree stems in </w:t>
      </w:r>
      <w:proofErr w:type="gramStart"/>
      <w:r w:rsidR="0081666A">
        <w:t>a 0.2</w:t>
      </w:r>
      <w:r>
        <w:t xml:space="preserve"> hectares</w:t>
      </w:r>
      <w:proofErr w:type="gramEnd"/>
      <w:r w:rsidR="0081666A">
        <w:t xml:space="preserve"> lessens such that there are no longer sufficient trees across the CE</w:t>
      </w:r>
      <w:r>
        <w:t>A with the potential to attain two</w:t>
      </w:r>
      <w:r w:rsidR="0006075D">
        <w:t xml:space="preserve"> metres</w:t>
      </w:r>
      <w:r w:rsidR="0081666A">
        <w:t xml:space="preserve"> or more in height with crown cover that is at least 20 per cent of the area.</w:t>
      </w:r>
    </w:p>
    <w:p w14:paraId="3C17F754" w14:textId="1D23A944" w:rsidR="0081666A" w:rsidRPr="000F4622" w:rsidRDefault="008834E5" w:rsidP="008834E5">
      <w:pPr>
        <w:pStyle w:val="Heading2"/>
      </w:pPr>
      <w:r>
        <w:t>Providing evidence</w:t>
      </w:r>
    </w:p>
    <w:p w14:paraId="7E7813AC" w14:textId="43A632EF" w:rsidR="0081666A" w:rsidRDefault="0081666A" w:rsidP="0081666A">
      <w:pPr>
        <w:spacing w:after="0"/>
      </w:pPr>
      <w:r>
        <w:t>P</w:t>
      </w:r>
      <w:r w:rsidR="008834E5">
        <w:t>roject participants</w:t>
      </w:r>
      <w:r>
        <w:t xml:space="preserve"> must satisfy themselves that their CEAs meet all the requirements of the method and that the da</w:t>
      </w:r>
      <w:r w:rsidR="008834E5">
        <w:t xml:space="preserve">ta and information they submit </w:t>
      </w:r>
      <w:r>
        <w:t>support</w:t>
      </w:r>
      <w:r w:rsidR="008834E5">
        <w:t>s</w:t>
      </w:r>
      <w:r>
        <w:t xml:space="preserve"> their </w:t>
      </w:r>
      <w:r w:rsidR="008834E5">
        <w:t>application for ACCUs.</w:t>
      </w:r>
      <w:r>
        <w:t xml:space="preserve"> </w:t>
      </w:r>
    </w:p>
    <w:p w14:paraId="5F97BC99" w14:textId="77777777" w:rsidR="0081666A" w:rsidRDefault="0081666A" w:rsidP="0081666A">
      <w:pPr>
        <w:spacing w:after="0"/>
      </w:pPr>
    </w:p>
    <w:p w14:paraId="5B2B1106" w14:textId="5CE7A1B9" w:rsidR="0081666A" w:rsidRDefault="0081666A" w:rsidP="0081666A">
      <w:pPr>
        <w:spacing w:after="0"/>
      </w:pPr>
      <w:r>
        <w:t xml:space="preserve">As geospatial tools and imagery </w:t>
      </w:r>
      <w:r w:rsidR="008834E5">
        <w:t>continue to</w:t>
      </w:r>
      <w:r>
        <w:t xml:space="preserve"> advanc</w:t>
      </w:r>
      <w:r w:rsidR="008834E5">
        <w:t>e</w:t>
      </w:r>
      <w:r>
        <w:t xml:space="preserve"> </w:t>
      </w:r>
      <w:r w:rsidR="008834E5">
        <w:t>throughout the</w:t>
      </w:r>
      <w:r>
        <w:t xml:space="preserve"> </w:t>
      </w:r>
      <w:r w:rsidR="008834E5">
        <w:t>25-year</w:t>
      </w:r>
      <w:r>
        <w:t xml:space="preserve"> crediting period</w:t>
      </w:r>
      <w:r w:rsidR="008834E5">
        <w:t xml:space="preserve"> for these projects</w:t>
      </w:r>
      <w:r>
        <w:t>, the Clean Energy Regulator will</w:t>
      </w:r>
      <w:r w:rsidR="008834E5">
        <w:t xml:space="preserve"> continue to review</w:t>
      </w:r>
      <w:r>
        <w:t xml:space="preserve"> </w:t>
      </w:r>
      <w:r w:rsidR="008834E5">
        <w:t>the types of evidence required</w:t>
      </w:r>
      <w:r>
        <w:t>.</w:t>
      </w:r>
      <w:r w:rsidR="008834E5">
        <w:t xml:space="preserve"> R</w:t>
      </w:r>
      <w:r>
        <w:t>ather than endorse any particular tool, data set or imagery for the life of a project, we will accept data and information</w:t>
      </w:r>
      <w:r w:rsidR="008834E5">
        <w:t xml:space="preserve"> </w:t>
      </w:r>
      <w:r w:rsidR="008834E5">
        <w:lastRenderedPageBreak/>
        <w:t>supplied,</w:t>
      </w:r>
      <w:r>
        <w:t xml:space="preserve"> and use a risk based approach to verify selected projects or CEAs using the imagery </w:t>
      </w:r>
      <w:r w:rsidR="008834E5">
        <w:t>and tools available to us at that</w:t>
      </w:r>
      <w:r>
        <w:t xml:space="preserve"> time. </w:t>
      </w:r>
    </w:p>
    <w:p w14:paraId="1E38EC0C" w14:textId="77777777" w:rsidR="0081666A" w:rsidRDefault="0081666A" w:rsidP="0081666A">
      <w:pPr>
        <w:spacing w:after="0"/>
      </w:pPr>
    </w:p>
    <w:p w14:paraId="08C44C2C" w14:textId="762879F2" w:rsidR="0081666A" w:rsidRPr="00FA7635" w:rsidRDefault="0081666A" w:rsidP="0081666A">
      <w:pPr>
        <w:spacing w:after="0"/>
      </w:pPr>
      <w:r>
        <w:t>Where higher resolution geospatial imagery or other information suggests that a crediting requirement has not be</w:t>
      </w:r>
      <w:r w:rsidR="0006075D">
        <w:t>en</w:t>
      </w:r>
      <w:r>
        <w:t xml:space="preserve"> met,</w:t>
      </w:r>
      <w:r w:rsidR="00AD3B09">
        <w:t xml:space="preserve"> participants</w:t>
      </w:r>
      <w:r>
        <w:t xml:space="preserve"> will be asked to justify the inclusion of that land within a CEA before a final decision is made</w:t>
      </w:r>
      <w:r w:rsidR="00AD3B09">
        <w:t xml:space="preserve"> to credit ACCUs</w:t>
      </w:r>
      <w:r>
        <w:t xml:space="preserve">. </w:t>
      </w:r>
    </w:p>
    <w:p w14:paraId="66EF76AF" w14:textId="77777777" w:rsidR="0081666A" w:rsidRPr="0012468E" w:rsidRDefault="0081666A" w:rsidP="0012468E"/>
    <w:sectPr w:rsidR="0081666A" w:rsidRPr="0012468E" w:rsidSect="00AD649E">
      <w:pgSz w:w="11900" w:h="16840" w:code="9"/>
      <w:pgMar w:top="889" w:right="1080" w:bottom="993" w:left="1080" w:header="397" w:footer="11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59CA9" w14:textId="77777777" w:rsidR="0012468E" w:rsidRDefault="0012468E" w:rsidP="00176C28">
      <w:r>
        <w:separator/>
      </w:r>
    </w:p>
  </w:endnote>
  <w:endnote w:type="continuationSeparator" w:id="0">
    <w:p w14:paraId="6007E24C" w14:textId="77777777" w:rsidR="0012468E" w:rsidRDefault="0012468E" w:rsidP="00176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3F4B2" w14:textId="77777777" w:rsidR="00AD649E" w:rsidRDefault="00AD649E" w:rsidP="00AD649E">
    <w:pPr>
      <w:rPr>
        <w:color w:val="006EA6"/>
      </w:rPr>
    </w:pPr>
    <w:r>
      <w:rPr>
        <w:noProof/>
        <w:color w:val="005874"/>
        <w:sz w:val="18"/>
        <w:szCs w:val="18"/>
        <w:lang w:eastAsia="en-AU"/>
      </w:rPr>
      <w:drawing>
        <wp:anchor distT="0" distB="0" distL="114300" distR="114300" simplePos="0" relativeHeight="251692544" behindDoc="0" locked="0" layoutInCell="1" allowOverlap="1" wp14:anchorId="1ADBB2F5" wp14:editId="796D1560">
          <wp:simplePos x="0" y="0"/>
          <wp:positionH relativeFrom="column">
            <wp:posOffset>180340</wp:posOffset>
          </wp:positionH>
          <wp:positionV relativeFrom="paragraph">
            <wp:posOffset>71120</wp:posOffset>
          </wp:positionV>
          <wp:extent cx="5849620" cy="71755"/>
          <wp:effectExtent l="0" t="0" r="0" b="4445"/>
          <wp:wrapSquare wrapText="bothSides"/>
          <wp:docPr id="4" name="Picture 4" title="Australian Government - Clean Energy Regulat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3475_CER_Word-Doc-Int-Landscape-Grey-Line.png"/>
                  <pic:cNvPicPr/>
                </pic:nvPicPr>
                <pic:blipFill>
                  <a:blip r:embed="rId1">
                    <a:extLst>
                      <a:ext uri="{28A0092B-C50C-407E-A947-70E740481C1C}">
                        <a14:useLocalDpi xmlns:a14="http://schemas.microsoft.com/office/drawing/2010/main" val="0"/>
                      </a:ext>
                    </a:extLst>
                  </a:blip>
                  <a:stretch>
                    <a:fillRect/>
                  </a:stretch>
                </pic:blipFill>
                <pic:spPr>
                  <a:xfrm>
                    <a:off x="0" y="0"/>
                    <a:ext cx="5849620" cy="71755"/>
                  </a:xfrm>
                  <a:prstGeom prst="rect">
                    <a:avLst/>
                  </a:prstGeom>
                </pic:spPr>
              </pic:pic>
            </a:graphicData>
          </a:graphic>
          <wp14:sizeRelH relativeFrom="page">
            <wp14:pctWidth>0</wp14:pctWidth>
          </wp14:sizeRelH>
          <wp14:sizeRelV relativeFrom="page">
            <wp14:pctHeight>0</wp14:pctHeight>
          </wp14:sizeRelV>
        </wp:anchor>
      </w:drawing>
    </w:r>
  </w:p>
  <w:p w14:paraId="366F1F1D" w14:textId="56350308" w:rsidR="0065750A" w:rsidRPr="009C30B4" w:rsidRDefault="00AD649E" w:rsidP="0099420C">
    <w:pPr>
      <w:pStyle w:val="Footer"/>
    </w:pPr>
    <w:r w:rsidRPr="009C30B4">
      <w:t>GPO Box 621 Canberra ACT 2601</w:t>
    </w:r>
    <w:r w:rsidRPr="009C30B4">
      <w:tab/>
      <w:t>1300 553 542</w:t>
    </w:r>
    <w:r w:rsidRPr="009C30B4">
      <w:tab/>
    </w:r>
    <w:hyperlink r:id="rId2" w:history="1">
      <w:r w:rsidRPr="009C30B4">
        <w:rPr>
          <w:rStyle w:val="Hyperlink"/>
          <w:sz w:val="16"/>
        </w:rPr>
        <w:t>enquiries@cleanenergyregulator.gov.au</w:t>
      </w:r>
    </w:hyperlink>
    <w:r w:rsidRPr="009C30B4">
      <w:tab/>
    </w:r>
    <w:hyperlink r:id="rId3" w:history="1">
      <w:r w:rsidRPr="009C30B4">
        <w:rPr>
          <w:rStyle w:val="Hyperlink"/>
          <w:sz w:val="16"/>
        </w:rPr>
        <w:t>www.cleanenergyregulator.gov.au</w:t>
      </w:r>
    </w:hyperlink>
    <w:r w:rsidRPr="009C30B4">
      <w:t xml:space="preserve"> </w:t>
    </w:r>
    <w:r w:rsidRPr="009C30B4">
      <w:tab/>
    </w:r>
    <w:r w:rsidRPr="009C30B4">
      <w:fldChar w:fldCharType="begin"/>
    </w:r>
    <w:r w:rsidRPr="009C30B4">
      <w:instrText xml:space="preserve"> PAGE   \* MERGEFORMAT </w:instrText>
    </w:r>
    <w:r w:rsidRPr="009C30B4">
      <w:fldChar w:fldCharType="separate"/>
    </w:r>
    <w:r w:rsidR="00B538EF">
      <w:rPr>
        <w:noProof/>
      </w:rPr>
      <w:t>4</w:t>
    </w:r>
    <w:r w:rsidRPr="009C30B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008EE" w14:textId="77777777" w:rsidR="00AD649E" w:rsidRDefault="00AD649E" w:rsidP="00AD649E">
    <w:pPr>
      <w:rPr>
        <w:color w:val="006EA6"/>
      </w:rPr>
    </w:pPr>
    <w:r>
      <w:rPr>
        <w:noProof/>
        <w:color w:val="005874"/>
        <w:sz w:val="18"/>
        <w:szCs w:val="18"/>
        <w:lang w:eastAsia="en-AU"/>
      </w:rPr>
      <w:drawing>
        <wp:anchor distT="0" distB="0" distL="114300" distR="114300" simplePos="0" relativeHeight="251690496" behindDoc="0" locked="0" layoutInCell="1" allowOverlap="1" wp14:anchorId="34B24D3A" wp14:editId="3749882E">
          <wp:simplePos x="0" y="0"/>
          <wp:positionH relativeFrom="column">
            <wp:posOffset>180340</wp:posOffset>
          </wp:positionH>
          <wp:positionV relativeFrom="paragraph">
            <wp:posOffset>71120</wp:posOffset>
          </wp:positionV>
          <wp:extent cx="5849620" cy="71755"/>
          <wp:effectExtent l="0" t="0" r="0" b="4445"/>
          <wp:wrapSquare wrapText="bothSides"/>
          <wp:docPr id="3" name="Picture 3" title="Australian Government - Clean Energy Regulat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3475_CER_Word-Doc-Int-Landscape-Grey-Line.png"/>
                  <pic:cNvPicPr/>
                </pic:nvPicPr>
                <pic:blipFill>
                  <a:blip r:embed="rId1">
                    <a:extLst>
                      <a:ext uri="{28A0092B-C50C-407E-A947-70E740481C1C}">
                        <a14:useLocalDpi xmlns:a14="http://schemas.microsoft.com/office/drawing/2010/main" val="0"/>
                      </a:ext>
                    </a:extLst>
                  </a:blip>
                  <a:stretch>
                    <a:fillRect/>
                  </a:stretch>
                </pic:blipFill>
                <pic:spPr>
                  <a:xfrm>
                    <a:off x="0" y="0"/>
                    <a:ext cx="5849620" cy="71755"/>
                  </a:xfrm>
                  <a:prstGeom prst="rect">
                    <a:avLst/>
                  </a:prstGeom>
                </pic:spPr>
              </pic:pic>
            </a:graphicData>
          </a:graphic>
          <wp14:sizeRelH relativeFrom="page">
            <wp14:pctWidth>0</wp14:pctWidth>
          </wp14:sizeRelH>
          <wp14:sizeRelV relativeFrom="page">
            <wp14:pctHeight>0</wp14:pctHeight>
          </wp14:sizeRelV>
        </wp:anchor>
      </w:drawing>
    </w:r>
  </w:p>
  <w:p w14:paraId="0D7350A8" w14:textId="25B412DE" w:rsidR="0065750A" w:rsidRPr="0099420C" w:rsidRDefault="00AD649E" w:rsidP="0099420C">
    <w:pPr>
      <w:pStyle w:val="Footer"/>
    </w:pPr>
    <w:r w:rsidRPr="0099420C">
      <w:t>GPO Box 621 Canberra ACT 2601</w:t>
    </w:r>
    <w:r w:rsidRPr="0099420C">
      <w:tab/>
      <w:t>1300 553 542</w:t>
    </w:r>
    <w:r w:rsidRPr="0099420C">
      <w:tab/>
    </w:r>
    <w:hyperlink r:id="rId2" w:history="1">
      <w:r w:rsidRPr="0099420C">
        <w:rPr>
          <w:rStyle w:val="Hyperlink"/>
          <w:rFonts w:asciiTheme="minorHAnsi" w:hAnsiTheme="minorHAnsi"/>
          <w:sz w:val="16"/>
          <w:u w:val="none"/>
        </w:rPr>
        <w:t>enquiries@cleanenergyregulator.gov.au</w:t>
      </w:r>
    </w:hyperlink>
    <w:r w:rsidRPr="0099420C">
      <w:tab/>
    </w:r>
    <w:hyperlink r:id="rId3" w:history="1">
      <w:r w:rsidRPr="0099420C">
        <w:rPr>
          <w:rStyle w:val="Hyperlink"/>
          <w:rFonts w:asciiTheme="minorHAnsi" w:hAnsiTheme="minorHAnsi"/>
          <w:sz w:val="16"/>
          <w:u w:val="none"/>
        </w:rPr>
        <w:t>www.cleanenergyregulator.gov.au</w:t>
      </w:r>
    </w:hyperlink>
    <w:r w:rsidRPr="0099420C">
      <w:t xml:space="preserve"> </w:t>
    </w:r>
    <w:r w:rsidRPr="0099420C">
      <w:tab/>
    </w:r>
    <w:r w:rsidRPr="0099420C">
      <w:fldChar w:fldCharType="begin"/>
    </w:r>
    <w:r w:rsidRPr="0099420C">
      <w:instrText xml:space="preserve"> PAGE   \* MERGEFORMAT </w:instrText>
    </w:r>
    <w:r w:rsidRPr="0099420C">
      <w:fldChar w:fldCharType="separate"/>
    </w:r>
    <w:r w:rsidR="00B538EF">
      <w:rPr>
        <w:noProof/>
      </w:rPr>
      <w:t>2</w:t>
    </w:r>
    <w:r w:rsidRPr="0099420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9E75E" w14:textId="77777777" w:rsidR="0012468E" w:rsidRDefault="0012468E" w:rsidP="00176C28">
      <w:r>
        <w:separator/>
      </w:r>
    </w:p>
  </w:footnote>
  <w:footnote w:type="continuationSeparator" w:id="0">
    <w:p w14:paraId="775DCCAC" w14:textId="77777777" w:rsidR="0012468E" w:rsidRDefault="0012468E" w:rsidP="00176C28">
      <w:r>
        <w:continuationSeparator/>
      </w:r>
    </w:p>
  </w:footnote>
  <w:footnote w:id="1">
    <w:p w14:paraId="6481E648" w14:textId="77777777" w:rsidR="0012468E" w:rsidRDefault="0012468E" w:rsidP="0012468E">
      <w:pPr>
        <w:pStyle w:val="FootnoteText"/>
        <w:spacing w:before="80"/>
      </w:pPr>
      <w:r>
        <w:rPr>
          <w:rStyle w:val="FootnoteReference"/>
        </w:rPr>
        <w:footnoteRef/>
      </w:r>
      <w:r>
        <w:t xml:space="preserve"> CEAs must also meet other requirements specified in the relevant method. For example, under both the HIR and NFMR methods, the regeneration in a CEA must be </w:t>
      </w:r>
      <w:proofErr w:type="gramStart"/>
      <w:r>
        <w:t>even-aged</w:t>
      </w:r>
      <w:proofErr w:type="gramEnd"/>
      <w:r>
        <w:t xml:space="preserve">. This guidance does not deal with those other requirements.  </w:t>
      </w:r>
    </w:p>
  </w:footnote>
  <w:footnote w:id="2">
    <w:p w14:paraId="666C4579" w14:textId="77777777" w:rsidR="0012468E" w:rsidRPr="00DE586F" w:rsidRDefault="0012468E" w:rsidP="0012468E">
      <w:pPr>
        <w:shd w:val="clear" w:color="auto" w:fill="FFFFFF"/>
        <w:spacing w:before="80" w:after="120"/>
        <w:rPr>
          <w:sz w:val="20"/>
          <w:szCs w:val="20"/>
        </w:rPr>
      </w:pPr>
      <w:r>
        <w:rPr>
          <w:rStyle w:val="FootnoteReference"/>
        </w:rPr>
        <w:footnoteRef/>
      </w:r>
      <w:r>
        <w:t xml:space="preserve"> </w:t>
      </w:r>
      <w:r w:rsidRPr="00DE586F">
        <w:rPr>
          <w:sz w:val="20"/>
          <w:szCs w:val="20"/>
        </w:rPr>
        <w:t xml:space="preserve">As these are modelled methods, forest potential must also be observed before commencing modelling of a regeneration event.  </w:t>
      </w:r>
    </w:p>
    <w:p w14:paraId="62B233AF" w14:textId="77777777" w:rsidR="0012468E" w:rsidRDefault="0012468E" w:rsidP="0012468E">
      <w:pPr>
        <w:pStyle w:val="FootnoteText"/>
      </w:pPr>
    </w:p>
  </w:footnote>
  <w:footnote w:id="3">
    <w:p w14:paraId="6DAAF638" w14:textId="77777777" w:rsidR="0081666A" w:rsidRDefault="0081666A" w:rsidP="0081666A">
      <w:pPr>
        <w:pStyle w:val="FootnoteText"/>
        <w:spacing w:before="80"/>
      </w:pPr>
      <w:r>
        <w:rPr>
          <w:rStyle w:val="FootnoteReference"/>
        </w:rPr>
        <w:footnoteRef/>
      </w:r>
      <w:r>
        <w:t xml:space="preserve"> In an NFMR project, forest potential must be demonstrated by an area of land at the time the decision under section 2.3 of the NFMR method to implement the project mechanism is made. If an area did not have forest potential at that time, it cannot be stratified as a CEA under the NFMR method even if later it exhibits forest potential or regeneration.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C52A5" w14:textId="77777777" w:rsidR="0065750A" w:rsidRDefault="00AD649E" w:rsidP="00176C28">
    <w:pPr>
      <w:pStyle w:val="Header"/>
    </w:pPr>
    <w:r>
      <w:rPr>
        <w:noProof/>
        <w:lang w:eastAsia="en-AU"/>
      </w:rPr>
      <w:drawing>
        <wp:anchor distT="0" distB="0" distL="114300" distR="114300" simplePos="0" relativeHeight="251688448" behindDoc="0" locked="0" layoutInCell="1" allowOverlap="1" wp14:anchorId="07F86E7C" wp14:editId="60B34FFB">
          <wp:simplePos x="0" y="0"/>
          <wp:positionH relativeFrom="column">
            <wp:posOffset>-683895</wp:posOffset>
          </wp:positionH>
          <wp:positionV relativeFrom="paragraph">
            <wp:posOffset>-250825</wp:posOffset>
          </wp:positionV>
          <wp:extent cx="7596000" cy="1008000"/>
          <wp:effectExtent l="0" t="0" r="5080" b="1905"/>
          <wp:wrapSquare wrapText="bothSides"/>
          <wp:docPr id="5" name="Picture 5" descr="Australian Government - Clean Energy Regulator" title="Australian Governmen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475_CER_Word-Doc-Ext-Portrait-Follower.png"/>
                  <pic:cNvPicPr>
                    <a:picLocks noChangeAspect="1" noChangeArrowheads="1"/>
                  </pic:cNvPicPr>
                </pic:nvPicPr>
                <pic:blipFill>
                  <a:blip r:embed="rId1"/>
                  <a:srcRect/>
                  <a:stretch>
                    <a:fillRect/>
                  </a:stretch>
                </pic:blipFill>
                <pic:spPr bwMode="auto">
                  <a:xfrm>
                    <a:off x="0" y="0"/>
                    <a:ext cx="7596000" cy="100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E49C7" w14:textId="77777777" w:rsidR="002A7EA6" w:rsidRDefault="00AD649E" w:rsidP="009D7DC5">
    <w:pPr>
      <w:pStyle w:val="Header"/>
      <w:tabs>
        <w:tab w:val="clear" w:pos="4320"/>
        <w:tab w:val="clear" w:pos="8640"/>
        <w:tab w:val="left" w:pos="1440"/>
      </w:tabs>
    </w:pPr>
    <w:r>
      <w:rPr>
        <w:noProof/>
        <w:lang w:eastAsia="en-AU"/>
      </w:rPr>
      <w:drawing>
        <wp:anchor distT="0" distB="0" distL="114300" distR="114300" simplePos="0" relativeHeight="251686400" behindDoc="0" locked="0" layoutInCell="1" allowOverlap="1" wp14:anchorId="136D2377" wp14:editId="5CF64912">
          <wp:simplePos x="0" y="0"/>
          <wp:positionH relativeFrom="column">
            <wp:posOffset>-685800</wp:posOffset>
          </wp:positionH>
          <wp:positionV relativeFrom="paragraph">
            <wp:posOffset>-260985</wp:posOffset>
          </wp:positionV>
          <wp:extent cx="7560945" cy="2133600"/>
          <wp:effectExtent l="0" t="0" r="1905" b="0"/>
          <wp:wrapSquare wrapText="bothSides"/>
          <wp:docPr id="7" name="Picture 7" descr="Australian Government - Clean Energy Regulator" title="Australian Governmen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475_CER_Word-Doc-Int-Portrait-Cover"/>
                  <pic:cNvPicPr>
                    <a:picLocks noChangeAspect="1" noChangeArrowheads="1"/>
                  </pic:cNvPicPr>
                </pic:nvPicPr>
                <pic:blipFill>
                  <a:blip r:embed="rId1"/>
                  <a:stretch>
                    <a:fillRect/>
                  </a:stretch>
                </pic:blipFill>
                <pic:spPr bwMode="auto">
                  <a:xfrm>
                    <a:off x="0" y="0"/>
                    <a:ext cx="7560945" cy="2133600"/>
                  </a:xfrm>
                  <a:prstGeom prst="rect">
                    <a:avLst/>
                  </a:prstGeom>
                  <a:noFill/>
                  <a:ln w="9525">
                    <a:noFill/>
                    <a:miter lim="800000"/>
                    <a:headEnd/>
                    <a:tailEnd/>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248D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C493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DCC1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1C0D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A299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AAAB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B2D5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32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52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C6AD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1FF7"/>
    <w:multiLevelType w:val="multilevel"/>
    <w:tmpl w:val="1BAAA8A2"/>
    <w:lvl w:ilvl="0">
      <w:start w:val="1"/>
      <w:numFmt w:val="bullet"/>
      <w:lvlText w:val=""/>
      <w:lvlJc w:val="left"/>
      <w:pPr>
        <w:ind w:left="360" w:hanging="360"/>
      </w:pPr>
      <w:rPr>
        <w:rFonts w:ascii="Symbol" w:hAnsi="Symbol" w:hint="default"/>
        <w:color w:val="006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AA77D3"/>
    <w:multiLevelType w:val="hybridMultilevel"/>
    <w:tmpl w:val="440E4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254ADB"/>
    <w:multiLevelType w:val="hybridMultilevel"/>
    <w:tmpl w:val="71EE4F1E"/>
    <w:lvl w:ilvl="0" w:tplc="BDF60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A452B8"/>
    <w:multiLevelType w:val="hybridMultilevel"/>
    <w:tmpl w:val="E988AB44"/>
    <w:lvl w:ilvl="0" w:tplc="6ABE5874">
      <w:start w:val="1"/>
      <w:numFmt w:val="bullet"/>
      <w:lvlText w:val=""/>
      <w:lvlJc w:val="left"/>
      <w:pPr>
        <w:ind w:left="360" w:hanging="360"/>
      </w:pPr>
      <w:rPr>
        <w:rFonts w:ascii="Symbol" w:hAnsi="Symbo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15:restartNumberingAfterBreak="0">
    <w:nsid w:val="19FF74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244624"/>
    <w:multiLevelType w:val="hybridMultilevel"/>
    <w:tmpl w:val="9252EA40"/>
    <w:lvl w:ilvl="0" w:tplc="10968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58066C7"/>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6B0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8A675ED"/>
    <w:multiLevelType w:val="hybridMultilevel"/>
    <w:tmpl w:val="DD582AC6"/>
    <w:lvl w:ilvl="0" w:tplc="504A93CE">
      <w:start w:val="1"/>
      <w:numFmt w:val="bullet"/>
      <w:lvlText w:val="»"/>
      <w:lvlJc w:val="left"/>
      <w:pPr>
        <w:ind w:left="558"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15:restartNumberingAfterBreak="0">
    <w:nsid w:val="3A0A51BC"/>
    <w:multiLevelType w:val="multilevel"/>
    <w:tmpl w:val="AE904858"/>
    <w:lvl w:ilvl="0">
      <w:start w:val="1"/>
      <w:numFmt w:val="decimal"/>
      <w:pStyle w:val="CERnumbering"/>
      <w:lvlText w:val="%1."/>
      <w:lvlJc w:val="left"/>
      <w:pPr>
        <w:ind w:left="360" w:hanging="360"/>
      </w:pPr>
      <w:rPr>
        <w:rFonts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A434A09"/>
    <w:multiLevelType w:val="hybridMultilevel"/>
    <w:tmpl w:val="DB8C2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E34D8E"/>
    <w:multiLevelType w:val="multilevel"/>
    <w:tmpl w:val="EBE0AFD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6FF48AB"/>
    <w:multiLevelType w:val="hybridMultilevel"/>
    <w:tmpl w:val="3544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FF30DD"/>
    <w:multiLevelType w:val="hybridMultilevel"/>
    <w:tmpl w:val="F3C0C4A8"/>
    <w:lvl w:ilvl="0" w:tplc="7242BB74">
      <w:start w:val="1"/>
      <w:numFmt w:val="bullet"/>
      <w:lvlText w:val="›"/>
      <w:lvlJc w:val="left"/>
      <w:pPr>
        <w:ind w:left="757"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7" w15:restartNumberingAfterBreak="0">
    <w:nsid w:val="6AB321E6"/>
    <w:multiLevelType w:val="hybridMultilevel"/>
    <w:tmpl w:val="1F520E5C"/>
    <w:lvl w:ilvl="0" w:tplc="4442E6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9DB23C0"/>
    <w:multiLevelType w:val="multilevel"/>
    <w:tmpl w:val="CE947A96"/>
    <w:name w:val="CERBullets22"/>
    <w:lvl w:ilvl="0">
      <w:start w:val="1"/>
      <w:numFmt w:val="bullet"/>
      <w:pStyle w:val="CERbullets"/>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D6E3F1C"/>
    <w:multiLevelType w:val="multilevel"/>
    <w:tmpl w:val="32AA175E"/>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4"/>
  </w:num>
  <w:num w:numId="2">
    <w:abstractNumId w:val="16"/>
  </w:num>
  <w:num w:numId="3">
    <w:abstractNumId w:val="17"/>
  </w:num>
  <w:num w:numId="4">
    <w:abstractNumId w:val="12"/>
  </w:num>
  <w:num w:numId="5">
    <w:abstractNumId w:val="13"/>
  </w:num>
  <w:num w:numId="6">
    <w:abstractNumId w:val="19"/>
  </w:num>
  <w:num w:numId="7">
    <w:abstractNumId w:val="26"/>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 w:numId="20">
    <w:abstractNumId w:val="14"/>
  </w:num>
  <w:num w:numId="21">
    <w:abstractNumId w:val="28"/>
  </w:num>
  <w:num w:numId="22">
    <w:abstractNumId w:val="10"/>
  </w:num>
  <w:num w:numId="23">
    <w:abstractNumId w:val="29"/>
  </w:num>
  <w:num w:numId="24">
    <w:abstractNumId w:val="22"/>
  </w:num>
  <w:num w:numId="25">
    <w:abstractNumId w:val="18"/>
  </w:num>
  <w:num w:numId="26">
    <w:abstractNumId w:val="15"/>
  </w:num>
  <w:num w:numId="27">
    <w:abstractNumId w:val="27"/>
  </w:num>
  <w:num w:numId="28">
    <w:abstractNumId w:val="25"/>
  </w:num>
  <w:num w:numId="29">
    <w:abstractNumId w:val="23"/>
  </w:num>
  <w:num w:numId="30">
    <w:abstractNumId w:val="21"/>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30721">
      <o:colormru v:ext="edit" colors="#006ea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68E"/>
    <w:rsid w:val="00031090"/>
    <w:rsid w:val="0003582F"/>
    <w:rsid w:val="000378B6"/>
    <w:rsid w:val="0006075D"/>
    <w:rsid w:val="0006682F"/>
    <w:rsid w:val="000678AA"/>
    <w:rsid w:val="000906DE"/>
    <w:rsid w:val="000B2225"/>
    <w:rsid w:val="000E5A13"/>
    <w:rsid w:val="000F6B44"/>
    <w:rsid w:val="00112E29"/>
    <w:rsid w:val="00114AB6"/>
    <w:rsid w:val="0012468E"/>
    <w:rsid w:val="001276AA"/>
    <w:rsid w:val="001651F7"/>
    <w:rsid w:val="00176871"/>
    <w:rsid w:val="00176C28"/>
    <w:rsid w:val="00197F43"/>
    <w:rsid w:val="001B66AA"/>
    <w:rsid w:val="001D5E01"/>
    <w:rsid w:val="00203A90"/>
    <w:rsid w:val="002118E5"/>
    <w:rsid w:val="00216E5D"/>
    <w:rsid w:val="00235B98"/>
    <w:rsid w:val="002622E9"/>
    <w:rsid w:val="0027775D"/>
    <w:rsid w:val="0029262D"/>
    <w:rsid w:val="002A7EA6"/>
    <w:rsid w:val="002C427B"/>
    <w:rsid w:val="002F1986"/>
    <w:rsid w:val="00365CD3"/>
    <w:rsid w:val="00370CE8"/>
    <w:rsid w:val="00371059"/>
    <w:rsid w:val="003A0D22"/>
    <w:rsid w:val="00420BF6"/>
    <w:rsid w:val="00426275"/>
    <w:rsid w:val="004559EF"/>
    <w:rsid w:val="00471682"/>
    <w:rsid w:val="00480154"/>
    <w:rsid w:val="00494F07"/>
    <w:rsid w:val="004A581F"/>
    <w:rsid w:val="004C6DF4"/>
    <w:rsid w:val="004D3F8B"/>
    <w:rsid w:val="00516089"/>
    <w:rsid w:val="0052457E"/>
    <w:rsid w:val="005430A4"/>
    <w:rsid w:val="00585D42"/>
    <w:rsid w:val="005A266D"/>
    <w:rsid w:val="005C6BE8"/>
    <w:rsid w:val="00602E93"/>
    <w:rsid w:val="0061010A"/>
    <w:rsid w:val="006224D0"/>
    <w:rsid w:val="00622DA5"/>
    <w:rsid w:val="006423DF"/>
    <w:rsid w:val="006530B0"/>
    <w:rsid w:val="0065750A"/>
    <w:rsid w:val="00662ED8"/>
    <w:rsid w:val="00674932"/>
    <w:rsid w:val="00680B5A"/>
    <w:rsid w:val="006A1906"/>
    <w:rsid w:val="006A37D7"/>
    <w:rsid w:val="006A7A4E"/>
    <w:rsid w:val="006C7D01"/>
    <w:rsid w:val="006D6D32"/>
    <w:rsid w:val="00724B10"/>
    <w:rsid w:val="0076397A"/>
    <w:rsid w:val="00767FAB"/>
    <w:rsid w:val="007773D1"/>
    <w:rsid w:val="007813EC"/>
    <w:rsid w:val="00790E79"/>
    <w:rsid w:val="007A5CF8"/>
    <w:rsid w:val="007B31E7"/>
    <w:rsid w:val="007C310C"/>
    <w:rsid w:val="007C4ABE"/>
    <w:rsid w:val="00805956"/>
    <w:rsid w:val="0081666A"/>
    <w:rsid w:val="00816D8B"/>
    <w:rsid w:val="00826A84"/>
    <w:rsid w:val="0084281C"/>
    <w:rsid w:val="008728AD"/>
    <w:rsid w:val="008834E5"/>
    <w:rsid w:val="00885AB6"/>
    <w:rsid w:val="00890472"/>
    <w:rsid w:val="008A4F2A"/>
    <w:rsid w:val="008C63A1"/>
    <w:rsid w:val="008D224B"/>
    <w:rsid w:val="008E6CE0"/>
    <w:rsid w:val="008F548E"/>
    <w:rsid w:val="00906DED"/>
    <w:rsid w:val="0093226C"/>
    <w:rsid w:val="009472C1"/>
    <w:rsid w:val="009757EB"/>
    <w:rsid w:val="009801E4"/>
    <w:rsid w:val="0099420C"/>
    <w:rsid w:val="009A2199"/>
    <w:rsid w:val="009A2E7F"/>
    <w:rsid w:val="009C30B4"/>
    <w:rsid w:val="009D01EB"/>
    <w:rsid w:val="009D4D75"/>
    <w:rsid w:val="009D7DC5"/>
    <w:rsid w:val="00A114F2"/>
    <w:rsid w:val="00A41A11"/>
    <w:rsid w:val="00A44C0C"/>
    <w:rsid w:val="00A50A9D"/>
    <w:rsid w:val="00AB04A4"/>
    <w:rsid w:val="00AB1D66"/>
    <w:rsid w:val="00AD3999"/>
    <w:rsid w:val="00AD3B09"/>
    <w:rsid w:val="00AD649E"/>
    <w:rsid w:val="00AF5F77"/>
    <w:rsid w:val="00B44479"/>
    <w:rsid w:val="00B538EF"/>
    <w:rsid w:val="00B832A4"/>
    <w:rsid w:val="00B84B58"/>
    <w:rsid w:val="00BA3D6B"/>
    <w:rsid w:val="00BC21A1"/>
    <w:rsid w:val="00BD5ED5"/>
    <w:rsid w:val="00C067A3"/>
    <w:rsid w:val="00C06FDE"/>
    <w:rsid w:val="00C3122E"/>
    <w:rsid w:val="00C33420"/>
    <w:rsid w:val="00C40CF0"/>
    <w:rsid w:val="00C83679"/>
    <w:rsid w:val="00C86B48"/>
    <w:rsid w:val="00CA3600"/>
    <w:rsid w:val="00CA3DBC"/>
    <w:rsid w:val="00CA63D2"/>
    <w:rsid w:val="00CB7ED6"/>
    <w:rsid w:val="00CF11C3"/>
    <w:rsid w:val="00D07937"/>
    <w:rsid w:val="00D435BB"/>
    <w:rsid w:val="00DA2E5A"/>
    <w:rsid w:val="00DA73A6"/>
    <w:rsid w:val="00DB16FB"/>
    <w:rsid w:val="00DC3A30"/>
    <w:rsid w:val="00DD61F7"/>
    <w:rsid w:val="00DF0F4C"/>
    <w:rsid w:val="00E4606B"/>
    <w:rsid w:val="00E57321"/>
    <w:rsid w:val="00E770EC"/>
    <w:rsid w:val="00E94FFF"/>
    <w:rsid w:val="00E956A9"/>
    <w:rsid w:val="00EA7A28"/>
    <w:rsid w:val="00EC6A31"/>
    <w:rsid w:val="00F1084B"/>
    <w:rsid w:val="00F2767A"/>
    <w:rsid w:val="00F32404"/>
    <w:rsid w:val="00F67F4E"/>
    <w:rsid w:val="00F70B17"/>
    <w:rsid w:val="00F8070C"/>
    <w:rsid w:val="00F94571"/>
    <w:rsid w:val="00FA7635"/>
    <w:rsid w:val="00FB26CE"/>
    <w:rsid w:val="00FC20CB"/>
    <w:rsid w:val="00FC5CAA"/>
    <w:rsid w:val="00FD2635"/>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colormru v:ext="edit" colors="#006ea6"/>
    </o:shapedefaults>
    <o:shapelayout v:ext="edit">
      <o:idmap v:ext="edit" data="1"/>
    </o:shapelayout>
  </w:shapeDefaults>
  <w:decimalSymbol w:val="."/>
  <w:listSeparator w:val=","/>
  <w14:docId w14:val="2B35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A7635"/>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next w:val="Heading2"/>
    <w:link w:val="Heading1Char"/>
    <w:uiPriority w:val="2"/>
    <w:qFormat/>
    <w:rsid w:val="00FA7635"/>
    <w:pPr>
      <w:keepNext/>
      <w:spacing w:before="280" w:after="200"/>
      <w:outlineLvl w:val="0"/>
    </w:pPr>
    <w:rPr>
      <w:rFonts w:asciiTheme="minorHAnsi" w:eastAsia="Times New Roman" w:hAnsiTheme="minorHAnsi" w:cstheme="minorHAnsi"/>
      <w:b/>
      <w:bCs/>
      <w:color w:val="005874"/>
      <w:kern w:val="32"/>
      <w:sz w:val="40"/>
      <w:szCs w:val="24"/>
      <w:lang w:eastAsia="en-US"/>
    </w:rPr>
  </w:style>
  <w:style w:type="paragraph" w:styleId="Heading2">
    <w:name w:val="heading 2"/>
    <w:aliases w:val="CER Heading 2"/>
    <w:basedOn w:val="Normal"/>
    <w:next w:val="Normal"/>
    <w:link w:val="Heading2Char"/>
    <w:uiPriority w:val="3"/>
    <w:qFormat/>
    <w:rsid w:val="00FA7635"/>
    <w:pPr>
      <w:keepNext/>
      <w:keepLines/>
      <w:spacing w:before="280"/>
      <w:outlineLvl w:val="1"/>
    </w:pPr>
    <w:rPr>
      <w:rFonts w:eastAsia="Times New Roman"/>
      <w:b/>
      <w:bCs/>
      <w:color w:val="005874"/>
      <w:sz w:val="30"/>
      <w:szCs w:val="26"/>
    </w:rPr>
  </w:style>
  <w:style w:type="paragraph" w:styleId="Heading3">
    <w:name w:val="heading 3"/>
    <w:aliases w:val="CER Heading 3"/>
    <w:next w:val="Normal"/>
    <w:link w:val="Heading3Char"/>
    <w:uiPriority w:val="4"/>
    <w:qFormat/>
    <w:rsid w:val="00FA7635"/>
    <w:pPr>
      <w:keepNext/>
      <w:keepLines/>
      <w:spacing w:before="240" w:after="200"/>
      <w:outlineLvl w:val="2"/>
    </w:pPr>
    <w:rPr>
      <w:rFonts w:asciiTheme="minorHAnsi" w:eastAsia="Times New Roman" w:hAnsiTheme="minorHAnsi" w:cstheme="minorHAnsi"/>
      <w:b/>
      <w:bCs/>
      <w:color w:val="005874"/>
      <w:sz w:val="25"/>
      <w:szCs w:val="24"/>
      <w:lang w:eastAsia="en-US"/>
    </w:rPr>
  </w:style>
  <w:style w:type="paragraph" w:styleId="Heading4">
    <w:name w:val="heading 4"/>
    <w:aliases w:val="CER Heading 4"/>
    <w:basedOn w:val="Normal"/>
    <w:next w:val="Normal"/>
    <w:link w:val="Heading4Char"/>
    <w:uiPriority w:val="5"/>
    <w:unhideWhenUsed/>
    <w:qFormat/>
    <w:rsid w:val="00FA7635"/>
    <w:pPr>
      <w:keepNext/>
      <w:spacing w:before="240"/>
      <w:outlineLvl w:val="3"/>
    </w:pPr>
    <w:rPr>
      <w:rFonts w:eastAsiaTheme="minorEastAsia" w:cstheme="minorBidi"/>
      <w:bCs/>
      <w:color w:val="005874"/>
      <w:sz w:val="25"/>
      <w:szCs w:val="28"/>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9D4D75"/>
    <w:pPr>
      <w:keepNext/>
      <w:keepLines/>
      <w:spacing w:before="200" w:after="0"/>
      <w:outlineLvl w:val="6"/>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FA7635"/>
    <w:rPr>
      <w:rFonts w:asciiTheme="minorHAnsi" w:eastAsia="Times New Roman" w:hAnsiTheme="minorHAnsi" w:cstheme="minorHAnsi"/>
      <w:b/>
      <w:bCs/>
      <w:color w:val="005874"/>
      <w:sz w:val="30"/>
      <w:szCs w:val="26"/>
      <w:lang w:eastAsia="en-US"/>
    </w:rPr>
  </w:style>
  <w:style w:type="character" w:customStyle="1" w:styleId="Heading1Char">
    <w:name w:val="Heading 1 Char"/>
    <w:aliases w:val="CER Heading 1 Char"/>
    <w:basedOn w:val="DefaultParagraphFont"/>
    <w:link w:val="Heading1"/>
    <w:uiPriority w:val="2"/>
    <w:rsid w:val="00FA7635"/>
    <w:rPr>
      <w:rFonts w:asciiTheme="minorHAnsi" w:eastAsia="Times New Roman" w:hAnsiTheme="minorHAnsi" w:cstheme="minorHAnsi"/>
      <w:b/>
      <w:bCs/>
      <w:color w:val="005874"/>
      <w:kern w:val="32"/>
      <w:sz w:val="40"/>
      <w:szCs w:val="24"/>
      <w:lang w:eastAsia="en-US"/>
    </w:rPr>
  </w:style>
  <w:style w:type="character" w:customStyle="1" w:styleId="Heading3Char">
    <w:name w:val="Heading 3 Char"/>
    <w:aliases w:val="CER Heading 3 Char"/>
    <w:basedOn w:val="DefaultParagraphFont"/>
    <w:link w:val="Heading3"/>
    <w:uiPriority w:val="4"/>
    <w:rsid w:val="00FA7635"/>
    <w:rPr>
      <w:rFonts w:asciiTheme="minorHAnsi" w:eastAsia="Times New Roman" w:hAnsiTheme="minorHAnsi" w:cstheme="minorHAnsi"/>
      <w:b/>
      <w:bCs/>
      <w:color w:val="005874"/>
      <w:sz w:val="25"/>
      <w:szCs w:val="24"/>
      <w:lang w:eastAsia="en-US"/>
    </w:rPr>
  </w:style>
  <w:style w:type="character" w:customStyle="1" w:styleId="Heading4Char">
    <w:name w:val="Heading 4 Char"/>
    <w:aliases w:val="CER Heading 4 Char"/>
    <w:basedOn w:val="DefaultParagraphFont"/>
    <w:link w:val="Heading4"/>
    <w:uiPriority w:val="5"/>
    <w:rsid w:val="00FA7635"/>
    <w:rPr>
      <w:rFonts w:asciiTheme="minorHAnsi" w:eastAsiaTheme="minorEastAsia" w:hAnsiTheme="minorHAnsi" w:cstheme="minorBidi"/>
      <w:bCs/>
      <w:color w:val="005874"/>
      <w:sz w:val="25"/>
      <w:szCs w:val="28"/>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9420C"/>
    <w:pPr>
      <w:tabs>
        <w:tab w:val="left" w:pos="2694"/>
        <w:tab w:val="left" w:pos="3969"/>
        <w:tab w:val="left" w:pos="6946"/>
        <w:tab w:val="right" w:pos="9498"/>
      </w:tabs>
      <w:ind w:left="284" w:right="242"/>
    </w:pPr>
    <w:rPr>
      <w:color w:val="005874"/>
      <w:sz w:val="16"/>
      <w:szCs w:val="16"/>
    </w:rPr>
  </w:style>
  <w:style w:type="character" w:customStyle="1" w:styleId="FooterChar">
    <w:name w:val="Footer Char"/>
    <w:basedOn w:val="DefaultParagraphFont"/>
    <w:link w:val="Footer"/>
    <w:uiPriority w:val="99"/>
    <w:rsid w:val="0099420C"/>
    <w:rPr>
      <w:rFonts w:asciiTheme="minorHAnsi" w:hAnsiTheme="minorHAnsi" w:cstheme="minorHAnsi"/>
      <w:color w:val="005874"/>
      <w:sz w:val="16"/>
      <w:szCs w:val="16"/>
      <w:lang w:eastAsia="en-US"/>
    </w:rPr>
  </w:style>
  <w:style w:type="character" w:styleId="Hyperlink">
    <w:name w:val="Hyperlink"/>
    <w:basedOn w:val="DefaultParagraphFont"/>
    <w:uiPriority w:val="99"/>
    <w:unhideWhenUsed/>
    <w:rsid w:val="00BD5ED5"/>
    <w:rPr>
      <w:rFonts w:ascii="Calibri" w:hAnsi="Calibri"/>
      <w:color w:val="005874"/>
      <w:sz w:val="22"/>
      <w:u w:val="single"/>
    </w:rPr>
  </w:style>
  <w:style w:type="paragraph" w:customStyle="1" w:styleId="CERbullets">
    <w:name w:val="CER bullets"/>
    <w:basedOn w:val="Normal"/>
    <w:link w:val="CERbulletsChar"/>
    <w:uiPriority w:val="7"/>
    <w:qFormat/>
    <w:rsid w:val="00FA7635"/>
    <w:pPr>
      <w:numPr>
        <w:numId w:val="21"/>
      </w:numPr>
      <w:spacing w:before="120" w:after="120"/>
      <w:ind w:left="357" w:hanging="357"/>
    </w:pPr>
    <w:rPr>
      <w:color w:val="auto"/>
    </w:rPr>
  </w:style>
  <w:style w:type="character" w:customStyle="1" w:styleId="CERbulletsChar">
    <w:name w:val="CER bullets Char"/>
    <w:basedOn w:val="DefaultParagraphFont"/>
    <w:link w:val="CERbullets"/>
    <w:uiPriority w:val="7"/>
    <w:rsid w:val="00FA7635"/>
    <w:rPr>
      <w:rFonts w:asciiTheme="minorHAnsi" w:hAnsiTheme="minorHAnsi" w:cstheme="minorHAnsi"/>
      <w:sz w:val="22"/>
      <w:szCs w:val="24"/>
      <w:lang w:eastAsia="en-US"/>
    </w:rPr>
  </w:style>
  <w:style w:type="table" w:customStyle="1" w:styleId="CERTable">
    <w:name w:val="CER Table"/>
    <w:basedOn w:val="TableNormal"/>
    <w:uiPriority w:val="99"/>
    <w:rsid w:val="006423DF"/>
    <w:pPr>
      <w:spacing w:before="120"/>
    </w:pPr>
    <w:rPr>
      <w:rFonts w:ascii="Arial" w:hAnsi="Arial"/>
      <w:color w:val="000000" w:themeColor="text1"/>
      <w:kern w:val="2"/>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Arial Bold" w:hAnsi="Arial Bold"/>
        <w:b/>
        <w:color w:val="auto"/>
        <w:sz w:val="20"/>
      </w:rPr>
      <w:tblPr/>
      <w:tcPr>
        <w:shd w:val="clear" w:color="auto" w:fill="CDCDCD"/>
      </w:tcPr>
    </w:tblStylePr>
    <w:tblStylePr w:type="lastRow">
      <w:pPr>
        <w:wordWrap/>
        <w:spacing w:beforeLines="0" w:before="10" w:beforeAutospacing="0" w:afterLines="0" w:after="10" w:afterAutospacing="0"/>
      </w:pPr>
      <w:tblPr/>
      <w:tcPr>
        <w:vAlign w:val="center"/>
      </w:tcPr>
    </w:tblStylePr>
    <w:tblStylePr w:type="firstCol">
      <w:pPr>
        <w:wordWrap/>
        <w:ind w:leftChars="0" w:left="0" w:rightChars="0" w:right="0"/>
        <w:contextualSpacing w:val="0"/>
      </w:pPr>
      <w:rPr>
        <w:rFonts w:ascii="Arial Bold" w:hAnsi="Arial Bold"/>
        <w:b/>
        <w:i w:val="0"/>
        <w:color w:val="000000" w:themeColor="text1"/>
      </w:rPr>
      <w:tblPr/>
      <w:tcPr>
        <w:shd w:val="clear" w:color="auto" w:fill="EAE9E7"/>
      </w:tcPr>
    </w:tblStylePr>
    <w:tblStylePr w:type="band1Horz">
      <w:rPr>
        <w:rFonts w:ascii="Arial" w:hAnsi="Arial"/>
      </w:rPr>
    </w:tblStylePr>
    <w:tblStylePr w:type="band2Horz">
      <w:rPr>
        <w:rFonts w:ascii="Arial" w:hAnsi="Arial"/>
      </w:r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235B98"/>
    <w:pPr>
      <w:ind w:left="284" w:right="284"/>
    </w:pPr>
    <w:rPr>
      <w:rFonts w:ascii="Arial" w:hAnsi="Arial"/>
    </w:rPr>
    <w:tblPr>
      <w:tblCellSpacing w:w="142" w:type="dxa"/>
      <w:tblCellMar>
        <w:left w:w="0" w:type="dxa"/>
        <w:right w:w="0" w:type="dxa"/>
      </w:tblCellMar>
    </w:tblPr>
    <w:trPr>
      <w:cantSplit/>
      <w:tblCellSpacing w:w="142" w:type="dxa"/>
    </w:trPr>
    <w:tcPr>
      <w:shd w:val="pct5" w:color="auto" w:fill="auto"/>
      <w:tcMar>
        <w:top w:w="284" w:type="dxa"/>
        <w:left w:w="284" w:type="dxa"/>
        <w:bottom w:w="284" w:type="dxa"/>
        <w:right w:w="284" w:type="dxa"/>
      </w:tcMar>
    </w:tcPr>
  </w:style>
  <w:style w:type="character" w:customStyle="1" w:styleId="Heading7Char">
    <w:name w:val="Heading 7 Char"/>
    <w:basedOn w:val="DefaultParagraphFont"/>
    <w:link w:val="Heading7"/>
    <w:uiPriority w:val="99"/>
    <w:rsid w:val="009D4D75"/>
    <w:rPr>
      <w:rFonts w:asciiTheme="minorHAnsi" w:eastAsiaTheme="majorEastAsia" w:hAnsiTheme="minorHAnsi" w:cstheme="majorBidi"/>
      <w:i/>
      <w:iCs/>
      <w:color w:val="404040" w:themeColor="text1" w:themeTint="BF"/>
      <w:sz w:val="22"/>
      <w:szCs w:val="24"/>
      <w:lang w:eastAsia="en-US"/>
    </w:rPr>
  </w:style>
  <w:style w:type="character" w:styleId="FollowedHyperlink">
    <w:name w:val="FollowedHyperlink"/>
    <w:basedOn w:val="DefaultParagraphFont"/>
    <w:uiPriority w:val="99"/>
    <w:rsid w:val="00BD5ED5"/>
    <w:rPr>
      <w:rFonts w:asciiTheme="minorHAnsi" w:hAnsiTheme="minorHAnsi"/>
      <w:color w:val="00A7D3"/>
      <w:sz w:val="22"/>
      <w:u w:val="single"/>
    </w:rPr>
  </w:style>
  <w:style w:type="paragraph" w:styleId="ListParagraph">
    <w:name w:val="List Paragraph"/>
    <w:basedOn w:val="Normal"/>
    <w:uiPriority w:val="34"/>
    <w:rsid w:val="0099420C"/>
    <w:pPr>
      <w:ind w:left="720"/>
      <w:contextualSpacing/>
    </w:pPr>
  </w:style>
  <w:style w:type="paragraph" w:customStyle="1" w:styleId="CERnumbering">
    <w:name w:val="CER numbering"/>
    <w:basedOn w:val="CERbullets"/>
    <w:link w:val="CERnumberingChar"/>
    <w:uiPriority w:val="8"/>
    <w:qFormat/>
    <w:rsid w:val="0099420C"/>
    <w:pPr>
      <w:numPr>
        <w:numId w:val="31"/>
      </w:numPr>
    </w:pPr>
  </w:style>
  <w:style w:type="character" w:customStyle="1" w:styleId="CERnumberingChar">
    <w:name w:val="CER numbering Char"/>
    <w:basedOn w:val="CERbulletsChar"/>
    <w:link w:val="CERnumbering"/>
    <w:uiPriority w:val="8"/>
    <w:rsid w:val="0099420C"/>
    <w:rPr>
      <w:rFonts w:asciiTheme="minorHAnsi" w:hAnsiTheme="minorHAnsi" w:cstheme="minorHAnsi"/>
      <w:sz w:val="22"/>
      <w:szCs w:val="24"/>
      <w:lang w:eastAsia="en-US"/>
    </w:rPr>
  </w:style>
  <w:style w:type="paragraph" w:styleId="FootnoteText">
    <w:name w:val="footnote text"/>
    <w:basedOn w:val="Normal"/>
    <w:link w:val="FootnoteTextChar"/>
    <w:uiPriority w:val="99"/>
    <w:semiHidden/>
    <w:unhideWhenUsed/>
    <w:rsid w:val="0012468E"/>
    <w:pPr>
      <w:spacing w:after="0"/>
    </w:pPr>
    <w:rPr>
      <w:sz w:val="20"/>
      <w:szCs w:val="20"/>
    </w:rPr>
  </w:style>
  <w:style w:type="character" w:customStyle="1" w:styleId="FootnoteTextChar">
    <w:name w:val="Footnote Text Char"/>
    <w:basedOn w:val="DefaultParagraphFont"/>
    <w:link w:val="FootnoteText"/>
    <w:uiPriority w:val="99"/>
    <w:semiHidden/>
    <w:rsid w:val="0012468E"/>
    <w:rPr>
      <w:rFonts w:asciiTheme="minorHAnsi" w:hAnsiTheme="minorHAnsi" w:cstheme="minorHAnsi"/>
      <w:color w:val="000000" w:themeColor="text1"/>
      <w:lang w:eastAsia="en-US"/>
    </w:rPr>
  </w:style>
  <w:style w:type="character" w:styleId="FootnoteReference">
    <w:name w:val="footnote reference"/>
    <w:basedOn w:val="DefaultParagraphFont"/>
    <w:uiPriority w:val="99"/>
    <w:semiHidden/>
    <w:unhideWhenUsed/>
    <w:rsid w:val="0012468E"/>
    <w:rPr>
      <w:vertAlign w:val="superscript"/>
    </w:rPr>
  </w:style>
  <w:style w:type="character" w:styleId="CommentReference">
    <w:name w:val="annotation reference"/>
    <w:basedOn w:val="DefaultParagraphFont"/>
    <w:uiPriority w:val="99"/>
    <w:semiHidden/>
    <w:unhideWhenUsed/>
    <w:rsid w:val="00BC21A1"/>
    <w:rPr>
      <w:sz w:val="16"/>
      <w:szCs w:val="16"/>
    </w:rPr>
  </w:style>
  <w:style w:type="paragraph" w:styleId="CommentText">
    <w:name w:val="annotation text"/>
    <w:basedOn w:val="Normal"/>
    <w:link w:val="CommentTextChar"/>
    <w:uiPriority w:val="99"/>
    <w:semiHidden/>
    <w:unhideWhenUsed/>
    <w:rsid w:val="00BC21A1"/>
    <w:rPr>
      <w:sz w:val="20"/>
      <w:szCs w:val="20"/>
    </w:rPr>
  </w:style>
  <w:style w:type="character" w:customStyle="1" w:styleId="CommentTextChar">
    <w:name w:val="Comment Text Char"/>
    <w:basedOn w:val="DefaultParagraphFont"/>
    <w:link w:val="CommentText"/>
    <w:uiPriority w:val="99"/>
    <w:semiHidden/>
    <w:rsid w:val="00BC21A1"/>
    <w:rPr>
      <w:rFonts w:asciiTheme="minorHAnsi" w:hAnsiTheme="minorHAnsi" w:cs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BC21A1"/>
    <w:rPr>
      <w:b/>
      <w:bCs/>
    </w:rPr>
  </w:style>
  <w:style w:type="character" w:customStyle="1" w:styleId="CommentSubjectChar">
    <w:name w:val="Comment Subject Char"/>
    <w:basedOn w:val="CommentTextChar"/>
    <w:link w:val="CommentSubject"/>
    <w:uiPriority w:val="99"/>
    <w:semiHidden/>
    <w:rsid w:val="00BC21A1"/>
    <w:rPr>
      <w:rFonts w:asciiTheme="minorHAnsi" w:hAnsiTheme="minorHAnsi" w:cstheme="minorHAnsi"/>
      <w:b/>
      <w:bCs/>
      <w:color w:val="000000" w:themeColor="text1"/>
      <w:lang w:eastAsia="en-US"/>
    </w:rPr>
  </w:style>
  <w:style w:type="paragraph" w:styleId="BalloonText">
    <w:name w:val="Balloon Text"/>
    <w:basedOn w:val="Normal"/>
    <w:link w:val="BalloonTextChar"/>
    <w:semiHidden/>
    <w:unhideWhenUsed/>
    <w:rsid w:val="00BC21A1"/>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C21A1"/>
    <w:rPr>
      <w:rFonts w:ascii="Segoe UI" w:hAnsi="Segoe UI" w:cs="Segoe UI"/>
      <w:color w:val="000000" w:themeColor="text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cleanenergyregulator.gov.au/" TargetMode="External"/><Relationship Id="rId2" Type="http://schemas.openxmlformats.org/officeDocument/2006/relationships/hyperlink" Target="mailto:enquiries@cleanenergyregulator.gov.au"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cleanenergyregulator.gov.au/" TargetMode="External"/><Relationship Id="rId2" Type="http://schemas.openxmlformats.org/officeDocument/2006/relationships/hyperlink" Target="mailto:enquiries@cleanenergyregulator.gov.au"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ERContentPublishingTaskJobNumber xmlns="32e2fb52-454c-4a55-9e7f-b565c4403fdc">PJ550</CERContentPublishingTaskJobNumber>
    <Date_x0020_Submitted xmlns="32e2fb52-454c-4a55-9e7f-b565c4403fdc" xsi:nil="true"/>
    <CER_x0020_Content_x0020_Approval_x0020_Workflow_x0020_Comments xmlns="32e2fb52-454c-4a55-9e7f-b565c4403fdc" xsi:nil="true"/>
    <Type_x0020_of_x0020_document xmlns="32e2fb52-454c-4a55-9e7f-b565c4403fdc">general</Type_x0020_of_x0020_document>
    <Submitted_x0020_By xmlns="32e2fb52-454c-4a55-9e7f-b565c4403fdc">
      <UserInfo>
        <DisplayName/>
        <AccountId xsi:nil="true"/>
        <AccountType/>
      </UserInfo>
    </Submitted_x0020_By>
    <PublishingExpirationDate xmlns="http://schemas.microsoft.com/sharepoint/v3" xsi:nil="true"/>
    <CommonTopic xmlns="32e2fb52-454c-4a55-9e7f-b565c4403fdc">
      <Value>Emissions Reduction Fund</Value>
    </CommonTopic>
    <Requires_x0020_Higher_x0020_Approval xmlns="32e2fb52-454c-4a55-9e7f-b565c4403fdc">false</Requires_x0020_Higher_x0020_Approval>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EDFF5A17EBFF408172BFDB5CA07867" ma:contentTypeVersion="9" ma:contentTypeDescription="Create a new document." ma:contentTypeScope="" ma:versionID="ffb3934923690fad9da4c9bcc106c7cb">
  <xsd:schema xmlns:xsd="http://www.w3.org/2001/XMLSchema" xmlns:xs="http://www.w3.org/2001/XMLSchema" xmlns:p="http://schemas.microsoft.com/office/2006/metadata/properties" xmlns:ns1="http://schemas.microsoft.com/sharepoint/v3" xmlns:ns2="32e2fb52-454c-4a55-9e7f-b565c4403fdc" targetNamespace="http://schemas.microsoft.com/office/2006/metadata/properties" ma:root="true" ma:fieldsID="beb74a5a57427645cf1aec0feaa913c1" ns1:_="" ns2:_="">
    <xsd:import namespace="http://schemas.microsoft.com/sharepoint/v3"/>
    <xsd:import namespace="32e2fb52-454c-4a55-9e7f-b565c4403fdc"/>
    <xsd:element name="properties">
      <xsd:complexType>
        <xsd:sequence>
          <xsd:element name="documentManagement">
            <xsd:complexType>
              <xsd:all>
                <xsd:element ref="ns2:CER_x0020_Content_x0020_Approval_x0020_Workflow_x0020_Comments" minOccurs="0"/>
                <xsd:element ref="ns2:CERContentPublishingTaskJobNumber"/>
                <xsd:element ref="ns2:Date_x0020_Submitted" minOccurs="0"/>
                <xsd:element ref="ns2:Requires_x0020_Higher_x0020_Approval" minOccurs="0"/>
                <xsd:element ref="ns2:Submitted_x0020_By" minOccurs="0"/>
                <xsd:element ref="ns1:PublishingStartDate" minOccurs="0"/>
                <xsd:element ref="ns1:PublishingExpirationDate" minOccurs="0"/>
                <xsd:element ref="ns2:CommonTopic" minOccurs="0"/>
                <xsd:element ref="ns1:_dlc_Exempt" minOccurs="0"/>
                <xsd:element ref="ns2:Type_x0020_of_x0020_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1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e2fb52-454c-4a55-9e7f-b565c4403fdc" elementFormDefault="qualified">
    <xsd:import namespace="http://schemas.microsoft.com/office/2006/documentManagement/types"/>
    <xsd:import namespace="http://schemas.microsoft.com/office/infopath/2007/PartnerControls"/>
    <xsd:element name="CER_x0020_Content_x0020_Approval_x0020_Workflow_x0020_Comments" ma:index="8" nillable="true" ma:displayName="CER Content Approval Workflow Comments" ma:internalName="CER_x0020_Content_x0020_Approval_x0020_Workflow_x0020_Comments">
      <xsd:simpleType>
        <xsd:restriction base="dms:Text">
          <xsd:maxLength value="255"/>
        </xsd:restriction>
      </xsd:simpleType>
    </xsd:element>
    <xsd:element name="CERContentPublishingTaskJobNumber" ma:index="9" ma:displayName="CERContentPublishingTaskJobNumber" ma:default="WM####" ma:internalName="CERContentPublishingTaskJobNumber">
      <xsd:simpleType>
        <xsd:restriction base="dms:Note">
          <xsd:maxLength value="255"/>
        </xsd:restriction>
      </xsd:simpleType>
    </xsd:element>
    <xsd:element name="Date_x0020_Submitted" ma:index="10" nillable="true" ma:displayName="Date Submitted" ma:format="DateOnly" ma:internalName="Date_x0020_Submitted">
      <xsd:simpleType>
        <xsd:restriction base="dms:DateTime"/>
      </xsd:simpleType>
    </xsd:element>
    <xsd:element name="Requires_x0020_Higher_x0020_Approval" ma:index="11" nillable="true" ma:displayName="Requires Higher Approval" ma:default="0" ma:description="Requires Higher Approval" ma:internalName="Requires_x0020_Higher_x0020_Approval">
      <xsd:simpleType>
        <xsd:restriction base="dms:Boolean"/>
      </xsd:simpleType>
    </xsd:element>
    <xsd:element name="Submitted_x0020_By" ma:index="12" nillable="true" ma:displayName="Submitted By" ma:list="UserInfo" ma:SharePointGroup="0" ma:internalName="Submitt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onTopic" ma:index="15" nillable="true" ma:displayName="Topic" ma:internalName="CommonTopic">
      <xsd:complexType>
        <xsd:complexContent>
          <xsd:extension base="dms:MultiChoice">
            <xsd:sequence>
              <xsd:element name="Value" maxOccurs="unbounded" minOccurs="0" nillable="true">
                <xsd:simpleType>
                  <xsd:restriction base="dms:Choice">
                    <xsd:enumeration value="Carbon Farming Initiative"/>
                    <xsd:enumeration value="Carbon Pricing Mechanism"/>
                    <xsd:enumeration value="National Greenhouse and Energy Reporting"/>
                    <xsd:enumeration value="Renewable Energy Target"/>
                    <xsd:enumeration value="Emissions Reduction Fund"/>
                    <xsd:enumeration value="NGER auditors"/>
                    <xsd:enumeration value="Media"/>
                    <xsd:enumeration value="Corporate"/>
                    <xsd:enumeration value="ANREU"/>
                    <xsd:enumeration value="EERS"/>
                    <xsd:enumeration value="REC Registry"/>
                    <xsd:enumeration value="Emissions Reduction Fund - mapping file"/>
                    <xsd:enumeration value="Reports"/>
                    <xsd:enumeration value="Guarantee of Origin"/>
                  </xsd:restriction>
                </xsd:simpleType>
              </xsd:element>
            </xsd:sequence>
          </xsd:extension>
        </xsd:complexContent>
      </xsd:complexType>
    </xsd:element>
    <xsd:element name="Type_x0020_of_x0020_document" ma:index="17" nillable="true" ma:displayName="Type of document" ma:default="general" ma:format="Dropdown" ma:internalName="Type_x0020_of_x0020_document">
      <xsd:simpleType>
        <xsd:restriction base="dms:Choice">
          <xsd:enumeration value="general"/>
          <xsd:enumeration value="ERF project mapping file"/>
          <xsd:enumeration value="consulthub - CERT consult 1 submissions"/>
          <xsd:enumeration value="consulthub - CERT consult 2 submissions"/>
          <xsd:enumeration value="consulthub - CERT consult 3 submiss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Microsoft.Office.RecordsManagement.PolicyFeatures.PolicyAudit" staticId="0x0101006FEDFF5A17EBFF408172BFDB5CA07867|937198175" UniqueId="4978652a-571d-4abe-8789-326422c0f180">
      <p:Name>Auditing</p:Name>
      <p:Description>Audits user actions on documents and list items to the Audit Log.</p:Description>
      <p:CustomData>
        <Audit>
          <View/>
        </Audit>
      </p:CustomData>
    </p:PolicyItem>
  </p:PolicyItems>
</p:Policy>
</file>

<file path=customXml/itemProps1.xml><?xml version="1.0" encoding="utf-8"?>
<ds:datastoreItem xmlns:ds="http://schemas.openxmlformats.org/officeDocument/2006/customXml" ds:itemID="{56827EFA-ED6A-4F5E-BCD6-4DF145EF867C}">
  <ds:schemaRefs>
    <ds:schemaRef ds:uri="http://schemas.openxmlformats.org/package/2006/metadata/core-properties"/>
    <ds:schemaRef ds:uri="http://schemas.microsoft.com/office/2006/metadata/properties"/>
    <ds:schemaRef ds:uri="http://purl.org/dc/dcmitype/"/>
    <ds:schemaRef ds:uri="http://purl.org/dc/terms/"/>
    <ds:schemaRef ds:uri="a00db16c-3796-4644-9082-0f19adf41e50"/>
    <ds:schemaRef ds:uri="57c769b1-d0f8-4bbc-ac5a-07425f875e94"/>
    <ds:schemaRef ds:uri="http://schemas.microsoft.com/office/infopath/2007/PartnerControls"/>
    <ds:schemaRef ds:uri="http://purl.org/dc/elements/1.1/"/>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2BE0F562-30E7-4595-8EDF-0F175882942A}">
  <ds:schemaRefs>
    <ds:schemaRef ds:uri="http://schemas.microsoft.com/sharepoint/v3/contenttype/forms"/>
  </ds:schemaRefs>
</ds:datastoreItem>
</file>

<file path=customXml/itemProps3.xml><?xml version="1.0" encoding="utf-8"?>
<ds:datastoreItem xmlns:ds="http://schemas.openxmlformats.org/officeDocument/2006/customXml" ds:itemID="{0189D7EE-881B-4929-BB6D-E1F975F9BD13}"/>
</file>

<file path=customXml/itemProps4.xml><?xml version="1.0" encoding="utf-8"?>
<ds:datastoreItem xmlns:ds="http://schemas.openxmlformats.org/officeDocument/2006/customXml" ds:itemID="{9BD9E927-C263-46FC-94DC-EA5E8114D30D}"/>
</file>

<file path=docProps/app.xml><?xml version="1.0" encoding="utf-8"?>
<Properties xmlns="http://schemas.openxmlformats.org/officeDocument/2006/extended-properties" xmlns:vt="http://schemas.openxmlformats.org/officeDocument/2006/docPropsVTypes">
  <Template>Normal.dotm</Template>
  <TotalTime>0</TotalTime>
  <Pages>4</Pages>
  <Words>1089</Words>
  <Characters>5135</Characters>
  <Application>Microsoft Office Word</Application>
  <DocSecurity>0</DocSecurity>
  <Lines>114</Lines>
  <Paragraphs>74</Paragraphs>
  <ScaleCrop>false</ScaleCrop>
  <HeadingPairs>
    <vt:vector size="2" baseType="variant">
      <vt:variant>
        <vt:lpstr>Title</vt:lpstr>
      </vt:variant>
      <vt:variant>
        <vt:i4>1</vt:i4>
      </vt:variant>
    </vt:vector>
  </HeadingPairs>
  <TitlesOfParts>
    <vt:vector size="1" baseType="lpstr">
      <vt:lpstr>Operational policy on crediting for NFMR and HIR projects</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Archived: Operational policy on crediting for NFMR and HIR projects</dc:title>
  <dc:subject/>
  <dc:creator/>
  <cp:keywords/>
  <cp:lastModifiedBy/>
  <cp:revision>1</cp:revision>
  <dcterms:created xsi:type="dcterms:W3CDTF">2021-02-07T23:19:00Z</dcterms:created>
  <dcterms:modified xsi:type="dcterms:W3CDTF">2021-02-07T23:24:00Z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0x0101006FEDFF5A17EBFF408172BFDB5CA07867</vt:lpwstr>
  </property>
</Properties>
</file>