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0D75B2A0" w:rsidR="00977234" w:rsidRPr="00F11EE4" w:rsidRDefault="00B16D30" w:rsidP="00146FC8">
      <w:pPr>
        <w:pStyle w:val="CERcovertitle"/>
        <w:tabs>
          <w:tab w:val="left" w:pos="5103"/>
        </w:tabs>
        <w:spacing w:before="2520"/>
        <w:ind w:left="5103" w:right="-41"/>
        <w:rPr>
          <w:sz w:val="52"/>
          <w:szCs w:val="54"/>
        </w:rPr>
      </w:pPr>
      <w:r w:rsidRPr="00F11EE4">
        <w:rPr>
          <w:sz w:val="52"/>
          <w:szCs w:val="54"/>
        </w:rPr>
        <w:drawing>
          <wp:anchor distT="0" distB="0" distL="114300" distR="114300" simplePos="0" relativeHeight="251658241" behindDoc="0" locked="0" layoutInCell="1" allowOverlap="1" wp14:anchorId="711A514B" wp14:editId="491A345E">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F11EE4">
        <w:rPr>
          <w:rFonts w:asciiTheme="minorHAnsi" w:hAnsiTheme="minorHAnsi"/>
          <w:sz w:val="52"/>
          <w:szCs w:val="54"/>
        </w:rPr>
        <mc:AlternateContent>
          <mc:Choice Requires="wps">
            <w:drawing>
              <wp:anchor distT="0" distB="0" distL="114300" distR="114300" simplePos="0" relativeHeight="251658240" behindDoc="0" locked="0" layoutInCell="1" allowOverlap="1" wp14:anchorId="41A7BA9F" wp14:editId="12C82D35">
                <wp:simplePos x="0" y="0"/>
                <wp:positionH relativeFrom="column">
                  <wp:posOffset>-19050</wp:posOffset>
                </wp:positionH>
                <wp:positionV relativeFrom="paragraph">
                  <wp:posOffset>893445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chemeClr val="accent1">
                            <a:lumMod val="60000"/>
                            <a:lumOff val="40000"/>
                          </a:schemeClr>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4B92945" id="Freeform: Shape 15" o:spid="_x0000_s1026" alt="&quot;&quot;" style="position:absolute;margin-left:-1.5pt;margin-top:70.35pt;width:487.55pt;height:4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c5d3a8 [1940]"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E635EC" w:rsidRPr="00F11EE4">
        <w:rPr>
          <w:sz w:val="52"/>
          <w:szCs w:val="54"/>
        </w:rPr>
        <w:t>N</w:t>
      </w:r>
      <w:r w:rsidR="00F66B1A" w:rsidRPr="00F11EE4">
        <w:rPr>
          <w:sz w:val="52"/>
          <w:szCs w:val="54"/>
        </w:rPr>
        <w:t xml:space="preserve">ational </w:t>
      </w:r>
      <w:r w:rsidR="00E635EC" w:rsidRPr="00F11EE4">
        <w:rPr>
          <w:sz w:val="52"/>
          <w:szCs w:val="54"/>
        </w:rPr>
        <w:t>G</w:t>
      </w:r>
      <w:r w:rsidR="00F66B1A" w:rsidRPr="00F11EE4">
        <w:rPr>
          <w:sz w:val="52"/>
          <w:szCs w:val="54"/>
        </w:rPr>
        <w:t xml:space="preserve">reenhouse </w:t>
      </w:r>
      <w:r w:rsidR="00E635EC" w:rsidRPr="00F11EE4">
        <w:rPr>
          <w:sz w:val="52"/>
          <w:szCs w:val="54"/>
        </w:rPr>
        <w:t>E</w:t>
      </w:r>
      <w:r w:rsidR="00F66B1A" w:rsidRPr="00F11EE4">
        <w:rPr>
          <w:sz w:val="52"/>
          <w:szCs w:val="54"/>
        </w:rPr>
        <w:t xml:space="preserve">nergy </w:t>
      </w:r>
      <w:r w:rsidR="00E635EC" w:rsidRPr="00F11EE4">
        <w:rPr>
          <w:sz w:val="52"/>
          <w:szCs w:val="54"/>
        </w:rPr>
        <w:t>R</w:t>
      </w:r>
      <w:r w:rsidR="0065337A" w:rsidRPr="00F11EE4">
        <w:rPr>
          <w:sz w:val="52"/>
          <w:szCs w:val="54"/>
        </w:rPr>
        <w:t>eporting (NGER)</w:t>
      </w:r>
      <w:r w:rsidR="00E635EC" w:rsidRPr="00F11EE4">
        <w:rPr>
          <w:sz w:val="52"/>
          <w:szCs w:val="54"/>
        </w:rPr>
        <w:t xml:space="preserve"> Uncertainty Calculator User Guide</w:t>
      </w:r>
    </w:p>
    <w:p w14:paraId="3B543F96" w14:textId="3A61E8B1" w:rsidR="003A5739" w:rsidRPr="00531F3B" w:rsidRDefault="0068486A" w:rsidP="001813DE">
      <w:pPr>
        <w:pStyle w:val="BodyText1"/>
        <w:tabs>
          <w:tab w:val="left" w:pos="3969"/>
        </w:tabs>
        <w:ind w:left="5103" w:right="101"/>
      </w:pPr>
      <w:r>
        <w:t>July 202</w:t>
      </w:r>
      <w:r w:rsidR="002B380B">
        <w:t>6</w:t>
      </w:r>
    </w:p>
    <w:p w14:paraId="6519C78F" w14:textId="03C371E9" w:rsidR="00235142" w:rsidRPr="00874B8F" w:rsidRDefault="00346AEF" w:rsidP="005B2609">
      <w:pPr>
        <w:pStyle w:val="Heading1"/>
      </w:pPr>
      <w:bookmarkStart w:id="0" w:name="_Toc108534518"/>
      <w:bookmarkStart w:id="1" w:name="_Toc108534640"/>
      <w:bookmarkStart w:id="2" w:name="_Toc233637536"/>
      <w:r>
        <w:rPr>
          <w:noProof/>
        </w:rPr>
        <w:drawing>
          <wp:anchor distT="0" distB="0" distL="114300" distR="114300" simplePos="0" relativeHeight="251658242" behindDoc="0" locked="0" layoutInCell="1" allowOverlap="1" wp14:anchorId="68F54FFC" wp14:editId="5A2FA83C">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1">
                          <a:lumMod val="60000"/>
                          <a:lumOff val="40000"/>
                          <a:tint val="45000"/>
                          <a:satMod val="400000"/>
                        </a:schemeClr>
                      </a:duotone>
                      <a:extLst>
                        <a:ext uri="{BEBA8EAE-BF5A-486C-A8C5-ECC9F3942E4B}">
                          <a14:imgProps xmlns:a14="http://schemas.microsoft.com/office/drawing/2010/main">
                            <a14:imgLayer r:embed="rId12">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58246"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58245"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58244" behindDoc="0" locked="0" layoutInCell="1" allowOverlap="1" wp14:anchorId="51D0E73D" wp14:editId="4687BAD5">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7"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3" behindDoc="0" locked="0" layoutInCell="1" allowOverlap="1" wp14:anchorId="27AA53C8" wp14:editId="3178DEBE">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bookmarkStart w:id="3" w:name="_Toc447009035"/>
      <w:bookmarkStart w:id="4" w:name="_Toc413749884"/>
      <w:r w:rsidR="00235142" w:rsidRPr="00874B8F">
        <w:lastRenderedPageBreak/>
        <w:t>Contents</w:t>
      </w:r>
      <w:bookmarkEnd w:id="0"/>
      <w:bookmarkEnd w:id="1"/>
      <w:bookmarkEnd w:id="2"/>
    </w:p>
    <w:p w14:paraId="45E3B6E9" w14:textId="2BDE5C43" w:rsidR="009917C8" w:rsidRDefault="00235142">
      <w:pPr>
        <w:pStyle w:val="TOC1"/>
        <w:rPr>
          <w:rFonts w:eastAsiaTheme="minorEastAsia" w:cstheme="minorBidi"/>
          <w:b w:val="0"/>
          <w:noProof/>
          <w:color w:val="auto"/>
          <w:kern w:val="2"/>
          <w:sz w:val="24"/>
          <w:lang w:eastAsia="en-AU"/>
          <w14:ligatures w14:val="standardContextual"/>
        </w:rPr>
      </w:pPr>
      <w:r>
        <w:fldChar w:fldCharType="begin"/>
      </w:r>
      <w:r>
        <w:instrText xml:space="preserve"> TOC  \* MERGEFORMAT </w:instrText>
      </w:r>
      <w:r>
        <w:fldChar w:fldCharType="separate"/>
      </w:r>
      <w:r w:rsidR="009917C8">
        <w:rPr>
          <w:noProof/>
        </w:rPr>
        <w:t>Contents</w:t>
      </w:r>
      <w:r w:rsidR="009917C8">
        <w:rPr>
          <w:noProof/>
        </w:rPr>
        <w:tab/>
      </w:r>
      <w:r w:rsidR="009917C8">
        <w:rPr>
          <w:noProof/>
        </w:rPr>
        <w:fldChar w:fldCharType="begin"/>
      </w:r>
      <w:r w:rsidR="009917C8">
        <w:rPr>
          <w:noProof/>
        </w:rPr>
        <w:instrText xml:space="preserve"> PAGEREF _Toc233637536 \h </w:instrText>
      </w:r>
      <w:r w:rsidR="009917C8">
        <w:rPr>
          <w:noProof/>
        </w:rPr>
      </w:r>
      <w:r w:rsidR="009917C8">
        <w:rPr>
          <w:noProof/>
        </w:rPr>
        <w:fldChar w:fldCharType="separate"/>
      </w:r>
      <w:r w:rsidR="009917C8">
        <w:rPr>
          <w:noProof/>
        </w:rPr>
        <w:t>1</w:t>
      </w:r>
      <w:r w:rsidR="009917C8">
        <w:rPr>
          <w:noProof/>
        </w:rPr>
        <w:fldChar w:fldCharType="end"/>
      </w:r>
    </w:p>
    <w:p w14:paraId="4BECE99A" w14:textId="15DEBBFC" w:rsidR="009917C8" w:rsidRDefault="009917C8">
      <w:pPr>
        <w:pStyle w:val="TOC1"/>
        <w:rPr>
          <w:rFonts w:eastAsiaTheme="minorEastAsia" w:cstheme="minorBidi"/>
          <w:b w:val="0"/>
          <w:noProof/>
          <w:color w:val="auto"/>
          <w:kern w:val="2"/>
          <w:sz w:val="24"/>
          <w:lang w:eastAsia="en-AU"/>
          <w14:ligatures w14:val="standardContextual"/>
        </w:rPr>
      </w:pPr>
      <w:r>
        <w:rPr>
          <w:noProof/>
        </w:rPr>
        <w:t>Definitions and abbreviations</w:t>
      </w:r>
      <w:r>
        <w:rPr>
          <w:noProof/>
        </w:rPr>
        <w:tab/>
      </w:r>
      <w:r>
        <w:rPr>
          <w:noProof/>
        </w:rPr>
        <w:fldChar w:fldCharType="begin"/>
      </w:r>
      <w:r>
        <w:rPr>
          <w:noProof/>
        </w:rPr>
        <w:instrText xml:space="preserve"> PAGEREF _Toc233637537 \h </w:instrText>
      </w:r>
      <w:r>
        <w:rPr>
          <w:noProof/>
        </w:rPr>
      </w:r>
      <w:r>
        <w:rPr>
          <w:noProof/>
        </w:rPr>
        <w:fldChar w:fldCharType="separate"/>
      </w:r>
      <w:r>
        <w:rPr>
          <w:noProof/>
        </w:rPr>
        <w:t>3</w:t>
      </w:r>
      <w:r>
        <w:rPr>
          <w:noProof/>
        </w:rPr>
        <w:fldChar w:fldCharType="end"/>
      </w:r>
    </w:p>
    <w:p w14:paraId="5ACA946E" w14:textId="1A926AA4" w:rsidR="009917C8" w:rsidRDefault="009917C8">
      <w:pPr>
        <w:pStyle w:val="TOC1"/>
        <w:rPr>
          <w:rFonts w:eastAsiaTheme="minorEastAsia" w:cstheme="minorBidi"/>
          <w:b w:val="0"/>
          <w:noProof/>
          <w:color w:val="auto"/>
          <w:kern w:val="2"/>
          <w:sz w:val="24"/>
          <w:lang w:eastAsia="en-AU"/>
          <w14:ligatures w14:val="standardContextual"/>
        </w:rPr>
      </w:pPr>
      <w:r>
        <w:rPr>
          <w:noProof/>
        </w:rPr>
        <w:t>Disclaimer</w:t>
      </w:r>
      <w:r>
        <w:rPr>
          <w:noProof/>
        </w:rPr>
        <w:tab/>
      </w:r>
      <w:r>
        <w:rPr>
          <w:noProof/>
        </w:rPr>
        <w:fldChar w:fldCharType="begin"/>
      </w:r>
      <w:r>
        <w:rPr>
          <w:noProof/>
        </w:rPr>
        <w:instrText xml:space="preserve"> PAGEREF _Toc233637538 \h </w:instrText>
      </w:r>
      <w:r>
        <w:rPr>
          <w:noProof/>
        </w:rPr>
      </w:r>
      <w:r>
        <w:rPr>
          <w:noProof/>
        </w:rPr>
        <w:fldChar w:fldCharType="separate"/>
      </w:r>
      <w:r>
        <w:rPr>
          <w:noProof/>
        </w:rPr>
        <w:t>4</w:t>
      </w:r>
      <w:r>
        <w:rPr>
          <w:noProof/>
        </w:rPr>
        <w:fldChar w:fldCharType="end"/>
      </w:r>
    </w:p>
    <w:p w14:paraId="28AD37D9" w14:textId="0B245238" w:rsidR="009917C8" w:rsidRDefault="009917C8">
      <w:pPr>
        <w:pStyle w:val="TOC1"/>
        <w:rPr>
          <w:rFonts w:eastAsiaTheme="minorEastAsia" w:cstheme="minorBidi"/>
          <w:b w:val="0"/>
          <w:noProof/>
          <w:color w:val="auto"/>
          <w:kern w:val="2"/>
          <w:sz w:val="24"/>
          <w:lang w:eastAsia="en-AU"/>
          <w14:ligatures w14:val="standardContextual"/>
        </w:rPr>
      </w:pPr>
      <w:r>
        <w:rPr>
          <w:noProof/>
        </w:rPr>
        <w:t>2025–26 updates</w:t>
      </w:r>
      <w:r>
        <w:rPr>
          <w:noProof/>
        </w:rPr>
        <w:tab/>
      </w:r>
      <w:r>
        <w:rPr>
          <w:noProof/>
        </w:rPr>
        <w:fldChar w:fldCharType="begin"/>
      </w:r>
      <w:r>
        <w:rPr>
          <w:noProof/>
        </w:rPr>
        <w:instrText xml:space="preserve"> PAGEREF _Toc233637539 \h </w:instrText>
      </w:r>
      <w:r>
        <w:rPr>
          <w:noProof/>
        </w:rPr>
      </w:r>
      <w:r>
        <w:rPr>
          <w:noProof/>
        </w:rPr>
        <w:fldChar w:fldCharType="separate"/>
      </w:r>
      <w:r>
        <w:rPr>
          <w:noProof/>
        </w:rPr>
        <w:t>5</w:t>
      </w:r>
      <w:r>
        <w:rPr>
          <w:noProof/>
        </w:rPr>
        <w:fldChar w:fldCharType="end"/>
      </w:r>
    </w:p>
    <w:p w14:paraId="18444B4A" w14:textId="517C04E4" w:rsidR="009917C8" w:rsidRDefault="009917C8">
      <w:pPr>
        <w:pStyle w:val="TOC1"/>
        <w:rPr>
          <w:rFonts w:eastAsiaTheme="minorEastAsia" w:cstheme="minorBidi"/>
          <w:b w:val="0"/>
          <w:noProof/>
          <w:color w:val="auto"/>
          <w:kern w:val="2"/>
          <w:sz w:val="24"/>
          <w:lang w:eastAsia="en-AU"/>
          <w14:ligatures w14:val="standardContextual"/>
        </w:rPr>
      </w:pPr>
      <w:r>
        <w:rPr>
          <w:noProof/>
        </w:rPr>
        <w:t>Introduction</w:t>
      </w:r>
      <w:r>
        <w:rPr>
          <w:noProof/>
        </w:rPr>
        <w:tab/>
      </w:r>
      <w:r>
        <w:rPr>
          <w:noProof/>
        </w:rPr>
        <w:fldChar w:fldCharType="begin"/>
      </w:r>
      <w:r>
        <w:rPr>
          <w:noProof/>
        </w:rPr>
        <w:instrText xml:space="preserve"> PAGEREF _Toc233637540 \h </w:instrText>
      </w:r>
      <w:r>
        <w:rPr>
          <w:noProof/>
        </w:rPr>
      </w:r>
      <w:r>
        <w:rPr>
          <w:noProof/>
        </w:rPr>
        <w:fldChar w:fldCharType="separate"/>
      </w:r>
      <w:r>
        <w:rPr>
          <w:noProof/>
        </w:rPr>
        <w:t>5</w:t>
      </w:r>
      <w:r>
        <w:rPr>
          <w:noProof/>
        </w:rPr>
        <w:fldChar w:fldCharType="end"/>
      </w:r>
    </w:p>
    <w:p w14:paraId="0F0905FD" w14:textId="7CB2B7F1" w:rsidR="009917C8" w:rsidRDefault="009917C8">
      <w:pPr>
        <w:pStyle w:val="TOC1"/>
        <w:rPr>
          <w:rFonts w:eastAsiaTheme="minorEastAsia" w:cstheme="minorBidi"/>
          <w:b w:val="0"/>
          <w:noProof/>
          <w:color w:val="auto"/>
          <w:kern w:val="2"/>
          <w:sz w:val="24"/>
          <w:lang w:eastAsia="en-AU"/>
          <w14:ligatures w14:val="standardContextual"/>
        </w:rPr>
      </w:pPr>
      <w:r w:rsidRPr="008D5C93">
        <w:rPr>
          <w:noProof/>
          <w:lang w:val="en-GB"/>
        </w:rPr>
        <w:t>Entering data into the Calculator</w:t>
      </w:r>
      <w:r>
        <w:rPr>
          <w:noProof/>
        </w:rPr>
        <w:tab/>
      </w:r>
      <w:r>
        <w:rPr>
          <w:noProof/>
        </w:rPr>
        <w:fldChar w:fldCharType="begin"/>
      </w:r>
      <w:r>
        <w:rPr>
          <w:noProof/>
        </w:rPr>
        <w:instrText xml:space="preserve"> PAGEREF _Toc233637541 \h </w:instrText>
      </w:r>
      <w:r>
        <w:rPr>
          <w:noProof/>
        </w:rPr>
      </w:r>
      <w:r>
        <w:rPr>
          <w:noProof/>
        </w:rPr>
        <w:fldChar w:fldCharType="separate"/>
      </w:r>
      <w:r>
        <w:rPr>
          <w:noProof/>
        </w:rPr>
        <w:t>5</w:t>
      </w:r>
      <w:r>
        <w:rPr>
          <w:noProof/>
        </w:rPr>
        <w:fldChar w:fldCharType="end"/>
      </w:r>
    </w:p>
    <w:p w14:paraId="683785E9" w14:textId="29AD6B00" w:rsidR="009917C8" w:rsidRDefault="009917C8">
      <w:pPr>
        <w:pStyle w:val="TOC2"/>
        <w:rPr>
          <w:rFonts w:eastAsiaTheme="minorEastAsia" w:cstheme="minorBidi"/>
          <w:noProof/>
          <w:color w:val="auto"/>
          <w:kern w:val="2"/>
          <w:sz w:val="24"/>
          <w:lang w:eastAsia="en-AU"/>
          <w14:ligatures w14:val="standardContextual"/>
        </w:rPr>
      </w:pPr>
      <w:r>
        <w:rPr>
          <w:noProof/>
        </w:rPr>
        <w:t>Exporting data from EERS</w:t>
      </w:r>
      <w:r>
        <w:rPr>
          <w:noProof/>
        </w:rPr>
        <w:tab/>
      </w:r>
      <w:r>
        <w:rPr>
          <w:noProof/>
        </w:rPr>
        <w:fldChar w:fldCharType="begin"/>
      </w:r>
      <w:r>
        <w:rPr>
          <w:noProof/>
        </w:rPr>
        <w:instrText xml:space="preserve"> PAGEREF _Toc233637542 \h </w:instrText>
      </w:r>
      <w:r>
        <w:rPr>
          <w:noProof/>
        </w:rPr>
      </w:r>
      <w:r>
        <w:rPr>
          <w:noProof/>
        </w:rPr>
        <w:fldChar w:fldCharType="separate"/>
      </w:r>
      <w:r>
        <w:rPr>
          <w:noProof/>
        </w:rPr>
        <w:t>5</w:t>
      </w:r>
      <w:r>
        <w:rPr>
          <w:noProof/>
        </w:rPr>
        <w:fldChar w:fldCharType="end"/>
      </w:r>
    </w:p>
    <w:p w14:paraId="35193508" w14:textId="68509A29" w:rsidR="009917C8" w:rsidRDefault="009917C8">
      <w:pPr>
        <w:pStyle w:val="TOC2"/>
        <w:rPr>
          <w:rFonts w:eastAsiaTheme="minorEastAsia" w:cstheme="minorBidi"/>
          <w:noProof/>
          <w:color w:val="auto"/>
          <w:kern w:val="2"/>
          <w:sz w:val="24"/>
          <w:lang w:eastAsia="en-AU"/>
          <w14:ligatures w14:val="standardContextual"/>
        </w:rPr>
      </w:pPr>
      <w:r>
        <w:rPr>
          <w:noProof/>
        </w:rPr>
        <w:t>Importing data into the Calculator</w:t>
      </w:r>
      <w:r>
        <w:rPr>
          <w:noProof/>
        </w:rPr>
        <w:tab/>
      </w:r>
      <w:r>
        <w:rPr>
          <w:noProof/>
        </w:rPr>
        <w:fldChar w:fldCharType="begin"/>
      </w:r>
      <w:r>
        <w:rPr>
          <w:noProof/>
        </w:rPr>
        <w:instrText xml:space="preserve"> PAGEREF _Toc233637543 \h </w:instrText>
      </w:r>
      <w:r>
        <w:rPr>
          <w:noProof/>
        </w:rPr>
      </w:r>
      <w:r>
        <w:rPr>
          <w:noProof/>
        </w:rPr>
        <w:fldChar w:fldCharType="separate"/>
      </w:r>
      <w:r>
        <w:rPr>
          <w:noProof/>
        </w:rPr>
        <w:t>6</w:t>
      </w:r>
      <w:r>
        <w:rPr>
          <w:noProof/>
        </w:rPr>
        <w:fldChar w:fldCharType="end"/>
      </w:r>
    </w:p>
    <w:p w14:paraId="23143146" w14:textId="1680F723" w:rsidR="009917C8" w:rsidRDefault="009917C8">
      <w:pPr>
        <w:pStyle w:val="TOC2"/>
        <w:rPr>
          <w:rFonts w:eastAsiaTheme="minorEastAsia" w:cstheme="minorBidi"/>
          <w:noProof/>
          <w:color w:val="auto"/>
          <w:kern w:val="2"/>
          <w:sz w:val="24"/>
          <w:lang w:eastAsia="en-AU"/>
          <w14:ligatures w14:val="standardContextual"/>
        </w:rPr>
      </w:pPr>
      <w:r>
        <w:rPr>
          <w:noProof/>
        </w:rPr>
        <w:t>Finalising data in the Calculator</w:t>
      </w:r>
      <w:r>
        <w:rPr>
          <w:noProof/>
        </w:rPr>
        <w:tab/>
      </w:r>
      <w:r>
        <w:rPr>
          <w:noProof/>
        </w:rPr>
        <w:fldChar w:fldCharType="begin"/>
      </w:r>
      <w:r>
        <w:rPr>
          <w:noProof/>
        </w:rPr>
        <w:instrText xml:space="preserve"> PAGEREF _Toc233637544 \h </w:instrText>
      </w:r>
      <w:r>
        <w:rPr>
          <w:noProof/>
        </w:rPr>
      </w:r>
      <w:r>
        <w:rPr>
          <w:noProof/>
        </w:rPr>
        <w:fldChar w:fldCharType="separate"/>
      </w:r>
      <w:r>
        <w:rPr>
          <w:noProof/>
        </w:rPr>
        <w:t>7</w:t>
      </w:r>
      <w:r>
        <w:rPr>
          <w:noProof/>
        </w:rPr>
        <w:fldChar w:fldCharType="end"/>
      </w:r>
    </w:p>
    <w:p w14:paraId="58B31B34" w14:textId="47B164FC" w:rsidR="009917C8" w:rsidRDefault="009917C8">
      <w:pPr>
        <w:pStyle w:val="TOC1"/>
        <w:rPr>
          <w:rFonts w:eastAsiaTheme="minorEastAsia" w:cstheme="minorBidi"/>
          <w:b w:val="0"/>
          <w:noProof/>
          <w:color w:val="auto"/>
          <w:kern w:val="2"/>
          <w:sz w:val="24"/>
          <w:lang w:eastAsia="en-AU"/>
          <w14:ligatures w14:val="standardContextual"/>
        </w:rPr>
      </w:pPr>
      <w:r>
        <w:rPr>
          <w:noProof/>
        </w:rPr>
        <w:t>Components of the Calculator</w:t>
      </w:r>
      <w:r>
        <w:rPr>
          <w:noProof/>
        </w:rPr>
        <w:tab/>
      </w:r>
      <w:r>
        <w:rPr>
          <w:noProof/>
        </w:rPr>
        <w:fldChar w:fldCharType="begin"/>
      </w:r>
      <w:r>
        <w:rPr>
          <w:noProof/>
        </w:rPr>
        <w:instrText xml:space="preserve"> PAGEREF _Toc233637545 \h </w:instrText>
      </w:r>
      <w:r>
        <w:rPr>
          <w:noProof/>
        </w:rPr>
      </w:r>
      <w:r>
        <w:rPr>
          <w:noProof/>
        </w:rPr>
        <w:fldChar w:fldCharType="separate"/>
      </w:r>
      <w:r>
        <w:rPr>
          <w:noProof/>
        </w:rPr>
        <w:t>8</w:t>
      </w:r>
      <w:r>
        <w:rPr>
          <w:noProof/>
        </w:rPr>
        <w:fldChar w:fldCharType="end"/>
      </w:r>
    </w:p>
    <w:p w14:paraId="6A276C62" w14:textId="5FC81387" w:rsidR="009917C8" w:rsidRDefault="009917C8">
      <w:pPr>
        <w:pStyle w:val="TOC2"/>
        <w:rPr>
          <w:rFonts w:eastAsiaTheme="minorEastAsia" w:cstheme="minorBidi"/>
          <w:noProof/>
          <w:color w:val="auto"/>
          <w:kern w:val="2"/>
          <w:sz w:val="24"/>
          <w:lang w:eastAsia="en-AU"/>
          <w14:ligatures w14:val="standardContextual"/>
        </w:rPr>
      </w:pPr>
      <w:r>
        <w:rPr>
          <w:noProof/>
        </w:rPr>
        <w:t>Worksheets of the Calculator</w:t>
      </w:r>
      <w:r>
        <w:rPr>
          <w:noProof/>
        </w:rPr>
        <w:tab/>
      </w:r>
      <w:r>
        <w:rPr>
          <w:noProof/>
        </w:rPr>
        <w:fldChar w:fldCharType="begin"/>
      </w:r>
      <w:r>
        <w:rPr>
          <w:noProof/>
        </w:rPr>
        <w:instrText xml:space="preserve"> PAGEREF _Toc233637546 \h </w:instrText>
      </w:r>
      <w:r>
        <w:rPr>
          <w:noProof/>
        </w:rPr>
      </w:r>
      <w:r>
        <w:rPr>
          <w:noProof/>
        </w:rPr>
        <w:fldChar w:fldCharType="separate"/>
      </w:r>
      <w:r>
        <w:rPr>
          <w:noProof/>
        </w:rPr>
        <w:t>8</w:t>
      </w:r>
      <w:r>
        <w:rPr>
          <w:noProof/>
        </w:rPr>
        <w:fldChar w:fldCharType="end"/>
      </w:r>
    </w:p>
    <w:p w14:paraId="0575EB49" w14:textId="791D3E2E" w:rsidR="009917C8" w:rsidRDefault="009917C8">
      <w:pPr>
        <w:pStyle w:val="TOC3"/>
        <w:rPr>
          <w:rFonts w:eastAsiaTheme="minorEastAsia" w:cstheme="minorBidi"/>
          <w:noProof/>
          <w:color w:val="auto"/>
          <w:kern w:val="2"/>
          <w:sz w:val="24"/>
          <w:lang w:eastAsia="en-AU"/>
          <w14:ligatures w14:val="standardContextual"/>
        </w:rPr>
      </w:pPr>
      <w:r>
        <w:rPr>
          <w:noProof/>
        </w:rPr>
        <w:t>Source and fuel input worksheet</w:t>
      </w:r>
      <w:r>
        <w:rPr>
          <w:noProof/>
        </w:rPr>
        <w:tab/>
      </w:r>
      <w:r>
        <w:rPr>
          <w:noProof/>
        </w:rPr>
        <w:fldChar w:fldCharType="begin"/>
      </w:r>
      <w:r>
        <w:rPr>
          <w:noProof/>
        </w:rPr>
        <w:instrText xml:space="preserve"> PAGEREF _Toc233637547 \h </w:instrText>
      </w:r>
      <w:r>
        <w:rPr>
          <w:noProof/>
        </w:rPr>
      </w:r>
      <w:r>
        <w:rPr>
          <w:noProof/>
        </w:rPr>
        <w:fldChar w:fldCharType="separate"/>
      </w:r>
      <w:r>
        <w:rPr>
          <w:noProof/>
        </w:rPr>
        <w:t>8</w:t>
      </w:r>
      <w:r>
        <w:rPr>
          <w:noProof/>
        </w:rPr>
        <w:fldChar w:fldCharType="end"/>
      </w:r>
    </w:p>
    <w:p w14:paraId="17CFF06A" w14:textId="5584AA2F" w:rsidR="009917C8" w:rsidRDefault="009917C8">
      <w:pPr>
        <w:pStyle w:val="TOC3"/>
        <w:rPr>
          <w:rFonts w:eastAsiaTheme="minorEastAsia" w:cstheme="minorBidi"/>
          <w:noProof/>
          <w:color w:val="auto"/>
          <w:kern w:val="2"/>
          <w:sz w:val="24"/>
          <w:lang w:eastAsia="en-AU"/>
          <w14:ligatures w14:val="standardContextual"/>
        </w:rPr>
      </w:pPr>
      <w:r>
        <w:rPr>
          <w:noProof/>
        </w:rPr>
        <w:t>Output worksheet</w:t>
      </w:r>
      <w:r>
        <w:rPr>
          <w:noProof/>
        </w:rPr>
        <w:tab/>
      </w:r>
      <w:r>
        <w:rPr>
          <w:noProof/>
        </w:rPr>
        <w:fldChar w:fldCharType="begin"/>
      </w:r>
      <w:r>
        <w:rPr>
          <w:noProof/>
        </w:rPr>
        <w:instrText xml:space="preserve"> PAGEREF _Toc233637548 \h </w:instrText>
      </w:r>
      <w:r>
        <w:rPr>
          <w:noProof/>
        </w:rPr>
      </w:r>
      <w:r>
        <w:rPr>
          <w:noProof/>
        </w:rPr>
        <w:fldChar w:fldCharType="separate"/>
      </w:r>
      <w:r>
        <w:rPr>
          <w:noProof/>
        </w:rPr>
        <w:t>11</w:t>
      </w:r>
      <w:r>
        <w:rPr>
          <w:noProof/>
        </w:rPr>
        <w:fldChar w:fldCharType="end"/>
      </w:r>
    </w:p>
    <w:p w14:paraId="1F46E262" w14:textId="55DB436A" w:rsidR="009917C8" w:rsidRDefault="009917C8">
      <w:pPr>
        <w:pStyle w:val="TOC3"/>
        <w:rPr>
          <w:rFonts w:eastAsiaTheme="minorEastAsia" w:cstheme="minorBidi"/>
          <w:noProof/>
          <w:color w:val="auto"/>
          <w:kern w:val="2"/>
          <w:sz w:val="24"/>
          <w:lang w:eastAsia="en-AU"/>
          <w14:ligatures w14:val="standardContextual"/>
        </w:rPr>
      </w:pPr>
      <w:r>
        <w:rPr>
          <w:noProof/>
        </w:rPr>
        <w:t>Adding your data to EERS</w:t>
      </w:r>
      <w:r>
        <w:rPr>
          <w:noProof/>
        </w:rPr>
        <w:tab/>
      </w:r>
      <w:r>
        <w:rPr>
          <w:noProof/>
        </w:rPr>
        <w:fldChar w:fldCharType="begin"/>
      </w:r>
      <w:r>
        <w:rPr>
          <w:noProof/>
        </w:rPr>
        <w:instrText xml:space="preserve"> PAGEREF _Toc233637549 \h </w:instrText>
      </w:r>
      <w:r>
        <w:rPr>
          <w:noProof/>
        </w:rPr>
      </w:r>
      <w:r>
        <w:rPr>
          <w:noProof/>
        </w:rPr>
        <w:fldChar w:fldCharType="separate"/>
      </w:r>
      <w:r>
        <w:rPr>
          <w:noProof/>
        </w:rPr>
        <w:t>11</w:t>
      </w:r>
      <w:r>
        <w:rPr>
          <w:noProof/>
        </w:rPr>
        <w:fldChar w:fldCharType="end"/>
      </w:r>
    </w:p>
    <w:p w14:paraId="7D679533" w14:textId="014FF525" w:rsidR="009917C8" w:rsidRDefault="009917C8">
      <w:pPr>
        <w:pStyle w:val="TOC3"/>
        <w:rPr>
          <w:rFonts w:eastAsiaTheme="minorEastAsia" w:cstheme="minorBidi"/>
          <w:noProof/>
          <w:color w:val="auto"/>
          <w:kern w:val="2"/>
          <w:sz w:val="24"/>
          <w:lang w:eastAsia="en-AU"/>
          <w14:ligatures w14:val="standardContextual"/>
        </w:rPr>
      </w:pPr>
      <w:r>
        <w:rPr>
          <w:noProof/>
        </w:rPr>
        <w:t>Appendix 1 – Uncertainty of Elements worksheet</w:t>
      </w:r>
      <w:r>
        <w:rPr>
          <w:noProof/>
        </w:rPr>
        <w:tab/>
      </w:r>
      <w:r>
        <w:rPr>
          <w:noProof/>
        </w:rPr>
        <w:fldChar w:fldCharType="begin"/>
      </w:r>
      <w:r>
        <w:rPr>
          <w:noProof/>
        </w:rPr>
        <w:instrText xml:space="preserve"> PAGEREF _Toc233637550 \h </w:instrText>
      </w:r>
      <w:r>
        <w:rPr>
          <w:noProof/>
        </w:rPr>
      </w:r>
      <w:r>
        <w:rPr>
          <w:noProof/>
        </w:rPr>
        <w:fldChar w:fldCharType="separate"/>
      </w:r>
      <w:r>
        <w:rPr>
          <w:noProof/>
        </w:rPr>
        <w:t>12</w:t>
      </w:r>
      <w:r>
        <w:rPr>
          <w:noProof/>
        </w:rPr>
        <w:fldChar w:fldCharType="end"/>
      </w:r>
    </w:p>
    <w:p w14:paraId="09D3D04C" w14:textId="7DD2CCE4" w:rsidR="009917C8" w:rsidRDefault="009917C8">
      <w:pPr>
        <w:pStyle w:val="TOC4"/>
        <w:tabs>
          <w:tab w:val="right" w:leader="dot" w:pos="9730"/>
        </w:tabs>
        <w:rPr>
          <w:rFonts w:eastAsiaTheme="minorEastAsia" w:cstheme="minorBidi"/>
          <w:noProof/>
          <w:color w:val="auto"/>
          <w:kern w:val="2"/>
          <w:sz w:val="24"/>
          <w:lang w:eastAsia="en-AU"/>
          <w14:ligatures w14:val="standardContextual"/>
        </w:rPr>
      </w:pPr>
      <w:r w:rsidRPr="008D5C93">
        <w:rPr>
          <w:noProof/>
          <w:lang w:val="en-GB"/>
        </w:rPr>
        <w:t>Available inputs</w:t>
      </w:r>
      <w:r>
        <w:rPr>
          <w:noProof/>
        </w:rPr>
        <w:tab/>
      </w:r>
      <w:r>
        <w:rPr>
          <w:noProof/>
        </w:rPr>
        <w:fldChar w:fldCharType="begin"/>
      </w:r>
      <w:r>
        <w:rPr>
          <w:noProof/>
        </w:rPr>
        <w:instrText xml:space="preserve"> PAGEREF _Toc233637551 \h </w:instrText>
      </w:r>
      <w:r>
        <w:rPr>
          <w:noProof/>
        </w:rPr>
      </w:r>
      <w:r>
        <w:rPr>
          <w:noProof/>
        </w:rPr>
        <w:fldChar w:fldCharType="separate"/>
      </w:r>
      <w:r>
        <w:rPr>
          <w:noProof/>
        </w:rPr>
        <w:t>12</w:t>
      </w:r>
      <w:r>
        <w:rPr>
          <w:noProof/>
        </w:rPr>
        <w:fldChar w:fldCharType="end"/>
      </w:r>
    </w:p>
    <w:p w14:paraId="1DEAB65F" w14:textId="183E2BD9" w:rsidR="009917C8" w:rsidRDefault="009917C8">
      <w:pPr>
        <w:pStyle w:val="TOC4"/>
        <w:tabs>
          <w:tab w:val="right" w:leader="dot" w:pos="9730"/>
        </w:tabs>
        <w:rPr>
          <w:rFonts w:eastAsiaTheme="minorEastAsia" w:cstheme="minorBidi"/>
          <w:noProof/>
          <w:color w:val="auto"/>
          <w:kern w:val="2"/>
          <w:sz w:val="24"/>
          <w:lang w:eastAsia="en-AU"/>
          <w14:ligatures w14:val="standardContextual"/>
        </w:rPr>
      </w:pPr>
      <w:r w:rsidRPr="008D5C93">
        <w:rPr>
          <w:noProof/>
          <w:lang w:val="en-GB"/>
        </w:rPr>
        <w:t>How to calculate percentage uncertainty of samples</w:t>
      </w:r>
      <w:r>
        <w:rPr>
          <w:noProof/>
        </w:rPr>
        <w:tab/>
      </w:r>
      <w:r>
        <w:rPr>
          <w:noProof/>
        </w:rPr>
        <w:fldChar w:fldCharType="begin"/>
      </w:r>
      <w:r>
        <w:rPr>
          <w:noProof/>
        </w:rPr>
        <w:instrText xml:space="preserve"> PAGEREF _Toc233637552 \h </w:instrText>
      </w:r>
      <w:r>
        <w:rPr>
          <w:noProof/>
        </w:rPr>
      </w:r>
      <w:r>
        <w:rPr>
          <w:noProof/>
        </w:rPr>
        <w:fldChar w:fldCharType="separate"/>
      </w:r>
      <w:r>
        <w:rPr>
          <w:noProof/>
        </w:rPr>
        <w:t>13</w:t>
      </w:r>
      <w:r>
        <w:rPr>
          <w:noProof/>
        </w:rPr>
        <w:fldChar w:fldCharType="end"/>
      </w:r>
    </w:p>
    <w:p w14:paraId="50632E48" w14:textId="37C5FC72" w:rsidR="009917C8" w:rsidRDefault="009917C8">
      <w:pPr>
        <w:pStyle w:val="TOC1"/>
        <w:rPr>
          <w:rFonts w:eastAsiaTheme="minorEastAsia" w:cstheme="minorBidi"/>
          <w:b w:val="0"/>
          <w:noProof/>
          <w:color w:val="auto"/>
          <w:kern w:val="2"/>
          <w:sz w:val="24"/>
          <w:lang w:eastAsia="en-AU"/>
          <w14:ligatures w14:val="standardContextual"/>
        </w:rPr>
      </w:pPr>
      <w:r w:rsidRPr="008D5C93">
        <w:rPr>
          <w:noProof/>
          <w:lang w:val="en-GB"/>
        </w:rPr>
        <w:t>Uncertainty reporting process</w:t>
      </w:r>
      <w:r>
        <w:rPr>
          <w:noProof/>
        </w:rPr>
        <w:tab/>
      </w:r>
      <w:r>
        <w:rPr>
          <w:noProof/>
        </w:rPr>
        <w:fldChar w:fldCharType="begin"/>
      </w:r>
      <w:r>
        <w:rPr>
          <w:noProof/>
        </w:rPr>
        <w:instrText xml:space="preserve"> PAGEREF _Toc233637553 \h </w:instrText>
      </w:r>
      <w:r>
        <w:rPr>
          <w:noProof/>
        </w:rPr>
      </w:r>
      <w:r>
        <w:rPr>
          <w:noProof/>
        </w:rPr>
        <w:fldChar w:fldCharType="separate"/>
      </w:r>
      <w:r>
        <w:rPr>
          <w:noProof/>
        </w:rPr>
        <w:t>14</w:t>
      </w:r>
      <w:r>
        <w:rPr>
          <w:noProof/>
        </w:rPr>
        <w:fldChar w:fldCharType="end"/>
      </w:r>
    </w:p>
    <w:p w14:paraId="07F35CD9" w14:textId="5DF2752D" w:rsidR="009917C8" w:rsidRDefault="009917C8">
      <w:pPr>
        <w:pStyle w:val="TOC2"/>
        <w:rPr>
          <w:rFonts w:eastAsiaTheme="minorEastAsia" w:cstheme="minorBidi"/>
          <w:noProof/>
          <w:color w:val="auto"/>
          <w:kern w:val="2"/>
          <w:sz w:val="24"/>
          <w:lang w:eastAsia="en-AU"/>
          <w14:ligatures w14:val="standardContextual"/>
        </w:rPr>
      </w:pPr>
      <w:r>
        <w:rPr>
          <w:noProof/>
        </w:rPr>
        <w:t>Reporting uncertainty in EERS</w:t>
      </w:r>
      <w:r>
        <w:rPr>
          <w:noProof/>
        </w:rPr>
        <w:tab/>
      </w:r>
      <w:r>
        <w:rPr>
          <w:noProof/>
        </w:rPr>
        <w:fldChar w:fldCharType="begin"/>
      </w:r>
      <w:r>
        <w:rPr>
          <w:noProof/>
        </w:rPr>
        <w:instrText xml:space="preserve"> PAGEREF _Toc233637554 \h </w:instrText>
      </w:r>
      <w:r>
        <w:rPr>
          <w:noProof/>
        </w:rPr>
      </w:r>
      <w:r>
        <w:rPr>
          <w:noProof/>
        </w:rPr>
        <w:fldChar w:fldCharType="separate"/>
      </w:r>
      <w:r>
        <w:rPr>
          <w:noProof/>
        </w:rPr>
        <w:t>14</w:t>
      </w:r>
      <w:r>
        <w:rPr>
          <w:noProof/>
        </w:rPr>
        <w:fldChar w:fldCharType="end"/>
      </w:r>
    </w:p>
    <w:p w14:paraId="1E3D9866" w14:textId="6883F7FA" w:rsidR="009917C8" w:rsidRDefault="009917C8">
      <w:pPr>
        <w:pStyle w:val="TOC3"/>
        <w:rPr>
          <w:rFonts w:eastAsiaTheme="minorEastAsia" w:cstheme="minorBidi"/>
          <w:noProof/>
          <w:color w:val="auto"/>
          <w:kern w:val="2"/>
          <w:sz w:val="24"/>
          <w:lang w:eastAsia="en-AU"/>
          <w14:ligatures w14:val="standardContextual"/>
        </w:rPr>
      </w:pPr>
      <w:r>
        <w:rPr>
          <w:noProof/>
        </w:rPr>
        <w:t>Special cases: Emissions from entities that are not common ‘facilities’</w:t>
      </w:r>
      <w:r>
        <w:rPr>
          <w:noProof/>
        </w:rPr>
        <w:tab/>
      </w:r>
      <w:r>
        <w:rPr>
          <w:noProof/>
        </w:rPr>
        <w:fldChar w:fldCharType="begin"/>
      </w:r>
      <w:r>
        <w:rPr>
          <w:noProof/>
        </w:rPr>
        <w:instrText xml:space="preserve"> PAGEREF _Toc233637555 \h </w:instrText>
      </w:r>
      <w:r>
        <w:rPr>
          <w:noProof/>
        </w:rPr>
      </w:r>
      <w:r>
        <w:rPr>
          <w:noProof/>
        </w:rPr>
        <w:fldChar w:fldCharType="separate"/>
      </w:r>
      <w:r>
        <w:rPr>
          <w:noProof/>
        </w:rPr>
        <w:t>14</w:t>
      </w:r>
      <w:r>
        <w:rPr>
          <w:noProof/>
        </w:rPr>
        <w:fldChar w:fldCharType="end"/>
      </w:r>
    </w:p>
    <w:p w14:paraId="3C0C30EF" w14:textId="3F5589BE" w:rsidR="009917C8" w:rsidRDefault="009917C8">
      <w:pPr>
        <w:pStyle w:val="TOC2"/>
        <w:rPr>
          <w:rFonts w:eastAsiaTheme="minorEastAsia" w:cstheme="minorBidi"/>
          <w:noProof/>
          <w:color w:val="auto"/>
          <w:kern w:val="2"/>
          <w:sz w:val="24"/>
          <w:lang w:eastAsia="en-AU"/>
          <w14:ligatures w14:val="standardContextual"/>
        </w:rPr>
      </w:pPr>
      <w:r>
        <w:rPr>
          <w:noProof/>
        </w:rPr>
        <w:t>Calculating uncertainty: Industrial process sources using method 1</w:t>
      </w:r>
      <w:r>
        <w:rPr>
          <w:noProof/>
        </w:rPr>
        <w:tab/>
      </w:r>
      <w:r>
        <w:rPr>
          <w:noProof/>
        </w:rPr>
        <w:fldChar w:fldCharType="begin"/>
      </w:r>
      <w:r>
        <w:rPr>
          <w:noProof/>
        </w:rPr>
        <w:instrText xml:space="preserve"> PAGEREF _Toc233637556 \h </w:instrText>
      </w:r>
      <w:r>
        <w:rPr>
          <w:noProof/>
        </w:rPr>
      </w:r>
      <w:r>
        <w:rPr>
          <w:noProof/>
        </w:rPr>
        <w:fldChar w:fldCharType="separate"/>
      </w:r>
      <w:r>
        <w:rPr>
          <w:noProof/>
        </w:rPr>
        <w:t>14</w:t>
      </w:r>
      <w:r>
        <w:rPr>
          <w:noProof/>
        </w:rPr>
        <w:fldChar w:fldCharType="end"/>
      </w:r>
    </w:p>
    <w:p w14:paraId="3ABE1D49" w14:textId="3006C95A" w:rsidR="009917C8" w:rsidRDefault="009917C8">
      <w:pPr>
        <w:pStyle w:val="TOC2"/>
        <w:rPr>
          <w:rFonts w:eastAsiaTheme="minorEastAsia" w:cstheme="minorBidi"/>
          <w:noProof/>
          <w:color w:val="auto"/>
          <w:kern w:val="2"/>
          <w:sz w:val="24"/>
          <w:lang w:eastAsia="en-AU"/>
          <w14:ligatures w14:val="standardContextual"/>
        </w:rPr>
      </w:pPr>
      <w:r>
        <w:rPr>
          <w:noProof/>
        </w:rPr>
        <w:t>Calculating uncertainty for carbon mass balance equations using Method 1</w:t>
      </w:r>
      <w:r>
        <w:rPr>
          <w:noProof/>
        </w:rPr>
        <w:tab/>
      </w:r>
      <w:r>
        <w:rPr>
          <w:noProof/>
        </w:rPr>
        <w:fldChar w:fldCharType="begin"/>
      </w:r>
      <w:r>
        <w:rPr>
          <w:noProof/>
        </w:rPr>
        <w:instrText xml:space="preserve"> PAGEREF _Toc233637557 \h </w:instrText>
      </w:r>
      <w:r>
        <w:rPr>
          <w:noProof/>
        </w:rPr>
      </w:r>
      <w:r>
        <w:rPr>
          <w:noProof/>
        </w:rPr>
        <w:fldChar w:fldCharType="separate"/>
      </w:r>
      <w:r>
        <w:rPr>
          <w:noProof/>
        </w:rPr>
        <w:t>15</w:t>
      </w:r>
      <w:r>
        <w:rPr>
          <w:noProof/>
        </w:rPr>
        <w:fldChar w:fldCharType="end"/>
      </w:r>
    </w:p>
    <w:p w14:paraId="2A7658E8" w14:textId="06C5BB45" w:rsidR="009917C8" w:rsidRDefault="009917C8">
      <w:pPr>
        <w:pStyle w:val="TOC3"/>
        <w:rPr>
          <w:rFonts w:eastAsiaTheme="minorEastAsia" w:cstheme="minorBidi"/>
          <w:noProof/>
          <w:color w:val="auto"/>
          <w:kern w:val="2"/>
          <w:sz w:val="24"/>
          <w:lang w:eastAsia="en-AU"/>
          <w14:ligatures w14:val="standardContextual"/>
        </w:rPr>
      </w:pPr>
      <w:r w:rsidRPr="008D5C93">
        <w:rPr>
          <w:noProof/>
          <w:lang w:val="en-GB"/>
        </w:rPr>
        <w:t>Calculating uncertainty from methods 2, 3 and 1 (non-default factors) emissions</w:t>
      </w:r>
      <w:r>
        <w:rPr>
          <w:noProof/>
        </w:rPr>
        <w:tab/>
      </w:r>
      <w:r>
        <w:rPr>
          <w:noProof/>
        </w:rPr>
        <w:fldChar w:fldCharType="begin"/>
      </w:r>
      <w:r>
        <w:rPr>
          <w:noProof/>
        </w:rPr>
        <w:instrText xml:space="preserve"> PAGEREF _Toc233637558 \h </w:instrText>
      </w:r>
      <w:r>
        <w:rPr>
          <w:noProof/>
        </w:rPr>
      </w:r>
      <w:r>
        <w:rPr>
          <w:noProof/>
        </w:rPr>
        <w:fldChar w:fldCharType="separate"/>
      </w:r>
      <w:r>
        <w:rPr>
          <w:noProof/>
        </w:rPr>
        <w:t>16</w:t>
      </w:r>
      <w:r>
        <w:rPr>
          <w:noProof/>
        </w:rPr>
        <w:fldChar w:fldCharType="end"/>
      </w:r>
    </w:p>
    <w:p w14:paraId="193D7887" w14:textId="3078ED97" w:rsidR="009917C8" w:rsidRDefault="009917C8">
      <w:pPr>
        <w:pStyle w:val="TOC3"/>
        <w:rPr>
          <w:rFonts w:eastAsiaTheme="minorEastAsia" w:cstheme="minorBidi"/>
          <w:noProof/>
          <w:color w:val="auto"/>
          <w:kern w:val="2"/>
          <w:sz w:val="24"/>
          <w:lang w:eastAsia="en-AU"/>
          <w14:ligatures w14:val="standardContextual"/>
        </w:rPr>
      </w:pPr>
      <w:r w:rsidRPr="008D5C93">
        <w:rPr>
          <w:noProof/>
          <w:lang w:val="en-GB"/>
        </w:rPr>
        <w:t>Calculating uncertainty from method 4 emissions estimates</w:t>
      </w:r>
      <w:r>
        <w:rPr>
          <w:noProof/>
        </w:rPr>
        <w:tab/>
      </w:r>
      <w:r>
        <w:rPr>
          <w:noProof/>
        </w:rPr>
        <w:fldChar w:fldCharType="begin"/>
      </w:r>
      <w:r>
        <w:rPr>
          <w:noProof/>
        </w:rPr>
        <w:instrText xml:space="preserve"> PAGEREF _Toc233637559 \h </w:instrText>
      </w:r>
      <w:r>
        <w:rPr>
          <w:noProof/>
        </w:rPr>
      </w:r>
      <w:r>
        <w:rPr>
          <w:noProof/>
        </w:rPr>
        <w:fldChar w:fldCharType="separate"/>
      </w:r>
      <w:r>
        <w:rPr>
          <w:noProof/>
        </w:rPr>
        <w:t>17</w:t>
      </w:r>
      <w:r>
        <w:rPr>
          <w:noProof/>
        </w:rPr>
        <w:fldChar w:fldCharType="end"/>
      </w:r>
    </w:p>
    <w:p w14:paraId="66458804" w14:textId="6265989B" w:rsidR="009917C8" w:rsidRDefault="009917C8">
      <w:pPr>
        <w:pStyle w:val="TOC2"/>
        <w:rPr>
          <w:rFonts w:eastAsiaTheme="minorEastAsia" w:cstheme="minorBidi"/>
          <w:noProof/>
          <w:color w:val="auto"/>
          <w:kern w:val="2"/>
          <w:sz w:val="24"/>
          <w:lang w:eastAsia="en-AU"/>
          <w14:ligatures w14:val="standardContextual"/>
        </w:rPr>
      </w:pPr>
      <w:r>
        <w:rPr>
          <w:noProof/>
        </w:rPr>
        <w:t>Where a corporation exceeds the limits of the calculator</w:t>
      </w:r>
      <w:r>
        <w:rPr>
          <w:noProof/>
        </w:rPr>
        <w:tab/>
      </w:r>
      <w:r>
        <w:rPr>
          <w:noProof/>
        </w:rPr>
        <w:fldChar w:fldCharType="begin"/>
      </w:r>
      <w:r>
        <w:rPr>
          <w:noProof/>
        </w:rPr>
        <w:instrText xml:space="preserve"> PAGEREF _Toc233637560 \h </w:instrText>
      </w:r>
      <w:r>
        <w:rPr>
          <w:noProof/>
        </w:rPr>
      </w:r>
      <w:r>
        <w:rPr>
          <w:noProof/>
        </w:rPr>
        <w:fldChar w:fldCharType="separate"/>
      </w:r>
      <w:r>
        <w:rPr>
          <w:noProof/>
        </w:rPr>
        <w:t>17</w:t>
      </w:r>
      <w:r>
        <w:rPr>
          <w:noProof/>
        </w:rPr>
        <w:fldChar w:fldCharType="end"/>
      </w:r>
    </w:p>
    <w:p w14:paraId="147FEB68" w14:textId="7D197FDC" w:rsidR="009917C8" w:rsidRDefault="009917C8">
      <w:pPr>
        <w:pStyle w:val="TOC1"/>
        <w:rPr>
          <w:rFonts w:eastAsiaTheme="minorEastAsia" w:cstheme="minorBidi"/>
          <w:b w:val="0"/>
          <w:noProof/>
          <w:color w:val="auto"/>
          <w:kern w:val="2"/>
          <w:sz w:val="24"/>
          <w:lang w:eastAsia="en-AU"/>
          <w14:ligatures w14:val="standardContextual"/>
        </w:rPr>
      </w:pPr>
      <w:r w:rsidRPr="008D5C93">
        <w:rPr>
          <w:noProof/>
          <w:lang w:val="en-GB"/>
        </w:rPr>
        <w:t>More information</w:t>
      </w:r>
      <w:r>
        <w:rPr>
          <w:noProof/>
        </w:rPr>
        <w:tab/>
      </w:r>
      <w:r>
        <w:rPr>
          <w:noProof/>
        </w:rPr>
        <w:fldChar w:fldCharType="begin"/>
      </w:r>
      <w:r>
        <w:rPr>
          <w:noProof/>
        </w:rPr>
        <w:instrText xml:space="preserve"> PAGEREF _Toc233637561 \h </w:instrText>
      </w:r>
      <w:r>
        <w:rPr>
          <w:noProof/>
        </w:rPr>
      </w:r>
      <w:r>
        <w:rPr>
          <w:noProof/>
        </w:rPr>
        <w:fldChar w:fldCharType="separate"/>
      </w:r>
      <w:r>
        <w:rPr>
          <w:noProof/>
        </w:rPr>
        <w:t>17</w:t>
      </w:r>
      <w:r>
        <w:rPr>
          <w:noProof/>
        </w:rPr>
        <w:fldChar w:fldCharType="end"/>
      </w:r>
    </w:p>
    <w:p w14:paraId="6A75B548" w14:textId="0A76A21E" w:rsidR="00235142" w:rsidRDefault="00235142" w:rsidP="00235142">
      <w:r>
        <w:fldChar w:fldCharType="end"/>
      </w:r>
    </w:p>
    <w:p w14:paraId="583CFCA5" w14:textId="6E2BAAFE" w:rsidR="008214AB" w:rsidRPr="00F60EF4" w:rsidRDefault="00235142" w:rsidP="00CA2BF2">
      <w:pPr>
        <w:pStyle w:val="Heading1"/>
      </w:pPr>
      <w:r>
        <w:br w:type="page"/>
      </w:r>
      <w:bookmarkEnd w:id="3"/>
      <w:bookmarkEnd w:id="4"/>
    </w:p>
    <w:p w14:paraId="793F5933" w14:textId="5AFFE6A5" w:rsidR="00571F5A" w:rsidRDefault="00571F5A" w:rsidP="00571F5A">
      <w:pPr>
        <w:pStyle w:val="Heading1"/>
      </w:pPr>
      <w:bookmarkStart w:id="5" w:name="_Toc48567578"/>
      <w:bookmarkStart w:id="6" w:name="_Toc106720691"/>
      <w:bookmarkStart w:id="7" w:name="_Toc135658657"/>
      <w:bookmarkStart w:id="8" w:name="_Toc233637537"/>
      <w:bookmarkStart w:id="9" w:name="_Toc107324691"/>
      <w:r>
        <w:lastRenderedPageBreak/>
        <w:t xml:space="preserve">Definitions and </w:t>
      </w:r>
      <w:r w:rsidR="00482188">
        <w:t>a</w:t>
      </w:r>
      <w:r>
        <w:t>bbreviations</w:t>
      </w:r>
      <w:bookmarkEnd w:id="5"/>
      <w:bookmarkEnd w:id="6"/>
      <w:bookmarkEnd w:id="7"/>
      <w:bookmarkEnd w:id="8"/>
      <w:r>
        <w:t xml:space="preserve"> </w:t>
      </w:r>
    </w:p>
    <w:tbl>
      <w:tblPr>
        <w:tblStyle w:val="CERTable"/>
        <w:tblW w:w="0" w:type="auto"/>
        <w:tblLook w:val="06A0" w:firstRow="1" w:lastRow="0" w:firstColumn="1" w:lastColumn="0" w:noHBand="1" w:noVBand="1"/>
      </w:tblPr>
      <w:tblGrid>
        <w:gridCol w:w="2127"/>
        <w:gridCol w:w="7613"/>
      </w:tblGrid>
      <w:tr w:rsidR="00A97BD9" w:rsidRPr="00AA1BB1" w14:paraId="49DFB816" w14:textId="77777777" w:rsidTr="00544E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E4DE953" w14:textId="77777777" w:rsidR="00571F5A" w:rsidRPr="00BF392D" w:rsidRDefault="00571F5A">
            <w:pPr>
              <w:spacing w:before="60"/>
              <w:jc w:val="center"/>
            </w:pPr>
            <w:r w:rsidRPr="00BF392D">
              <w:t>Term</w:t>
            </w:r>
          </w:p>
        </w:tc>
        <w:tc>
          <w:tcPr>
            <w:tcW w:w="7613" w:type="dxa"/>
          </w:tcPr>
          <w:p w14:paraId="5DFCC8ED" w14:textId="77777777" w:rsidR="00571F5A" w:rsidRPr="00BF392D" w:rsidRDefault="00571F5A">
            <w:pPr>
              <w:spacing w:before="60"/>
              <w:jc w:val="center"/>
              <w:cnfStyle w:val="100000000000" w:firstRow="1" w:lastRow="0" w:firstColumn="0" w:lastColumn="0" w:oddVBand="0" w:evenVBand="0" w:oddHBand="0" w:evenHBand="0" w:firstRowFirstColumn="0" w:firstRowLastColumn="0" w:lastRowFirstColumn="0" w:lastRowLastColumn="0"/>
            </w:pPr>
            <w:r w:rsidRPr="00BF392D">
              <w:t>Meaning</w:t>
            </w:r>
          </w:p>
        </w:tc>
      </w:tr>
      <w:tr w:rsidR="00A97BD9" w:rsidRPr="00AA1BB1" w14:paraId="26A9AF79" w14:textId="77777777" w:rsidTr="00544EB5">
        <w:tc>
          <w:tcPr>
            <w:cnfStyle w:val="001000000000" w:firstRow="0" w:lastRow="0" w:firstColumn="1" w:lastColumn="0" w:oddVBand="0" w:evenVBand="0" w:oddHBand="0" w:evenHBand="0" w:firstRowFirstColumn="0" w:firstRowLastColumn="0" w:lastRowFirstColumn="0" w:lastRowLastColumn="0"/>
            <w:tcW w:w="2127" w:type="dxa"/>
          </w:tcPr>
          <w:p w14:paraId="4FA597D9" w14:textId="77777777" w:rsidR="00571F5A" w:rsidRPr="00AA1BB1" w:rsidRDefault="00571F5A">
            <w:pPr>
              <w:spacing w:before="60"/>
            </w:pPr>
            <w:r>
              <w:t>Consumption of energy</w:t>
            </w:r>
          </w:p>
        </w:tc>
        <w:tc>
          <w:tcPr>
            <w:tcW w:w="7613" w:type="dxa"/>
          </w:tcPr>
          <w:p w14:paraId="1EBF2F8F" w14:textId="527C3506" w:rsidR="00571F5A" w:rsidRDefault="00571F5A">
            <w:pPr>
              <w:cnfStyle w:val="000000000000" w:firstRow="0" w:lastRow="0" w:firstColumn="0" w:lastColumn="0" w:oddVBand="0" w:evenVBand="0" w:oddHBand="0" w:evenHBand="0" w:firstRowFirstColumn="0" w:firstRowLastColumn="0" w:lastRowFirstColumn="0" w:lastRowLastColumn="0"/>
            </w:pPr>
            <w:r>
              <w:t>In relation to a facility, the use or disposal of energy from the operation of the facility, including</w:t>
            </w:r>
            <w:r w:rsidR="007D4FC8">
              <w:t>:</w:t>
            </w:r>
            <w:r>
              <w:t xml:space="preserve"> </w:t>
            </w:r>
          </w:p>
          <w:p w14:paraId="27903E9E" w14:textId="77777777" w:rsidR="00571F5A" w:rsidRDefault="00571F5A">
            <w:pPr>
              <w:pStyle w:val="CERbullets"/>
              <w:numPr>
                <w:ilvl w:val="1"/>
                <w:numId w:val="35"/>
              </w:numPr>
              <w:cnfStyle w:val="000000000000" w:firstRow="0" w:lastRow="0" w:firstColumn="0" w:lastColumn="0" w:oddVBand="0" w:evenVBand="0" w:oddHBand="0" w:evenHBand="0" w:firstRowFirstColumn="0" w:firstRowLastColumn="0" w:lastRowFirstColumn="0" w:lastRowLastColumn="0"/>
            </w:pPr>
            <w:proofErr w:type="gramStart"/>
            <w:r>
              <w:t>own-use</w:t>
            </w:r>
            <w:proofErr w:type="gramEnd"/>
          </w:p>
          <w:p w14:paraId="7E50E6BD" w14:textId="77777777" w:rsidR="00571F5A" w:rsidRDefault="00571F5A">
            <w:pPr>
              <w:pStyle w:val="CERbullets"/>
              <w:numPr>
                <w:ilvl w:val="1"/>
                <w:numId w:val="35"/>
              </w:numPr>
              <w:cnfStyle w:val="000000000000" w:firstRow="0" w:lastRow="0" w:firstColumn="0" w:lastColumn="0" w:oddVBand="0" w:evenVBand="0" w:oddHBand="0" w:evenHBand="0" w:firstRowFirstColumn="0" w:firstRowLastColumn="0" w:lastRowFirstColumn="0" w:lastRowLastColumn="0"/>
            </w:pPr>
            <w:r>
              <w:t>losses in extraction, production and transmission.</w:t>
            </w:r>
          </w:p>
          <w:p w14:paraId="63BEF9AE" w14:textId="4C922FB1" w:rsidR="00571F5A" w:rsidRPr="00AA1BB1" w:rsidRDefault="007D4FC8" w:rsidP="003A1118">
            <w:pPr>
              <w:pStyle w:val="CERbullets"/>
              <w:numPr>
                <w:ilvl w:val="0"/>
                <w:numId w:val="0"/>
              </w:numPr>
              <w:ind w:left="357" w:hanging="357"/>
              <w:cnfStyle w:val="000000000000" w:firstRow="0" w:lastRow="0" w:firstColumn="0" w:lastColumn="0" w:oddVBand="0" w:evenVBand="0" w:oddHBand="0" w:evenHBand="0" w:firstRowFirstColumn="0" w:firstRowLastColumn="0" w:lastRowFirstColumn="0" w:lastRowLastColumn="0"/>
            </w:pPr>
            <w:r>
              <w:t xml:space="preserve">See regulation 2.26 of the </w:t>
            </w:r>
            <w:hyperlink r:id="rId22" w:tooltip="Link to the National Greenhouse and Energy regulations on the Australian Government Federal Register of Legislation" w:history="1">
              <w:r w:rsidRPr="00FB7FB5">
                <w:rPr>
                  <w:rStyle w:val="Hyperlink"/>
                  <w:rFonts w:asciiTheme="minorHAnsi" w:hAnsiTheme="minorHAnsi"/>
                  <w:kern w:val="0"/>
                </w:rPr>
                <w:t>NGER Regulations</w:t>
              </w:r>
            </w:hyperlink>
            <w:bookmarkStart w:id="10" w:name="_Ref169871498"/>
            <w:r w:rsidR="00FB7FB5">
              <w:rPr>
                <w:rStyle w:val="FootnoteReference"/>
              </w:rPr>
              <w:footnoteReference w:id="2"/>
            </w:r>
            <w:bookmarkEnd w:id="10"/>
            <w:r>
              <w:t>.</w:t>
            </w:r>
          </w:p>
        </w:tc>
      </w:tr>
      <w:tr w:rsidR="00A97BD9" w:rsidRPr="00AA1BB1" w14:paraId="035A1C0E" w14:textId="4EA18515" w:rsidTr="00544EB5">
        <w:tc>
          <w:tcPr>
            <w:cnfStyle w:val="001000000000" w:firstRow="0" w:lastRow="0" w:firstColumn="1" w:lastColumn="0" w:oddVBand="0" w:evenVBand="0" w:oddHBand="0" w:evenHBand="0" w:firstRowFirstColumn="0" w:firstRowLastColumn="0" w:lastRowFirstColumn="0" w:lastRowLastColumn="0"/>
            <w:tcW w:w="2127" w:type="dxa"/>
          </w:tcPr>
          <w:p w14:paraId="5755054E" w14:textId="77777777" w:rsidR="00571F5A" w:rsidRDefault="00571F5A">
            <w:pPr>
              <w:spacing w:before="60"/>
            </w:pPr>
            <w:r w:rsidRPr="007D46A9">
              <w:t>EERS</w:t>
            </w:r>
          </w:p>
        </w:tc>
        <w:tc>
          <w:tcPr>
            <w:tcW w:w="7613" w:type="dxa"/>
          </w:tcPr>
          <w:p w14:paraId="73B960DE" w14:textId="77777777" w:rsidR="00571F5A" w:rsidRDefault="00571F5A">
            <w:pPr>
              <w:cnfStyle w:val="000000000000" w:firstRow="0" w:lastRow="0" w:firstColumn="0" w:lastColumn="0" w:oddVBand="0" w:evenVBand="0" w:oddHBand="0" w:evenHBand="0" w:firstRowFirstColumn="0" w:firstRowLastColumn="0" w:lastRowFirstColumn="0" w:lastRowLastColumn="0"/>
            </w:pPr>
            <w:r w:rsidRPr="007D46A9">
              <w:t>Emissions and Energy Reporting System</w:t>
            </w:r>
          </w:p>
        </w:tc>
      </w:tr>
      <w:tr w:rsidR="00A97BD9" w:rsidRPr="00AA1BB1" w14:paraId="5FB469F9" w14:textId="77777777" w:rsidTr="00544EB5">
        <w:tc>
          <w:tcPr>
            <w:cnfStyle w:val="001000000000" w:firstRow="0" w:lastRow="0" w:firstColumn="1" w:lastColumn="0" w:oddVBand="0" w:evenVBand="0" w:oddHBand="0" w:evenHBand="0" w:firstRowFirstColumn="0" w:firstRowLastColumn="0" w:lastRowFirstColumn="0" w:lastRowLastColumn="0"/>
            <w:tcW w:w="2127" w:type="dxa"/>
          </w:tcPr>
          <w:p w14:paraId="2F27CC0C" w14:textId="77777777" w:rsidR="00571F5A" w:rsidRDefault="00571F5A">
            <w:pPr>
              <w:spacing w:before="60"/>
            </w:pPr>
            <w:r>
              <w:t>Energy</w:t>
            </w:r>
          </w:p>
        </w:tc>
        <w:tc>
          <w:tcPr>
            <w:tcW w:w="7613" w:type="dxa"/>
          </w:tcPr>
          <w:p w14:paraId="24CBBAA2" w14:textId="77777777" w:rsidR="00571F5A" w:rsidRDefault="00571F5A">
            <w:pPr>
              <w:cnfStyle w:val="000000000000" w:firstRow="0" w:lastRow="0" w:firstColumn="0" w:lastColumn="0" w:oddVBand="0" w:evenVBand="0" w:oddHBand="0" w:evenHBand="0" w:firstRowFirstColumn="0" w:firstRowLastColumn="0" w:lastRowFirstColumn="0" w:lastRowLastColumn="0"/>
            </w:pPr>
            <w:r>
              <w:t>I</w:t>
            </w:r>
            <w:r w:rsidRPr="009E6658">
              <w:t>ncludes the fuels and other energy commodities listed in Schedule 1 of the NGER Regulations.</w:t>
            </w:r>
          </w:p>
        </w:tc>
      </w:tr>
      <w:tr w:rsidR="00A97BD9" w:rsidRPr="00AA1BB1" w14:paraId="4307FAA8" w14:textId="77777777" w:rsidTr="00544EB5">
        <w:tc>
          <w:tcPr>
            <w:cnfStyle w:val="001000000000" w:firstRow="0" w:lastRow="0" w:firstColumn="1" w:lastColumn="0" w:oddVBand="0" w:evenVBand="0" w:oddHBand="0" w:evenHBand="0" w:firstRowFirstColumn="0" w:firstRowLastColumn="0" w:lastRowFirstColumn="0" w:lastRowLastColumn="0"/>
            <w:tcW w:w="2127" w:type="dxa"/>
          </w:tcPr>
          <w:p w14:paraId="0974E6F7" w14:textId="77777777" w:rsidR="00571F5A" w:rsidRDefault="00571F5A">
            <w:pPr>
              <w:spacing w:before="60"/>
            </w:pPr>
            <w:r>
              <w:t xml:space="preserve">Facility </w:t>
            </w:r>
          </w:p>
        </w:tc>
        <w:tc>
          <w:tcPr>
            <w:tcW w:w="7613" w:type="dxa"/>
          </w:tcPr>
          <w:p w14:paraId="64CD3A1D" w14:textId="3F841296" w:rsidR="00571F5A" w:rsidRPr="006E0381" w:rsidRDefault="00571F5A">
            <w:pPr>
              <w:cnfStyle w:val="000000000000" w:firstRow="0" w:lastRow="0" w:firstColumn="0" w:lastColumn="0" w:oddVBand="0" w:evenVBand="0" w:oddHBand="0" w:evenHBand="0" w:firstRowFirstColumn="0" w:firstRowLastColumn="0" w:lastRowFirstColumn="0" w:lastRowLastColumn="0"/>
              <w:rPr>
                <w:szCs w:val="22"/>
              </w:rPr>
            </w:pPr>
            <w:r>
              <w:rPr>
                <w:color w:val="000000"/>
                <w:szCs w:val="22"/>
                <w:shd w:val="clear" w:color="auto" w:fill="FFFFFF"/>
              </w:rPr>
              <w:t>H</w:t>
            </w:r>
            <w:r w:rsidRPr="00571F5A">
              <w:rPr>
                <w:color w:val="000000"/>
                <w:szCs w:val="22"/>
                <w:shd w:val="clear" w:color="auto" w:fill="FFFFFF"/>
              </w:rPr>
              <w:t xml:space="preserve">as the meaning given by section 9 of the </w:t>
            </w:r>
            <w:hyperlink r:id="rId23" w:tooltip="Link to the National Greenhouse and Energy Reporting Act 2007 on the Australian Government Federal Register of Legislation" w:history="1">
              <w:r w:rsidRPr="004F2DBF">
                <w:rPr>
                  <w:rStyle w:val="Hyperlink"/>
                  <w:rFonts w:asciiTheme="minorHAnsi" w:hAnsiTheme="minorHAnsi"/>
                  <w:kern w:val="0"/>
                  <w:szCs w:val="22"/>
                  <w:shd w:val="clear" w:color="auto" w:fill="FFFFFF"/>
                </w:rPr>
                <w:t>NGER Act</w:t>
              </w:r>
            </w:hyperlink>
            <w:r w:rsidR="004F2DBF">
              <w:rPr>
                <w:rStyle w:val="FootnoteReference"/>
                <w:color w:val="000000"/>
                <w:szCs w:val="22"/>
                <w:shd w:val="clear" w:color="auto" w:fill="FFFFFF"/>
              </w:rPr>
              <w:footnoteReference w:id="3"/>
            </w:r>
            <w:r w:rsidRPr="00571F5A">
              <w:rPr>
                <w:color w:val="000000"/>
                <w:szCs w:val="22"/>
                <w:shd w:val="clear" w:color="auto" w:fill="FFFFFF"/>
              </w:rPr>
              <w:t xml:space="preserve">. For more information on defining a facility under the NGER scheme, see </w:t>
            </w:r>
            <w:hyperlink r:id="rId24" w:anchor="what-is-an-nger-facility" w:tooltip="A link to theClean Energy Regulator webpage 'Assess you obligations'" w:history="1">
              <w:r w:rsidRPr="00571F5A">
                <w:rPr>
                  <w:rStyle w:val="Hyperlink"/>
                  <w:szCs w:val="22"/>
                  <w:shd w:val="clear" w:color="auto" w:fill="FFFFFF"/>
                </w:rPr>
                <w:t>What is a</w:t>
              </w:r>
              <w:r w:rsidR="00AC0A71">
                <w:rPr>
                  <w:rStyle w:val="Hyperlink"/>
                  <w:szCs w:val="22"/>
                  <w:shd w:val="clear" w:color="auto" w:fill="FFFFFF"/>
                </w:rPr>
                <w:t>n NGER</w:t>
              </w:r>
              <w:r w:rsidRPr="00571F5A">
                <w:rPr>
                  <w:rStyle w:val="Hyperlink"/>
                  <w:szCs w:val="22"/>
                  <w:shd w:val="clear" w:color="auto" w:fill="FFFFFF"/>
                </w:rPr>
                <w:t xml:space="preserve"> Facility</w:t>
              </w:r>
            </w:hyperlink>
            <w:r>
              <w:rPr>
                <w:rStyle w:val="FootnoteReference"/>
                <w:color w:val="000000"/>
                <w:kern w:val="0"/>
                <w:szCs w:val="22"/>
                <w:shd w:val="clear" w:color="auto" w:fill="FFFFFF"/>
              </w:rPr>
              <w:footnoteReference w:id="4"/>
            </w:r>
            <w:r w:rsidRPr="00571F5A">
              <w:rPr>
                <w:color w:val="000000"/>
                <w:szCs w:val="22"/>
                <w:shd w:val="clear" w:color="auto" w:fill="FFFFFF"/>
              </w:rPr>
              <w:t xml:space="preserve">.  </w:t>
            </w:r>
          </w:p>
        </w:tc>
      </w:tr>
      <w:tr w:rsidR="00A97BD9" w:rsidRPr="00AA1BB1" w14:paraId="399DA578" w14:textId="77777777" w:rsidTr="00544EB5">
        <w:tc>
          <w:tcPr>
            <w:cnfStyle w:val="001000000000" w:firstRow="0" w:lastRow="0" w:firstColumn="1" w:lastColumn="0" w:oddVBand="0" w:evenVBand="0" w:oddHBand="0" w:evenHBand="0" w:firstRowFirstColumn="0" w:firstRowLastColumn="0" w:lastRowFirstColumn="0" w:lastRowLastColumn="0"/>
            <w:tcW w:w="2127" w:type="dxa"/>
          </w:tcPr>
          <w:p w14:paraId="71EDCCAB" w14:textId="77777777" w:rsidR="00571F5A" w:rsidRDefault="00571F5A">
            <w:pPr>
              <w:spacing w:before="60"/>
            </w:pPr>
            <w:r w:rsidRPr="009E6658">
              <w:t>Fuel</w:t>
            </w:r>
          </w:p>
        </w:tc>
        <w:tc>
          <w:tcPr>
            <w:tcW w:w="7613" w:type="dxa"/>
          </w:tcPr>
          <w:p w14:paraId="4AD19FA0" w14:textId="04FE4210" w:rsidR="00571F5A" w:rsidRDefault="00571F5A">
            <w:pPr>
              <w:cnfStyle w:val="000000000000" w:firstRow="0" w:lastRow="0" w:firstColumn="0" w:lastColumn="0" w:oddVBand="0" w:evenVBand="0" w:oddHBand="0" w:evenHBand="0" w:firstRowFirstColumn="0" w:firstRowLastColumn="0" w:lastRowFirstColumn="0" w:lastRowLastColumn="0"/>
            </w:pPr>
            <w:r w:rsidRPr="009E6658">
              <w:t xml:space="preserve">A substance mentioned at items 1–57 in Schedule 1 of the </w:t>
            </w:r>
            <w:hyperlink r:id="rId25" w:tooltip="Link to the National Greenhouse and Energy regulations on the Australian Government Federal Register of Legislation" w:history="1">
              <w:r w:rsidRPr="008037B0">
                <w:rPr>
                  <w:rStyle w:val="Hyperlink"/>
                  <w:rFonts w:asciiTheme="minorHAnsi" w:hAnsiTheme="minorHAnsi"/>
                  <w:kern w:val="0"/>
                </w:rPr>
                <w:t>NGER Regulations</w:t>
              </w:r>
            </w:hyperlink>
            <w:r w:rsidR="00CB6A30">
              <w:rPr>
                <w:rStyle w:val="FootnoteReference"/>
                <w:color w:val="000000"/>
                <w:kern w:val="0"/>
                <w:szCs w:val="22"/>
                <w:shd w:val="clear" w:color="auto" w:fill="FFFFFF"/>
              </w:rPr>
              <w:footnoteReference w:id="5"/>
            </w:r>
            <w:r w:rsidRPr="009E6658">
              <w:t>.</w:t>
            </w:r>
          </w:p>
        </w:tc>
      </w:tr>
      <w:tr w:rsidR="00A97BD9" w:rsidRPr="00AA1BB1" w14:paraId="5FFF508F" w14:textId="77777777" w:rsidTr="00544EB5">
        <w:tc>
          <w:tcPr>
            <w:cnfStyle w:val="001000000000" w:firstRow="0" w:lastRow="0" w:firstColumn="1" w:lastColumn="0" w:oddVBand="0" w:evenVBand="0" w:oddHBand="0" w:evenHBand="0" w:firstRowFirstColumn="0" w:firstRowLastColumn="0" w:lastRowFirstColumn="0" w:lastRowLastColumn="0"/>
            <w:tcW w:w="2127" w:type="dxa"/>
          </w:tcPr>
          <w:p w14:paraId="121F44EC" w14:textId="77777777" w:rsidR="00571F5A" w:rsidRPr="009E6658" w:rsidRDefault="00571F5A">
            <w:pPr>
              <w:spacing w:before="60"/>
            </w:pPr>
            <w:proofErr w:type="spellStart"/>
            <w:r>
              <w:t>kL</w:t>
            </w:r>
            <w:proofErr w:type="spellEnd"/>
          </w:p>
        </w:tc>
        <w:tc>
          <w:tcPr>
            <w:tcW w:w="7613" w:type="dxa"/>
          </w:tcPr>
          <w:p w14:paraId="54A3C390" w14:textId="77777777" w:rsidR="00571F5A" w:rsidRPr="009E6658" w:rsidRDefault="00571F5A">
            <w:pPr>
              <w:cnfStyle w:val="000000000000" w:firstRow="0" w:lastRow="0" w:firstColumn="0" w:lastColumn="0" w:oddVBand="0" w:evenVBand="0" w:oddHBand="0" w:evenHBand="0" w:firstRowFirstColumn="0" w:firstRowLastColumn="0" w:lastRowFirstColumn="0" w:lastRowLastColumn="0"/>
            </w:pPr>
            <w:r>
              <w:t>Kilolitres</w:t>
            </w:r>
          </w:p>
        </w:tc>
      </w:tr>
      <w:tr w:rsidR="00A97BD9" w:rsidRPr="00AA1BB1" w14:paraId="6DF94086" w14:textId="77777777" w:rsidTr="00544EB5">
        <w:tc>
          <w:tcPr>
            <w:cnfStyle w:val="001000000000" w:firstRow="0" w:lastRow="0" w:firstColumn="1" w:lastColumn="0" w:oddVBand="0" w:evenVBand="0" w:oddHBand="0" w:evenHBand="0" w:firstRowFirstColumn="0" w:firstRowLastColumn="0" w:lastRowFirstColumn="0" w:lastRowLastColumn="0"/>
            <w:tcW w:w="2127" w:type="dxa"/>
          </w:tcPr>
          <w:p w14:paraId="05B7700F" w14:textId="77777777" w:rsidR="00571F5A" w:rsidRPr="00AA1BB1" w:rsidRDefault="00571F5A">
            <w:pPr>
              <w:spacing w:before="60"/>
            </w:pPr>
            <w:r w:rsidRPr="00AA1BB1">
              <w:t>NGER</w:t>
            </w:r>
          </w:p>
        </w:tc>
        <w:tc>
          <w:tcPr>
            <w:tcW w:w="7613" w:type="dxa"/>
          </w:tcPr>
          <w:p w14:paraId="6952A71E" w14:textId="77777777" w:rsidR="00571F5A" w:rsidRPr="00AA1BB1" w:rsidRDefault="00571F5A">
            <w:pPr>
              <w:spacing w:before="60"/>
              <w:cnfStyle w:val="000000000000" w:firstRow="0" w:lastRow="0" w:firstColumn="0" w:lastColumn="0" w:oddVBand="0" w:evenVBand="0" w:oddHBand="0" w:evenHBand="0" w:firstRowFirstColumn="0" w:firstRowLastColumn="0" w:lastRowFirstColumn="0" w:lastRowLastColumn="0"/>
            </w:pPr>
            <w:r w:rsidRPr="00AA1BB1">
              <w:t>National Greenhouse and Energy Reporting</w:t>
            </w:r>
          </w:p>
        </w:tc>
      </w:tr>
      <w:tr w:rsidR="00A97BD9" w:rsidRPr="00AA1BB1" w14:paraId="5B683B5E" w14:textId="77777777" w:rsidTr="00544EB5">
        <w:tc>
          <w:tcPr>
            <w:cnfStyle w:val="001000000000" w:firstRow="0" w:lastRow="0" w:firstColumn="1" w:lastColumn="0" w:oddVBand="0" w:evenVBand="0" w:oddHBand="0" w:evenHBand="0" w:firstRowFirstColumn="0" w:firstRowLastColumn="0" w:lastRowFirstColumn="0" w:lastRowLastColumn="0"/>
            <w:tcW w:w="2127" w:type="dxa"/>
          </w:tcPr>
          <w:p w14:paraId="59399BD5" w14:textId="77777777" w:rsidR="00571F5A" w:rsidRPr="00AA1BB1" w:rsidRDefault="00571F5A">
            <w:pPr>
              <w:spacing w:before="60"/>
            </w:pPr>
            <w:r w:rsidRPr="00AA1BB1">
              <w:t>NGER Act</w:t>
            </w:r>
          </w:p>
        </w:tc>
        <w:tc>
          <w:tcPr>
            <w:tcW w:w="7613" w:type="dxa"/>
          </w:tcPr>
          <w:p w14:paraId="121C1D96" w14:textId="77777777" w:rsidR="00571F5A" w:rsidRPr="00AA1BB1" w:rsidRDefault="00571F5A">
            <w:pPr>
              <w:spacing w:before="60"/>
              <w:cnfStyle w:val="000000000000" w:firstRow="0" w:lastRow="0" w:firstColumn="0" w:lastColumn="0" w:oddVBand="0" w:evenVBand="0" w:oddHBand="0" w:evenHBand="0" w:firstRowFirstColumn="0" w:firstRowLastColumn="0" w:lastRowFirstColumn="0" w:lastRowLastColumn="0"/>
              <w:rPr>
                <w:i/>
              </w:rPr>
            </w:pPr>
            <w:r w:rsidRPr="00AA1BB1">
              <w:rPr>
                <w:i/>
              </w:rPr>
              <w:t xml:space="preserve">National Greenhouse and Energy Reporting Act 2007 </w:t>
            </w:r>
          </w:p>
        </w:tc>
      </w:tr>
      <w:tr w:rsidR="00A97BD9" w:rsidRPr="00AA1BB1" w14:paraId="49C3C537" w14:textId="77777777" w:rsidTr="00544EB5">
        <w:tc>
          <w:tcPr>
            <w:cnfStyle w:val="001000000000" w:firstRow="0" w:lastRow="0" w:firstColumn="1" w:lastColumn="0" w:oddVBand="0" w:evenVBand="0" w:oddHBand="0" w:evenHBand="0" w:firstRowFirstColumn="0" w:firstRowLastColumn="0" w:lastRowFirstColumn="0" w:lastRowLastColumn="0"/>
            <w:tcW w:w="2127" w:type="dxa"/>
          </w:tcPr>
          <w:p w14:paraId="4EF7792D" w14:textId="77777777" w:rsidR="00571F5A" w:rsidRPr="00AA1BB1" w:rsidRDefault="00571F5A">
            <w:pPr>
              <w:spacing w:before="60"/>
            </w:pPr>
            <w:r w:rsidRPr="00AA1BB1">
              <w:t xml:space="preserve">NGER </w:t>
            </w:r>
            <w:r>
              <w:t xml:space="preserve">Measurement </w:t>
            </w:r>
            <w:r w:rsidRPr="00AA1BB1">
              <w:t>Determination</w:t>
            </w:r>
          </w:p>
        </w:tc>
        <w:tc>
          <w:tcPr>
            <w:tcW w:w="7613" w:type="dxa"/>
          </w:tcPr>
          <w:p w14:paraId="06F08A0B" w14:textId="77777777" w:rsidR="00571F5A" w:rsidRPr="002B3B49" w:rsidRDefault="00571F5A">
            <w:pPr>
              <w:spacing w:before="60"/>
              <w:cnfStyle w:val="000000000000" w:firstRow="0" w:lastRow="0" w:firstColumn="0" w:lastColumn="0" w:oddVBand="0" w:evenVBand="0" w:oddHBand="0" w:evenHBand="0" w:firstRowFirstColumn="0" w:firstRowLastColumn="0" w:lastRowFirstColumn="0" w:lastRowLastColumn="0"/>
              <w:rPr>
                <w:iCs/>
              </w:rPr>
            </w:pPr>
            <w:r w:rsidRPr="002B3B49">
              <w:rPr>
                <w:iCs/>
              </w:rPr>
              <w:t xml:space="preserve">National Greenhouse and Energy Reporting (Measurement) Determination 2008 </w:t>
            </w:r>
          </w:p>
        </w:tc>
      </w:tr>
      <w:tr w:rsidR="00A97BD9" w:rsidRPr="00AA1BB1" w14:paraId="27ABBC3B" w14:textId="77777777" w:rsidTr="00544EB5">
        <w:tc>
          <w:tcPr>
            <w:cnfStyle w:val="001000000000" w:firstRow="0" w:lastRow="0" w:firstColumn="1" w:lastColumn="0" w:oddVBand="0" w:evenVBand="0" w:oddHBand="0" w:evenHBand="0" w:firstRowFirstColumn="0" w:firstRowLastColumn="0" w:lastRowFirstColumn="0" w:lastRowLastColumn="0"/>
            <w:tcW w:w="2127" w:type="dxa"/>
          </w:tcPr>
          <w:p w14:paraId="10327828" w14:textId="77777777" w:rsidR="00571F5A" w:rsidRPr="00AA1BB1" w:rsidRDefault="00571F5A">
            <w:pPr>
              <w:spacing w:before="60"/>
            </w:pPr>
            <w:r w:rsidRPr="00AA1BB1">
              <w:t>NGER Regulations</w:t>
            </w:r>
          </w:p>
        </w:tc>
        <w:tc>
          <w:tcPr>
            <w:tcW w:w="7613" w:type="dxa"/>
          </w:tcPr>
          <w:p w14:paraId="7B385505" w14:textId="77777777" w:rsidR="00571F5A" w:rsidRPr="002B3B49" w:rsidRDefault="00571F5A">
            <w:pPr>
              <w:spacing w:before="60"/>
              <w:cnfStyle w:val="000000000000" w:firstRow="0" w:lastRow="0" w:firstColumn="0" w:lastColumn="0" w:oddVBand="0" w:evenVBand="0" w:oddHBand="0" w:evenHBand="0" w:firstRowFirstColumn="0" w:firstRowLastColumn="0" w:lastRowFirstColumn="0" w:lastRowLastColumn="0"/>
              <w:rPr>
                <w:iCs/>
              </w:rPr>
            </w:pPr>
            <w:r w:rsidRPr="002B3B49">
              <w:rPr>
                <w:iCs/>
              </w:rPr>
              <w:t xml:space="preserve">National Greenhouse and Energy Reporting Regulations 2008 </w:t>
            </w:r>
          </w:p>
        </w:tc>
      </w:tr>
      <w:tr w:rsidR="00A97BD9" w:rsidRPr="00AA1BB1" w14:paraId="1C5A53DC" w14:textId="77777777" w:rsidTr="00544EB5">
        <w:tc>
          <w:tcPr>
            <w:cnfStyle w:val="001000000000" w:firstRow="0" w:lastRow="0" w:firstColumn="1" w:lastColumn="0" w:oddVBand="0" w:evenVBand="0" w:oddHBand="0" w:evenHBand="0" w:firstRowFirstColumn="0" w:firstRowLastColumn="0" w:lastRowFirstColumn="0" w:lastRowLastColumn="0"/>
            <w:tcW w:w="2127" w:type="dxa"/>
          </w:tcPr>
          <w:p w14:paraId="5C01B41E" w14:textId="77777777" w:rsidR="00571F5A" w:rsidRDefault="00571F5A">
            <w:pPr>
              <w:spacing w:before="60"/>
            </w:pPr>
            <w:r>
              <w:t>Reporter</w:t>
            </w:r>
          </w:p>
        </w:tc>
        <w:tc>
          <w:tcPr>
            <w:tcW w:w="7613" w:type="dxa"/>
          </w:tcPr>
          <w:p w14:paraId="4867BE76" w14:textId="77777777" w:rsidR="00571F5A" w:rsidRDefault="00571F5A">
            <w:pPr>
              <w:spacing w:before="60"/>
              <w:cnfStyle w:val="000000000000" w:firstRow="0" w:lastRow="0" w:firstColumn="0" w:lastColumn="0" w:oddVBand="0" w:evenVBand="0" w:oddHBand="0" w:evenHBand="0" w:firstRowFirstColumn="0" w:firstRowLastColumn="0" w:lastRowFirstColumn="0" w:lastRowLastColumn="0"/>
              <w:rPr>
                <w:iCs/>
              </w:rPr>
            </w:pPr>
            <w:r>
              <w:t xml:space="preserve">An entity required to report emissions and energy production and consumption to the </w:t>
            </w:r>
            <w:r w:rsidRPr="007A5A6C">
              <w:t>Clean Energy Regulator</w:t>
            </w:r>
            <w:r>
              <w:t xml:space="preserve"> under section 19, 22G, or 22X of the NGER Act</w:t>
            </w:r>
          </w:p>
        </w:tc>
      </w:tr>
      <w:tr w:rsidR="00A97BD9" w:rsidRPr="00AA1BB1" w14:paraId="6FCDA8D0" w14:textId="77777777" w:rsidTr="00544EB5">
        <w:tc>
          <w:tcPr>
            <w:cnfStyle w:val="001000000000" w:firstRow="0" w:lastRow="0" w:firstColumn="1" w:lastColumn="0" w:oddVBand="0" w:evenVBand="0" w:oddHBand="0" w:evenHBand="0" w:firstRowFirstColumn="0" w:firstRowLastColumn="0" w:lastRowFirstColumn="0" w:lastRowLastColumn="0"/>
            <w:tcW w:w="2127" w:type="dxa"/>
          </w:tcPr>
          <w:p w14:paraId="2FF5C9C1" w14:textId="77777777" w:rsidR="00571F5A" w:rsidRPr="00AA1BB1" w:rsidRDefault="00571F5A">
            <w:pPr>
              <w:spacing w:before="60"/>
            </w:pPr>
            <w:r w:rsidRPr="00AA1BB1">
              <w:t>Scope 1 emissions</w:t>
            </w:r>
          </w:p>
        </w:tc>
        <w:tc>
          <w:tcPr>
            <w:tcW w:w="7613" w:type="dxa"/>
          </w:tcPr>
          <w:p w14:paraId="0349C7F6" w14:textId="77777777" w:rsidR="00571F5A" w:rsidRPr="00AA1BB1" w:rsidRDefault="00571F5A">
            <w:pPr>
              <w:spacing w:before="60"/>
              <w:cnfStyle w:val="000000000000" w:firstRow="0" w:lastRow="0" w:firstColumn="0" w:lastColumn="0" w:oddVBand="0" w:evenVBand="0" w:oddHBand="0" w:evenHBand="0" w:firstRowFirstColumn="0" w:firstRowLastColumn="0" w:lastRowFirstColumn="0" w:lastRowLastColumn="0"/>
            </w:pPr>
            <w:r w:rsidRPr="00AA1BB1">
              <w:t>Means the release of greenhouse gas into the atmosphere as a direct result of an activity or series of activities (including ancillary activities) that constitute the facility.</w:t>
            </w:r>
          </w:p>
        </w:tc>
      </w:tr>
      <w:tr w:rsidR="00A97BD9" w:rsidRPr="00AA1BB1" w14:paraId="628F3BAB" w14:textId="77777777" w:rsidTr="00544EB5">
        <w:tc>
          <w:tcPr>
            <w:cnfStyle w:val="001000000000" w:firstRow="0" w:lastRow="0" w:firstColumn="1" w:lastColumn="0" w:oddVBand="0" w:evenVBand="0" w:oddHBand="0" w:evenHBand="0" w:firstRowFirstColumn="0" w:firstRowLastColumn="0" w:lastRowFirstColumn="0" w:lastRowLastColumn="0"/>
            <w:tcW w:w="2127" w:type="dxa"/>
          </w:tcPr>
          <w:p w14:paraId="5AA67ED4" w14:textId="77777777" w:rsidR="00571F5A" w:rsidRPr="00AA1BB1" w:rsidRDefault="00571F5A">
            <w:pPr>
              <w:spacing w:before="60"/>
            </w:pPr>
            <w:r w:rsidRPr="00AA1BB1">
              <w:t>t CO</w:t>
            </w:r>
            <w:r w:rsidRPr="00F11EE4">
              <w:rPr>
                <w:vertAlign w:val="subscript"/>
              </w:rPr>
              <w:t>2</w:t>
            </w:r>
            <w:r w:rsidRPr="00AA1BB1">
              <w:t>-e</w:t>
            </w:r>
          </w:p>
        </w:tc>
        <w:tc>
          <w:tcPr>
            <w:tcW w:w="7613" w:type="dxa"/>
          </w:tcPr>
          <w:p w14:paraId="405C6142" w14:textId="200ECFF5" w:rsidR="00571F5A" w:rsidRPr="00AA1BB1" w:rsidRDefault="00571F5A">
            <w:pPr>
              <w:spacing w:before="60"/>
              <w:cnfStyle w:val="000000000000" w:firstRow="0" w:lastRow="0" w:firstColumn="0" w:lastColumn="0" w:oddVBand="0" w:evenVBand="0" w:oddHBand="0" w:evenHBand="0" w:firstRowFirstColumn="0" w:firstRowLastColumn="0" w:lastRowFirstColumn="0" w:lastRowLastColumn="0"/>
            </w:pPr>
            <w:r w:rsidRPr="00AA1BB1">
              <w:t>Tonnes carbon dioxide equivalence</w:t>
            </w:r>
          </w:p>
        </w:tc>
      </w:tr>
      <w:tr w:rsidR="00C2606C" w:rsidRPr="00AA1BB1" w14:paraId="5BEBC0DE" w14:textId="77777777" w:rsidTr="00544EB5">
        <w:tc>
          <w:tcPr>
            <w:cnfStyle w:val="001000000000" w:firstRow="0" w:lastRow="0" w:firstColumn="1" w:lastColumn="0" w:oddVBand="0" w:evenVBand="0" w:oddHBand="0" w:evenHBand="0" w:firstRowFirstColumn="0" w:firstRowLastColumn="0" w:lastRowFirstColumn="0" w:lastRowLastColumn="0"/>
            <w:tcW w:w="2127" w:type="dxa"/>
          </w:tcPr>
          <w:p w14:paraId="5D3094CB" w14:textId="30D35133" w:rsidR="00C2606C" w:rsidRPr="00AA1BB1" w:rsidRDefault="001D275A">
            <w:pPr>
              <w:spacing w:before="60"/>
            </w:pPr>
            <w:r>
              <w:lastRenderedPageBreak/>
              <w:t>Uncertainty protocol</w:t>
            </w:r>
          </w:p>
        </w:tc>
        <w:tc>
          <w:tcPr>
            <w:tcW w:w="7613" w:type="dxa"/>
          </w:tcPr>
          <w:p w14:paraId="2BC91307" w14:textId="0B80C842" w:rsidR="00C2606C" w:rsidRPr="00AA1BB1" w:rsidRDefault="001414B4">
            <w:pPr>
              <w:spacing w:before="60"/>
              <w:cnfStyle w:val="000000000000" w:firstRow="0" w:lastRow="0" w:firstColumn="0" w:lastColumn="0" w:oddVBand="0" w:evenVBand="0" w:oddHBand="0" w:evenHBand="0" w:firstRowFirstColumn="0" w:firstRowLastColumn="0" w:lastRowFirstColumn="0" w:lastRowLastColumn="0"/>
            </w:pPr>
            <w:r>
              <w:t>T</w:t>
            </w:r>
            <w:r w:rsidR="001D275A" w:rsidRPr="00F60EF4">
              <w:t>he</w:t>
            </w:r>
            <w:r w:rsidR="0032489F">
              <w:t xml:space="preserve"> publication known as the</w:t>
            </w:r>
            <w:r w:rsidR="001D275A" w:rsidRPr="00F60EF4">
              <w:t xml:space="preserve"> </w:t>
            </w:r>
            <w:hyperlink r:id="rId26" w:tooltip="A link to the GHG Protocol guidance document on assessing and calculating uncertainty in greenhouse gas inventories." w:history="1">
              <w:r w:rsidR="001D275A" w:rsidRPr="00F60EF4">
                <w:rPr>
                  <w:rStyle w:val="Hyperlink"/>
                  <w:rFonts w:asciiTheme="minorHAnsi" w:hAnsiTheme="minorHAnsi"/>
                </w:rPr>
                <w:t>GHG Protocol guidance on uncertainty assessment in GHG inventories and calculating statisti</w:t>
              </w:r>
              <w:r w:rsidR="001D275A">
                <w:rPr>
                  <w:rStyle w:val="Hyperlink"/>
                  <w:rFonts w:asciiTheme="minorHAnsi" w:hAnsiTheme="minorHAnsi"/>
                </w:rPr>
                <w:t>cal parameter uncertainty</w:t>
              </w:r>
            </w:hyperlink>
            <w:r w:rsidR="001D275A">
              <w:rPr>
                <w:rStyle w:val="FootnoteReference"/>
                <w:color w:val="005874"/>
                <w:u w:val="single"/>
              </w:rPr>
              <w:footnoteReference w:id="6"/>
            </w:r>
            <w:r w:rsidR="00334A7F">
              <w:t xml:space="preserve"> </w:t>
            </w:r>
            <w:r w:rsidR="00334A7F" w:rsidRPr="00334A7F">
              <w:t>(September 2003) v1.0 issued by the World Resources Institute and the World Business Council for Sustainable Development</w:t>
            </w:r>
            <w:r w:rsidR="00334A7F">
              <w:t>.</w:t>
            </w:r>
          </w:p>
        </w:tc>
      </w:tr>
    </w:tbl>
    <w:p w14:paraId="67941712" w14:textId="77777777" w:rsidR="00F570BC" w:rsidRPr="00F8076C" w:rsidRDefault="00F570BC" w:rsidP="00F570BC">
      <w:pPr>
        <w:pStyle w:val="BodyText1"/>
      </w:pPr>
      <w:r w:rsidRPr="00F8076C">
        <w:t xml:space="preserve">Terms in NGER legislation may have specific meanings within the law. These key words and phrases are normally identified under a heading such as Definitions, Interpretation or Dictionary or in other parts of the document. </w:t>
      </w:r>
    </w:p>
    <w:p w14:paraId="374607AC" w14:textId="236A9552" w:rsidR="00F570BC" w:rsidRPr="00F8076C" w:rsidRDefault="00F570BC" w:rsidP="00F570BC">
      <w:pPr>
        <w:pStyle w:val="BodyText1"/>
      </w:pPr>
      <w:r w:rsidRPr="00F8076C">
        <w:t xml:space="preserve">For more information on interpreting legislation see </w:t>
      </w:r>
      <w:hyperlink r:id="rId27" w:tooltip="A link to the guide to reading and interpreting Australian legislation on the Federal Register of Legislation website" w:history="1">
        <w:r w:rsidRPr="00F8076C">
          <w:rPr>
            <w:rStyle w:val="Hyperlink"/>
            <w:rFonts w:asciiTheme="minorHAnsi" w:hAnsiTheme="minorHAnsi"/>
          </w:rPr>
          <w:t>Federal Register of Legislation - Understanding Legislation</w:t>
        </w:r>
      </w:hyperlink>
      <w:r>
        <w:rPr>
          <w:rStyle w:val="FootnoteReference"/>
          <w:lang w:val="en-GB"/>
        </w:rPr>
        <w:footnoteReference w:id="7"/>
      </w:r>
      <w:r w:rsidRPr="00F8076C">
        <w:t>.</w:t>
      </w:r>
    </w:p>
    <w:p w14:paraId="475F09B7" w14:textId="4F6D2539" w:rsidR="00482355" w:rsidRDefault="00482355" w:rsidP="00482355">
      <w:pPr>
        <w:pStyle w:val="Heading1"/>
      </w:pPr>
      <w:bookmarkStart w:id="11" w:name="_Toc233637538"/>
      <w:r>
        <w:t>Disclaimer</w:t>
      </w:r>
      <w:bookmarkEnd w:id="9"/>
      <w:bookmarkEnd w:id="11"/>
    </w:p>
    <w:p w14:paraId="5BEA0175" w14:textId="535D3D62" w:rsidR="00460A32" w:rsidRPr="000B3301" w:rsidRDefault="00460A32" w:rsidP="00460A32">
      <w:pPr>
        <w:autoSpaceDE w:val="0"/>
        <w:autoSpaceDN w:val="0"/>
        <w:adjustRightInd w:val="0"/>
        <w:rPr>
          <w:lang w:eastAsia="en-AU"/>
        </w:rPr>
      </w:pPr>
      <w:r w:rsidRPr="000B3301">
        <w:rPr>
          <w:lang w:eastAsia="en-AU"/>
        </w:rPr>
        <w:t>This</w:t>
      </w:r>
      <w:r w:rsidRPr="000B3301">
        <w:rPr>
          <w:i/>
          <w:iCs/>
          <w:lang w:eastAsia="en-AU"/>
        </w:rPr>
        <w:t xml:space="preserve"> </w:t>
      </w:r>
      <w:r w:rsidRPr="000B3301">
        <w:rPr>
          <w:lang w:eastAsia="en-AU"/>
        </w:rPr>
        <w:t>guideline has been developed by the Clean Energy Regulator (</w:t>
      </w:r>
      <w:r w:rsidR="001F61DB">
        <w:rPr>
          <w:lang w:eastAsia="en-AU"/>
        </w:rPr>
        <w:t>CER</w:t>
      </w:r>
      <w:r w:rsidRPr="000B3301">
        <w:rPr>
          <w:lang w:eastAsia="en-AU"/>
        </w:rPr>
        <w:t xml:space="preserve">) to assist entities to comply with their reporting obligations under the </w:t>
      </w:r>
      <w:hyperlink r:id="rId28" w:tooltip="Link to the National Greenhouse and Energy Reporting Act 2007 on the Australian Government Federal Register of Legislation" w:history="1">
        <w:r w:rsidRPr="000B3301">
          <w:rPr>
            <w:rStyle w:val="Hyperlink"/>
            <w:i/>
            <w:iCs/>
            <w:lang w:eastAsia="en-AU"/>
          </w:rPr>
          <w:t>National Greenhouse and Energy Reporting Act 2007</w:t>
        </w:r>
      </w:hyperlink>
      <w:bookmarkStart w:id="12" w:name="_Ref105748531"/>
      <w:r w:rsidRPr="00A469D7">
        <w:rPr>
          <w:rStyle w:val="FootnoteReference"/>
          <w:color w:val="000000"/>
          <w:lang w:eastAsia="en-AU"/>
        </w:rPr>
        <w:footnoteReference w:id="8"/>
      </w:r>
      <w:bookmarkEnd w:id="12"/>
      <w:r w:rsidRPr="000B3301">
        <w:rPr>
          <w:i/>
          <w:iCs/>
          <w:lang w:eastAsia="en-AU"/>
        </w:rPr>
        <w:t xml:space="preserve"> </w:t>
      </w:r>
      <w:r w:rsidRPr="000B3301">
        <w:rPr>
          <w:iCs/>
          <w:lang w:eastAsia="en-AU"/>
        </w:rPr>
        <w:t>(NGER Act)</w:t>
      </w:r>
      <w:r w:rsidRPr="000B3301">
        <w:rPr>
          <w:i/>
          <w:iCs/>
          <w:lang w:eastAsia="en-AU"/>
        </w:rPr>
        <w:t xml:space="preserve"> </w:t>
      </w:r>
      <w:r w:rsidRPr="000B3301">
        <w:rPr>
          <w:lang w:eastAsia="en-AU"/>
        </w:rPr>
        <w:t>and associated legislation.</w:t>
      </w:r>
    </w:p>
    <w:p w14:paraId="257D7541" w14:textId="37212102" w:rsidR="00460A32" w:rsidRPr="000B3301" w:rsidRDefault="00460A32" w:rsidP="00460A32">
      <w:pPr>
        <w:autoSpaceDE w:val="0"/>
        <w:autoSpaceDN w:val="0"/>
        <w:adjustRightInd w:val="0"/>
        <w:rPr>
          <w:lang w:eastAsia="en-AU"/>
        </w:rPr>
      </w:pPr>
      <w:r w:rsidRPr="004C131A">
        <w:rPr>
          <w:lang w:eastAsia="en-AU"/>
        </w:rPr>
        <w:t xml:space="preserve">This guideline only applies to the </w:t>
      </w:r>
      <w:r w:rsidR="0095009E">
        <w:rPr>
          <w:lang w:eastAsia="en-AU"/>
        </w:rPr>
        <w:t>202</w:t>
      </w:r>
      <w:r w:rsidR="00361E65">
        <w:rPr>
          <w:lang w:eastAsia="en-AU"/>
        </w:rPr>
        <w:t>5</w:t>
      </w:r>
      <w:r w:rsidR="0095009E">
        <w:rPr>
          <w:lang w:eastAsia="en-AU"/>
        </w:rPr>
        <w:t>–2</w:t>
      </w:r>
      <w:r w:rsidR="00361E65">
        <w:rPr>
          <w:lang w:eastAsia="en-AU"/>
        </w:rPr>
        <w:t>6</w:t>
      </w:r>
      <w:r w:rsidRPr="004C131A">
        <w:rPr>
          <w:lang w:eastAsia="en-AU"/>
        </w:rPr>
        <w:t xml:space="preserve"> NGER reporting year and should be read in conjunction with the NGER </w:t>
      </w:r>
      <w:r w:rsidRPr="00D41EB0">
        <w:rPr>
          <w:lang w:eastAsia="en-AU"/>
        </w:rPr>
        <w:t xml:space="preserve">Act, </w:t>
      </w:r>
      <w:hyperlink r:id="rId29" w:tooltip="Link to the National Greenhouse and Energy regulations on the Australian Government Federal Register of Legislation" w:history="1">
        <w:r w:rsidRPr="00D41EB0">
          <w:rPr>
            <w:rStyle w:val="Hyperlink"/>
            <w:lang w:eastAsia="en-AU"/>
          </w:rPr>
          <w:t>National Greenhouse and Energy Regulations 2008</w:t>
        </w:r>
      </w:hyperlink>
      <w:r w:rsidRPr="00D41EB0">
        <w:rPr>
          <w:rStyle w:val="FootnoteReference"/>
          <w:color w:val="000000"/>
          <w:lang w:eastAsia="en-AU"/>
        </w:rPr>
        <w:footnoteReference w:id="9"/>
      </w:r>
      <w:r w:rsidRPr="00D41EB0">
        <w:rPr>
          <w:color w:val="000000"/>
          <w:lang w:eastAsia="en-AU"/>
        </w:rPr>
        <w:t xml:space="preserve"> (</w:t>
      </w:r>
      <w:r w:rsidRPr="00D41EB0">
        <w:rPr>
          <w:lang w:eastAsia="en-AU"/>
        </w:rPr>
        <w:t xml:space="preserve">NGER Regulations), and </w:t>
      </w:r>
      <w:hyperlink r:id="rId30" w:tooltip="Link to the National Greenhouse and Energy Reporting (Measurement) Determination 2008 on the Australian Government Federal Register of Legislation" w:history="1">
        <w:r w:rsidRPr="00D41EB0">
          <w:rPr>
            <w:rStyle w:val="Hyperlink"/>
            <w:lang w:eastAsia="en-AU"/>
          </w:rPr>
          <w:t>National Greenhouse and Energy Reporting (Measurement) Determination 2008</w:t>
        </w:r>
      </w:hyperlink>
      <w:r w:rsidRPr="00D41EB0">
        <w:rPr>
          <w:rStyle w:val="FootnoteReference"/>
          <w:color w:val="000000"/>
          <w:lang w:eastAsia="en-AU"/>
        </w:rPr>
        <w:footnoteReference w:id="10"/>
      </w:r>
      <w:r w:rsidRPr="00D41EB0">
        <w:rPr>
          <w:lang w:eastAsia="en-AU"/>
        </w:rPr>
        <w:t xml:space="preserve"> (NGER Measurement Determination), as i</w:t>
      </w:r>
      <w:r w:rsidRPr="004C131A">
        <w:rPr>
          <w:lang w:eastAsia="en-AU"/>
        </w:rPr>
        <w:t>n force for this reporting period. These</w:t>
      </w:r>
      <w:r w:rsidRPr="000B3301">
        <w:rPr>
          <w:lang w:eastAsia="en-AU"/>
        </w:rPr>
        <w:t xml:space="preserve"> laws and their interpretation are subject to change, which may affect the accuracy of the information contained in the guideline.</w:t>
      </w:r>
    </w:p>
    <w:p w14:paraId="220D0073" w14:textId="3C191AEA" w:rsidR="00460A32" w:rsidRPr="000B3301" w:rsidRDefault="00460A32" w:rsidP="00460A32">
      <w:pPr>
        <w:autoSpaceDE w:val="0"/>
        <w:autoSpaceDN w:val="0"/>
        <w:adjustRightInd w:val="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31" w:tooltip="A link to the Clean Energy Regulator NGER webpage" w:history="1">
        <w:r w:rsidRPr="00452C2E">
          <w:rPr>
            <w:rStyle w:val="Hyperlink"/>
            <w:lang w:eastAsia="en-AU"/>
          </w:rPr>
          <w:t xml:space="preserve">National Greenhouse and Energy Reporting (NGER) </w:t>
        </w:r>
        <w:r w:rsidR="005F530E">
          <w:rPr>
            <w:rStyle w:val="Hyperlink"/>
            <w:lang w:eastAsia="en-AU"/>
          </w:rPr>
          <w:t>S</w:t>
        </w:r>
        <w:r w:rsidRPr="00452C2E">
          <w:rPr>
            <w:rStyle w:val="Hyperlink"/>
            <w:lang w:eastAsia="en-AU"/>
          </w:rPr>
          <w:t>cheme</w:t>
        </w:r>
      </w:hyperlink>
      <w:r>
        <w:rPr>
          <w:rStyle w:val="FootnoteReference"/>
          <w:lang w:eastAsia="en-AU"/>
        </w:rPr>
        <w:footnoteReference w:id="11"/>
      </w:r>
      <w:r w:rsidRPr="000B3301">
        <w:rPr>
          <w:lang w:eastAsia="en-AU"/>
        </w:rPr>
        <w:t xml:space="preserve"> at all times. </w:t>
      </w:r>
      <w:r w:rsidR="0028227D">
        <w:rPr>
          <w:lang w:eastAsia="en-AU"/>
        </w:rPr>
        <w:t>CER</w:t>
      </w:r>
      <w:r w:rsidRPr="000B3301">
        <w:rPr>
          <w:lang w:eastAsia="en-AU"/>
        </w:rPr>
        <w:t xml:space="preserve"> encourages all users of this </w:t>
      </w:r>
      <w:r>
        <w:rPr>
          <w:lang w:eastAsia="en-AU"/>
        </w:rPr>
        <w:t>guidance</w:t>
      </w:r>
      <w:r w:rsidRPr="000B3301">
        <w:rPr>
          <w:lang w:eastAsia="en-AU"/>
        </w:rPr>
        <w:t xml:space="preserve"> to seek independent legal advice before taking any action or decision based on this </w:t>
      </w:r>
      <w:r>
        <w:rPr>
          <w:lang w:eastAsia="en-AU"/>
        </w:rPr>
        <w:t>guidance</w:t>
      </w:r>
      <w:r w:rsidRPr="000B3301">
        <w:rPr>
          <w:lang w:eastAsia="en-AU"/>
        </w:rPr>
        <w:t>.</w:t>
      </w:r>
    </w:p>
    <w:p w14:paraId="3FB8D357" w14:textId="6073ACC7" w:rsidR="00460A32" w:rsidRPr="000B3301" w:rsidRDefault="0001590C" w:rsidP="00460A32">
      <w:pPr>
        <w:autoSpaceDE w:val="0"/>
        <w:autoSpaceDN w:val="0"/>
        <w:adjustRightInd w:val="0"/>
        <w:rPr>
          <w:lang w:eastAsia="en-AU"/>
        </w:rPr>
      </w:pPr>
      <w:r>
        <w:rPr>
          <w:lang w:eastAsia="en-AU"/>
        </w:rPr>
        <w:t>CER</w:t>
      </w:r>
      <w:r w:rsidR="00460A32" w:rsidRPr="000B3301">
        <w:rPr>
          <w:lang w:eastAsia="en-AU"/>
        </w:rPr>
        <w:t xml:space="preserve"> and the Australian Government will not be liable for any loss or damage from any cause (including negligence) whether arising directly, incidentally, or as consequential loss, out of or in connection with, any use of this guideline or reliance on it, for any purpose.</w:t>
      </w:r>
    </w:p>
    <w:p w14:paraId="2E68ECEB" w14:textId="50B83338" w:rsidR="00460A32" w:rsidRPr="00FF338C" w:rsidRDefault="00460A32" w:rsidP="00E635EC">
      <w:pPr>
        <w:rPr>
          <w:rFonts w:ascii="Calibri" w:hAnsi="Calibri" w:cs="Calibri"/>
          <w:szCs w:val="22"/>
          <w:lang w:eastAsia="en-AU"/>
        </w:rPr>
      </w:pPr>
      <w:r w:rsidRPr="000B3301">
        <w:rPr>
          <w:lang w:eastAsia="en-AU"/>
        </w:rPr>
        <w:t xml:space="preserve">If an entity chooses to meet their obligations under the NGER scheme in a manner that is inconsistent with the guidance provided in this document, </w:t>
      </w:r>
      <w:r w:rsidR="002961E8">
        <w:rPr>
          <w:lang w:eastAsia="en-AU"/>
        </w:rPr>
        <w:t>CER</w:t>
      </w:r>
      <w:r w:rsidRPr="000B3301">
        <w:rPr>
          <w:lang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p w14:paraId="1FDF9138" w14:textId="77777777" w:rsidR="00482355" w:rsidRDefault="00482355" w:rsidP="00482355">
      <w:pPr>
        <w:spacing w:after="0"/>
      </w:pPr>
      <w:r>
        <w:br w:type="page"/>
      </w:r>
    </w:p>
    <w:p w14:paraId="5ED2CE8F" w14:textId="1ECEEC39" w:rsidR="00482355" w:rsidRPr="00FA7635" w:rsidRDefault="0095009E" w:rsidP="00482355">
      <w:pPr>
        <w:pStyle w:val="Heading1"/>
      </w:pPr>
      <w:bookmarkStart w:id="13" w:name="_Toc107324692"/>
      <w:bookmarkStart w:id="14" w:name="_Toc233637539"/>
      <w:r>
        <w:lastRenderedPageBreak/>
        <w:t>202</w:t>
      </w:r>
      <w:r w:rsidR="00FD0DDC">
        <w:t>5</w:t>
      </w:r>
      <w:r>
        <w:t>–2</w:t>
      </w:r>
      <w:r w:rsidR="00FD0DDC">
        <w:t>6</w:t>
      </w:r>
      <w:r w:rsidR="00482355">
        <w:t xml:space="preserve"> updates</w:t>
      </w:r>
      <w:bookmarkEnd w:id="13"/>
      <w:bookmarkEnd w:id="14"/>
    </w:p>
    <w:p w14:paraId="584B2D26" w14:textId="19522579" w:rsidR="00482355" w:rsidRDefault="00482355" w:rsidP="00482355">
      <w:r>
        <w:t xml:space="preserve">Changes in this document for the </w:t>
      </w:r>
      <w:r w:rsidR="0095009E">
        <w:t>202</w:t>
      </w:r>
      <w:r w:rsidR="00FD0DDC">
        <w:t>5</w:t>
      </w:r>
      <w:r w:rsidR="0095009E">
        <w:t>–2</w:t>
      </w:r>
      <w:r w:rsidR="00FD0DDC">
        <w:t>6</w:t>
      </w:r>
      <w:r>
        <w:t xml:space="preserve"> reporting year:</w:t>
      </w:r>
    </w:p>
    <w:p w14:paraId="7CCD5812" w14:textId="737B9458" w:rsidR="00F81804" w:rsidRPr="00361E26" w:rsidRDefault="000F043F" w:rsidP="00A57E50">
      <w:pPr>
        <w:pStyle w:val="CERbullets"/>
        <w:rPr>
          <w:rStyle w:val="normaltextrun"/>
        </w:rPr>
      </w:pPr>
      <w:r>
        <w:rPr>
          <w:rStyle w:val="normaltextrun"/>
          <w:rFonts w:ascii="Calibri" w:eastAsiaTheme="minorEastAsia" w:hAnsi="Calibri" w:cs="Calibri"/>
        </w:rPr>
        <w:t>Updated instructions on exporting data from EERS</w:t>
      </w:r>
      <w:r w:rsidR="007670C7">
        <w:rPr>
          <w:rStyle w:val="normaltextrun"/>
        </w:rPr>
        <w:t>.</w:t>
      </w:r>
    </w:p>
    <w:p w14:paraId="42A99FE3" w14:textId="673F3736" w:rsidR="0088186C" w:rsidRDefault="0005489F" w:rsidP="00361E26">
      <w:pPr>
        <w:pStyle w:val="CERbullets"/>
        <w:rPr>
          <w:rStyle w:val="normaltextrun"/>
        </w:rPr>
      </w:pPr>
      <w:r>
        <w:rPr>
          <w:rStyle w:val="normaltextrun"/>
        </w:rPr>
        <w:t xml:space="preserve">Added information on </w:t>
      </w:r>
      <w:r w:rsidR="008D66B1">
        <w:rPr>
          <w:rStyle w:val="normaltextrun"/>
        </w:rPr>
        <w:t>measurement criterion selection</w:t>
      </w:r>
      <w:r w:rsidR="007F2CC2">
        <w:rPr>
          <w:rStyle w:val="normaltextrun"/>
        </w:rPr>
        <w:t>, notably</w:t>
      </w:r>
      <w:r w:rsidR="008D66B1">
        <w:rPr>
          <w:rStyle w:val="normaltextrun"/>
        </w:rPr>
        <w:t xml:space="preserve"> with respect to flaring activities</w:t>
      </w:r>
      <w:r w:rsidR="007670C7">
        <w:rPr>
          <w:rStyle w:val="normaltextrun"/>
        </w:rPr>
        <w:t>.</w:t>
      </w:r>
    </w:p>
    <w:p w14:paraId="3D4D7391" w14:textId="121D76C9" w:rsidR="00361E26" w:rsidRPr="00C32AB1" w:rsidRDefault="00361E26" w:rsidP="00361E26">
      <w:pPr>
        <w:pStyle w:val="CERbullets"/>
        <w:rPr>
          <w:rStyle w:val="normaltextrun"/>
        </w:rPr>
      </w:pPr>
      <w:r>
        <w:rPr>
          <w:rStyle w:val="normaltextrun"/>
          <w:rFonts w:ascii="Calibri" w:eastAsiaTheme="minorEastAsia" w:hAnsi="Calibri" w:cs="Calibri"/>
        </w:rPr>
        <w:t>Minor stylistic and formatting changes have been made to this document</w:t>
      </w:r>
      <w:r>
        <w:rPr>
          <w:rStyle w:val="normaltextrun"/>
        </w:rPr>
        <w:t>.</w:t>
      </w:r>
    </w:p>
    <w:p w14:paraId="17E5DE10" w14:textId="77777777" w:rsidR="00482355" w:rsidRPr="002B1F55" w:rsidRDefault="00482355" w:rsidP="00482355">
      <w:pPr>
        <w:pStyle w:val="Heading1"/>
      </w:pPr>
      <w:bookmarkStart w:id="15" w:name="_Toc107324693"/>
      <w:bookmarkStart w:id="16" w:name="_Toc233637540"/>
      <w:r>
        <w:t>Introduction</w:t>
      </w:r>
      <w:bookmarkEnd w:id="15"/>
      <w:bookmarkEnd w:id="16"/>
    </w:p>
    <w:p w14:paraId="6884DA1C" w14:textId="77777777" w:rsidR="00482355" w:rsidRPr="00F60EF4" w:rsidRDefault="00482355" w:rsidP="00482355">
      <w:r w:rsidRPr="00F60EF4">
        <w:t>The Calculator</w:t>
      </w:r>
      <w:r>
        <w:t xml:space="preserve"> is a spreadsheet that</w:t>
      </w:r>
      <w:r w:rsidRPr="00F60EF4">
        <w:t>:</w:t>
      </w:r>
    </w:p>
    <w:p w14:paraId="4BB05D41" w14:textId="77777777" w:rsidR="00482355" w:rsidRPr="00F60EF4" w:rsidRDefault="00482355" w:rsidP="00482355">
      <w:pPr>
        <w:pStyle w:val="CERbullets"/>
        <w:ind w:left="360" w:hanging="360"/>
      </w:pPr>
      <w:r>
        <w:t>enables reporters to use relevant default uncertainty factors from the Measurement Determination</w:t>
      </w:r>
    </w:p>
    <w:p w14:paraId="47F674D5" w14:textId="77777777" w:rsidR="00482355" w:rsidRPr="00F60EF4" w:rsidRDefault="00482355" w:rsidP="00482355">
      <w:pPr>
        <w:pStyle w:val="CERbullets"/>
        <w:ind w:left="360" w:hanging="360"/>
      </w:pPr>
      <w:r w:rsidRPr="00F60EF4">
        <w:t>aggregates emissions factor, energy content factor and activity data uncertainties</w:t>
      </w:r>
    </w:p>
    <w:p w14:paraId="54ECF0A3" w14:textId="77777777" w:rsidR="00482355" w:rsidRPr="00F60EF4" w:rsidRDefault="00482355" w:rsidP="00482355">
      <w:pPr>
        <w:pStyle w:val="CERbullets"/>
        <w:ind w:left="360" w:hanging="360"/>
      </w:pPr>
      <w:r w:rsidRPr="00F60EF4">
        <w:t>aggregates uncertainties from multiple data lines to single sources and fuels as necessary.</w:t>
      </w:r>
    </w:p>
    <w:p w14:paraId="20D86E37" w14:textId="32D4A990" w:rsidR="00482355" w:rsidRPr="00F60EF4" w:rsidRDefault="00482355" w:rsidP="00482355">
      <w:r>
        <w:t>R</w:t>
      </w:r>
      <w:r w:rsidRPr="00F60EF4">
        <w:t xml:space="preserve">eporters </w:t>
      </w:r>
      <w:r w:rsidR="00913F65" w:rsidRPr="00F60EF4">
        <w:t>can</w:t>
      </w:r>
      <w:r w:rsidRPr="00F60EF4">
        <w:t xml:space="preserve"> use a feature within the </w:t>
      </w:r>
      <w:hyperlink r:id="rId32" w:anchor="emissions-and-energy-reporting-system" w:tooltip="A link to the EERS login section on the Clean Energy Regulator webpage" w:history="1">
        <w:r w:rsidRPr="00E93497">
          <w:rPr>
            <w:rStyle w:val="Hyperlink"/>
            <w:rFonts w:asciiTheme="minorHAnsi" w:hAnsiTheme="minorHAnsi"/>
          </w:rPr>
          <w:t>Emissions and Energy Reporting System</w:t>
        </w:r>
      </w:hyperlink>
      <w:r>
        <w:rPr>
          <w:rStyle w:val="FootnoteReference"/>
          <w:color w:val="005874"/>
          <w:u w:val="single"/>
        </w:rPr>
        <w:footnoteReference w:id="12"/>
      </w:r>
      <w:r>
        <w:t xml:space="preserve"> (EERS)</w:t>
      </w:r>
      <w:r w:rsidRPr="00F60EF4">
        <w:t xml:space="preserve"> to export a table of data relevant to their uncertainty reporting. The data </w:t>
      </w:r>
      <w:r w:rsidR="00B74ACD">
        <w:t xml:space="preserve">is exported to your clipboard and </w:t>
      </w:r>
      <w:r w:rsidRPr="00F60EF4">
        <w:t xml:space="preserve">can be </w:t>
      </w:r>
      <w:r w:rsidR="00B74ACD">
        <w:t xml:space="preserve">entered directly into the </w:t>
      </w:r>
      <w:r w:rsidR="00BB32F7">
        <w:t xml:space="preserve">calculator or </w:t>
      </w:r>
      <w:r w:rsidRPr="00F60EF4">
        <w:t>saved as a CSV file (a text file that can be opened using Microsoft Excel) and contains all activity data that is held in EERS at the time of the export.</w:t>
      </w:r>
    </w:p>
    <w:p w14:paraId="2A08F505" w14:textId="105EF69B" w:rsidR="00482355" w:rsidRPr="00736B14" w:rsidRDefault="00482355" w:rsidP="00482355">
      <w:bookmarkStart w:id="17" w:name="_Hlk46318086"/>
      <w:r w:rsidRPr="00736B14">
        <w:t xml:space="preserve">The </w:t>
      </w:r>
      <w:hyperlink r:id="rId33" w:tooltip="A link to NGER calculators on the Clean Energy Regulator webpage" w:history="1">
        <w:r w:rsidRPr="00D45DB0">
          <w:rPr>
            <w:rStyle w:val="Hyperlink"/>
            <w:rFonts w:asciiTheme="minorHAnsi" w:hAnsiTheme="minorHAnsi"/>
          </w:rPr>
          <w:t>Uncertainty Calculator</w:t>
        </w:r>
      </w:hyperlink>
      <w:r>
        <w:rPr>
          <w:rStyle w:val="FootnoteReference"/>
          <w:color w:val="005874"/>
          <w:u w:val="single"/>
        </w:rPr>
        <w:footnoteReference w:id="13"/>
      </w:r>
      <w:r w:rsidRPr="00736B14">
        <w:t xml:space="preserve"> is available </w:t>
      </w:r>
      <w:r w:rsidRPr="00C45455">
        <w:t xml:space="preserve">on our </w:t>
      </w:r>
      <w:r w:rsidRPr="00736B14">
        <w:t>website</w:t>
      </w:r>
      <w:r>
        <w:t xml:space="preserve">. We recommend that you download and save it </w:t>
      </w:r>
      <w:r w:rsidRPr="00736B14">
        <w:t>onto your computer</w:t>
      </w:r>
      <w:r>
        <w:t xml:space="preserve"> before entering data</w:t>
      </w:r>
      <w:r w:rsidRPr="00736B14">
        <w:t>.</w:t>
      </w:r>
    </w:p>
    <w:p w14:paraId="34AC8DC5" w14:textId="77777777" w:rsidR="00482355" w:rsidRPr="00F60EF4" w:rsidRDefault="00482355" w:rsidP="00775762">
      <w:pPr>
        <w:pStyle w:val="Heading1"/>
        <w:rPr>
          <w:lang w:val="en-GB"/>
        </w:rPr>
      </w:pPr>
      <w:bookmarkStart w:id="18" w:name="_Toc413749886"/>
      <w:bookmarkStart w:id="19" w:name="_Toc107324694"/>
      <w:bookmarkStart w:id="20" w:name="_Toc233637541"/>
      <w:bookmarkEnd w:id="17"/>
      <w:r w:rsidRPr="00F60EF4">
        <w:rPr>
          <w:lang w:val="en-GB"/>
        </w:rPr>
        <w:t>Entering data into the Calculator</w:t>
      </w:r>
      <w:bookmarkEnd w:id="18"/>
      <w:bookmarkEnd w:id="19"/>
      <w:bookmarkEnd w:id="20"/>
    </w:p>
    <w:p w14:paraId="5AC786F2" w14:textId="77777777" w:rsidR="00482355" w:rsidRPr="00F60EF4" w:rsidRDefault="00482355" w:rsidP="00482355">
      <w:r w:rsidRPr="00F60EF4">
        <w:t xml:space="preserve">Data can be entered into the Calculator manually or </w:t>
      </w:r>
      <w:r>
        <w:t xml:space="preserve">by </w:t>
      </w:r>
      <w:r w:rsidRPr="00F60EF4">
        <w:t xml:space="preserve">using the EERS uncertainty data export functionality. </w:t>
      </w:r>
    </w:p>
    <w:p w14:paraId="3390DD96" w14:textId="7B968391" w:rsidR="00482355" w:rsidRPr="00F60EF4" w:rsidRDefault="00482355" w:rsidP="00482355">
      <w:r w:rsidRPr="00F60EF4">
        <w:t xml:space="preserve">Reporters are advised to finish entering </w:t>
      </w:r>
      <w:r>
        <w:t xml:space="preserve">and checking all </w:t>
      </w:r>
      <w:r w:rsidRPr="00F60EF4">
        <w:t xml:space="preserve">activity data into EERS before starting uncertainty reporting. Any changes to activity data for fuels or sources with scope 1 emissions of 25,000 </w:t>
      </w:r>
      <w:r w:rsidR="00EC2C79">
        <w:t>tonnes carbon dioxide equivalence (</w:t>
      </w:r>
      <w:r w:rsidRPr="00F60EF4">
        <w:t>t CO</w:t>
      </w:r>
      <w:r w:rsidRPr="00DE511E">
        <w:rPr>
          <w:vertAlign w:val="subscript"/>
        </w:rPr>
        <w:t>2</w:t>
      </w:r>
      <w:r w:rsidRPr="00F60EF4">
        <w:t>-e</w:t>
      </w:r>
      <w:r w:rsidR="00EC2C79">
        <w:t>)</w:t>
      </w:r>
      <w:r w:rsidRPr="00F60EF4">
        <w:t xml:space="preserve"> or more can </w:t>
      </w:r>
      <w:proofErr w:type="gramStart"/>
      <w:r w:rsidRPr="00F60EF4">
        <w:t>have an effect on</w:t>
      </w:r>
      <w:proofErr w:type="gramEnd"/>
      <w:r w:rsidRPr="00F60EF4">
        <w:t xml:space="preserve"> uncertainty reporting. </w:t>
      </w:r>
    </w:p>
    <w:p w14:paraId="57919E01" w14:textId="77777777" w:rsidR="00482355" w:rsidRPr="00F60EF4" w:rsidRDefault="00482355" w:rsidP="00482355">
      <w:pPr>
        <w:pStyle w:val="Heading2"/>
      </w:pPr>
      <w:bookmarkStart w:id="21" w:name="_Exporting_data_from"/>
      <w:bookmarkStart w:id="22" w:name="_Toc413749887"/>
      <w:bookmarkStart w:id="23" w:name="_Toc107324695"/>
      <w:bookmarkStart w:id="24" w:name="_Toc233637542"/>
      <w:bookmarkEnd w:id="21"/>
      <w:r w:rsidRPr="00F60EF4">
        <w:t>Exporting data from EERS</w:t>
      </w:r>
      <w:bookmarkEnd w:id="22"/>
      <w:bookmarkEnd w:id="23"/>
      <w:bookmarkEnd w:id="24"/>
      <w:r w:rsidRPr="00F60EF4">
        <w:t xml:space="preserve"> </w:t>
      </w:r>
    </w:p>
    <w:p w14:paraId="08677664" w14:textId="77777777" w:rsidR="00482355" w:rsidRPr="00F60EF4" w:rsidRDefault="00482355" w:rsidP="00482355">
      <w:r w:rsidRPr="00F60EF4">
        <w:t>To use the EERS uncertainty data export functionality:</w:t>
      </w:r>
    </w:p>
    <w:p w14:paraId="04358EA2" w14:textId="0977AE07" w:rsidR="00482355" w:rsidRPr="00F60EF4" w:rsidRDefault="00E01C7A" w:rsidP="007C2840">
      <w:pPr>
        <w:pStyle w:val="CERbullets"/>
        <w:numPr>
          <w:ilvl w:val="0"/>
          <w:numId w:val="40"/>
        </w:numPr>
      </w:pPr>
      <w:r>
        <w:t>L</w:t>
      </w:r>
      <w:r w:rsidR="00482355" w:rsidRPr="00F60EF4">
        <w:t>og into EERS</w:t>
      </w:r>
      <w:r>
        <w:t>.</w:t>
      </w:r>
    </w:p>
    <w:p w14:paraId="15AD8817" w14:textId="075191BB" w:rsidR="00482355" w:rsidRPr="00F60EF4" w:rsidRDefault="00E01C7A" w:rsidP="007C2840">
      <w:pPr>
        <w:pStyle w:val="CERbullets"/>
        <w:numPr>
          <w:ilvl w:val="0"/>
          <w:numId w:val="40"/>
        </w:numPr>
      </w:pPr>
      <w:r>
        <w:t>C</w:t>
      </w:r>
      <w:r w:rsidR="00482355" w:rsidRPr="00F60EF4">
        <w:t xml:space="preserve">lick on </w:t>
      </w:r>
      <w:r w:rsidR="00482355">
        <w:t>‘</w:t>
      </w:r>
      <w:r w:rsidR="00482355" w:rsidRPr="00F60EF4">
        <w:t xml:space="preserve">Report </w:t>
      </w:r>
      <w:r w:rsidR="38CF8EDA">
        <w:t>u</w:t>
      </w:r>
      <w:r w:rsidR="00482355" w:rsidRPr="00F60EF4">
        <w:t>ncertainty</w:t>
      </w:r>
      <w:r w:rsidR="00482355">
        <w:t>’</w:t>
      </w:r>
      <w:r w:rsidR="00482355" w:rsidRPr="00F60EF4">
        <w:t xml:space="preserve"> in the </w:t>
      </w:r>
      <w:r w:rsidR="32095379">
        <w:t>‘Function’ drop down menu</w:t>
      </w:r>
      <w:r w:rsidR="000B3432">
        <w:t xml:space="preserve">. </w:t>
      </w:r>
      <w:r w:rsidR="00482355" w:rsidRPr="00F60EF4">
        <w:t xml:space="preserve"> </w:t>
      </w:r>
    </w:p>
    <w:p w14:paraId="3D4A866A" w14:textId="55E09B2C" w:rsidR="00482355" w:rsidRPr="00F60EF4" w:rsidRDefault="00173BEA" w:rsidP="007C2840">
      <w:pPr>
        <w:pStyle w:val="CERbullets"/>
        <w:numPr>
          <w:ilvl w:val="0"/>
          <w:numId w:val="40"/>
        </w:numPr>
      </w:pPr>
      <w:r>
        <w:t>F</w:t>
      </w:r>
      <w:r w:rsidR="00482355" w:rsidRPr="00F60EF4">
        <w:t xml:space="preserve">rom the </w:t>
      </w:r>
      <w:r w:rsidR="00482355">
        <w:t>‘</w:t>
      </w:r>
      <w:r w:rsidR="5B8DDF34">
        <w:t>Report</w:t>
      </w:r>
      <w:r w:rsidR="00482355" w:rsidRPr="00F60EF4">
        <w:t xml:space="preserve"> </w:t>
      </w:r>
      <w:r w:rsidR="22D79520">
        <w:t>u</w:t>
      </w:r>
      <w:r w:rsidR="00482355" w:rsidRPr="00F60EF4">
        <w:t>ncertainty</w:t>
      </w:r>
      <w:r w:rsidR="00482355">
        <w:t>’</w:t>
      </w:r>
      <w:r w:rsidR="00482355" w:rsidRPr="00F60EF4">
        <w:t xml:space="preserve"> screen, click the </w:t>
      </w:r>
      <w:r w:rsidR="00482355">
        <w:t>‘</w:t>
      </w:r>
      <w:r w:rsidR="56CD0366">
        <w:t>Copy to clipboard</w:t>
      </w:r>
      <w:r w:rsidR="00482355">
        <w:t>’</w:t>
      </w:r>
      <w:r w:rsidR="00482355" w:rsidRPr="00F60EF4">
        <w:t xml:space="preserve"> button</w:t>
      </w:r>
      <w:r w:rsidR="00CA4443">
        <w:t>.</w:t>
      </w:r>
    </w:p>
    <w:p w14:paraId="6F1362DA" w14:textId="24ADC03A" w:rsidR="00482355" w:rsidRPr="00F60EF4" w:rsidRDefault="00482355" w:rsidP="161B12E0">
      <w:pPr>
        <w:pStyle w:val="CERbullets"/>
        <w:numPr>
          <w:ilvl w:val="0"/>
          <w:numId w:val="0"/>
        </w:numPr>
        <w:ind w:left="360" w:hanging="360"/>
      </w:pPr>
    </w:p>
    <w:p w14:paraId="55C436EF" w14:textId="38B4315C" w:rsidR="00482355" w:rsidRPr="00F60EF4" w:rsidRDefault="00482355" w:rsidP="007C2840">
      <w:pPr>
        <w:pStyle w:val="CERbullets"/>
        <w:numPr>
          <w:ilvl w:val="0"/>
          <w:numId w:val="0"/>
        </w:numPr>
        <w:ind w:left="360" w:hanging="360"/>
      </w:pPr>
    </w:p>
    <w:p w14:paraId="637C64D6" w14:textId="4B0A5518" w:rsidR="00482355" w:rsidRPr="00F60EF4" w:rsidRDefault="00482355" w:rsidP="13304B8D">
      <w:pPr>
        <w:pStyle w:val="CERbullets"/>
        <w:numPr>
          <w:ilvl w:val="0"/>
          <w:numId w:val="0"/>
        </w:numPr>
        <w:ind w:left="360" w:hanging="360"/>
      </w:pPr>
    </w:p>
    <w:p w14:paraId="363542CE" w14:textId="77777777" w:rsidR="00482355" w:rsidRDefault="00482355" w:rsidP="00482355">
      <w:pPr>
        <w:pStyle w:val="Caption"/>
      </w:pPr>
    </w:p>
    <w:p w14:paraId="1493432A" w14:textId="7BB5499C" w:rsidR="00482355" w:rsidRDefault="00482355" w:rsidP="00482355">
      <w:pPr>
        <w:pStyle w:val="Caption"/>
        <w:rPr>
          <w:noProof/>
          <w:lang w:eastAsia="en-AU"/>
        </w:rPr>
      </w:pPr>
      <w:r w:rsidRPr="002B1A98">
        <w:t xml:space="preserve">Figure 1: </w:t>
      </w:r>
      <w:r w:rsidR="00067B56">
        <w:t>‘</w:t>
      </w:r>
      <w:r w:rsidR="006D1C7B">
        <w:rPr>
          <w:noProof/>
          <w:lang w:eastAsia="en-AU"/>
        </w:rPr>
        <w:t>Report</w:t>
      </w:r>
      <w:r w:rsidR="00067B56">
        <w:rPr>
          <w:noProof/>
          <w:lang w:eastAsia="en-AU"/>
        </w:rPr>
        <w:t xml:space="preserve"> uncertainty’ screen in EERS</w:t>
      </w:r>
      <w:r>
        <w:rPr>
          <w:lang w:eastAsia="en-AU"/>
        </w:rPr>
        <w:t xml:space="preserve"> </w:t>
      </w:r>
    </w:p>
    <w:p w14:paraId="055A1155" w14:textId="7DE9D60A" w:rsidR="00BB24F3" w:rsidRPr="00DE2778" w:rsidRDefault="00BB24F3" w:rsidP="00DE2778">
      <w:pPr>
        <w:rPr>
          <w:lang w:eastAsia="en-AU"/>
        </w:rPr>
      </w:pPr>
      <w:r w:rsidRPr="00BB24F3">
        <w:rPr>
          <w:noProof/>
          <w:lang w:eastAsia="en-AU"/>
        </w:rPr>
        <w:drawing>
          <wp:inline distT="0" distB="0" distL="0" distR="0" wp14:anchorId="0EC543C2" wp14:editId="3F17C34B">
            <wp:extent cx="6184900" cy="2266950"/>
            <wp:effectExtent l="0" t="0" r="6350" b="0"/>
            <wp:docPr id="513526698" name="Picture 1" descr="EERS ‘Report uncertainty’ screen for 2024–2025. Explains reporting uncertainty for scope 1 emissions above 25 kilotonnes. Includes link to guidance, a notice to complete facility activities, an ‘Uncertainty calculator’ section and a ‘Copy to clipboard’ button, with ‘Save and close’, ‘Save’ and ‘Cancel’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26698" name="Picture 1" descr="EERS ‘Report uncertainty’ screen for 2024–2025. Explains reporting uncertainty for scope 1 emissions above 25 kilotonnes. Includes link to guidance, a notice to complete facility activities, an ‘Uncertainty calculator’ section and a ‘Copy to clipboard’ button, with ‘Save and close’, ‘Save’ and ‘Cancel’ options."/>
                    <pic:cNvPicPr/>
                  </pic:nvPicPr>
                  <pic:blipFill>
                    <a:blip r:embed="rId34"/>
                    <a:stretch>
                      <a:fillRect/>
                    </a:stretch>
                  </pic:blipFill>
                  <pic:spPr>
                    <a:xfrm>
                      <a:off x="0" y="0"/>
                      <a:ext cx="6184900" cy="2266950"/>
                    </a:xfrm>
                    <a:prstGeom prst="rect">
                      <a:avLst/>
                    </a:prstGeom>
                  </pic:spPr>
                </pic:pic>
              </a:graphicData>
            </a:graphic>
          </wp:inline>
        </w:drawing>
      </w:r>
    </w:p>
    <w:p w14:paraId="70845A3A" w14:textId="66D7ECBF" w:rsidR="00482355" w:rsidRDefault="00482355" w:rsidP="00482355">
      <w:pPr>
        <w:pStyle w:val="Caption"/>
      </w:pPr>
    </w:p>
    <w:p w14:paraId="20865736" w14:textId="77777777" w:rsidR="00482355" w:rsidRDefault="00482355" w:rsidP="00482355">
      <w:pPr>
        <w:pStyle w:val="Heading2"/>
      </w:pPr>
      <w:bookmarkStart w:id="25" w:name="_Importing_data_into"/>
      <w:bookmarkStart w:id="26" w:name="_Toc107324696"/>
      <w:bookmarkStart w:id="27" w:name="_Toc233637543"/>
      <w:bookmarkEnd w:id="25"/>
      <w:r>
        <w:t>Importing data into the Calculator</w:t>
      </w:r>
      <w:bookmarkEnd w:id="26"/>
      <w:bookmarkEnd w:id="27"/>
    </w:p>
    <w:p w14:paraId="5CCC7B12" w14:textId="77777777" w:rsidR="00482355" w:rsidRPr="00F60EF4" w:rsidRDefault="00482355" w:rsidP="00482355">
      <w:r w:rsidRPr="00F60EF4">
        <w:t xml:space="preserve">To import the data into the Calculator: </w:t>
      </w:r>
    </w:p>
    <w:p w14:paraId="2B9A542E" w14:textId="167ECB15" w:rsidR="00482355" w:rsidRDefault="00940344" w:rsidP="00DE2778">
      <w:pPr>
        <w:pStyle w:val="CERbullets"/>
        <w:numPr>
          <w:ilvl w:val="0"/>
          <w:numId w:val="41"/>
        </w:numPr>
      </w:pPr>
      <w:r>
        <w:t>O</w:t>
      </w:r>
      <w:r w:rsidR="00482355">
        <w:t>pen the C</w:t>
      </w:r>
      <w:r w:rsidR="00482355" w:rsidRPr="00F60EF4">
        <w:t>alculator</w:t>
      </w:r>
      <w:r>
        <w:t>.</w:t>
      </w:r>
    </w:p>
    <w:p w14:paraId="5A9C3F1A" w14:textId="62EC8B1B" w:rsidR="00482355" w:rsidRPr="00F60EF4" w:rsidRDefault="00940344" w:rsidP="00DE2778">
      <w:pPr>
        <w:pStyle w:val="CERbullets"/>
        <w:numPr>
          <w:ilvl w:val="0"/>
          <w:numId w:val="41"/>
        </w:numPr>
      </w:pPr>
      <w:r>
        <w:t>S</w:t>
      </w:r>
      <w:r w:rsidR="00482355">
        <w:t>elect the ‘Source and fuel input’ worksheet</w:t>
      </w:r>
      <w:r>
        <w:t>.</w:t>
      </w:r>
    </w:p>
    <w:p w14:paraId="372DB2D8" w14:textId="19226859" w:rsidR="00482355" w:rsidRPr="00F60EF4" w:rsidRDefault="00940344" w:rsidP="00DE2778">
      <w:pPr>
        <w:pStyle w:val="CERbullets"/>
        <w:numPr>
          <w:ilvl w:val="0"/>
          <w:numId w:val="41"/>
        </w:numPr>
      </w:pPr>
      <w:r>
        <w:t>P</w:t>
      </w:r>
      <w:r w:rsidR="1BF6BDDC">
        <w:t xml:space="preserve">aste </w:t>
      </w:r>
      <w:r w:rsidR="1B059723">
        <w:t>data from clipboard</w:t>
      </w:r>
      <w:r w:rsidR="007D4297">
        <w:t>.</w:t>
      </w:r>
    </w:p>
    <w:p w14:paraId="6F32DF9C" w14:textId="052E53C8" w:rsidR="00482355" w:rsidRPr="00F60EF4" w:rsidRDefault="00482355" w:rsidP="00DE2778">
      <w:pPr>
        <w:pStyle w:val="Caption"/>
        <w:spacing w:before="240"/>
      </w:pPr>
      <w:r>
        <w:t xml:space="preserve">Figure 2: </w:t>
      </w:r>
      <w:r w:rsidR="01B9AFFA">
        <w:t>T</w:t>
      </w:r>
      <w:r>
        <w:t>he source and fuel input tab of the Calculator</w:t>
      </w:r>
    </w:p>
    <w:p w14:paraId="0DB94708" w14:textId="4911E570" w:rsidR="00482355" w:rsidRDefault="009A57D4" w:rsidP="00DE2778">
      <w:pPr>
        <w:pStyle w:val="ListParagraph"/>
        <w:ind w:left="360"/>
      </w:pPr>
      <w:r w:rsidRPr="009A57D4">
        <w:rPr>
          <w:noProof/>
        </w:rPr>
        <w:drawing>
          <wp:inline distT="0" distB="0" distL="0" distR="0" wp14:anchorId="3357BDF6" wp14:editId="46A5C195">
            <wp:extent cx="6184900" cy="1391285"/>
            <wp:effectExtent l="0" t="0" r="6350" b="0"/>
            <wp:docPr id="1478407591" name="Picture 1" descr="EERS Calculator ‘source and fuel input’ tab showing a data entry table with columns for facility unique identifier, facility name, source, fuel type, method and criteria, and emissions by gas (CO2, CH4, N2O, HFCs, SF6, PFCs). Emissions and uncertainty fields display values of 0. Includes buttons ‘Back’, ‘View Output’ and a field labelled ‘Paste CSV data from EERS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07591" name="Picture 1" descr="EERS Calculator ‘source and fuel input’ tab showing a data entry table with columns for facility unique identifier, facility name, source, fuel type, method and criteria, and emissions by gas (CO2, CH4, N2O, HFCs, SF6, PFCs). Emissions and uncertainty fields display values of 0. Includes buttons ‘Back’, ‘View Output’ and a field labelled ‘Paste CSV data from EERS here’."/>
                    <pic:cNvPicPr/>
                  </pic:nvPicPr>
                  <pic:blipFill>
                    <a:blip r:embed="rId35"/>
                    <a:stretch>
                      <a:fillRect/>
                    </a:stretch>
                  </pic:blipFill>
                  <pic:spPr>
                    <a:xfrm>
                      <a:off x="0" y="0"/>
                      <a:ext cx="6184900" cy="1391285"/>
                    </a:xfrm>
                    <a:prstGeom prst="rect">
                      <a:avLst/>
                    </a:prstGeom>
                  </pic:spPr>
                </pic:pic>
              </a:graphicData>
            </a:graphic>
          </wp:inline>
        </w:drawing>
      </w:r>
    </w:p>
    <w:p w14:paraId="17E6ABFD" w14:textId="4A63A569" w:rsidR="00482355" w:rsidRDefault="00FF2F64" w:rsidP="00DE2778">
      <w:pPr>
        <w:pStyle w:val="ListParagraph"/>
        <w:numPr>
          <w:ilvl w:val="0"/>
          <w:numId w:val="41"/>
        </w:numPr>
      </w:pPr>
      <w:r>
        <w:t>P</w:t>
      </w:r>
      <w:r w:rsidR="00482355">
        <w:t xml:space="preserve">aste the data from </w:t>
      </w:r>
      <w:r w:rsidR="69B3E5CF">
        <w:t>EERS</w:t>
      </w:r>
      <w:r w:rsidR="00482355">
        <w:t xml:space="preserve"> so that it populates the Calculator:</w:t>
      </w:r>
    </w:p>
    <w:p w14:paraId="0760D797" w14:textId="4BC909DD" w:rsidR="00482355" w:rsidRDefault="00482355" w:rsidP="00482355">
      <w:pPr>
        <w:pStyle w:val="Caption"/>
      </w:pPr>
      <w:bookmarkStart w:id="28" w:name="Figure3"/>
      <w:bookmarkStart w:id="29" w:name="KVWin_undoend"/>
      <w:bookmarkEnd w:id="28"/>
      <w:r>
        <w:t>Figure 3</w:t>
      </w:r>
      <w:bookmarkEnd w:id="29"/>
      <w:r>
        <w:t xml:space="preserve">: </w:t>
      </w:r>
      <w:r w:rsidR="006E574E">
        <w:t>E</w:t>
      </w:r>
      <w:r>
        <w:t>xport</w:t>
      </w:r>
      <w:r w:rsidR="006E574E">
        <w:t>ed</w:t>
      </w:r>
      <w:r>
        <w:t xml:space="preserve"> data pasted into the source and fuel input tab of the Calculator</w:t>
      </w:r>
    </w:p>
    <w:p w14:paraId="293B64B1" w14:textId="0EC55B87" w:rsidR="00482355" w:rsidRDefault="00CA7A2A" w:rsidP="00482355">
      <w:r w:rsidRPr="00CA7A2A">
        <w:rPr>
          <w:noProof/>
        </w:rPr>
        <w:drawing>
          <wp:inline distT="0" distB="0" distL="0" distR="0" wp14:anchorId="788AF1BC" wp14:editId="5A052385">
            <wp:extent cx="6184900" cy="1265555"/>
            <wp:effectExtent l="0" t="0" r="6350" b="0"/>
            <wp:docPr id="976500620" name="Picture 1" descr="EERS Calculator ‘source and fuel input’ tab populated with exported data. Table shows rows for ‘Control Corp F1’ and ‘Control Corp F2’ with facilities, sources and fuel types such as natural gas. Emissions fields for gases (CO2, CH4, N2O) contain values including 40243, 3791, 1000 and totals around 40756 and 20737. Method column shows ‘Method 1’, with green indicators on some c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00620" name="Picture 1" descr="EERS Calculator ‘source and fuel input’ tab populated with exported data. Table shows rows for ‘Control Corp F1’ and ‘Control Corp F2’ with facilities, sources and fuel types such as natural gas. Emissions fields for gases (CO2, CH4, N2O) contain values including 40243, 3791, 1000 and totals around 40756 and 20737. Method column shows ‘Method 1’, with green indicators on some cells."/>
                    <pic:cNvPicPr/>
                  </pic:nvPicPr>
                  <pic:blipFill>
                    <a:blip r:embed="rId36"/>
                    <a:stretch>
                      <a:fillRect/>
                    </a:stretch>
                  </pic:blipFill>
                  <pic:spPr>
                    <a:xfrm>
                      <a:off x="0" y="0"/>
                      <a:ext cx="6184900" cy="1265555"/>
                    </a:xfrm>
                    <a:prstGeom prst="rect">
                      <a:avLst/>
                    </a:prstGeom>
                  </pic:spPr>
                </pic:pic>
              </a:graphicData>
            </a:graphic>
          </wp:inline>
        </w:drawing>
      </w:r>
    </w:p>
    <w:p w14:paraId="45C6F1D8" w14:textId="77777777" w:rsidR="005A1283" w:rsidRDefault="005A1283" w:rsidP="005A1283">
      <w:pPr>
        <w:pStyle w:val="Heading2"/>
      </w:pPr>
      <w:bookmarkStart w:id="30" w:name="_Toc233637544"/>
      <w:r>
        <w:lastRenderedPageBreak/>
        <w:t>Finalising data in the Calculator</w:t>
      </w:r>
      <w:bookmarkEnd w:id="30"/>
    </w:p>
    <w:p w14:paraId="250CFB24" w14:textId="020FA3E1" w:rsidR="00482355" w:rsidRDefault="002C636F" w:rsidP="00E635EC">
      <w:pPr>
        <w:rPr>
          <w:i/>
          <w:iCs/>
          <w:color w:val="454743" w:themeColor="text2"/>
          <w:sz w:val="18"/>
          <w:szCs w:val="18"/>
        </w:rPr>
      </w:pPr>
      <w:r>
        <w:t>The</w:t>
      </w:r>
      <w:r w:rsidR="00482355" w:rsidRPr="00F60EF4">
        <w:t xml:space="preserve"> cells in the </w:t>
      </w:r>
      <w:r w:rsidR="00482355">
        <w:t>‘</w:t>
      </w:r>
      <w:r w:rsidR="00482355" w:rsidRPr="00F60EF4">
        <w:t>Result</w:t>
      </w:r>
      <w:r w:rsidR="00482355">
        <w:t>’</w:t>
      </w:r>
      <w:r w:rsidR="00482355" w:rsidRPr="00F60EF4">
        <w:t xml:space="preserve"> column (viewed by scrolling to the right) will display </w:t>
      </w:r>
      <w:r w:rsidR="00482355">
        <w:t>‘</w:t>
      </w:r>
      <w:r w:rsidR="00482355" w:rsidRPr="00F60EF4">
        <w:t>OK</w:t>
      </w:r>
      <w:r w:rsidR="00482355">
        <w:t>’</w:t>
      </w:r>
      <w:r w:rsidR="00482355" w:rsidRPr="00F60EF4">
        <w:t xml:space="preserve"> on a green background</w:t>
      </w:r>
      <w:r>
        <w:t xml:space="preserve"> when </w:t>
      </w:r>
      <w:r w:rsidR="0049681C">
        <w:t>all required information has been added</w:t>
      </w:r>
      <w:r w:rsidR="00482355" w:rsidRPr="00F60EF4">
        <w:t xml:space="preserve">. </w:t>
      </w:r>
      <w:r w:rsidR="0049681C">
        <w:t xml:space="preserve">For some </w:t>
      </w:r>
      <w:r w:rsidR="00C6555A">
        <w:t xml:space="preserve">combinations of </w:t>
      </w:r>
      <w:r w:rsidR="0049681C">
        <w:t>activities</w:t>
      </w:r>
      <w:r w:rsidR="00C6555A">
        <w:t>, fuels and methods</w:t>
      </w:r>
      <w:r w:rsidR="0049681C">
        <w:t xml:space="preserve">, this may be achieved </w:t>
      </w:r>
      <w:r w:rsidR="006668E6">
        <w:t>by</w:t>
      </w:r>
      <w:r w:rsidR="0049681C">
        <w:t xml:space="preserve"> pasting </w:t>
      </w:r>
      <w:r w:rsidR="004D7F81">
        <w:t xml:space="preserve">data from EERS, while other </w:t>
      </w:r>
      <w:r w:rsidR="000F4DE5">
        <w:t xml:space="preserve">combinations </w:t>
      </w:r>
      <w:r w:rsidR="004D7F81">
        <w:t>may require user input.</w:t>
      </w:r>
    </w:p>
    <w:p w14:paraId="7E0B5377" w14:textId="77777777" w:rsidR="00482355" w:rsidRPr="00F60EF4" w:rsidRDefault="00482355" w:rsidP="00482355">
      <w:pPr>
        <w:pStyle w:val="Caption"/>
      </w:pPr>
      <w:r>
        <w:t>Figure 4: Uncertainty calculator displaying status of imported data</w:t>
      </w:r>
    </w:p>
    <w:p w14:paraId="138DEFB3" w14:textId="251EC2E0" w:rsidR="00482355" w:rsidRDefault="00A9007E" w:rsidP="00482355">
      <w:r w:rsidRPr="00A9007E">
        <w:rPr>
          <w:noProof/>
        </w:rPr>
        <w:drawing>
          <wp:inline distT="0" distB="0" distL="0" distR="0" wp14:anchorId="0FEBAD05" wp14:editId="6A71B1ED">
            <wp:extent cx="6184900" cy="908050"/>
            <wp:effectExtent l="0" t="0" r="6350" b="6350"/>
            <wp:docPr id="1637933629" name="Picture 1" descr="Uncertainty calculator table showing imported emissions data by method and criteria. Emissions columns for CO2, CH4 and N2O include values such as 40423, 79, 24 and 20216, 393, 118, with totals of 40346 and 20127. Result column shows ‘OK’ in green for all rows, indicating vali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933629" name="Picture 1" descr="Uncertainty calculator table showing imported emissions data by method and criteria. Emissions columns for CO2, CH4 and N2O include values such as 40423, 79, 24 and 20216, 393, 118, with totals of 40346 and 20127. Result column shows ‘OK’ in green for all rows, indicating valid data."/>
                    <pic:cNvPicPr/>
                  </pic:nvPicPr>
                  <pic:blipFill>
                    <a:blip r:embed="rId37"/>
                    <a:stretch>
                      <a:fillRect/>
                    </a:stretch>
                  </pic:blipFill>
                  <pic:spPr>
                    <a:xfrm>
                      <a:off x="0" y="0"/>
                      <a:ext cx="6184900" cy="908050"/>
                    </a:xfrm>
                    <a:prstGeom prst="rect">
                      <a:avLst/>
                    </a:prstGeom>
                  </pic:spPr>
                </pic:pic>
              </a:graphicData>
            </a:graphic>
          </wp:inline>
        </w:drawing>
      </w:r>
    </w:p>
    <w:p w14:paraId="04F2DA38" w14:textId="48E7FC95" w:rsidR="00C62DF8" w:rsidRDefault="003B5835" w:rsidP="00482355">
      <w:r>
        <w:t>You may need to select a measurement criterion for a fuel. (</w:t>
      </w:r>
      <w:r w:rsidR="00E97612">
        <w:t xml:space="preserve">In cases where the activity uses a fuel but does not require the use of a specific measurement criterion, such as flaring, please select N/A.) </w:t>
      </w:r>
      <w:r w:rsidR="0047599C">
        <w:t xml:space="preserve">If </w:t>
      </w:r>
      <w:r w:rsidR="00484748">
        <w:t xml:space="preserve">a method other than method 1 is used, you will need to </w:t>
      </w:r>
      <w:r w:rsidR="00942030">
        <w:t>add uncertainty data that you have derived</w:t>
      </w:r>
      <w:r w:rsidR="002B7366">
        <w:t xml:space="preserve"> based on the </w:t>
      </w:r>
      <w:r w:rsidR="00D35836">
        <w:t>uncertainty protocol.</w:t>
      </w:r>
    </w:p>
    <w:p w14:paraId="4731560E" w14:textId="74CCA355" w:rsidR="00482355" w:rsidRDefault="00C62DF8" w:rsidP="00482355">
      <w:r>
        <w:t xml:space="preserve">When all required information has been added to the ‘Source and fuel input’ worksheet, the ‘Result’ column should </w:t>
      </w:r>
      <w:r w:rsidR="00726096">
        <w:t>display ‘OK’ in green. G</w:t>
      </w:r>
      <w:r w:rsidR="00482355" w:rsidRPr="00F60EF4">
        <w:t xml:space="preserve">o to the </w:t>
      </w:r>
      <w:r w:rsidR="00482355">
        <w:t>‘</w:t>
      </w:r>
      <w:r w:rsidR="00482355" w:rsidRPr="00F60EF4">
        <w:t>Output</w:t>
      </w:r>
      <w:r w:rsidR="00482355">
        <w:t>’</w:t>
      </w:r>
      <w:r w:rsidR="00482355" w:rsidRPr="00F60EF4">
        <w:t xml:space="preserve"> worksheet to view the uncertainty percentages</w:t>
      </w:r>
      <w:r w:rsidR="00482355">
        <w:t xml:space="preserve"> </w:t>
      </w:r>
      <w:r w:rsidR="00482355" w:rsidRPr="00F60EF4">
        <w:t xml:space="preserve">that will need to be entered </w:t>
      </w:r>
      <w:r w:rsidR="00267E29">
        <w:t>directly in</w:t>
      </w:r>
      <w:r w:rsidR="0098413F">
        <w:t>to the ‘Uncertainty’ field</w:t>
      </w:r>
      <w:r w:rsidR="00131FCE">
        <w:t>s</w:t>
      </w:r>
      <w:r w:rsidR="00482355" w:rsidRPr="00F60EF4">
        <w:t xml:space="preserve"> in EERS</w:t>
      </w:r>
      <w:r w:rsidR="00F6701D">
        <w:t>.</w:t>
      </w:r>
    </w:p>
    <w:p w14:paraId="4ABF417C" w14:textId="4A534EB7" w:rsidR="00482355" w:rsidRPr="00F60EF4" w:rsidRDefault="00482355" w:rsidP="00482355">
      <w:pPr>
        <w:pStyle w:val="Caption"/>
      </w:pPr>
      <w:r>
        <w:t xml:space="preserve">Figure 5: Uncertainty calculator displaying uncertainty percentages to be inputted into </w:t>
      </w:r>
      <w:r w:rsidRPr="00824259">
        <w:t>EER</w:t>
      </w:r>
      <w:r w:rsidR="00824259" w:rsidRPr="00824259">
        <w:t>S</w:t>
      </w:r>
      <w:r w:rsidRPr="00824259">
        <w:t xml:space="preserve"> </w:t>
      </w:r>
      <w:r w:rsidR="00824259">
        <w:t>m</w:t>
      </w:r>
      <w:bookmarkStart w:id="31" w:name="_Toc413749888"/>
      <w:r w:rsidRPr="00F60EF4">
        <w:t>anual</w:t>
      </w:r>
      <w:r>
        <w:t>ly</w:t>
      </w:r>
      <w:bookmarkEnd w:id="31"/>
    </w:p>
    <w:p w14:paraId="26400931" w14:textId="764E43F8" w:rsidR="00482355" w:rsidRDefault="00F82EF2" w:rsidP="00482355">
      <w:pPr>
        <w:pStyle w:val="CERbullets"/>
        <w:numPr>
          <w:ilvl w:val="0"/>
          <w:numId w:val="0"/>
        </w:numPr>
        <w:ind w:left="357" w:hanging="357"/>
      </w:pPr>
      <w:r w:rsidRPr="00F82EF2">
        <w:rPr>
          <w:noProof/>
        </w:rPr>
        <w:drawing>
          <wp:inline distT="0" distB="0" distL="0" distR="0" wp14:anchorId="4BE2BD13" wp14:editId="0F5F7622">
            <wp:extent cx="6184900" cy="1687195"/>
            <wp:effectExtent l="0" t="0" r="6350" b="8255"/>
            <wp:docPr id="745684483" name="Picture 1" descr="Uncertainty calculator output table showing facility rows and calculated uncertainty percentages for entry into EERS. Values include 35.0 and 5.8 under ‘Uncertainty for the source or fuel at the Facility (%)’. Error count is 0 for all rows. Additional columns show totals such as 122,500,000,000, 55,485,009,339 and 1,387,133,84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84483" name="Picture 1" descr="Uncertainty calculator output table showing facility rows and calculated uncertainty percentages for entry into EERS. Values include 35.0 and 5.8 under ‘Uncertainty for the source or fuel at the Facility (%)’. Error count is 0 for all rows. Additional columns show totals such as 122,500,000,000, 55,485,009,339 and 1,387,133,849.75."/>
                    <pic:cNvPicPr/>
                  </pic:nvPicPr>
                  <pic:blipFill>
                    <a:blip r:embed="rId38"/>
                    <a:stretch>
                      <a:fillRect/>
                    </a:stretch>
                  </pic:blipFill>
                  <pic:spPr>
                    <a:xfrm>
                      <a:off x="0" y="0"/>
                      <a:ext cx="6184900" cy="1687195"/>
                    </a:xfrm>
                    <a:prstGeom prst="rect">
                      <a:avLst/>
                    </a:prstGeom>
                  </pic:spPr>
                </pic:pic>
              </a:graphicData>
            </a:graphic>
          </wp:inline>
        </w:drawing>
      </w:r>
    </w:p>
    <w:p w14:paraId="155BE60D" w14:textId="77777777" w:rsidR="00643D77" w:rsidRDefault="00643D77">
      <w:pPr>
        <w:spacing w:after="0"/>
        <w:rPr>
          <w:rFonts w:ascii="Calibri" w:eastAsia="Times New Roman" w:hAnsi="Calibri" w:cs="Calibri"/>
          <w:b/>
          <w:bCs/>
          <w:kern w:val="32"/>
          <w:sz w:val="40"/>
        </w:rPr>
      </w:pPr>
      <w:bookmarkStart w:id="32" w:name="_Toc413749889"/>
      <w:bookmarkStart w:id="33" w:name="_Toc107324697"/>
      <w:r>
        <w:br w:type="page"/>
      </w:r>
    </w:p>
    <w:p w14:paraId="31B7931E" w14:textId="25219B9F" w:rsidR="00482355" w:rsidRPr="002B1F55" w:rsidRDefault="00482355" w:rsidP="00482355">
      <w:pPr>
        <w:pStyle w:val="Heading1"/>
      </w:pPr>
      <w:bookmarkStart w:id="34" w:name="_Toc233637545"/>
      <w:r w:rsidRPr="002B1F55">
        <w:lastRenderedPageBreak/>
        <w:t>Components of the Calculator</w:t>
      </w:r>
      <w:bookmarkEnd w:id="32"/>
      <w:bookmarkEnd w:id="33"/>
      <w:bookmarkEnd w:id="34"/>
      <w:r w:rsidRPr="002B1F55">
        <w:t xml:space="preserve"> </w:t>
      </w:r>
    </w:p>
    <w:p w14:paraId="6A93A8A8" w14:textId="77777777" w:rsidR="00482355" w:rsidRPr="002B1F55" w:rsidRDefault="00482355" w:rsidP="00482355">
      <w:pPr>
        <w:pStyle w:val="Heading2"/>
      </w:pPr>
      <w:bookmarkStart w:id="35" w:name="_Toc413749890"/>
      <w:bookmarkStart w:id="36" w:name="_Toc107324698"/>
      <w:bookmarkStart w:id="37" w:name="_Toc233637546"/>
      <w:r w:rsidRPr="002B1F55">
        <w:t>Worksheets of the Calculator</w:t>
      </w:r>
      <w:bookmarkEnd w:id="35"/>
      <w:bookmarkEnd w:id="36"/>
      <w:bookmarkEnd w:id="37"/>
    </w:p>
    <w:p w14:paraId="3DBA2F2A" w14:textId="1BAE2370" w:rsidR="00482355" w:rsidRPr="00956847" w:rsidRDefault="00482355" w:rsidP="00482355">
      <w:r w:rsidRPr="00956847">
        <w:t xml:space="preserve">The Calculator has an ‘Instructions’ worksheet as well as </w:t>
      </w:r>
      <w:r w:rsidR="000E4005">
        <w:t>3</w:t>
      </w:r>
      <w:r w:rsidR="000E4005" w:rsidRPr="00956847">
        <w:t xml:space="preserve"> </w:t>
      </w:r>
      <w:r w:rsidRPr="00956847">
        <w:t>worksheets for data entry and calculations:</w:t>
      </w:r>
    </w:p>
    <w:p w14:paraId="2AB03AF2" w14:textId="77777777" w:rsidR="00482355" w:rsidRPr="00956847" w:rsidRDefault="00482355" w:rsidP="00482355">
      <w:pPr>
        <w:pStyle w:val="CERbullets"/>
        <w:ind w:left="360" w:hanging="360"/>
      </w:pPr>
      <w:r w:rsidRPr="00956847">
        <w:t>source and fuel input</w:t>
      </w:r>
    </w:p>
    <w:p w14:paraId="45D223D7" w14:textId="77777777" w:rsidR="00482355" w:rsidRPr="00F60EF4" w:rsidRDefault="00482355" w:rsidP="00482355">
      <w:pPr>
        <w:pStyle w:val="CERbullets"/>
        <w:ind w:left="360" w:hanging="360"/>
      </w:pPr>
      <w:r>
        <w:t>o</w:t>
      </w:r>
      <w:r w:rsidRPr="00F60EF4">
        <w:t>utput</w:t>
      </w:r>
    </w:p>
    <w:p w14:paraId="29B5C55A" w14:textId="77777777" w:rsidR="00482355" w:rsidRPr="00F60EF4" w:rsidRDefault="00482355" w:rsidP="00482355">
      <w:pPr>
        <w:pStyle w:val="CERbullets"/>
        <w:ind w:left="360" w:hanging="360"/>
      </w:pPr>
      <w:r>
        <w:t>a</w:t>
      </w:r>
      <w:r w:rsidRPr="00F60EF4">
        <w:t>ppendix 1 - Uncertainty of Elements</w:t>
      </w:r>
      <w:r>
        <w:t>.</w:t>
      </w:r>
    </w:p>
    <w:p w14:paraId="3D60C3CB" w14:textId="77777777" w:rsidR="00482355" w:rsidRPr="00F60EF4" w:rsidRDefault="00482355" w:rsidP="00482355">
      <w:r w:rsidRPr="00F60EF4">
        <w:t>These worksheets can be accessed through the tabs along the bottom and are briefly described below.</w:t>
      </w:r>
    </w:p>
    <w:p w14:paraId="44442221" w14:textId="77777777" w:rsidR="00482355" w:rsidRPr="00F60EF4" w:rsidRDefault="00482355" w:rsidP="00482355">
      <w:r w:rsidRPr="00F60EF4">
        <w:t xml:space="preserve">The </w:t>
      </w:r>
      <w:r>
        <w:t>‘S</w:t>
      </w:r>
      <w:r w:rsidRPr="00F60EF4">
        <w:t>ource and fuel input</w:t>
      </w:r>
      <w:r>
        <w:t>’</w:t>
      </w:r>
      <w:r w:rsidRPr="00F60EF4">
        <w:t xml:space="preserve"> worksheet is where source level da</w:t>
      </w:r>
      <w:r>
        <w:t>ta is entered for each facility or</w:t>
      </w:r>
      <w:r w:rsidRPr="00F60EF4">
        <w:t xml:space="preserve"> Network/Pipeline. </w:t>
      </w:r>
      <w:r>
        <w:t>More</w:t>
      </w:r>
      <w:r w:rsidRPr="00F60EF4">
        <w:t xml:space="preserve"> instructions are inclu</w:t>
      </w:r>
      <w:r>
        <w:t>ded in row 2, at the top of the</w:t>
      </w:r>
      <w:r w:rsidRPr="00F60EF4">
        <w:t xml:space="preserve"> worksheet. Reporters can enter </w:t>
      </w:r>
      <w:r>
        <w:t xml:space="preserve">the following facility </w:t>
      </w:r>
      <w:r w:rsidRPr="00F60EF4">
        <w:t>data</w:t>
      </w:r>
      <w:r>
        <w:t>:</w:t>
      </w:r>
    </w:p>
    <w:p w14:paraId="04DE2E99" w14:textId="77777777" w:rsidR="00482355" w:rsidRPr="00F60EF4" w:rsidRDefault="00482355" w:rsidP="00482355">
      <w:pPr>
        <w:pStyle w:val="CERbullets"/>
        <w:ind w:left="360" w:hanging="360"/>
      </w:pPr>
      <w:r w:rsidRPr="00F60EF4">
        <w:t xml:space="preserve">unique identifier and facility name </w:t>
      </w:r>
    </w:p>
    <w:p w14:paraId="5AAE588E" w14:textId="77777777" w:rsidR="00482355" w:rsidRPr="00F60EF4" w:rsidRDefault="00482355" w:rsidP="00482355">
      <w:pPr>
        <w:pStyle w:val="CERbullets"/>
        <w:ind w:left="360" w:hanging="360"/>
      </w:pPr>
      <w:r w:rsidRPr="00F60EF4">
        <w:t xml:space="preserve">source, fuel, method and measurement criteria </w:t>
      </w:r>
    </w:p>
    <w:p w14:paraId="6D882988" w14:textId="77777777" w:rsidR="00482355" w:rsidRPr="00F60EF4" w:rsidRDefault="00482355" w:rsidP="00482355">
      <w:pPr>
        <w:pStyle w:val="CERbullets"/>
        <w:ind w:left="360" w:hanging="360"/>
      </w:pPr>
      <w:r w:rsidRPr="00F60EF4">
        <w:t>scope 1 emissions for each gas, relevant quantity data (where appropriate)</w:t>
      </w:r>
    </w:p>
    <w:p w14:paraId="1BAE4078" w14:textId="02925290" w:rsidR="00482355" w:rsidRPr="00F60EF4" w:rsidRDefault="00482355" w:rsidP="00482355">
      <w:pPr>
        <w:pStyle w:val="CERbullets"/>
        <w:ind w:left="360" w:hanging="360"/>
      </w:pPr>
      <w:r w:rsidRPr="00F60EF4">
        <w:t xml:space="preserve">non-default uncertainty levels (for energy content, </w:t>
      </w:r>
      <w:r w:rsidR="00460A32" w:rsidRPr="00F60EF4">
        <w:t>measurement,</w:t>
      </w:r>
      <w:r w:rsidRPr="00F60EF4">
        <w:t xml:space="preserve"> and emissions factor)</w:t>
      </w:r>
      <w:r>
        <w:t>.</w:t>
      </w:r>
    </w:p>
    <w:p w14:paraId="06EBEB07" w14:textId="42760DBE" w:rsidR="00482355" w:rsidRPr="00F60EF4" w:rsidRDefault="00482355" w:rsidP="00482355">
      <w:r w:rsidRPr="00F60EF4">
        <w:t xml:space="preserve">The </w:t>
      </w:r>
      <w:r>
        <w:t>‘</w:t>
      </w:r>
      <w:r w:rsidRPr="00F60EF4">
        <w:t>Output</w:t>
      </w:r>
      <w:r>
        <w:t>’</w:t>
      </w:r>
      <w:r w:rsidRPr="00F60EF4">
        <w:t xml:space="preserve"> worksheet is where uncertainty is calculated for a source (or fuel) at a facility. In addition, reporters </w:t>
      </w:r>
      <w:r w:rsidR="00460A32" w:rsidRPr="00F60EF4">
        <w:t>can</w:t>
      </w:r>
      <w:r w:rsidRPr="00F60EF4">
        <w:t xml:space="preserve"> enter details to assist record keeping.</w:t>
      </w:r>
    </w:p>
    <w:p w14:paraId="23A41E32" w14:textId="10180FB0" w:rsidR="00482355" w:rsidRPr="00F60EF4" w:rsidRDefault="00482355" w:rsidP="00482355">
      <w:r>
        <w:t>‘</w:t>
      </w:r>
      <w:r w:rsidRPr="00F60EF4">
        <w:t xml:space="preserve">Appendix 1 </w:t>
      </w:r>
      <w:r>
        <w:t>–</w:t>
      </w:r>
      <w:r w:rsidRPr="00F60EF4">
        <w:t xml:space="preserve"> Uncertainty of Elements</w:t>
      </w:r>
      <w:r>
        <w:t>’</w:t>
      </w:r>
      <w:r w:rsidRPr="00F60EF4">
        <w:t xml:space="preserve"> is an optional worksheet for independently calculating uncertainty values rather than using the default values built into the </w:t>
      </w:r>
      <w:r>
        <w:t>c</w:t>
      </w:r>
      <w:r w:rsidRPr="00F60EF4">
        <w:t xml:space="preserve">alculator. For example, it can be used to calculate the percentage uncertainty of samples collected by a corporation. Reporters </w:t>
      </w:r>
      <w:proofErr w:type="gramStart"/>
      <w:r w:rsidRPr="00F60EF4">
        <w:t>are able to</w:t>
      </w:r>
      <w:proofErr w:type="gramEnd"/>
      <w:r w:rsidRPr="00F60EF4">
        <w:t xml:space="preserve"> distinguish between sample series</w:t>
      </w:r>
      <w:r>
        <w:t>,</w:t>
      </w:r>
      <w:r w:rsidRPr="00F60EF4">
        <w:t xml:space="preserve"> and the worksheet calculates other information such as standard deviations, mean, count of measurements, t-factor (to a 95</w:t>
      </w:r>
      <w:r>
        <w:t xml:space="preserve">% </w:t>
      </w:r>
      <w:r w:rsidRPr="00F60EF4">
        <w:t>confidence interval) and uncertainty (at 95</w:t>
      </w:r>
      <w:r>
        <w:t>%</w:t>
      </w:r>
      <w:r w:rsidRPr="00F60EF4">
        <w:t xml:space="preserve"> confidence interval) for the sample series. This function assists reporters in calculating uncertainty in accordance with</w:t>
      </w:r>
      <w:r w:rsidR="001D275A">
        <w:t xml:space="preserve"> the uncertainty protocol</w:t>
      </w:r>
      <w:r>
        <w:t>.</w:t>
      </w:r>
    </w:p>
    <w:p w14:paraId="6A2735E9" w14:textId="77777777" w:rsidR="00482355" w:rsidRPr="00F60EF4" w:rsidRDefault="00482355" w:rsidP="00DC4F89">
      <w:pPr>
        <w:pStyle w:val="Heading3"/>
      </w:pPr>
      <w:bookmarkStart w:id="38" w:name="_Toc413749892"/>
      <w:bookmarkStart w:id="39" w:name="_Toc107324699"/>
      <w:bookmarkStart w:id="40" w:name="_Toc233637547"/>
      <w:r w:rsidRPr="00F60EF4">
        <w:t>Source and fuel input worksheet</w:t>
      </w:r>
      <w:bookmarkEnd w:id="38"/>
      <w:bookmarkEnd w:id="39"/>
      <w:bookmarkEnd w:id="40"/>
      <w:r w:rsidRPr="00F60EF4">
        <w:t xml:space="preserve"> </w:t>
      </w:r>
    </w:p>
    <w:p w14:paraId="7D4C0C00" w14:textId="19F31562" w:rsidR="00482355" w:rsidRPr="00F60EF4" w:rsidRDefault="00482355" w:rsidP="00482355">
      <w:r w:rsidRPr="00F60EF4">
        <w:t>Step 1</w:t>
      </w:r>
      <w:r>
        <w:t xml:space="preserve">: </w:t>
      </w:r>
      <w:r w:rsidR="00A83154">
        <w:t>C</w:t>
      </w:r>
      <w:r w:rsidRPr="00F60EF4">
        <w:t>omplet</w:t>
      </w:r>
      <w:r>
        <w:t xml:space="preserve">e </w:t>
      </w:r>
      <w:r w:rsidRPr="00F60EF4">
        <w:t>columns A-G of the source and fuel input worksheet as described below. This step ens</w:t>
      </w:r>
      <w:r>
        <w:t xml:space="preserve">ures the facility, source, fuel, </w:t>
      </w:r>
      <w:r w:rsidR="00460A32">
        <w:t>criteria,</w:t>
      </w:r>
      <w:r>
        <w:t xml:space="preserve"> </w:t>
      </w:r>
      <w:r w:rsidRPr="00F60EF4">
        <w:t>and method are correctly identified</w:t>
      </w:r>
      <w:r>
        <w:t>.</w:t>
      </w:r>
      <w:r w:rsidRPr="00F60EF4">
        <w:t xml:space="preserve"> </w:t>
      </w:r>
      <w:r w:rsidR="00A70CB8">
        <w:t>These</w:t>
      </w:r>
      <w:r w:rsidRPr="005B6B22">
        <w:t xml:space="preserve"> fields do not need to be entered manually if the EERS uncertainty data export instructions are used.</w:t>
      </w:r>
    </w:p>
    <w:p w14:paraId="69754C77" w14:textId="77777777" w:rsidR="00482355" w:rsidRPr="00F60EF4" w:rsidRDefault="00482355" w:rsidP="00482355">
      <w:pPr>
        <w:pStyle w:val="CERbullets"/>
        <w:ind w:left="360" w:hanging="360"/>
      </w:pPr>
      <w:r>
        <w:t>Facility unique i</w:t>
      </w:r>
      <w:r w:rsidRPr="00F60EF4">
        <w:t>dentifier: This is a required field. The identifier is a text string that is unique to a facility (because facility names are not required to be unique). EERS automatically generates a facility unique identifier using the reporting organisation, facility name and dates of operational control.</w:t>
      </w:r>
    </w:p>
    <w:p w14:paraId="540363CC" w14:textId="7F9DCE73" w:rsidR="00482355" w:rsidRPr="00F60EF4" w:rsidRDefault="00482355" w:rsidP="00482355">
      <w:pPr>
        <w:pStyle w:val="CERbullets"/>
        <w:ind w:left="360" w:hanging="360"/>
      </w:pPr>
      <w:r w:rsidRPr="00F60EF4">
        <w:t xml:space="preserve">Facility Name: </w:t>
      </w:r>
      <w:r>
        <w:t>This is</w:t>
      </w:r>
      <w:r w:rsidR="00D95420">
        <w:t xml:space="preserve"> a</w:t>
      </w:r>
      <w:r>
        <w:t xml:space="preserve"> required field. </w:t>
      </w:r>
      <w:r w:rsidR="003232CF">
        <w:t>It is t</w:t>
      </w:r>
      <w:r w:rsidRPr="00F60EF4">
        <w:t xml:space="preserve">he name of the facility to which the source is to be attributed. Facility names do not have to be unique although reporters are advised to make them unique for the corporation’s group. Once a facility name has been entered it will appear in the drop-down menu and </w:t>
      </w:r>
      <w:r>
        <w:t xml:space="preserve">can be selected </w:t>
      </w:r>
      <w:r w:rsidRPr="00F60EF4">
        <w:t xml:space="preserve">for </w:t>
      </w:r>
      <w:r>
        <w:t xml:space="preserve">remaining </w:t>
      </w:r>
      <w:r w:rsidRPr="00F60EF4">
        <w:t xml:space="preserve">sources at </w:t>
      </w:r>
      <w:r>
        <w:t xml:space="preserve">the </w:t>
      </w:r>
      <w:r w:rsidRPr="00F60EF4">
        <w:t xml:space="preserve">facility. </w:t>
      </w:r>
    </w:p>
    <w:p w14:paraId="21185889" w14:textId="77777777" w:rsidR="00482355" w:rsidRPr="00506F3E" w:rsidRDefault="00482355" w:rsidP="00482355">
      <w:pPr>
        <w:pStyle w:val="CERbullets"/>
        <w:ind w:left="360" w:hanging="360"/>
      </w:pPr>
      <w:r w:rsidRPr="00F60EF4">
        <w:t>Source: This is a required field</w:t>
      </w:r>
      <w:r>
        <w:t>.</w:t>
      </w:r>
      <w:r w:rsidRPr="00F60EF4">
        <w:t xml:space="preserve"> There is a drop-down menu that covers the </w:t>
      </w:r>
      <w:r>
        <w:t xml:space="preserve">source types of </w:t>
      </w:r>
      <w:r w:rsidRPr="00F60EF4">
        <w:t>emissions</w:t>
      </w:r>
      <w:r>
        <w:t xml:space="preserve">, </w:t>
      </w:r>
      <w:r w:rsidRPr="00F60EF4">
        <w:t>listed alphabetically.</w:t>
      </w:r>
      <w:r w:rsidRPr="00506F3E">
        <w:rPr>
          <w:noProof/>
          <w:lang w:eastAsia="en-AU"/>
        </w:rPr>
        <w:t xml:space="preserve"> </w:t>
      </w:r>
    </w:p>
    <w:p w14:paraId="74081756" w14:textId="77777777" w:rsidR="00A051F6" w:rsidRDefault="00A051F6" w:rsidP="00482355">
      <w:pPr>
        <w:pStyle w:val="Caption"/>
      </w:pPr>
    </w:p>
    <w:p w14:paraId="1867741F" w14:textId="77777777" w:rsidR="00DC7699" w:rsidRDefault="00DC7699">
      <w:pPr>
        <w:spacing w:after="0"/>
        <w:rPr>
          <w:rFonts w:ascii="Calibri Light" w:eastAsiaTheme="minorHAnsi" w:hAnsi="Calibri Light" w:cs="Calibri Light"/>
          <w:i/>
          <w:iCs/>
          <w:sz w:val="18"/>
          <w:szCs w:val="18"/>
        </w:rPr>
      </w:pPr>
      <w:r>
        <w:br w:type="page"/>
      </w:r>
    </w:p>
    <w:p w14:paraId="3E0947ED" w14:textId="6DD4D11F" w:rsidR="00482355" w:rsidRPr="00F60EF4" w:rsidRDefault="00482355" w:rsidP="00482355">
      <w:pPr>
        <w:pStyle w:val="Caption"/>
      </w:pPr>
      <w:r>
        <w:lastRenderedPageBreak/>
        <w:t>Figure 6a: Fields used for data entry in Step 1, including the drop-down menus for Source of Emissions and Fuel Type</w:t>
      </w:r>
    </w:p>
    <w:p w14:paraId="051925DE" w14:textId="30724527" w:rsidR="00482355" w:rsidRDefault="000218E5" w:rsidP="00482355">
      <w:pPr>
        <w:pStyle w:val="CERbullets"/>
        <w:numPr>
          <w:ilvl w:val="0"/>
          <w:numId w:val="0"/>
        </w:numPr>
      </w:pPr>
      <w:r w:rsidRPr="000218E5">
        <w:rPr>
          <w:noProof/>
        </w:rPr>
        <w:t xml:space="preserve"> </w:t>
      </w:r>
      <w:r w:rsidRPr="000218E5">
        <w:rPr>
          <w:noProof/>
        </w:rPr>
        <w:drawing>
          <wp:inline distT="0" distB="0" distL="0" distR="0" wp14:anchorId="68DE05ED" wp14:editId="1C60908C">
            <wp:extent cx="6184900" cy="2662555"/>
            <wp:effectExtent l="0" t="0" r="6350" b="4445"/>
            <wp:docPr id="2036225949" name="Picture 1" descr="EERS Calculator Step 1 data entry screen showing fields for facility unique identifier, facility name, source, fuel type, method and criteria. The ‘Source’ drop-down menu is open, listing options such as onshore natural gas production, open cut mines, soda ash production, solid waste disposal on land and stationary energy purpo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25949" name="Picture 1" descr="EERS Calculator Step 1 data entry screen showing fields for facility unique identifier, facility name, source, fuel type, method and criteria. The ‘Source’ drop-down menu is open, listing options such as onshore natural gas production, open cut mines, soda ash production, solid waste disposal on land and stationary energy purposes."/>
                    <pic:cNvPicPr/>
                  </pic:nvPicPr>
                  <pic:blipFill>
                    <a:blip r:embed="rId39"/>
                    <a:stretch>
                      <a:fillRect/>
                    </a:stretch>
                  </pic:blipFill>
                  <pic:spPr>
                    <a:xfrm>
                      <a:off x="0" y="0"/>
                      <a:ext cx="6184900" cy="2662555"/>
                    </a:xfrm>
                    <a:prstGeom prst="rect">
                      <a:avLst/>
                    </a:prstGeom>
                  </pic:spPr>
                </pic:pic>
              </a:graphicData>
            </a:graphic>
          </wp:inline>
        </w:drawing>
      </w:r>
    </w:p>
    <w:p w14:paraId="30CE762A" w14:textId="77777777" w:rsidR="00482355" w:rsidRDefault="00482355" w:rsidP="00482355">
      <w:pPr>
        <w:pStyle w:val="CERbullets"/>
        <w:ind w:left="360" w:hanging="360"/>
      </w:pPr>
      <w:r w:rsidRPr="00F60EF4">
        <w:t>Fuel Type (where applicable): Eac</w:t>
      </w:r>
      <w:r>
        <w:t>h row in this column has a drop-</w:t>
      </w:r>
      <w:r w:rsidRPr="00F60EF4">
        <w:t>down menu containing a list of fuel and energy commodities. This list is context sensitive, depending on the source selected. Fuels are listed alphabetically.</w:t>
      </w:r>
    </w:p>
    <w:p w14:paraId="6A2A2AA1" w14:textId="77777777" w:rsidR="00831E6F" w:rsidRPr="00F60EF4" w:rsidRDefault="00831E6F" w:rsidP="00831E6F">
      <w:pPr>
        <w:pStyle w:val="CERbullets"/>
        <w:numPr>
          <w:ilvl w:val="0"/>
          <w:numId w:val="0"/>
        </w:numPr>
        <w:ind w:left="360"/>
      </w:pPr>
    </w:p>
    <w:p w14:paraId="7B97EBCA" w14:textId="77777777" w:rsidR="00482355" w:rsidRPr="00F60EF4" w:rsidRDefault="00482355" w:rsidP="00482355">
      <w:pPr>
        <w:pStyle w:val="Caption"/>
      </w:pPr>
      <w:r>
        <w:t>Figure 6b: Fields used for data entry in Step 1, including the drop-down menus for Source of Emissions and Fuel Type</w:t>
      </w:r>
    </w:p>
    <w:p w14:paraId="0E3DAFFA" w14:textId="41843DEC" w:rsidR="00482355" w:rsidRDefault="00F44CB3" w:rsidP="00482355">
      <w:pPr>
        <w:pStyle w:val="CERbullets"/>
        <w:numPr>
          <w:ilvl w:val="0"/>
          <w:numId w:val="0"/>
        </w:numPr>
        <w:ind w:left="357" w:hanging="357"/>
      </w:pPr>
      <w:r w:rsidRPr="00F44CB3">
        <w:rPr>
          <w:noProof/>
        </w:rPr>
        <w:drawing>
          <wp:inline distT="0" distB="0" distL="0" distR="0" wp14:anchorId="1177C19A" wp14:editId="0AF1692B">
            <wp:extent cx="6184900" cy="2157095"/>
            <wp:effectExtent l="0" t="0" r="6350" b="0"/>
            <wp:docPr id="1062569954" name="Picture 1" descr="EERS Calculator Step 1 data entry screen showing a selected source ‘Stationary and Transport energy purposes (excluding electricity generation)’. The ‘Fuel Type’ drop-down is open with options including coal mine waste gas, coke oven gas, compressed natural gas, crude oil and diesel variants for transport, highlighting available fuel sel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69954" name="Picture 1" descr="EERS Calculator Step 1 data entry screen showing a selected source ‘Stationary and Transport energy purposes (excluding electricity generation)’. The ‘Fuel Type’ drop-down is open with options including coal mine waste gas, coke oven gas, compressed natural gas, crude oil and diesel variants for transport, highlighting available fuel selections."/>
                    <pic:cNvPicPr/>
                  </pic:nvPicPr>
                  <pic:blipFill>
                    <a:blip r:embed="rId40"/>
                    <a:stretch>
                      <a:fillRect/>
                    </a:stretch>
                  </pic:blipFill>
                  <pic:spPr>
                    <a:xfrm>
                      <a:off x="0" y="0"/>
                      <a:ext cx="6184900" cy="2157095"/>
                    </a:xfrm>
                    <a:prstGeom prst="rect">
                      <a:avLst/>
                    </a:prstGeom>
                  </pic:spPr>
                </pic:pic>
              </a:graphicData>
            </a:graphic>
          </wp:inline>
        </w:drawing>
      </w:r>
    </w:p>
    <w:p w14:paraId="5272FA4F" w14:textId="77777777" w:rsidR="00BE4537" w:rsidRDefault="00BE4537">
      <w:pPr>
        <w:spacing w:after="0"/>
        <w:rPr>
          <w:color w:val="auto"/>
        </w:rPr>
      </w:pPr>
      <w:r>
        <w:br w:type="page"/>
      </w:r>
    </w:p>
    <w:p w14:paraId="6F94CC94" w14:textId="69468BED" w:rsidR="00482355" w:rsidRPr="00F60EF4" w:rsidRDefault="00482355" w:rsidP="00482355">
      <w:pPr>
        <w:pStyle w:val="CERbullets"/>
        <w:ind w:left="360" w:hanging="360"/>
      </w:pPr>
      <w:r w:rsidRPr="00F60EF4">
        <w:lastRenderedPageBreak/>
        <w:t>Method: This is a required field, and shows the method used to estimate the emissions from the selected source</w:t>
      </w:r>
      <w:r>
        <w:t xml:space="preserve">, which </w:t>
      </w:r>
      <w:r w:rsidRPr="00F60EF4">
        <w:t>will also be the method used to calculate the uncertainty for that source. Where multiple methods have been used to measure a single source of emissions, a separate line should be used for each method and for emission</w:t>
      </w:r>
      <w:r>
        <w:t>s</w:t>
      </w:r>
      <w:r w:rsidRPr="00F60EF4">
        <w:t xml:space="preserve"> amounts from gases using that method.</w:t>
      </w:r>
    </w:p>
    <w:p w14:paraId="3A7943E6" w14:textId="4E9E5827" w:rsidR="00482355" w:rsidRPr="00F60EF4" w:rsidRDefault="00482355" w:rsidP="00482355">
      <w:pPr>
        <w:pStyle w:val="CERbullets"/>
      </w:pPr>
      <w:r w:rsidRPr="00F60EF4">
        <w:t>Criteria: Reporters should select the criterion for measurement (</w:t>
      </w:r>
      <w:r w:rsidR="00E7224C">
        <w:t>A</w:t>
      </w:r>
      <w:r w:rsidRPr="00F60EF4">
        <w:t xml:space="preserve">, </w:t>
      </w:r>
      <w:r w:rsidR="00E7224C">
        <w:t>AA</w:t>
      </w:r>
      <w:r w:rsidRPr="00F60EF4">
        <w:t xml:space="preserve">, </w:t>
      </w:r>
      <w:r w:rsidR="00E7224C">
        <w:t>AAA</w:t>
      </w:r>
      <w:r w:rsidRPr="00F60EF4">
        <w:t xml:space="preserve"> or </w:t>
      </w:r>
      <w:r w:rsidR="00E7224C">
        <w:t>BBB</w:t>
      </w:r>
      <w:r w:rsidRPr="00F60EF4">
        <w:t>) of the amount of fuel where applicable (e.g. amount of diesel oil consumed)</w:t>
      </w:r>
      <w:r>
        <w:t xml:space="preserve">. </w:t>
      </w:r>
      <w:r w:rsidR="00665D99">
        <w:t xml:space="preserve">In cases where the activity uses a fuel but does not require the use of a specific measurement criterion, such as flaring, please </w:t>
      </w:r>
      <w:r w:rsidR="00E97612">
        <w:t>select</w:t>
      </w:r>
      <w:r w:rsidR="00665D99">
        <w:t xml:space="preserve"> </w:t>
      </w:r>
      <w:r w:rsidR="000B4D75">
        <w:t xml:space="preserve">N/A. </w:t>
      </w:r>
      <w:r>
        <w:t>See the</w:t>
      </w:r>
      <w:r w:rsidR="3ED57362">
        <w:t xml:space="preserve"> </w:t>
      </w:r>
      <w:hyperlink r:id="rId41" w:tooltip="A link to Methods and Measurement Guideline on the Clean Energy Regulator webpage" w:history="1">
        <w:r w:rsidR="3ED57362" w:rsidRPr="01E9CA13">
          <w:rPr>
            <w:rStyle w:val="Hyperlink"/>
          </w:rPr>
          <w:t>Methods and measurements criteria guideline</w:t>
        </w:r>
      </w:hyperlink>
      <w:r>
        <w:rPr>
          <w:rStyle w:val="FootnoteReference"/>
          <w:color w:val="005874"/>
          <w:u w:val="single"/>
        </w:rPr>
        <w:footnoteReference w:id="14"/>
      </w:r>
      <w:r>
        <w:t xml:space="preserve"> for more information on measurement criteria</w:t>
      </w:r>
      <w:r w:rsidRPr="00F60EF4">
        <w:t>.</w:t>
      </w:r>
    </w:p>
    <w:p w14:paraId="592EAB64" w14:textId="0312C36F" w:rsidR="00482355" w:rsidRPr="00F60EF4" w:rsidRDefault="00482355" w:rsidP="00482355">
      <w:r w:rsidRPr="00F60EF4">
        <w:t>Step 2</w:t>
      </w:r>
      <w:r>
        <w:t xml:space="preserve">: </w:t>
      </w:r>
      <w:r w:rsidR="00A83154">
        <w:t xml:space="preserve">Complete </w:t>
      </w:r>
      <w:r w:rsidRPr="00F60EF4">
        <w:t xml:space="preserve">columns </w:t>
      </w:r>
      <w:r>
        <w:t>for</w:t>
      </w:r>
      <w:r w:rsidRPr="00F60EF4">
        <w:t xml:space="preserve"> each gas of </w:t>
      </w:r>
      <w:r>
        <w:t xml:space="preserve">the </w:t>
      </w:r>
      <w:r w:rsidRPr="00F60EF4">
        <w:t xml:space="preserve">worksheet as described below. This step ensures the scope 1 emissions amounts and total emissions are entered. </w:t>
      </w:r>
      <w:r w:rsidR="00ED1259">
        <w:t>T</w:t>
      </w:r>
      <w:r w:rsidRPr="00F60EF4">
        <w:t>hese fields do not need to be entered manually if the</w:t>
      </w:r>
      <w:r>
        <w:t xml:space="preserve"> above</w:t>
      </w:r>
      <w:r w:rsidRPr="00F60EF4">
        <w:t xml:space="preserve"> </w:t>
      </w:r>
      <w:hyperlink w:anchor="_Exporting_data_from" w:history="1">
        <w:r w:rsidRPr="005A53D5">
          <w:rPr>
            <w:rStyle w:val="Hyperlink"/>
            <w:rFonts w:asciiTheme="minorHAnsi" w:hAnsiTheme="minorHAnsi"/>
          </w:rPr>
          <w:t>data export instructions</w:t>
        </w:r>
      </w:hyperlink>
      <w:r w:rsidRPr="00F60EF4">
        <w:t xml:space="preserve"> are used.</w:t>
      </w:r>
    </w:p>
    <w:p w14:paraId="6E71F730" w14:textId="5FFCF77F" w:rsidR="00482355" w:rsidRPr="00F60EF4" w:rsidRDefault="00482355" w:rsidP="00482355">
      <w:pPr>
        <w:pStyle w:val="CERbullets"/>
        <w:ind w:left="360" w:hanging="360"/>
      </w:pPr>
      <w:r>
        <w:t>Emissions for each gas (t CO</w:t>
      </w:r>
      <w:r w:rsidRPr="01E9CA13">
        <w:rPr>
          <w:vertAlign w:val="subscript"/>
        </w:rPr>
        <w:t>2</w:t>
      </w:r>
      <w:r>
        <w:t xml:space="preserve">-e): Each column under this heading relates to one of the </w:t>
      </w:r>
      <w:r w:rsidR="00F547D5">
        <w:t xml:space="preserve">6 </w:t>
      </w:r>
      <w:r>
        <w:t>greenhouse gases reported under the Act, and data must be entered. Emissions estimates, in tonnes of carbon dioxide equivalence (t CO</w:t>
      </w:r>
      <w:r w:rsidRPr="01E9CA13">
        <w:rPr>
          <w:vertAlign w:val="subscript"/>
        </w:rPr>
        <w:t>2</w:t>
      </w:r>
      <w:r>
        <w:t xml:space="preserve">-e), should be entered in the column corresponding to the specific greenhouse gas. If there are no emissions of a particular greenhouse </w:t>
      </w:r>
      <w:r w:rsidR="001A037F">
        <w:t>gas,</w:t>
      </w:r>
      <w:r>
        <w:t xml:space="preserve"> then zero should be entered in the relevant cell(s). </w:t>
      </w:r>
    </w:p>
    <w:p w14:paraId="2524E0CE" w14:textId="77777777" w:rsidR="00482355" w:rsidRPr="00F60EF4" w:rsidRDefault="00482355" w:rsidP="00482355">
      <w:pPr>
        <w:pStyle w:val="CERbullets"/>
        <w:ind w:left="360" w:hanging="360"/>
      </w:pPr>
      <w:r>
        <w:t>Total: The total of scope 1 emissions in t CO</w:t>
      </w:r>
      <w:r w:rsidRPr="01E9CA13">
        <w:rPr>
          <w:vertAlign w:val="subscript"/>
        </w:rPr>
        <w:t>2</w:t>
      </w:r>
      <w:r>
        <w:t>-e.</w:t>
      </w:r>
    </w:p>
    <w:p w14:paraId="12D0F5C3" w14:textId="05D83725" w:rsidR="00482355" w:rsidRPr="00F60EF4" w:rsidRDefault="00482355" w:rsidP="00482355">
      <w:bookmarkStart w:id="41" w:name="Step3"/>
      <w:bookmarkEnd w:id="41"/>
      <w:r w:rsidRPr="00F60EF4">
        <w:t>Step 3</w:t>
      </w:r>
      <w:r>
        <w:t>:</w:t>
      </w:r>
      <w:r w:rsidRPr="00F60EF4">
        <w:t xml:space="preserve"> </w:t>
      </w:r>
      <w:r w:rsidR="00E62BEE">
        <w:t>C</w:t>
      </w:r>
      <w:r w:rsidRPr="00F60EF4">
        <w:t>alculating your uncertainty requires correct completion of the remaining columns to give an aggregated uncertaint</w:t>
      </w:r>
      <w:r>
        <w:t>y for the emissions source. If m</w:t>
      </w:r>
      <w:r w:rsidRPr="00F60EF4">
        <w:t>ethod 1 is used, default values will be used.</w:t>
      </w:r>
    </w:p>
    <w:p w14:paraId="7570F2C8" w14:textId="52C84ADA" w:rsidR="00482355" w:rsidRPr="00F60EF4" w:rsidRDefault="00482355" w:rsidP="00482355">
      <w:pPr>
        <w:pStyle w:val="CERbullets"/>
        <w:ind w:left="360" w:hanging="360"/>
      </w:pPr>
      <w:r>
        <w:t xml:space="preserve">Energy Content Uncertainty (%): </w:t>
      </w:r>
      <w:r w:rsidR="000D4B1E">
        <w:t xml:space="preserve">Reporters </w:t>
      </w:r>
      <w:r>
        <w:t>should leave these cells blank if they intend to use default values under method 1. If energy content percentage uncertainty is calculated independently, enter the value as a whole number - for example, 3.3% uncertainty is entered as ‘3’.</w:t>
      </w:r>
    </w:p>
    <w:p w14:paraId="091EE4A9" w14:textId="68EC60D0" w:rsidR="00482355" w:rsidRPr="00F60EF4" w:rsidRDefault="00482355" w:rsidP="00482355">
      <w:pPr>
        <w:pStyle w:val="CERbullets"/>
        <w:ind w:left="360" w:hanging="360"/>
      </w:pPr>
      <w:r>
        <w:t xml:space="preserve">Fuel/Activity Quantity Uncertainty (%): </w:t>
      </w:r>
      <w:r w:rsidR="000D4B1E">
        <w:t xml:space="preserve">Reporters </w:t>
      </w:r>
      <w:r>
        <w:t>should leave these cells blank if they intend to use default values under method 1. If fuel or activity quantity uncertainty is calculated independently, enter the value as a whole number - for example, 2.9% uncertainty is entered as ‘3’.</w:t>
      </w:r>
    </w:p>
    <w:p w14:paraId="0136E092" w14:textId="4F4B00AD" w:rsidR="00482355" w:rsidRPr="00F60EF4" w:rsidRDefault="00482355" w:rsidP="00482355">
      <w:pPr>
        <w:pStyle w:val="CERbullets"/>
        <w:ind w:left="360" w:hanging="360"/>
      </w:pPr>
      <w:r>
        <w:t xml:space="preserve">Emission Factor Uncertainty Level (%): </w:t>
      </w:r>
      <w:r w:rsidR="000D4B1E">
        <w:t xml:space="preserve">There </w:t>
      </w:r>
      <w:r>
        <w:t xml:space="preserve">are </w:t>
      </w:r>
      <w:r w:rsidR="00F547D5">
        <w:t xml:space="preserve">6 </w:t>
      </w:r>
      <w:r>
        <w:t xml:space="preserve">columns for the reportable greenhouse gases under this heading. Reporters should leave these cells blank if they intend to use default values or if the source does not have emissions for a particular gas. Enter the percentage value as a whole number. </w:t>
      </w:r>
    </w:p>
    <w:p w14:paraId="3151E4DB" w14:textId="0FB64B11" w:rsidR="00482355" w:rsidRPr="00F60EF4" w:rsidRDefault="00482355">
      <w:pPr>
        <w:pStyle w:val="CERbullets"/>
        <w:ind w:left="360" w:hanging="360"/>
      </w:pPr>
      <w:r>
        <w:t xml:space="preserve">Aggregated Uncertainty for the Emissions Source (%): </w:t>
      </w:r>
      <w:r w:rsidR="000D4B1E">
        <w:t xml:space="preserve">Some </w:t>
      </w:r>
      <w:r>
        <w:t xml:space="preserve">sources and methods 2, 3 and 4 allow for the direct entry of aggregated uncertainty for a source. If a value is entered here, the columns for the </w:t>
      </w:r>
      <w:r w:rsidR="000E4005">
        <w:t xml:space="preserve">3 </w:t>
      </w:r>
      <w:r>
        <w:t xml:space="preserve">headings directly above will be blacked out. This is shown in </w:t>
      </w:r>
      <w:hyperlink w:anchor="Figure3">
        <w:r w:rsidRPr="01E9CA13">
          <w:rPr>
            <w:rStyle w:val="Hyperlink"/>
            <w:rFonts w:asciiTheme="minorHAnsi" w:hAnsiTheme="minorHAnsi"/>
          </w:rPr>
          <w:t>Figure 3</w:t>
        </w:r>
      </w:hyperlink>
      <w:r>
        <w:t xml:space="preserve"> above.</w:t>
      </w:r>
    </w:p>
    <w:p w14:paraId="2DC578A8" w14:textId="77777777" w:rsidR="00482355" w:rsidRDefault="00482355" w:rsidP="00482355">
      <w:pPr>
        <w:pStyle w:val="CERbullets"/>
        <w:ind w:left="360" w:hanging="360"/>
      </w:pPr>
      <w:r>
        <w:t>If aggregated uncertainty for a source is entered, then the only other field that needs to be filled out for that source is emissions for each gas in t CO</w:t>
      </w:r>
      <w:r w:rsidRPr="01E9CA13">
        <w:rPr>
          <w:vertAlign w:val="subscript"/>
        </w:rPr>
        <w:t>2</w:t>
      </w:r>
      <w:r>
        <w:t>-e. Note: If aggregated uncertainty is used, all workings for calculating the aggregated uncertainty for the emission source must be well documented and made readily available if an audit is undertaken or requested by the agency.</w:t>
      </w:r>
    </w:p>
    <w:p w14:paraId="0BB294DF" w14:textId="77777777" w:rsidR="00482355" w:rsidRDefault="00482355" w:rsidP="00482355">
      <w:pPr>
        <w:pStyle w:val="CERbullets"/>
        <w:ind w:left="360" w:hanging="360"/>
      </w:pPr>
      <w:r>
        <w:t>Reporters may wish to include comments in these cells.</w:t>
      </w:r>
    </w:p>
    <w:p w14:paraId="5D05E3F2" w14:textId="77777777" w:rsidR="00482355" w:rsidRDefault="00482355" w:rsidP="00482355">
      <w:pPr>
        <w:spacing w:after="0"/>
        <w:rPr>
          <w:i/>
          <w:iCs/>
          <w:color w:val="454743" w:themeColor="text2"/>
          <w:sz w:val="18"/>
          <w:szCs w:val="18"/>
        </w:rPr>
      </w:pPr>
      <w:r>
        <w:br w:type="page"/>
      </w:r>
    </w:p>
    <w:p w14:paraId="4606B48F" w14:textId="77777777" w:rsidR="00482355" w:rsidRPr="00F60EF4" w:rsidRDefault="00482355" w:rsidP="00482355">
      <w:pPr>
        <w:pStyle w:val="Caption"/>
      </w:pPr>
      <w:r>
        <w:lastRenderedPageBreak/>
        <w:t>Figure 7: Fields used for data entry in Step 3</w:t>
      </w:r>
    </w:p>
    <w:p w14:paraId="0A49BADA" w14:textId="3729AA89" w:rsidR="00482355" w:rsidRDefault="006F2DC7" w:rsidP="00482355">
      <w:r w:rsidRPr="00A9007E">
        <w:rPr>
          <w:noProof/>
        </w:rPr>
        <w:drawing>
          <wp:inline distT="0" distB="0" distL="0" distR="0" wp14:anchorId="007C12FB" wp14:editId="75FE8F2F">
            <wp:extent cx="6184900" cy="908050"/>
            <wp:effectExtent l="0" t="0" r="6350" b="6350"/>
            <wp:docPr id="722910933" name="Picture 1" descr="Uncertainty calculator Step 3 table showing emissions by gas (CO2, CH4, N2O, HFCs, SF6, PFCs) with values such as 40423, 79, 24 and 20216, 393, 118, and totals of 40346 and 20127. Includes fields for energy content uncertainty, fuel or activity quantity uncertainty, emission factor uncertainty levels by gas, optional aggregated uncertainty, and a result column showing ‘OK’ in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10933" name="Picture 1" descr="Uncertainty calculator Step 3 table showing emissions by gas (CO2, CH4, N2O, HFCs, SF6, PFCs) with values such as 40423, 79, 24 and 20216, 393, 118, and totals of 40346 and 20127. Includes fields for energy content uncertainty, fuel or activity quantity uncertainty, emission factor uncertainty levels by gas, optional aggregated uncertainty, and a result column showing ‘OK’ in green."/>
                    <pic:cNvPicPr/>
                  </pic:nvPicPr>
                  <pic:blipFill>
                    <a:blip r:embed="rId37"/>
                    <a:stretch>
                      <a:fillRect/>
                    </a:stretch>
                  </pic:blipFill>
                  <pic:spPr>
                    <a:xfrm>
                      <a:off x="0" y="0"/>
                      <a:ext cx="6184900" cy="908050"/>
                    </a:xfrm>
                    <a:prstGeom prst="rect">
                      <a:avLst/>
                    </a:prstGeom>
                  </pic:spPr>
                </pic:pic>
              </a:graphicData>
            </a:graphic>
          </wp:inline>
        </w:drawing>
      </w:r>
    </w:p>
    <w:p w14:paraId="4991FC0F" w14:textId="77777777" w:rsidR="00482355" w:rsidRPr="00F60EF4" w:rsidRDefault="00482355" w:rsidP="00DC4F89">
      <w:pPr>
        <w:pStyle w:val="Heading3"/>
      </w:pPr>
      <w:bookmarkStart w:id="42" w:name="_Toc413749893"/>
      <w:bookmarkStart w:id="43" w:name="_Toc107324700"/>
      <w:bookmarkStart w:id="44" w:name="_Toc233637548"/>
      <w:r w:rsidRPr="00F60EF4">
        <w:t>Output worksheet</w:t>
      </w:r>
      <w:bookmarkEnd w:id="42"/>
      <w:bookmarkEnd w:id="43"/>
      <w:bookmarkEnd w:id="44"/>
    </w:p>
    <w:p w14:paraId="007FB481" w14:textId="77777777" w:rsidR="00482355" w:rsidRPr="00F60EF4" w:rsidRDefault="00482355" w:rsidP="00482355">
      <w:r w:rsidRPr="00F60EF4">
        <w:t xml:space="preserve">The Output worksheet </w:t>
      </w:r>
      <w:r>
        <w:t xml:space="preserve">shows </w:t>
      </w:r>
      <w:r w:rsidRPr="00F60EF4">
        <w:t xml:space="preserve">the aggregated uncertainty for each source and fuel type for each facility. </w:t>
      </w:r>
    </w:p>
    <w:p w14:paraId="3E3C5F4D" w14:textId="77777777" w:rsidR="00482355" w:rsidRPr="00F60EF4" w:rsidRDefault="00482355" w:rsidP="00482355">
      <w:r w:rsidRPr="00F60EF4">
        <w:t>Once a facility</w:t>
      </w:r>
      <w:r>
        <w:t>’s</w:t>
      </w:r>
      <w:r w:rsidRPr="00F60EF4">
        <w:t xml:space="preserve"> unique identifier has been entered in the </w:t>
      </w:r>
      <w:r>
        <w:t>‘</w:t>
      </w:r>
      <w:r w:rsidRPr="00F60EF4">
        <w:t>Source and fuel input</w:t>
      </w:r>
      <w:r>
        <w:t>’</w:t>
      </w:r>
      <w:r w:rsidRPr="00F60EF4">
        <w:t xml:space="preserve"> worksheet, the facility name will be shown in the </w:t>
      </w:r>
      <w:r>
        <w:t>‘</w:t>
      </w:r>
      <w:r w:rsidRPr="00F60EF4">
        <w:t>Facility Name</w:t>
      </w:r>
      <w:r>
        <w:t>’</w:t>
      </w:r>
      <w:r w:rsidRPr="00F60EF4">
        <w:t xml:space="preserve"> column as shown in Figure 8</w:t>
      </w:r>
      <w:r>
        <w:t xml:space="preserve"> (see below):</w:t>
      </w:r>
    </w:p>
    <w:p w14:paraId="2D20EDC8" w14:textId="77777777" w:rsidR="00482355" w:rsidRPr="00F60EF4" w:rsidRDefault="00482355" w:rsidP="00482355">
      <w:pPr>
        <w:pStyle w:val="Caption"/>
      </w:pPr>
      <w:r>
        <w:t>Figure 8: Output worksheet example after data has been entered</w:t>
      </w:r>
    </w:p>
    <w:p w14:paraId="634EEAAB" w14:textId="38501DC4" w:rsidR="00482355" w:rsidRDefault="000F2A0F" w:rsidP="00482355">
      <w:r w:rsidRPr="00F82EF2">
        <w:rPr>
          <w:noProof/>
        </w:rPr>
        <w:drawing>
          <wp:inline distT="0" distB="0" distL="0" distR="0" wp14:anchorId="6D69E164" wp14:editId="2787E340">
            <wp:extent cx="6184900" cy="1687195"/>
            <wp:effectExtent l="0" t="0" r="6350" b="8255"/>
            <wp:docPr id="554369762" name="Picture 1" descr="Uncertainty calculator output worksheet showing facility rows with sources such as solid waste disposal and natural gas distribution. Uncertainty percentages for entry into EERS include 35.0 and 5.8. Error count is 0 for all rows. Additional columns show large totals, including 122,500,000,000, 55,485,009,339 and 1,387,133,84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69762" name="Picture 1" descr="Uncertainty calculator output worksheet showing facility rows with sources such as solid waste disposal and natural gas distribution. Uncertainty percentages for entry into EERS include 35.0 and 5.8. Error count is 0 for all rows. Additional columns show large totals, including 122,500,000,000, 55,485,009,339 and 1,387,133,849.75."/>
                    <pic:cNvPicPr/>
                  </pic:nvPicPr>
                  <pic:blipFill>
                    <a:blip r:embed="rId38"/>
                    <a:stretch>
                      <a:fillRect/>
                    </a:stretch>
                  </pic:blipFill>
                  <pic:spPr>
                    <a:xfrm>
                      <a:off x="0" y="0"/>
                      <a:ext cx="6184900" cy="1687195"/>
                    </a:xfrm>
                    <a:prstGeom prst="rect">
                      <a:avLst/>
                    </a:prstGeom>
                  </pic:spPr>
                </pic:pic>
              </a:graphicData>
            </a:graphic>
          </wp:inline>
        </w:drawing>
      </w:r>
    </w:p>
    <w:p w14:paraId="0462A9CC" w14:textId="77777777" w:rsidR="00482355" w:rsidRPr="00F60EF4" w:rsidRDefault="00482355" w:rsidP="004238A3">
      <w:pPr>
        <w:pStyle w:val="Heading3"/>
      </w:pPr>
      <w:bookmarkStart w:id="45" w:name="_Toc413749894"/>
      <w:bookmarkStart w:id="46" w:name="_Toc107324701"/>
      <w:bookmarkStart w:id="47" w:name="_Toc233637549"/>
      <w:r w:rsidRPr="00F60EF4">
        <w:t>Adding your data to EERS</w:t>
      </w:r>
      <w:bookmarkEnd w:id="45"/>
      <w:bookmarkEnd w:id="46"/>
      <w:bookmarkEnd w:id="47"/>
    </w:p>
    <w:p w14:paraId="58189AD9" w14:textId="19B9812E" w:rsidR="00482355" w:rsidRPr="00F60EF4" w:rsidRDefault="00482355" w:rsidP="00482355">
      <w:r w:rsidRPr="00F60EF4">
        <w:t xml:space="preserve">Once the uncertainty for a source or fuel type (at a facility) has been calculated these numbers can be entered </w:t>
      </w:r>
      <w:r w:rsidR="00F03C6D">
        <w:t>directly into</w:t>
      </w:r>
      <w:r w:rsidRPr="00F60EF4">
        <w:t xml:space="preserve"> EERS. </w:t>
      </w:r>
    </w:p>
    <w:p w14:paraId="6BA036BB" w14:textId="77777777" w:rsidR="007100C1" w:rsidRDefault="007100C1">
      <w:pPr>
        <w:spacing w:after="0"/>
        <w:rPr>
          <w:rFonts w:asciiTheme="majorHAnsi" w:eastAsia="Times New Roman" w:hAnsiTheme="majorHAnsi" w:cstheme="majorHAnsi"/>
          <w:b/>
          <w:bCs/>
          <w:sz w:val="27"/>
          <w:szCs w:val="27"/>
        </w:rPr>
      </w:pPr>
      <w:bookmarkStart w:id="48" w:name="_Toc413749895"/>
      <w:bookmarkStart w:id="49" w:name="_Toc107324702"/>
      <w:r>
        <w:br w:type="page"/>
      </w:r>
    </w:p>
    <w:p w14:paraId="42F96953" w14:textId="1CA7C794" w:rsidR="00482355" w:rsidRPr="00F60EF4" w:rsidRDefault="00482355" w:rsidP="004238A3">
      <w:pPr>
        <w:pStyle w:val="Heading3"/>
      </w:pPr>
      <w:bookmarkStart w:id="50" w:name="_Toc233637550"/>
      <w:r w:rsidRPr="00F60EF4">
        <w:lastRenderedPageBreak/>
        <w:t xml:space="preserve">Appendix 1 </w:t>
      </w:r>
      <w:r>
        <w:t>–</w:t>
      </w:r>
      <w:r w:rsidRPr="00F60EF4">
        <w:t xml:space="preserve"> Uncertainty of Elements worksheet</w:t>
      </w:r>
      <w:bookmarkEnd w:id="48"/>
      <w:bookmarkEnd w:id="49"/>
      <w:bookmarkEnd w:id="50"/>
    </w:p>
    <w:p w14:paraId="754A5D9B" w14:textId="77777777" w:rsidR="00482355" w:rsidRDefault="00482355" w:rsidP="00482355">
      <w:r w:rsidRPr="00F60EF4">
        <w:t xml:space="preserve">This is an optional worksheet for independently calculating uncertainty values rather than using default values built into the Calculator (see </w:t>
      </w:r>
      <w:r>
        <w:t>below</w:t>
      </w:r>
      <w:r w:rsidRPr="00F60EF4">
        <w:t>). This worksheet helps reporters calculate the uncertainty for a set of measurements or other data. The worksheet has been developed in accordance with the Uncertainty Protocol and uses the t-factor method with a 95</w:t>
      </w:r>
      <w:r>
        <w:t>%</w:t>
      </w:r>
      <w:r w:rsidRPr="00F60EF4">
        <w:t xml:space="preserve"> confidence interval in accordance with part 8.2 of the </w:t>
      </w:r>
      <w:r>
        <w:t xml:space="preserve">Measurement </w:t>
      </w:r>
      <w:r w:rsidRPr="00F60EF4">
        <w:t>Determination.</w:t>
      </w:r>
    </w:p>
    <w:p w14:paraId="40F5F5F3" w14:textId="77777777" w:rsidR="00482355" w:rsidRPr="00F60EF4" w:rsidRDefault="00482355" w:rsidP="00482355">
      <w:pPr>
        <w:pStyle w:val="Caption"/>
      </w:pPr>
      <w:r>
        <w:t>Figure 9: Example of the Appendix 1 - Uncertainty of Elements worksheet</w:t>
      </w:r>
    </w:p>
    <w:p w14:paraId="36E941D2" w14:textId="77777777" w:rsidR="00482355" w:rsidRDefault="00482355" w:rsidP="00482355">
      <w:r w:rsidRPr="00F60EF4">
        <w:rPr>
          <w:noProof/>
          <w:lang w:eastAsia="en-AU"/>
        </w:rPr>
        <w:drawing>
          <wp:inline distT="0" distB="0" distL="0" distR="0" wp14:anchorId="6FD4DD3B" wp14:editId="69CE5ACF">
            <wp:extent cx="6184900" cy="5674360"/>
            <wp:effectExtent l="0" t="0" r="6350" b="2540"/>
            <wp:docPr id="3" name="Picture 3" descr="Screenshot of a table titled 'CALCULATING THE UNCERTAINTY OF VARIOUS ELEMENTS USED IN NGER REPORTING' from the Uncertainty Calculator spreadsheet. The table includes columns for elements such as 'Fuel Factor', 'Facility 1 anthracite energy content', 'Transport LPG energy content', 'Transport CO₂ emission factor', 'Transport N₂O emission factor', and 'Transport CH₄ emission factor'. Each column contains data fields for 'Standard Deviation', 'Mean', 'Count of measurements', 't-factor (95% CI)', 'Uncertainty @ 95% CI', '% Uncertainty', 'Measurement unit', and individual measurements. Example values include a standard deviation of 0.079 and a mean of 0.650 for the Fuel F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of a table titled 'CALCULATING THE UNCERTAINTY OF VARIOUS ELEMENTS USED IN NGER REPORTING' from the Uncertainty Calculator spreadsheet. The table includes columns for elements such as 'Fuel Factor', 'Facility 1 anthracite energy content', 'Transport LPG energy content', 'Transport CO₂ emission factor', 'Transport N₂O emission factor', and 'Transport CH₄ emission factor'. Each column contains data fields for 'Standard Deviation', 'Mean', 'Count of measurements', 't-factor (95% CI)', 'Uncertainty @ 95% CI', '% Uncertainty', 'Measurement unit', and individual measurements. Example values include a standard deviation of 0.079 and a mean of 0.650 for the Fuel Facto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84900" cy="5674360"/>
                    </a:xfrm>
                    <a:prstGeom prst="rect">
                      <a:avLst/>
                    </a:prstGeom>
                    <a:noFill/>
                    <a:ln>
                      <a:noFill/>
                    </a:ln>
                  </pic:spPr>
                </pic:pic>
              </a:graphicData>
            </a:graphic>
          </wp:inline>
        </w:drawing>
      </w:r>
    </w:p>
    <w:p w14:paraId="2D8EE743" w14:textId="728B01C8" w:rsidR="00482355" w:rsidRPr="00F60EF4" w:rsidRDefault="00482355" w:rsidP="004440EF">
      <w:pPr>
        <w:pStyle w:val="Heading4"/>
        <w:rPr>
          <w:lang w:val="en-GB"/>
        </w:rPr>
      </w:pPr>
      <w:bookmarkStart w:id="51" w:name="_Toc413749896"/>
      <w:bookmarkStart w:id="52" w:name="_Toc107324703"/>
      <w:bookmarkStart w:id="53" w:name="_Toc233637551"/>
      <w:r w:rsidRPr="00F60EF4">
        <w:rPr>
          <w:lang w:val="en-GB"/>
        </w:rPr>
        <w:t>Available inputs</w:t>
      </w:r>
      <w:bookmarkEnd w:id="51"/>
      <w:bookmarkEnd w:id="52"/>
      <w:bookmarkEnd w:id="53"/>
      <w:r w:rsidRPr="00F60EF4">
        <w:rPr>
          <w:lang w:val="en-GB"/>
        </w:rPr>
        <w:t xml:space="preserve"> </w:t>
      </w:r>
    </w:p>
    <w:p w14:paraId="5E4AC43D" w14:textId="144AA3E6" w:rsidR="00482355" w:rsidRPr="00F60EF4" w:rsidRDefault="00482355" w:rsidP="00482355">
      <w:pPr>
        <w:pStyle w:val="CERbullets"/>
        <w:ind w:left="360" w:hanging="360"/>
      </w:pPr>
      <w:r>
        <w:t xml:space="preserve">Description: used to describe samples </w:t>
      </w:r>
      <w:r w:rsidR="00D2163B">
        <w:t>for</w:t>
      </w:r>
      <w:r>
        <w:t xml:space="preserve"> clear identification and record keeping (e.g. Facility 1 brown coal energy content)</w:t>
      </w:r>
    </w:p>
    <w:p w14:paraId="75573C43" w14:textId="4B4C9D1C" w:rsidR="00482355" w:rsidRPr="00F60EF4" w:rsidRDefault="00482355" w:rsidP="00482355">
      <w:pPr>
        <w:pStyle w:val="CERbullets"/>
        <w:ind w:left="360" w:hanging="360"/>
      </w:pPr>
      <w:r>
        <w:t>Standard deviation</w:t>
      </w:r>
    </w:p>
    <w:p w14:paraId="2EAFC9F5" w14:textId="015C46FF" w:rsidR="00482355" w:rsidRPr="00F60EF4" w:rsidRDefault="00482355" w:rsidP="00482355">
      <w:pPr>
        <w:pStyle w:val="CERbullets"/>
        <w:ind w:left="360" w:hanging="360"/>
      </w:pPr>
      <w:r>
        <w:t>Mean</w:t>
      </w:r>
    </w:p>
    <w:p w14:paraId="28E379F9" w14:textId="46741CAD" w:rsidR="00482355" w:rsidRPr="00F60EF4" w:rsidRDefault="00482355" w:rsidP="00482355">
      <w:pPr>
        <w:pStyle w:val="CERbullets"/>
        <w:ind w:left="360" w:hanging="360"/>
      </w:pPr>
      <w:r>
        <w:t>Count of measurements</w:t>
      </w:r>
    </w:p>
    <w:p w14:paraId="39CB0140" w14:textId="60B0F5CD" w:rsidR="00482355" w:rsidRPr="00F60EF4" w:rsidRDefault="00482355" w:rsidP="00482355">
      <w:pPr>
        <w:pStyle w:val="CERbullets"/>
        <w:ind w:left="360" w:hanging="360"/>
      </w:pPr>
      <w:r>
        <w:lastRenderedPageBreak/>
        <w:t>t-factor (95% confidence interval)</w:t>
      </w:r>
    </w:p>
    <w:p w14:paraId="3BFBCC24" w14:textId="589269FE" w:rsidR="00482355" w:rsidRPr="00F60EF4" w:rsidRDefault="00482355" w:rsidP="00482355">
      <w:pPr>
        <w:pStyle w:val="CERbullets"/>
        <w:ind w:left="360" w:hanging="360"/>
      </w:pPr>
      <w:r>
        <w:t>Uncertainty at a 95% confidence interval</w:t>
      </w:r>
    </w:p>
    <w:p w14:paraId="45D35D64" w14:textId="0A0D115E" w:rsidR="00482355" w:rsidRPr="00F60EF4" w:rsidRDefault="00482355" w:rsidP="00482355">
      <w:pPr>
        <w:pStyle w:val="CERbullets"/>
        <w:ind w:left="360" w:hanging="360"/>
      </w:pPr>
      <w:r>
        <w:t>% uncertainty</w:t>
      </w:r>
    </w:p>
    <w:p w14:paraId="58B296C6" w14:textId="462411C8" w:rsidR="00482355" w:rsidRPr="00F60EF4" w:rsidRDefault="00482355" w:rsidP="00482355">
      <w:pPr>
        <w:pStyle w:val="CERbullets"/>
        <w:ind w:left="360" w:hanging="360"/>
      </w:pPr>
      <w:r>
        <w:t>Measurement Unit: unit in which the samples are measured, for example GJ/t</w:t>
      </w:r>
    </w:p>
    <w:p w14:paraId="325C174D" w14:textId="711ED075" w:rsidR="008926A5" w:rsidRDefault="00482355" w:rsidP="00482355">
      <w:pPr>
        <w:pStyle w:val="CERbullets"/>
        <w:ind w:left="360" w:hanging="360"/>
      </w:pPr>
      <w:r>
        <w:t xml:space="preserve">Measurement: </w:t>
      </w:r>
      <w:r w:rsidR="00CC4130">
        <w:t>used for set</w:t>
      </w:r>
      <w:r w:rsidR="00B13DF5">
        <w:t>s</w:t>
      </w:r>
      <w:r w:rsidR="00CC4130">
        <w:t xml:space="preserve"> of samples </w:t>
      </w:r>
      <w:r w:rsidR="00685906">
        <w:t xml:space="preserve">to </w:t>
      </w:r>
      <w:r w:rsidR="00E165EF">
        <w:t>enter</w:t>
      </w:r>
      <w:r w:rsidR="008926A5">
        <w:t xml:space="preserve"> </w:t>
      </w:r>
      <w:r w:rsidR="00047228">
        <w:t xml:space="preserve">data for </w:t>
      </w:r>
      <w:r w:rsidR="00685906">
        <w:t xml:space="preserve">each </w:t>
      </w:r>
      <w:r w:rsidR="008926A5">
        <w:t xml:space="preserve">individual </w:t>
      </w:r>
      <w:r w:rsidR="00685906">
        <w:t>sample</w:t>
      </w:r>
      <w:r w:rsidR="008926A5">
        <w:t xml:space="preserve"> </w:t>
      </w:r>
    </w:p>
    <w:p w14:paraId="08D56546" w14:textId="1A72D9EB" w:rsidR="00A472EA" w:rsidRDefault="00BC49FF" w:rsidP="00047228">
      <w:pPr>
        <w:pStyle w:val="CERbullets"/>
        <w:numPr>
          <w:ilvl w:val="0"/>
          <w:numId w:val="0"/>
        </w:numPr>
      </w:pPr>
      <w:r>
        <w:t xml:space="preserve">Once the Measurement </w:t>
      </w:r>
      <w:r w:rsidR="001C4F9B">
        <w:t>samples are entered:</w:t>
      </w:r>
    </w:p>
    <w:p w14:paraId="564F14C7" w14:textId="18097659" w:rsidR="00482355" w:rsidRPr="00F60EF4" w:rsidRDefault="001C4F9B" w:rsidP="00047228">
      <w:pPr>
        <w:pStyle w:val="CERbullets"/>
      </w:pPr>
      <w:r>
        <w:t>s</w:t>
      </w:r>
      <w:r w:rsidR="00482355">
        <w:t xml:space="preserve">tandard deviation, mean, count of measurements, t-factor and % uncertainty </w:t>
      </w:r>
      <w:r w:rsidR="00B22716">
        <w:t>will automatically be</w:t>
      </w:r>
      <w:r w:rsidR="00482355">
        <w:t xml:space="preserve"> calculated </w:t>
      </w:r>
    </w:p>
    <w:p w14:paraId="3B2E94A2" w14:textId="2D2B8D49" w:rsidR="00574E44" w:rsidRDefault="002C7739" w:rsidP="00F525B1">
      <w:pPr>
        <w:pStyle w:val="CERbullets"/>
      </w:pPr>
      <w:r>
        <w:t>m</w:t>
      </w:r>
      <w:r w:rsidR="00965CAC">
        <w:t>anually enter t</w:t>
      </w:r>
      <w:r w:rsidR="00482355" w:rsidRPr="00F60EF4">
        <w:t xml:space="preserve">he percentage uncertainty </w:t>
      </w:r>
      <w:r w:rsidR="00965CAC">
        <w:t>in</w:t>
      </w:r>
      <w:r w:rsidR="00482355" w:rsidRPr="00F60EF4">
        <w:t xml:space="preserve"> the </w:t>
      </w:r>
      <w:r w:rsidR="00482355">
        <w:t>‘</w:t>
      </w:r>
      <w:r w:rsidR="00482355" w:rsidRPr="00F60EF4">
        <w:t>Source and fuel</w:t>
      </w:r>
      <w:r w:rsidR="00482355">
        <w:t xml:space="preserve"> input’</w:t>
      </w:r>
      <w:r w:rsidR="00482355" w:rsidRPr="00F60EF4">
        <w:t xml:space="preserve"> worksheet as </w:t>
      </w:r>
      <w:r w:rsidR="1D130C51">
        <w:t>discussed in</w:t>
      </w:r>
      <w:r>
        <w:t xml:space="preserve"> </w:t>
      </w:r>
      <w:r w:rsidR="00AB6708">
        <w:br/>
      </w:r>
      <w:r w:rsidR="00574E44">
        <w:t>(</w:t>
      </w:r>
      <w:hyperlink w:anchor="Step3" w:history="1">
        <w:r w:rsidR="00482355" w:rsidRPr="000A43DC">
          <w:rPr>
            <w:rStyle w:val="Hyperlink"/>
            <w:rFonts w:asciiTheme="minorHAnsi" w:hAnsiTheme="minorHAnsi"/>
          </w:rPr>
          <w:t>Step</w:t>
        </w:r>
        <w:r w:rsidR="00AB6708">
          <w:rPr>
            <w:rStyle w:val="Hyperlink"/>
            <w:rFonts w:asciiTheme="minorHAnsi" w:hAnsiTheme="minorHAnsi"/>
          </w:rPr>
          <w:t xml:space="preserve"> </w:t>
        </w:r>
        <w:r w:rsidR="00482355" w:rsidRPr="000A43DC">
          <w:rPr>
            <w:rStyle w:val="Hyperlink"/>
            <w:rFonts w:asciiTheme="minorHAnsi" w:hAnsiTheme="minorHAnsi"/>
          </w:rPr>
          <w:t>3</w:t>
        </w:r>
      </w:hyperlink>
      <w:r w:rsidR="00482355" w:rsidRPr="00F60EF4">
        <w:t xml:space="preserve"> above</w:t>
      </w:r>
      <w:r w:rsidR="00574E44">
        <w:t>)</w:t>
      </w:r>
    </w:p>
    <w:p w14:paraId="32DCF0E2" w14:textId="7E5C72E3" w:rsidR="00482355" w:rsidRPr="00F60EF4" w:rsidRDefault="002C7739" w:rsidP="00F525B1">
      <w:pPr>
        <w:pStyle w:val="CERbullets"/>
      </w:pPr>
      <w:r>
        <w:t>o</w:t>
      </w:r>
      <w:r w:rsidR="00482355" w:rsidRPr="00F60EF4">
        <w:t xml:space="preserve">ther variables are provided for </w:t>
      </w:r>
      <w:r>
        <w:t xml:space="preserve">the </w:t>
      </w:r>
      <w:r w:rsidR="00482355" w:rsidRPr="00F60EF4">
        <w:t>reporter’s information</w:t>
      </w:r>
      <w:r>
        <w:t>.</w:t>
      </w:r>
    </w:p>
    <w:p w14:paraId="6111D8BA" w14:textId="77777777" w:rsidR="00482355" w:rsidRPr="00F60EF4" w:rsidRDefault="00482355" w:rsidP="004440EF">
      <w:pPr>
        <w:pStyle w:val="Heading4"/>
        <w:rPr>
          <w:lang w:val="en-GB"/>
        </w:rPr>
      </w:pPr>
      <w:bookmarkStart w:id="54" w:name="_Toc413749897"/>
      <w:bookmarkStart w:id="55" w:name="_Toc107324704"/>
      <w:bookmarkStart w:id="56" w:name="_Toc233637552"/>
      <w:r w:rsidRPr="00F60EF4">
        <w:rPr>
          <w:lang w:val="en-GB"/>
        </w:rPr>
        <w:t>How to calculate percentage uncertainty of samples</w:t>
      </w:r>
      <w:bookmarkEnd w:id="54"/>
      <w:bookmarkEnd w:id="55"/>
      <w:bookmarkEnd w:id="56"/>
    </w:p>
    <w:p w14:paraId="04B4547B" w14:textId="77777777" w:rsidR="00482355" w:rsidRPr="00F60EF4" w:rsidRDefault="00482355" w:rsidP="00482355">
      <w:r w:rsidRPr="00F60EF4">
        <w:t>Entering sample data to obtain a percentage uncertainty for the sample set can be done by following the procedures below. An example has been provided (</w:t>
      </w:r>
      <w:r>
        <w:t xml:space="preserve">see </w:t>
      </w:r>
      <w:r w:rsidRPr="00F60EF4">
        <w:t>Figure 9).</w:t>
      </w:r>
    </w:p>
    <w:p w14:paraId="15199E4B" w14:textId="77777777" w:rsidR="00482355" w:rsidRPr="00F60EF4" w:rsidRDefault="00482355" w:rsidP="00F525B1">
      <w:pPr>
        <w:pStyle w:val="CERbullets"/>
        <w:numPr>
          <w:ilvl w:val="0"/>
          <w:numId w:val="38"/>
        </w:numPr>
      </w:pPr>
      <w:r>
        <w:t>Under reference number 1, enter the description of the fuel source, for example facility 1 anthracite energy content.</w:t>
      </w:r>
    </w:p>
    <w:p w14:paraId="12DA7226" w14:textId="77777777" w:rsidR="00482355" w:rsidRPr="00F60EF4" w:rsidRDefault="00482355" w:rsidP="00F525B1">
      <w:pPr>
        <w:pStyle w:val="CERbullets"/>
        <w:numPr>
          <w:ilvl w:val="0"/>
          <w:numId w:val="38"/>
        </w:numPr>
      </w:pPr>
      <w:r>
        <w:t>In the same column, enter the measurement unit used, for example GJ/t.</w:t>
      </w:r>
    </w:p>
    <w:p w14:paraId="6159D98B" w14:textId="59F745F2" w:rsidR="00482355" w:rsidRPr="00F60EF4" w:rsidRDefault="00482355" w:rsidP="00F525B1">
      <w:pPr>
        <w:pStyle w:val="CERbullets"/>
        <w:numPr>
          <w:ilvl w:val="0"/>
          <w:numId w:val="38"/>
        </w:numPr>
      </w:pPr>
      <w:r>
        <w:t>In the same column, enter measurement results with one value per cell, starting at measurement 1 and progressing downwards, for example 27.0, 28.2, 29.3, etc. Enter numerical data only. Do not enter the measurement unit in these cells.</w:t>
      </w:r>
    </w:p>
    <w:p w14:paraId="4EFB9D1C" w14:textId="77777777" w:rsidR="00482355" w:rsidRPr="00F60EF4" w:rsidRDefault="00482355" w:rsidP="00F525B1">
      <w:pPr>
        <w:pStyle w:val="CERbullets"/>
        <w:numPr>
          <w:ilvl w:val="0"/>
          <w:numId w:val="38"/>
        </w:numPr>
      </w:pPr>
      <w:r>
        <w:t>Repeat these steps for all remaining sample sets of data.</w:t>
      </w:r>
    </w:p>
    <w:p w14:paraId="25C71F6E" w14:textId="77777777" w:rsidR="00482355" w:rsidRPr="00F60EF4" w:rsidRDefault="00482355" w:rsidP="00482355">
      <w:pPr>
        <w:pStyle w:val="CERbullets"/>
        <w:numPr>
          <w:ilvl w:val="0"/>
          <w:numId w:val="0"/>
        </w:numPr>
        <w:ind w:left="357" w:hanging="357"/>
      </w:pPr>
    </w:p>
    <w:p w14:paraId="630D73C9" w14:textId="77777777" w:rsidR="00482355" w:rsidRDefault="00482355" w:rsidP="00482355">
      <w:pPr>
        <w:spacing w:after="0"/>
        <w:rPr>
          <w:rFonts w:eastAsia="Times New Roman"/>
          <w:b/>
          <w:bCs/>
          <w:color w:val="005874"/>
          <w:kern w:val="32"/>
          <w:sz w:val="40"/>
        </w:rPr>
      </w:pPr>
      <w:bookmarkStart w:id="57" w:name="_Toc413749898"/>
      <w:r>
        <w:br w:type="page"/>
      </w:r>
    </w:p>
    <w:p w14:paraId="161FC209" w14:textId="77777777" w:rsidR="00482355" w:rsidRPr="00F60EF4" w:rsidRDefault="00482355" w:rsidP="00482355">
      <w:pPr>
        <w:pStyle w:val="Heading1"/>
        <w:rPr>
          <w:lang w:val="en-GB"/>
        </w:rPr>
      </w:pPr>
      <w:bookmarkStart w:id="58" w:name="_Toc107324705"/>
      <w:bookmarkStart w:id="59" w:name="_Toc233637553"/>
      <w:r w:rsidRPr="00F60EF4">
        <w:rPr>
          <w:lang w:val="en-GB"/>
        </w:rPr>
        <w:lastRenderedPageBreak/>
        <w:t>Uncertainty reporting process</w:t>
      </w:r>
      <w:bookmarkEnd w:id="57"/>
      <w:bookmarkEnd w:id="58"/>
      <w:bookmarkEnd w:id="59"/>
    </w:p>
    <w:p w14:paraId="5B6388D8" w14:textId="4F498137" w:rsidR="00482355" w:rsidRPr="00F60EF4" w:rsidRDefault="00482355" w:rsidP="00482355">
      <w:pPr>
        <w:pStyle w:val="Heading2"/>
      </w:pPr>
      <w:bookmarkStart w:id="60" w:name="_Toc413749899"/>
      <w:bookmarkStart w:id="61" w:name="_Toc107324706"/>
      <w:bookmarkStart w:id="62" w:name="_Toc233637554"/>
      <w:r w:rsidRPr="00F60EF4">
        <w:t>Reporting uncertainty in EERS</w:t>
      </w:r>
      <w:bookmarkEnd w:id="60"/>
      <w:bookmarkEnd w:id="61"/>
      <w:bookmarkEnd w:id="62"/>
    </w:p>
    <w:p w14:paraId="7796C249" w14:textId="11A3A636" w:rsidR="00482355" w:rsidRPr="00F60EF4" w:rsidRDefault="00F5495C" w:rsidP="00790404">
      <w:r>
        <w:t xml:space="preserve">For instructions in how to report uncertainty in the Emissions and Energy Reporting System, see the </w:t>
      </w:r>
      <w:hyperlink r:id="rId43" w:tooltip="A link to the EERS navigation guide on the Clean Energy Regulator webpage" w:history="1">
        <w:r w:rsidRPr="004E510D">
          <w:rPr>
            <w:rStyle w:val="Hyperlink"/>
            <w:rFonts w:asciiTheme="minorHAnsi" w:hAnsiTheme="minorHAnsi"/>
          </w:rPr>
          <w:t>EERS Navigation Guide</w:t>
        </w:r>
      </w:hyperlink>
      <w:r w:rsidR="004E510D">
        <w:rPr>
          <w:rStyle w:val="FootnoteReference"/>
        </w:rPr>
        <w:footnoteReference w:id="15"/>
      </w:r>
      <w:r>
        <w:t>.</w:t>
      </w:r>
    </w:p>
    <w:p w14:paraId="6DA86B52" w14:textId="77777777" w:rsidR="00482355" w:rsidRPr="00F60EF4" w:rsidRDefault="00482355" w:rsidP="003931AB">
      <w:pPr>
        <w:pStyle w:val="Heading3"/>
      </w:pPr>
      <w:bookmarkStart w:id="63" w:name="_Toc413749900"/>
      <w:bookmarkStart w:id="64" w:name="_Toc107324707"/>
      <w:bookmarkStart w:id="65" w:name="_Toc233637555"/>
      <w:r w:rsidRPr="00F60EF4">
        <w:t>Special cases: Emissions from entities that are not common ‘facilities’</w:t>
      </w:r>
      <w:bookmarkEnd w:id="63"/>
      <w:bookmarkEnd w:id="64"/>
      <w:bookmarkEnd w:id="65"/>
    </w:p>
    <w:p w14:paraId="36AA9635" w14:textId="0F27243C" w:rsidR="00EB4696" w:rsidRDefault="00EB4696" w:rsidP="00DD7B33">
      <w:pPr>
        <w:rPr>
          <w:b/>
          <w:bCs/>
        </w:rPr>
      </w:pPr>
      <w:bookmarkStart w:id="66" w:name="_Toc413749901"/>
      <w:bookmarkStart w:id="67" w:name="_Toc107324708"/>
      <w:r>
        <w:t xml:space="preserve">For more information on </w:t>
      </w:r>
      <w:r w:rsidR="00B401AD">
        <w:t xml:space="preserve">reporting uncertainty for uncommon facility types see the </w:t>
      </w:r>
      <w:hyperlink r:id="rId44" w:history="1">
        <w:r w:rsidR="00CD331D" w:rsidRPr="00DE02DE">
          <w:rPr>
            <w:rStyle w:val="Hyperlink"/>
            <w:rFonts w:asciiTheme="minorHAnsi" w:hAnsiTheme="minorHAnsi"/>
          </w:rPr>
          <w:t>R</w:t>
        </w:r>
        <w:r w:rsidR="00B401AD" w:rsidRPr="00DE02DE">
          <w:rPr>
            <w:rStyle w:val="Hyperlink"/>
            <w:rFonts w:asciiTheme="minorHAnsi" w:hAnsiTheme="minorHAnsi"/>
          </w:rPr>
          <w:t>eporting uncertainty guideline</w:t>
        </w:r>
      </w:hyperlink>
      <w:r w:rsidR="00DE02DE">
        <w:rPr>
          <w:rStyle w:val="FootnoteReference"/>
        </w:rPr>
        <w:footnoteReference w:id="16"/>
      </w:r>
      <w:r w:rsidR="00B401AD">
        <w:t>.</w:t>
      </w:r>
    </w:p>
    <w:p w14:paraId="4ECD26DC" w14:textId="77777777" w:rsidR="00482355" w:rsidRPr="00F60EF4" w:rsidRDefault="00482355" w:rsidP="00482355">
      <w:pPr>
        <w:pStyle w:val="Heading2"/>
      </w:pPr>
      <w:bookmarkStart w:id="68" w:name="_Toc413749904"/>
      <w:bookmarkStart w:id="69" w:name="_Toc107324710"/>
      <w:bookmarkStart w:id="70" w:name="_Toc233637556"/>
      <w:bookmarkEnd w:id="66"/>
      <w:bookmarkEnd w:id="67"/>
      <w:r w:rsidRPr="00F60EF4">
        <w:t>Calculating uncertainty: Industrial process sources using method 1</w:t>
      </w:r>
      <w:bookmarkEnd w:id="68"/>
      <w:bookmarkEnd w:id="69"/>
      <w:bookmarkEnd w:id="70"/>
    </w:p>
    <w:p w14:paraId="2F5899EB" w14:textId="77777777" w:rsidR="00482355" w:rsidRDefault="00482355" w:rsidP="00482355">
      <w:r>
        <w:t xml:space="preserve">The table below </w:t>
      </w:r>
      <w:r w:rsidRPr="00F60EF4">
        <w:t xml:space="preserve">specifies industrial process sources that do not have default uncertainty values in the </w:t>
      </w:r>
      <w:r>
        <w:t xml:space="preserve">Measurement </w:t>
      </w:r>
      <w:r w:rsidRPr="00F60EF4">
        <w:t>Determination. If emissions from these sources involve the combustion of a fuel, then default fuel combustion uncertainty factors may be used for emissions attributable to each fuel. Otherwise, the uncertainty must be calculated in accordance with the Uncertainty Protocol.</w:t>
      </w:r>
    </w:p>
    <w:tbl>
      <w:tblPr>
        <w:tblStyle w:val="CERTable"/>
        <w:tblW w:w="0" w:type="auto"/>
        <w:tblLook w:val="0420" w:firstRow="1" w:lastRow="0" w:firstColumn="0" w:lastColumn="0" w:noHBand="0" w:noVBand="1"/>
      </w:tblPr>
      <w:tblGrid>
        <w:gridCol w:w="9730"/>
      </w:tblGrid>
      <w:tr w:rsidR="00482355" w:rsidRPr="00964024" w14:paraId="5865B082" w14:textId="77777777" w:rsidTr="00E8597D">
        <w:trPr>
          <w:cnfStyle w:val="100000000000" w:firstRow="1" w:lastRow="0" w:firstColumn="0" w:lastColumn="0" w:oddVBand="0" w:evenVBand="0" w:oddHBand="0" w:evenHBand="0" w:firstRowFirstColumn="0" w:firstRowLastColumn="0" w:lastRowFirstColumn="0" w:lastRowLastColumn="0"/>
        </w:trPr>
        <w:tc>
          <w:tcPr>
            <w:tcW w:w="9730" w:type="dxa"/>
          </w:tcPr>
          <w:p w14:paraId="75159799" w14:textId="77777777" w:rsidR="00482355" w:rsidRPr="00964024" w:rsidRDefault="00482355" w:rsidP="00E8597D">
            <w:r w:rsidRPr="00964024">
              <w:t>Source</w:t>
            </w:r>
          </w:p>
        </w:tc>
      </w:tr>
      <w:tr w:rsidR="00482355" w:rsidRPr="00964024" w14:paraId="0CD772FD" w14:textId="77777777" w:rsidTr="00E8597D">
        <w:trPr>
          <w:cnfStyle w:val="000000100000" w:firstRow="0" w:lastRow="0" w:firstColumn="0" w:lastColumn="0" w:oddVBand="0" w:evenVBand="0" w:oddHBand="1" w:evenHBand="0" w:firstRowFirstColumn="0" w:firstRowLastColumn="0" w:lastRowFirstColumn="0" w:lastRowLastColumn="0"/>
        </w:trPr>
        <w:tc>
          <w:tcPr>
            <w:tcW w:w="9730" w:type="dxa"/>
          </w:tcPr>
          <w:p w14:paraId="503142AB" w14:textId="77777777" w:rsidR="00482355" w:rsidRPr="00964024" w:rsidRDefault="00482355" w:rsidP="00E8597D">
            <w:r w:rsidRPr="00964024">
              <w:t>Sodium cyanide production</w:t>
            </w:r>
          </w:p>
        </w:tc>
      </w:tr>
      <w:tr w:rsidR="00482355" w:rsidRPr="00964024" w14:paraId="3491D672" w14:textId="77777777" w:rsidTr="00E8597D">
        <w:trPr>
          <w:cnfStyle w:val="000000010000" w:firstRow="0" w:lastRow="0" w:firstColumn="0" w:lastColumn="0" w:oddVBand="0" w:evenVBand="0" w:oddHBand="0" w:evenHBand="1" w:firstRowFirstColumn="0" w:firstRowLastColumn="0" w:lastRowFirstColumn="0" w:lastRowLastColumn="0"/>
        </w:trPr>
        <w:tc>
          <w:tcPr>
            <w:tcW w:w="9730" w:type="dxa"/>
          </w:tcPr>
          <w:p w14:paraId="406317B8" w14:textId="77777777" w:rsidR="00482355" w:rsidRPr="00964024" w:rsidRDefault="00482355" w:rsidP="00E8597D">
            <w:r w:rsidRPr="00964024">
              <w:t>Soda ash production</w:t>
            </w:r>
          </w:p>
        </w:tc>
      </w:tr>
      <w:tr w:rsidR="00482355" w:rsidRPr="00964024" w14:paraId="7F7704BC" w14:textId="77777777" w:rsidTr="00E8597D">
        <w:trPr>
          <w:cnfStyle w:val="000000100000" w:firstRow="0" w:lastRow="0" w:firstColumn="0" w:lastColumn="0" w:oddVBand="0" w:evenVBand="0" w:oddHBand="1" w:evenHBand="0" w:firstRowFirstColumn="0" w:firstRowLastColumn="0" w:lastRowFirstColumn="0" w:lastRowLastColumn="0"/>
        </w:trPr>
        <w:tc>
          <w:tcPr>
            <w:tcW w:w="9730" w:type="dxa"/>
          </w:tcPr>
          <w:p w14:paraId="59DC9CC5" w14:textId="77777777" w:rsidR="00482355" w:rsidRPr="00964024" w:rsidRDefault="00482355" w:rsidP="00E8597D">
            <w:r w:rsidRPr="00964024">
              <w:t>Ammonia production</w:t>
            </w:r>
          </w:p>
        </w:tc>
      </w:tr>
      <w:tr w:rsidR="003B70C1" w:rsidRPr="00964024" w14:paraId="0325E123" w14:textId="77777777" w:rsidTr="00E8597D">
        <w:trPr>
          <w:cnfStyle w:val="000000010000" w:firstRow="0" w:lastRow="0" w:firstColumn="0" w:lastColumn="0" w:oddVBand="0" w:evenVBand="0" w:oddHBand="0" w:evenHBand="1" w:firstRowFirstColumn="0" w:firstRowLastColumn="0" w:lastRowFirstColumn="0" w:lastRowLastColumn="0"/>
        </w:trPr>
        <w:tc>
          <w:tcPr>
            <w:tcW w:w="9730" w:type="dxa"/>
          </w:tcPr>
          <w:p w14:paraId="5BC3D742" w14:textId="4E3CDC9A" w:rsidR="003B70C1" w:rsidRPr="00964024" w:rsidRDefault="003B70C1" w:rsidP="00E8597D">
            <w:r>
              <w:t>Hydrogen production</w:t>
            </w:r>
          </w:p>
        </w:tc>
      </w:tr>
      <w:tr w:rsidR="00482355" w:rsidRPr="00964024" w14:paraId="01D57957" w14:textId="77777777" w:rsidTr="00E8597D">
        <w:trPr>
          <w:cnfStyle w:val="000000100000" w:firstRow="0" w:lastRow="0" w:firstColumn="0" w:lastColumn="0" w:oddVBand="0" w:evenVBand="0" w:oddHBand="1" w:evenHBand="0" w:firstRowFirstColumn="0" w:firstRowLastColumn="0" w:lastRowFirstColumn="0" w:lastRowLastColumn="0"/>
        </w:trPr>
        <w:tc>
          <w:tcPr>
            <w:tcW w:w="9730" w:type="dxa"/>
          </w:tcPr>
          <w:p w14:paraId="13FD91F7" w14:textId="77777777" w:rsidR="00482355" w:rsidRPr="00964024" w:rsidRDefault="00482355" w:rsidP="00E8597D">
            <w:r w:rsidRPr="00964024">
              <w:t>Carbide production</w:t>
            </w:r>
          </w:p>
        </w:tc>
      </w:tr>
      <w:tr w:rsidR="00482355" w:rsidRPr="00964024" w14:paraId="177700A9" w14:textId="77777777" w:rsidTr="00E8597D">
        <w:trPr>
          <w:cnfStyle w:val="000000010000" w:firstRow="0" w:lastRow="0" w:firstColumn="0" w:lastColumn="0" w:oddVBand="0" w:evenVBand="0" w:oddHBand="0" w:evenHBand="1" w:firstRowFirstColumn="0" w:firstRowLastColumn="0" w:lastRowFirstColumn="0" w:lastRowLastColumn="0"/>
        </w:trPr>
        <w:tc>
          <w:tcPr>
            <w:tcW w:w="9730" w:type="dxa"/>
          </w:tcPr>
          <w:p w14:paraId="759CB274" w14:textId="77777777" w:rsidR="00482355" w:rsidRPr="00964024" w:rsidRDefault="00482355" w:rsidP="00E8597D">
            <w:r w:rsidRPr="00964024">
              <w:t>Chemical or mineral production (other than carbide production) using a carbon reductant or carbon anode</w:t>
            </w:r>
          </w:p>
        </w:tc>
      </w:tr>
      <w:tr w:rsidR="00482355" w:rsidRPr="00964024" w14:paraId="649C2752" w14:textId="77777777" w:rsidTr="00E8597D">
        <w:trPr>
          <w:cnfStyle w:val="000000100000" w:firstRow="0" w:lastRow="0" w:firstColumn="0" w:lastColumn="0" w:oddVBand="0" w:evenVBand="0" w:oddHBand="1" w:evenHBand="0" w:firstRowFirstColumn="0" w:firstRowLastColumn="0" w:lastRowFirstColumn="0" w:lastRowLastColumn="0"/>
        </w:trPr>
        <w:tc>
          <w:tcPr>
            <w:tcW w:w="9730" w:type="dxa"/>
          </w:tcPr>
          <w:p w14:paraId="4B6108D1" w14:textId="77777777" w:rsidR="00482355" w:rsidRPr="00964024" w:rsidRDefault="00482355" w:rsidP="00E8597D">
            <w:r w:rsidRPr="00964024">
              <w:t xml:space="preserve">Iron, steel or other metal production using an </w:t>
            </w:r>
            <w:proofErr w:type="gramStart"/>
            <w:r w:rsidRPr="00964024">
              <w:t>integrated metalworks</w:t>
            </w:r>
            <w:proofErr w:type="gramEnd"/>
          </w:p>
        </w:tc>
      </w:tr>
      <w:tr w:rsidR="00482355" w:rsidRPr="00964024" w14:paraId="0FFDBB3B" w14:textId="77777777" w:rsidTr="00E8597D">
        <w:trPr>
          <w:cnfStyle w:val="000000010000" w:firstRow="0" w:lastRow="0" w:firstColumn="0" w:lastColumn="0" w:oddVBand="0" w:evenVBand="0" w:oddHBand="0" w:evenHBand="1" w:firstRowFirstColumn="0" w:firstRowLastColumn="0" w:lastRowFirstColumn="0" w:lastRowLastColumn="0"/>
        </w:trPr>
        <w:tc>
          <w:tcPr>
            <w:tcW w:w="9730" w:type="dxa"/>
          </w:tcPr>
          <w:p w14:paraId="559D561F" w14:textId="77777777" w:rsidR="00482355" w:rsidRPr="00964024" w:rsidRDefault="00482355" w:rsidP="00E8597D">
            <w:r w:rsidRPr="00964024">
              <w:t>Ferroalloys production</w:t>
            </w:r>
          </w:p>
        </w:tc>
      </w:tr>
      <w:tr w:rsidR="00482355" w:rsidRPr="00964024" w14:paraId="0C2FE106" w14:textId="77777777" w:rsidTr="00E8597D">
        <w:trPr>
          <w:cnfStyle w:val="000000100000" w:firstRow="0" w:lastRow="0" w:firstColumn="0" w:lastColumn="0" w:oddVBand="0" w:evenVBand="0" w:oddHBand="1" w:evenHBand="0" w:firstRowFirstColumn="0" w:firstRowLastColumn="0" w:lastRowFirstColumn="0" w:lastRowLastColumn="0"/>
        </w:trPr>
        <w:tc>
          <w:tcPr>
            <w:tcW w:w="9730" w:type="dxa"/>
          </w:tcPr>
          <w:p w14:paraId="1404835A" w14:textId="77777777" w:rsidR="00482355" w:rsidRPr="00964024" w:rsidRDefault="00482355" w:rsidP="00E8597D">
            <w:r w:rsidRPr="00964024">
              <w:t xml:space="preserve">Aluminium production (where activity </w:t>
            </w:r>
            <w:r>
              <w:t>relates to</w:t>
            </w:r>
            <w:r w:rsidRPr="00964024">
              <w:t xml:space="preserve"> emissions from the production of baked carbon anodes)</w:t>
            </w:r>
          </w:p>
        </w:tc>
      </w:tr>
      <w:tr w:rsidR="00482355" w:rsidRPr="00964024" w14:paraId="401C1EB3" w14:textId="77777777" w:rsidTr="00E8597D">
        <w:trPr>
          <w:cnfStyle w:val="000000010000" w:firstRow="0" w:lastRow="0" w:firstColumn="0" w:lastColumn="0" w:oddVBand="0" w:evenVBand="0" w:oddHBand="0" w:evenHBand="1" w:firstRowFirstColumn="0" w:firstRowLastColumn="0" w:lastRowFirstColumn="0" w:lastRowLastColumn="0"/>
        </w:trPr>
        <w:tc>
          <w:tcPr>
            <w:tcW w:w="9730" w:type="dxa"/>
          </w:tcPr>
          <w:p w14:paraId="23D8680A" w14:textId="77777777" w:rsidR="00482355" w:rsidRPr="00964024" w:rsidRDefault="00482355" w:rsidP="00E8597D">
            <w:r w:rsidRPr="00964024">
              <w:t>Other metals production</w:t>
            </w:r>
          </w:p>
        </w:tc>
      </w:tr>
    </w:tbl>
    <w:p w14:paraId="6272227C" w14:textId="1FD850BD" w:rsidR="00482355" w:rsidRPr="00F60EF4" w:rsidRDefault="00482355" w:rsidP="00482355">
      <w:pPr>
        <w:pStyle w:val="Heading2"/>
      </w:pPr>
      <w:bookmarkStart w:id="71" w:name="_Toc413749905"/>
      <w:bookmarkStart w:id="72" w:name="_Toc107324712"/>
      <w:bookmarkStart w:id="73" w:name="_Toc233637557"/>
      <w:r w:rsidRPr="00F60EF4">
        <w:lastRenderedPageBreak/>
        <w:t>Calculating uncertainty for carbon mass balance equations using</w:t>
      </w:r>
      <w:r w:rsidR="00AD25CB">
        <w:t xml:space="preserve"> </w:t>
      </w:r>
      <w:r w:rsidR="009B538D">
        <w:t>M</w:t>
      </w:r>
      <w:r w:rsidRPr="00F60EF4">
        <w:t>ethod</w:t>
      </w:r>
      <w:r w:rsidR="00AD25CB">
        <w:t> </w:t>
      </w:r>
      <w:r w:rsidRPr="00F60EF4">
        <w:t>1</w:t>
      </w:r>
      <w:bookmarkEnd w:id="71"/>
      <w:bookmarkEnd w:id="72"/>
      <w:bookmarkEnd w:id="73"/>
    </w:p>
    <w:p w14:paraId="4FA1D759" w14:textId="77777777" w:rsidR="00482355" w:rsidRPr="00F60EF4" w:rsidRDefault="00482355" w:rsidP="00482355">
      <w:r w:rsidRPr="00F60EF4">
        <w:t xml:space="preserve">The </w:t>
      </w:r>
      <w:r>
        <w:t xml:space="preserve">Measurement </w:t>
      </w:r>
      <w:r w:rsidRPr="00F60EF4">
        <w:t>Determination provides methods based on a carbon mass balance approach for estimating scope 1 emissions from sources:</w:t>
      </w:r>
    </w:p>
    <w:p w14:paraId="0ECF452E" w14:textId="77777777" w:rsidR="00482355" w:rsidRPr="00F60EF4" w:rsidRDefault="00482355" w:rsidP="00482355">
      <w:pPr>
        <w:pStyle w:val="CERbullets"/>
        <w:ind w:left="360" w:hanging="360"/>
      </w:pPr>
      <w:r>
        <w:t>which have multiple carbon inputs and outputs</w:t>
      </w:r>
    </w:p>
    <w:p w14:paraId="409DB301" w14:textId="5F590543" w:rsidR="00482355" w:rsidRPr="00F60EF4" w:rsidRDefault="00482355" w:rsidP="00482355">
      <w:pPr>
        <w:pStyle w:val="CERbullets"/>
        <w:ind w:left="360" w:hanging="360"/>
      </w:pPr>
      <w:r>
        <w:t xml:space="preserve">where the integrated nature of a facility means that the emissions estimate for the process </w:t>
      </w:r>
      <w:r w:rsidR="00460A32">
        <w:t>is</w:t>
      </w:r>
      <w:r>
        <w:t xml:space="preserve"> more accurate than estimates of emissions from different aspects of the process. </w:t>
      </w:r>
    </w:p>
    <w:p w14:paraId="7CE8F72A" w14:textId="77777777" w:rsidR="00482355" w:rsidRPr="00F60EF4" w:rsidRDefault="00482355" w:rsidP="00482355">
      <w:r w:rsidRPr="00F60EF4">
        <w:t>A carbon mass balance approach is provided for estimating emission from some activities under the following industrial process sources:</w:t>
      </w:r>
    </w:p>
    <w:p w14:paraId="105F033E" w14:textId="4A931B61" w:rsidR="00482355" w:rsidRPr="00F60EF4" w:rsidRDefault="00482355" w:rsidP="00482355">
      <w:pPr>
        <w:pStyle w:val="CERbullets"/>
        <w:ind w:left="360" w:hanging="360"/>
      </w:pPr>
      <w:r>
        <w:t xml:space="preserve">Division 4.2.3 – Use of carbonates for production of a product other than cement clinker, </w:t>
      </w:r>
      <w:r w:rsidR="00460A32">
        <w:t>lime,</w:t>
      </w:r>
      <w:r>
        <w:t xml:space="preserve"> or soda ash (limited use)</w:t>
      </w:r>
    </w:p>
    <w:p w14:paraId="280C141A" w14:textId="088E377A" w:rsidR="00482355" w:rsidRPr="00F60EF4" w:rsidRDefault="00482355" w:rsidP="00482355">
      <w:pPr>
        <w:pStyle w:val="CERbullets"/>
        <w:ind w:left="360" w:hanging="360"/>
      </w:pPr>
      <w:r>
        <w:t>Division 4.2.4 - Soda ash use and production</w:t>
      </w:r>
    </w:p>
    <w:p w14:paraId="726BF439" w14:textId="52F2F1A0" w:rsidR="00482355" w:rsidRPr="00F60EF4" w:rsidRDefault="00482355" w:rsidP="00482355">
      <w:pPr>
        <w:pStyle w:val="CERbullets"/>
        <w:ind w:left="360" w:hanging="360"/>
      </w:pPr>
      <w:r>
        <w:t>Division 4.3.5 – Chemical or mineral production, other than carbide production, using a carbon reductant or carbon anode</w:t>
      </w:r>
    </w:p>
    <w:p w14:paraId="32851330" w14:textId="4D2C6AB4" w:rsidR="00482355" w:rsidRPr="00F60EF4" w:rsidRDefault="00482355" w:rsidP="00482355">
      <w:pPr>
        <w:pStyle w:val="CERbullets"/>
        <w:ind w:left="360" w:hanging="360"/>
      </w:pPr>
      <w:r>
        <w:t xml:space="preserve">Division 4.4.1 – Iron, steel or other metal production using an </w:t>
      </w:r>
      <w:proofErr w:type="gramStart"/>
      <w:r>
        <w:t>integrated metalworks</w:t>
      </w:r>
      <w:proofErr w:type="gramEnd"/>
    </w:p>
    <w:p w14:paraId="363DE23E" w14:textId="3C066497" w:rsidR="00482355" w:rsidRPr="00F60EF4" w:rsidRDefault="00482355" w:rsidP="00482355">
      <w:pPr>
        <w:pStyle w:val="CERbullets"/>
        <w:ind w:left="360" w:hanging="360"/>
      </w:pPr>
      <w:r>
        <w:t>Division 4.4.2 – Ferroalloys production</w:t>
      </w:r>
    </w:p>
    <w:p w14:paraId="7F1D3B23" w14:textId="77777777" w:rsidR="00482355" w:rsidRPr="00F60EF4" w:rsidRDefault="00482355" w:rsidP="00482355">
      <w:pPr>
        <w:pStyle w:val="CERbullets"/>
        <w:ind w:left="360" w:hanging="360"/>
      </w:pPr>
      <w:r>
        <w:t>Division 4.4.5 – Other metals production.</w:t>
      </w:r>
    </w:p>
    <w:p w14:paraId="1F72AD05" w14:textId="77777777" w:rsidR="00482355" w:rsidRPr="00F60EF4" w:rsidRDefault="00482355" w:rsidP="00482355">
      <w:r w:rsidRPr="00F60EF4">
        <w:t xml:space="preserve">The rules in the </w:t>
      </w:r>
      <w:r>
        <w:t xml:space="preserve">Measurement </w:t>
      </w:r>
      <w:r w:rsidRPr="00F60EF4">
        <w:t>Determination for assessing the uncertainty of emissions estimates using me</w:t>
      </w:r>
      <w:r>
        <w:t>thod 1, 2 or 3 are part of the u</w:t>
      </w:r>
      <w:r w:rsidRPr="00F60EF4">
        <w:t xml:space="preserve">ncertainty associated with estimating based on </w:t>
      </w:r>
      <w:proofErr w:type="gramStart"/>
      <w:r w:rsidRPr="00F60EF4">
        <w:t>a number of</w:t>
      </w:r>
      <w:proofErr w:type="gramEnd"/>
      <w:r w:rsidRPr="00F60EF4">
        <w:t xml:space="preserve"> parameters, including the energy content factor, emissions factor and/or activity data. </w:t>
      </w:r>
    </w:p>
    <w:p w14:paraId="0D6463AC" w14:textId="77777777" w:rsidR="00482355" w:rsidRPr="00F60EF4" w:rsidRDefault="00482355" w:rsidP="00482355">
      <w:r w:rsidRPr="00F60EF4">
        <w:t xml:space="preserve">Part 8.3 of the </w:t>
      </w:r>
      <w:r>
        <w:t xml:space="preserve">Measurement </w:t>
      </w:r>
      <w:r w:rsidRPr="00F60EF4">
        <w:t xml:space="preserve">Determination does not set out default values for assessing the uncertainty of emissions estimates using a method based on a carbon mass balance approach, which is a function of uncertainty associated with carbon content factors and activity data. </w:t>
      </w:r>
    </w:p>
    <w:p w14:paraId="5F508291" w14:textId="77777777" w:rsidR="00482355" w:rsidRPr="00F60EF4" w:rsidRDefault="00482355" w:rsidP="00482355">
      <w:r w:rsidRPr="00F60EF4">
        <w:t>Given this, it is reasonable for reporters to assess uncertainty of emissions estimates using a carbon mass balance approach in accordance with the uncertainty protocol</w:t>
      </w:r>
      <w:r>
        <w:t>.</w:t>
      </w:r>
    </w:p>
    <w:p w14:paraId="2EADE0A6" w14:textId="2D0866E3" w:rsidR="00482355" w:rsidRPr="00F60EF4" w:rsidRDefault="00482355" w:rsidP="00482355">
      <w:r>
        <w:t>Part 7 of the Uncertainty P</w:t>
      </w:r>
      <w:r w:rsidRPr="00F60EF4">
        <w:t xml:space="preserve">rotocol recommends </w:t>
      </w:r>
      <w:r w:rsidR="002C5234">
        <w:t>4</w:t>
      </w:r>
      <w:r w:rsidR="002C5234" w:rsidRPr="00F60EF4">
        <w:t xml:space="preserve"> </w:t>
      </w:r>
      <w:r w:rsidRPr="00F60EF4">
        <w:t>ways to quantify uncertainty ranges for indirectly measured emissions:</w:t>
      </w:r>
    </w:p>
    <w:p w14:paraId="5F901054" w14:textId="4C450D9F" w:rsidR="00482355" w:rsidRPr="00F60EF4" w:rsidRDefault="00F50B0E" w:rsidP="00F525B1">
      <w:pPr>
        <w:pStyle w:val="CERnumbering"/>
        <w:numPr>
          <w:ilvl w:val="0"/>
          <w:numId w:val="36"/>
        </w:numPr>
      </w:pPr>
      <w:r>
        <w:t>R</w:t>
      </w:r>
      <w:r w:rsidR="00482355">
        <w:t xml:space="preserve">un statistical tests on one or several sets of sample data – for example, by the method explained in section 6.2 of the </w:t>
      </w:r>
      <w:r w:rsidR="00A162CC">
        <w:t xml:space="preserve">Uncertainty </w:t>
      </w:r>
      <w:r w:rsidR="00482355">
        <w:t>Protocol</w:t>
      </w:r>
      <w:r>
        <w:t>.</w:t>
      </w:r>
      <w:r w:rsidR="00482355">
        <w:t xml:space="preserve"> </w:t>
      </w:r>
    </w:p>
    <w:p w14:paraId="34CF400E" w14:textId="71D27C9D" w:rsidR="00482355" w:rsidRPr="00F60EF4" w:rsidRDefault="00F50B0E" w:rsidP="00F525B1">
      <w:pPr>
        <w:pStyle w:val="CERnumbering"/>
        <w:numPr>
          <w:ilvl w:val="0"/>
          <w:numId w:val="36"/>
        </w:numPr>
      </w:pPr>
      <w:r>
        <w:t>D</w:t>
      </w:r>
      <w:r w:rsidR="00482355">
        <w:t>etermine the instrument precision of any measurement equipment used, especially for activity data</w:t>
      </w:r>
      <w:r>
        <w:t>.</w:t>
      </w:r>
      <w:r w:rsidR="00482355">
        <w:t xml:space="preserve"> </w:t>
      </w:r>
    </w:p>
    <w:p w14:paraId="0DD93540" w14:textId="07B07FB8" w:rsidR="00482355" w:rsidRPr="00F60EF4" w:rsidRDefault="00F50B0E" w:rsidP="00F525B1">
      <w:pPr>
        <w:pStyle w:val="CERnumbering"/>
        <w:numPr>
          <w:ilvl w:val="0"/>
          <w:numId w:val="36"/>
        </w:numPr>
      </w:pPr>
      <w:r>
        <w:t>C</w:t>
      </w:r>
      <w:r w:rsidR="00482355">
        <w:t>onsult experts within the company to give an estimation of the uncertainty range of the data used as explained in Section 6.1 of the Uncertainty Protocol</w:t>
      </w:r>
      <w:r>
        <w:t>.</w:t>
      </w:r>
    </w:p>
    <w:p w14:paraId="60DC9BC2" w14:textId="4F161F19" w:rsidR="00482355" w:rsidRPr="00F60EF4" w:rsidRDefault="00F50B0E" w:rsidP="00F525B1">
      <w:pPr>
        <w:pStyle w:val="CERnumbering"/>
        <w:numPr>
          <w:ilvl w:val="0"/>
          <w:numId w:val="36"/>
        </w:numPr>
      </w:pPr>
      <w:r>
        <w:t>U</w:t>
      </w:r>
      <w:r w:rsidR="00482355">
        <w:t>se third-hand uncertainty ranges – for example, the Intergovernmental Panel on Climate Change (IPCC) data provided in the second worksheet of the uncertainty tool)</w:t>
      </w:r>
      <w:r w:rsidR="007F1FF1">
        <w:t>.</w:t>
      </w:r>
    </w:p>
    <w:p w14:paraId="0A505492" w14:textId="77777777" w:rsidR="00482355" w:rsidRPr="00F60EF4" w:rsidRDefault="00482355" w:rsidP="00482355">
      <w:r>
        <w:t>The Uncertainty P</w:t>
      </w:r>
      <w:r w:rsidRPr="00F60EF4">
        <w:t xml:space="preserve">rotocol recommends item 4 is only used where it is not possible to collect facility specific data for use in items 1 to 3. Section 8.15(2) of the </w:t>
      </w:r>
      <w:r>
        <w:t xml:space="preserve">Measurement </w:t>
      </w:r>
      <w:r w:rsidRPr="00F60EF4">
        <w:t>Determination prevents the use of Item 4 when emissions are estimated using method 2, 3, or 4.</w:t>
      </w:r>
    </w:p>
    <w:p w14:paraId="46C91884" w14:textId="540643A6" w:rsidR="00482355" w:rsidRPr="00F60EF4" w:rsidRDefault="00482355" w:rsidP="00482355">
      <w:r w:rsidRPr="00F60EF4">
        <w:t xml:space="preserve">When using method 1, if it is not feasible to use items 1 to 3 of the uncertainty protocol to assess the uncertainty of estimates of emissions. A reporter may use item 4 and the IPCC overall source uncertainty </w:t>
      </w:r>
      <w:r w:rsidRPr="00F60EF4">
        <w:lastRenderedPageBreak/>
        <w:t>figure of 10</w:t>
      </w:r>
      <w:r>
        <w:t xml:space="preserve"> per cent</w:t>
      </w:r>
      <w:r w:rsidRPr="00F60EF4">
        <w:t xml:space="preserve"> for carbon dioxide from industrial processes sources provided in the</w:t>
      </w:r>
      <w:r>
        <w:t xml:space="preserve"> 'Calculations' worksheet of the GHG Protocol </w:t>
      </w:r>
      <w:hyperlink r:id="rId45" w:tooltip="A link to the GHG Protocol’s Uncertainty Calculation Tool spreadsheet for estimating uncertainty in greenhouse gas inventories" w:history="1">
        <w:r w:rsidRPr="00887C1E">
          <w:rPr>
            <w:rStyle w:val="Hyperlink"/>
            <w:rFonts w:asciiTheme="minorHAnsi" w:hAnsiTheme="minorHAnsi"/>
          </w:rPr>
          <w:t>Uncertainty Calculation Tool</w:t>
        </w:r>
      </w:hyperlink>
      <w:r>
        <w:rPr>
          <w:rStyle w:val="FootnoteReference"/>
          <w:color w:val="005874"/>
          <w:u w:val="single"/>
        </w:rPr>
        <w:footnoteReference w:id="17"/>
      </w:r>
      <w:r w:rsidRPr="00F60EF4">
        <w:t xml:space="preserve">, if the reporter is confident it is a reasonable assessment of the uncertainty. </w:t>
      </w:r>
    </w:p>
    <w:p w14:paraId="2BBE51A0" w14:textId="77777777" w:rsidR="00482355" w:rsidRPr="00F60EF4" w:rsidRDefault="00482355" w:rsidP="00482355">
      <w:pPr>
        <w:pStyle w:val="Heading3"/>
        <w:rPr>
          <w:lang w:val="en-GB"/>
        </w:rPr>
      </w:pPr>
      <w:bookmarkStart w:id="74" w:name="_Toc413749906"/>
      <w:bookmarkStart w:id="75" w:name="_Toc107324713"/>
      <w:bookmarkStart w:id="76" w:name="_Toc233637558"/>
      <w:r>
        <w:rPr>
          <w:lang w:val="en-GB"/>
        </w:rPr>
        <w:t>Calculating uncertainty from m</w:t>
      </w:r>
      <w:r w:rsidRPr="00F60EF4">
        <w:rPr>
          <w:lang w:val="en-GB"/>
        </w:rPr>
        <w:t>ethods 2, 3 and 1 (non-default factors) emissions</w:t>
      </w:r>
      <w:bookmarkEnd w:id="74"/>
      <w:bookmarkEnd w:id="75"/>
      <w:bookmarkEnd w:id="76"/>
    </w:p>
    <w:p w14:paraId="3F4E4084" w14:textId="77777777" w:rsidR="00482355" w:rsidRPr="00F60EF4" w:rsidRDefault="00482355" w:rsidP="00482355">
      <w:r w:rsidRPr="00F60EF4">
        <w:t>Uncertainty for emissi</w:t>
      </w:r>
      <w:r>
        <w:t>ons estimates calculated under m</w:t>
      </w:r>
      <w:r w:rsidRPr="00F60EF4">
        <w:t xml:space="preserve">ethods 2 and 3 must be calculated in accordance with the Uncertainty Protocol (Part 8.4 of the </w:t>
      </w:r>
      <w:r>
        <w:t xml:space="preserve">Measurement </w:t>
      </w:r>
      <w:r w:rsidRPr="00F60EF4">
        <w:t xml:space="preserve">Determination). Under certain circumstances, outlined in part 8.3 of the </w:t>
      </w:r>
      <w:r>
        <w:t xml:space="preserve">Measurement </w:t>
      </w:r>
      <w:r w:rsidRPr="00F60EF4">
        <w:t>Determination uncertainty</w:t>
      </w:r>
      <w:r>
        <w:t xml:space="preserve"> for emissions estimated under m</w:t>
      </w:r>
      <w:r w:rsidRPr="00F60EF4">
        <w:t>ethod 1 can also be calculated in this manner.</w:t>
      </w:r>
    </w:p>
    <w:p w14:paraId="380DD62E" w14:textId="7A44B8A8" w:rsidR="00482355" w:rsidRPr="00F60EF4" w:rsidRDefault="00482355" w:rsidP="00482355">
      <w:r w:rsidRPr="00F60EF4">
        <w:t xml:space="preserve">The procedure for applying these methods to the </w:t>
      </w:r>
      <w:r>
        <w:t>c</w:t>
      </w:r>
      <w:r w:rsidRPr="00F60EF4">
        <w:t>alculator is as follows:</w:t>
      </w:r>
    </w:p>
    <w:p w14:paraId="05DE6E78" w14:textId="2D9A5010" w:rsidR="00482355" w:rsidRPr="00F60EF4" w:rsidRDefault="003C2467" w:rsidP="006939B2">
      <w:pPr>
        <w:pStyle w:val="CERbullets"/>
        <w:numPr>
          <w:ilvl w:val="0"/>
          <w:numId w:val="39"/>
        </w:numPr>
      </w:pPr>
      <w:r>
        <w:t>E</w:t>
      </w:r>
      <w:r w:rsidR="00482355">
        <w:t>nter a description for the source, for example, ‘natural gas (pipeline) - petroleum refining’</w:t>
      </w:r>
      <w:r>
        <w:t>.</w:t>
      </w:r>
    </w:p>
    <w:p w14:paraId="41409735" w14:textId="365FC0D5" w:rsidR="00482355" w:rsidRPr="00F60EF4" w:rsidRDefault="003C2467" w:rsidP="006939B2">
      <w:pPr>
        <w:pStyle w:val="CERbullets"/>
        <w:numPr>
          <w:ilvl w:val="0"/>
          <w:numId w:val="39"/>
        </w:numPr>
      </w:pPr>
      <w:r>
        <w:t>T</w:t>
      </w:r>
      <w:r w:rsidR="00482355">
        <w:t xml:space="preserve">ype in the facility name under the ‘Facility Name’ column or, alternatively select the facility name from the </w:t>
      </w:r>
      <w:r w:rsidR="008306D5">
        <w:t>drop-down</w:t>
      </w:r>
      <w:r w:rsidR="00482355">
        <w:t xml:space="preserve"> menu</w:t>
      </w:r>
      <w:r>
        <w:t>.</w:t>
      </w:r>
    </w:p>
    <w:p w14:paraId="65F5AD22" w14:textId="2B4721BA" w:rsidR="00482355" w:rsidRPr="00F60EF4" w:rsidRDefault="003C2467" w:rsidP="006939B2">
      <w:pPr>
        <w:pStyle w:val="CERbullets"/>
        <w:numPr>
          <w:ilvl w:val="0"/>
          <w:numId w:val="39"/>
        </w:numPr>
      </w:pPr>
      <w:r>
        <w:t>C</w:t>
      </w:r>
      <w:r w:rsidR="00482355">
        <w:t>hoose a ‘Source’, for example ‘fuel combustion’</w:t>
      </w:r>
      <w:r>
        <w:t>.</w:t>
      </w:r>
    </w:p>
    <w:p w14:paraId="1CFFEC3D" w14:textId="130AAB5D" w:rsidR="00482355" w:rsidRPr="00F60EF4" w:rsidRDefault="003C2467" w:rsidP="006939B2">
      <w:pPr>
        <w:pStyle w:val="CERbullets"/>
        <w:numPr>
          <w:ilvl w:val="0"/>
          <w:numId w:val="39"/>
        </w:numPr>
      </w:pPr>
      <w:r>
        <w:t>S</w:t>
      </w:r>
      <w:r w:rsidR="00482355">
        <w:t>elect the method used to measure the emissions of the source</w:t>
      </w:r>
      <w:r>
        <w:t>.</w:t>
      </w:r>
    </w:p>
    <w:p w14:paraId="21168F71" w14:textId="21335C38" w:rsidR="00482355" w:rsidRPr="00F60EF4" w:rsidRDefault="003C2467" w:rsidP="006939B2">
      <w:pPr>
        <w:pStyle w:val="CERbullets"/>
        <w:numPr>
          <w:ilvl w:val="0"/>
          <w:numId w:val="39"/>
        </w:numPr>
      </w:pPr>
      <w:r>
        <w:t>C</w:t>
      </w:r>
      <w:r w:rsidR="00482355">
        <w:t>hoose criterion for estimation (if applicable).</w:t>
      </w:r>
    </w:p>
    <w:p w14:paraId="7989AD20" w14:textId="77777777" w:rsidR="00482355" w:rsidRPr="00F60EF4" w:rsidRDefault="00482355" w:rsidP="00482355">
      <w:r w:rsidRPr="00F60EF4">
        <w:t>Note: The criterion for estimation will be blacked out, where this is not a required variable for uncertainty calculations.</w:t>
      </w:r>
    </w:p>
    <w:p w14:paraId="31C3A4FA" w14:textId="365FE111" w:rsidR="00482355" w:rsidRPr="00F60EF4" w:rsidRDefault="00482355" w:rsidP="00482355">
      <w:pPr>
        <w:pStyle w:val="CERbullets"/>
        <w:ind w:left="360" w:hanging="360"/>
      </w:pPr>
      <w:r>
        <w:t xml:space="preserve">For method 2 and 3 calculations, a reporter must calculate the uncertainty according to the principles in the Uncertainty Protocol. Data may be entered into the calculator in either of </w:t>
      </w:r>
      <w:r w:rsidR="000E4005">
        <w:t xml:space="preserve">2 </w:t>
      </w:r>
      <w:r>
        <w:t>ways:</w:t>
      </w:r>
    </w:p>
    <w:p w14:paraId="399CEA81" w14:textId="77777777" w:rsidR="00482355" w:rsidRPr="00F60EF4" w:rsidRDefault="00482355" w:rsidP="00482355">
      <w:pPr>
        <w:pStyle w:val="CERbullets"/>
        <w:numPr>
          <w:ilvl w:val="1"/>
          <w:numId w:val="21"/>
        </w:numPr>
      </w:pPr>
      <w:r w:rsidRPr="00F60EF4">
        <w:t xml:space="preserve">Enter: estimated scope 1 emissions (from the EERS-generated section 19 NGER report), calculated energy content uncertainty, Fuel/Activity quantity uncertainty, and emission factor uncertainty (for each of the gases). The energy content, activity/fuel quantity and emissions factor uncertainties must have been calculated in accordance with Part 8.4 of the </w:t>
      </w:r>
      <w:r>
        <w:t xml:space="preserve">Measurement </w:t>
      </w:r>
      <w:r w:rsidRPr="00F60EF4">
        <w:t>Determination.</w:t>
      </w:r>
    </w:p>
    <w:p w14:paraId="53DD2EFA" w14:textId="77777777" w:rsidR="00482355" w:rsidRPr="00FB4BED" w:rsidRDefault="00482355" w:rsidP="00482355">
      <w:r w:rsidRPr="00FB4BED">
        <w:t>OR</w:t>
      </w:r>
    </w:p>
    <w:p w14:paraId="67601E09" w14:textId="77777777" w:rsidR="00482355" w:rsidRPr="00F60EF4" w:rsidRDefault="00482355" w:rsidP="00482355">
      <w:pPr>
        <w:pStyle w:val="CERbullets"/>
        <w:numPr>
          <w:ilvl w:val="1"/>
          <w:numId w:val="21"/>
        </w:numPr>
      </w:pPr>
      <w:r w:rsidRPr="00F60EF4">
        <w:t>Enter the emissions data and aggregated uncertainty for the emissions source. Certain cells of the worksheet become blacked out to indicate fields where data is not required.</w:t>
      </w:r>
    </w:p>
    <w:p w14:paraId="6D6D2AB7" w14:textId="77777777" w:rsidR="00482355" w:rsidRPr="00F60EF4" w:rsidRDefault="00482355" w:rsidP="00482355">
      <w:pPr>
        <w:pStyle w:val="CERbullets"/>
        <w:ind w:left="360" w:hanging="360"/>
      </w:pPr>
      <w:r>
        <w:t>Reporters may use the ‘Appendix 1 – Uncertainty of Elements’ worksheet (discussed previously) to calculate uncertainties based on the principles outlined in the Uncertainty Protocol.</w:t>
      </w:r>
    </w:p>
    <w:p w14:paraId="100C9A75" w14:textId="77777777" w:rsidR="00482355" w:rsidRPr="00F60EF4" w:rsidRDefault="00482355" w:rsidP="00482355">
      <w:pPr>
        <w:pStyle w:val="CERbullets"/>
        <w:ind w:left="360" w:hanging="360"/>
      </w:pPr>
      <w:r>
        <w:t>For method 1 (using non-default values), where uncertainty values are calculated in accordance with the Measurement Determination and the Uncertainty Protocol, these can be entered into the relevant cells. If no value is entered, default values will be applied.</w:t>
      </w:r>
    </w:p>
    <w:p w14:paraId="4E8E243D" w14:textId="77777777" w:rsidR="00482355" w:rsidRDefault="00482355" w:rsidP="00482355">
      <w:pPr>
        <w:pStyle w:val="CERbullets"/>
        <w:ind w:left="360" w:hanging="360"/>
      </w:pPr>
      <w:r>
        <w:t>If multiple sources are attributed to a single facility, the calculator will aggregate the uncertainty for each source. The aggregated uncertainty for each facility as well as the corporation’s total percentage uncertainty will be shown on the ‘Output’ worksheet (Figure 6).</w:t>
      </w:r>
    </w:p>
    <w:p w14:paraId="61E4C333" w14:textId="77777777" w:rsidR="009917C8" w:rsidRPr="00F60EF4" w:rsidRDefault="009917C8" w:rsidP="009917C8">
      <w:pPr>
        <w:pStyle w:val="CERbullets"/>
        <w:numPr>
          <w:ilvl w:val="0"/>
          <w:numId w:val="0"/>
        </w:numPr>
        <w:ind w:left="360"/>
      </w:pPr>
    </w:p>
    <w:p w14:paraId="3E1118AB" w14:textId="77777777" w:rsidR="00482355" w:rsidRPr="00F60EF4" w:rsidRDefault="00482355" w:rsidP="00482355">
      <w:pPr>
        <w:pStyle w:val="Heading3"/>
        <w:rPr>
          <w:lang w:val="en-GB"/>
        </w:rPr>
      </w:pPr>
      <w:bookmarkStart w:id="77" w:name="_Toc413749907"/>
      <w:bookmarkStart w:id="78" w:name="_Toc107324714"/>
      <w:bookmarkStart w:id="79" w:name="_Toc233637559"/>
      <w:r w:rsidRPr="00F60EF4">
        <w:rPr>
          <w:lang w:val="en-GB"/>
        </w:rPr>
        <w:lastRenderedPageBreak/>
        <w:t>Calcula</w:t>
      </w:r>
      <w:r>
        <w:rPr>
          <w:lang w:val="en-GB"/>
        </w:rPr>
        <w:t>ting uncertainty from m</w:t>
      </w:r>
      <w:r w:rsidRPr="00F60EF4">
        <w:rPr>
          <w:lang w:val="en-GB"/>
        </w:rPr>
        <w:t>ethod 4 emissions estimates</w:t>
      </w:r>
      <w:bookmarkEnd w:id="77"/>
      <w:bookmarkEnd w:id="78"/>
      <w:bookmarkEnd w:id="79"/>
    </w:p>
    <w:p w14:paraId="30EC302A" w14:textId="77777777" w:rsidR="00482355" w:rsidRPr="00F60EF4" w:rsidRDefault="00482355" w:rsidP="00482355">
      <w:r w:rsidRPr="00F60EF4">
        <w:t>Assessments of uncertainty</w:t>
      </w:r>
      <w:r>
        <w:t xml:space="preserve"> for emissions estimated under m</w:t>
      </w:r>
      <w:r w:rsidRPr="00F60EF4">
        <w:t>ethod 4 must conform to principles outlined in the Un</w:t>
      </w:r>
      <w:r>
        <w:t>certainty Protocol. When using m</w:t>
      </w:r>
      <w:r w:rsidRPr="00F60EF4">
        <w:t xml:space="preserve">ethod 4 to calculate emissions estimates, only estimated emissions and aggregated uncertainty can be entered into the </w:t>
      </w:r>
      <w:r>
        <w:t>c</w:t>
      </w:r>
      <w:r w:rsidRPr="00F60EF4">
        <w:t>alculator for each emission</w:t>
      </w:r>
      <w:r>
        <w:t>s</w:t>
      </w:r>
      <w:r w:rsidRPr="00F60EF4">
        <w:t xml:space="preserve"> source. All other cells for entering uncertainty factors will be blacked out by the </w:t>
      </w:r>
      <w:r>
        <w:t>c</w:t>
      </w:r>
      <w:r w:rsidRPr="00F60EF4">
        <w:t>alculator when this is done.</w:t>
      </w:r>
    </w:p>
    <w:p w14:paraId="70007F24" w14:textId="5C4DCF98" w:rsidR="00482355" w:rsidRPr="00F60EF4" w:rsidRDefault="00482355" w:rsidP="00482355">
      <w:r w:rsidRPr="00F60EF4">
        <w:t xml:space="preserve">Emissions data for each gas must also be entered </w:t>
      </w:r>
      <w:r w:rsidR="0058115A" w:rsidRPr="00F60EF4">
        <w:t>to</w:t>
      </w:r>
      <w:r w:rsidRPr="00F60EF4">
        <w:t xml:space="preserve"> calculate the percentage uncertainty for the </w:t>
      </w:r>
      <w:proofErr w:type="gramStart"/>
      <w:r w:rsidRPr="00F60EF4">
        <w:t>particular source</w:t>
      </w:r>
      <w:proofErr w:type="gramEnd"/>
      <w:r w:rsidRPr="00F60EF4">
        <w:t xml:space="preserve">. </w:t>
      </w:r>
    </w:p>
    <w:p w14:paraId="5E1A77A5" w14:textId="77777777" w:rsidR="00482355" w:rsidRPr="00F60EF4" w:rsidRDefault="00482355" w:rsidP="00482355">
      <w:r w:rsidRPr="00F60EF4">
        <w:t>Note: Data and methodologies associated with the calculation of th</w:t>
      </w:r>
      <w:r>
        <w:t>e aggregated uncertainty under m</w:t>
      </w:r>
      <w:r w:rsidRPr="00F60EF4">
        <w:t>ethod 4 should be documented and retained.</w:t>
      </w:r>
    </w:p>
    <w:p w14:paraId="386CE09D" w14:textId="77777777" w:rsidR="00482355" w:rsidRPr="00F60EF4" w:rsidRDefault="00482355" w:rsidP="00482355">
      <w:pPr>
        <w:pStyle w:val="Heading2"/>
      </w:pPr>
      <w:bookmarkStart w:id="80" w:name="_Toc413749908"/>
      <w:bookmarkStart w:id="81" w:name="_Toc107324715"/>
      <w:bookmarkStart w:id="82" w:name="_Toc233637560"/>
      <w:r w:rsidRPr="00F60EF4">
        <w:t xml:space="preserve">Where a corporation exceeds the limits of the </w:t>
      </w:r>
      <w:r>
        <w:t>c</w:t>
      </w:r>
      <w:r w:rsidRPr="00F60EF4">
        <w:t>alculator</w:t>
      </w:r>
      <w:bookmarkEnd w:id="80"/>
      <w:bookmarkEnd w:id="81"/>
      <w:bookmarkEnd w:id="82"/>
    </w:p>
    <w:p w14:paraId="43F1C18C" w14:textId="3021D2C9" w:rsidR="00482355" w:rsidRPr="00F60EF4" w:rsidRDefault="00482355" w:rsidP="00482355">
      <w:r w:rsidRPr="00F60EF4">
        <w:t xml:space="preserve">The </w:t>
      </w:r>
      <w:r>
        <w:t>c</w:t>
      </w:r>
      <w:r w:rsidRPr="00F60EF4">
        <w:t xml:space="preserve">alculator has been designed to meet the needs of </w:t>
      </w:r>
      <w:r w:rsidR="00144137" w:rsidRPr="00F60EF4">
        <w:t>most</w:t>
      </w:r>
      <w:r w:rsidRPr="00F60EF4">
        <w:t xml:space="preserve"> reporting </w:t>
      </w:r>
      <w:r w:rsidR="00460A32" w:rsidRPr="00F60EF4">
        <w:t>corporations but</w:t>
      </w:r>
      <w:r w:rsidRPr="00F60EF4">
        <w:t xml:space="preserve"> is limited to 50 facilities and fuel combinations.</w:t>
      </w:r>
    </w:p>
    <w:p w14:paraId="2C9B01E2" w14:textId="0F8AA085" w:rsidR="00482355" w:rsidRPr="00F60EF4" w:rsidRDefault="00482355" w:rsidP="00482355">
      <w:r w:rsidRPr="00F60EF4">
        <w:t>Where a corporation exceeds either of these limits</w:t>
      </w:r>
      <w:r>
        <w:t>,</w:t>
      </w:r>
      <w:r w:rsidRPr="00F60EF4">
        <w:t xml:space="preserve"> data </w:t>
      </w:r>
      <w:r>
        <w:t xml:space="preserve">should </w:t>
      </w:r>
      <w:r w:rsidRPr="00F60EF4">
        <w:t xml:space="preserve">be split between several copies of the </w:t>
      </w:r>
      <w:r>
        <w:t>c</w:t>
      </w:r>
      <w:r w:rsidRPr="00F60EF4">
        <w:t xml:space="preserve">alculator. In doing so, reporters should ensure that all data for a single facility </w:t>
      </w:r>
      <w:r w:rsidR="00460A32" w:rsidRPr="00F60EF4">
        <w:t>is in</w:t>
      </w:r>
      <w:r w:rsidRPr="00F60EF4">
        <w:t xml:space="preserve"> the same copy of the Calculator</w:t>
      </w:r>
      <w:r>
        <w:t xml:space="preserve"> to avoid errors</w:t>
      </w:r>
      <w:r w:rsidRPr="00F60EF4">
        <w:t xml:space="preserve">. </w:t>
      </w:r>
    </w:p>
    <w:p w14:paraId="51A415C4" w14:textId="77777777" w:rsidR="00482355" w:rsidRPr="00F60EF4" w:rsidRDefault="00482355" w:rsidP="00482355">
      <w:pPr>
        <w:pStyle w:val="Heading1"/>
        <w:rPr>
          <w:lang w:val="en-GB"/>
        </w:rPr>
      </w:pPr>
      <w:bookmarkStart w:id="83" w:name="_Toc413749909"/>
      <w:bookmarkStart w:id="84" w:name="_Toc107324716"/>
      <w:bookmarkStart w:id="85" w:name="_Toc233637561"/>
      <w:r>
        <w:rPr>
          <w:lang w:val="en-GB"/>
        </w:rPr>
        <w:t>More</w:t>
      </w:r>
      <w:r w:rsidRPr="00F60EF4">
        <w:rPr>
          <w:lang w:val="en-GB"/>
        </w:rPr>
        <w:t xml:space="preserve"> information</w:t>
      </w:r>
      <w:bookmarkEnd w:id="83"/>
      <w:bookmarkEnd w:id="84"/>
      <w:bookmarkEnd w:id="85"/>
    </w:p>
    <w:p w14:paraId="40B874F5" w14:textId="51877777" w:rsidR="00235142" w:rsidRDefault="005343F1" w:rsidP="00FE793A">
      <w:r>
        <w:t xml:space="preserve">Email </w:t>
      </w:r>
      <w:hyperlink r:id="rId46" w:history="1">
        <w:r w:rsidR="0031246C" w:rsidRPr="0031246C">
          <w:rPr>
            <w:rStyle w:val="Hyperlink"/>
            <w:rFonts w:asciiTheme="minorHAnsi" w:hAnsiTheme="minorHAnsi"/>
          </w:rPr>
          <w:t>mailto:</w:t>
        </w:r>
      </w:hyperlink>
      <w:hyperlink r:id="rId47" w:history="1">
        <w:r w:rsidR="00477478" w:rsidRPr="008349F0">
          <w:rPr>
            <w:rStyle w:val="Hyperlink"/>
            <w:rFonts w:asciiTheme="minorHAnsi" w:hAnsiTheme="minorHAnsi"/>
          </w:rPr>
          <w:t>cer-nger-reporting@cer.gov.au</w:t>
        </w:r>
      </w:hyperlink>
      <w:r w:rsidR="00477478">
        <w:t xml:space="preserve"> </w:t>
      </w:r>
      <w:r>
        <w:t xml:space="preserve">or call </w:t>
      </w:r>
      <w:r w:rsidRPr="006D5006">
        <w:t>1300 553 542</w:t>
      </w:r>
      <w:r>
        <w:rPr>
          <w:b/>
        </w:rPr>
        <w:t xml:space="preserve"> </w:t>
      </w:r>
      <w:r>
        <w:t>within Australia</w:t>
      </w:r>
      <w:r w:rsidR="00FC3B77">
        <w:t>.</w:t>
      </w:r>
    </w:p>
    <w:sectPr w:rsidR="00235142" w:rsidSect="00E349EF">
      <w:headerReference w:type="default" r:id="rId48"/>
      <w:footerReference w:type="even" r:id="rId49"/>
      <w:footerReference w:type="default" r:id="rId50"/>
      <w:headerReference w:type="first" r:id="rId51"/>
      <w:footerReference w:type="first" r:id="rId52"/>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242C" w14:textId="77777777" w:rsidR="00DE3B20" w:rsidRDefault="00DE3B20" w:rsidP="00176C28">
      <w:r>
        <w:separator/>
      </w:r>
    </w:p>
    <w:p w14:paraId="36C37125" w14:textId="77777777" w:rsidR="00DE3B20" w:rsidRDefault="00DE3B20"/>
  </w:endnote>
  <w:endnote w:type="continuationSeparator" w:id="0">
    <w:p w14:paraId="42A83CB8" w14:textId="77777777" w:rsidR="00DE3B20" w:rsidRDefault="00DE3B20" w:rsidP="00176C28">
      <w:r>
        <w:continuationSeparator/>
      </w:r>
    </w:p>
    <w:p w14:paraId="4B2E38C2" w14:textId="77777777" w:rsidR="00DE3B20" w:rsidRDefault="00DE3B20"/>
  </w:endnote>
  <w:endnote w:type="continuationNotice" w:id="1">
    <w:p w14:paraId="24422377" w14:textId="77777777" w:rsidR="00DE3B20" w:rsidRDefault="00DE3B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rsidP="00E859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D5A3" w14:textId="26EA5F82" w:rsidR="006E3CA9" w:rsidRPr="00B50E27" w:rsidRDefault="002D18F3" w:rsidP="00C73199">
    <w:pPr>
      <w:pStyle w:val="Footer"/>
      <w:tabs>
        <w:tab w:val="clear" w:pos="2694"/>
        <w:tab w:val="clear" w:pos="3969"/>
        <w:tab w:val="clear" w:pos="6946"/>
        <w:tab w:val="clear" w:pos="9498"/>
        <w:tab w:val="center" w:pos="9639"/>
      </w:tabs>
      <w:spacing w:before="360" w:after="0"/>
      <w:ind w:left="0"/>
    </w:pPr>
    <w:r w:rsidRPr="002D18F3">
      <w:rPr>
        <w:b/>
        <w:bCs/>
      </w:rPr>
      <w:t>W:</w:t>
    </w:r>
    <w:r w:rsidRPr="002D18F3">
      <w:t xml:space="preserve"> </w:t>
    </w:r>
    <w:r w:rsidR="006E3CA9" w:rsidRPr="002D18F3">
      <w:t>www.</w:t>
    </w:r>
    <w:r w:rsidR="003842BF">
      <w:t>ce</w:t>
    </w:r>
    <w:r w:rsidR="006E3CA9" w:rsidRPr="002D18F3">
      <w:t>r.gov.au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w:t>
    </w:r>
    <w:hyperlink r:id="rId1" w:history="1">
      <w:r w:rsidR="00BD6172" w:rsidRPr="008349F0">
        <w:rPr>
          <w:rStyle w:val="Hyperlink"/>
          <w:rFonts w:asciiTheme="minorHAnsi" w:hAnsiTheme="minorHAnsi"/>
          <w:sz w:val="18"/>
        </w:rPr>
        <w:t>enquiries@cer.gov.au</w:t>
      </w:r>
    </w:hyperlink>
    <w:r w:rsidR="00BD6172">
      <w:rPr>
        <w:rStyle w:val="PageNumber"/>
      </w:rPr>
      <w:t xml:space="preserve"> </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88087B7" w14:textId="467C511A"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7839AB4F" w:rsidR="0065750A" w:rsidRPr="009C30B4" w:rsidRDefault="00862D08" w:rsidP="00AA2792">
    <w:pPr>
      <w:tabs>
        <w:tab w:val="left" w:pos="2694"/>
        <w:tab w:val="left" w:pos="3969"/>
        <w:tab w:val="left" w:pos="6946"/>
        <w:tab w:val="right" w:pos="9498"/>
      </w:tabs>
      <w:spacing w:after="720"/>
      <w:ind w:right="242"/>
      <w:rPr>
        <w:color w:val="005874"/>
        <w:sz w:val="16"/>
        <w:szCs w:val="16"/>
      </w:rPr>
    </w:pPr>
    <w:r w:rsidRPr="00862D08">
      <w:t xml:space="preserve"> </w:t>
    </w:r>
    <w:r>
      <w:rPr>
        <w:noProof/>
      </w:rPr>
      <w:drawing>
        <wp:inline distT="0" distB="0" distL="0" distR="0" wp14:anchorId="24F8CBCA" wp14:editId="1428B1CC">
          <wp:extent cx="2097679" cy="638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425" cy="6535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83A2F" w14:textId="77777777" w:rsidR="00DE3B20" w:rsidRDefault="00DE3B20" w:rsidP="00176C28">
      <w:r>
        <w:separator/>
      </w:r>
    </w:p>
    <w:p w14:paraId="65DD1A5A" w14:textId="77777777" w:rsidR="00DE3B20" w:rsidRDefault="00DE3B20"/>
  </w:footnote>
  <w:footnote w:type="continuationSeparator" w:id="0">
    <w:p w14:paraId="7D4CD2E1" w14:textId="77777777" w:rsidR="00DE3B20" w:rsidRDefault="00DE3B20" w:rsidP="00176C28">
      <w:r>
        <w:continuationSeparator/>
      </w:r>
    </w:p>
    <w:p w14:paraId="07430E3C" w14:textId="77777777" w:rsidR="00DE3B20" w:rsidRDefault="00DE3B20"/>
  </w:footnote>
  <w:footnote w:type="continuationNotice" w:id="1">
    <w:p w14:paraId="4ECDB609" w14:textId="77777777" w:rsidR="00DE3B20" w:rsidRDefault="00DE3B20">
      <w:pPr>
        <w:spacing w:after="0"/>
      </w:pPr>
    </w:p>
  </w:footnote>
  <w:footnote w:id="2">
    <w:p w14:paraId="52356304" w14:textId="5D4FA236" w:rsidR="00FB7FB5" w:rsidRPr="005374FB" w:rsidRDefault="00FB7FB5">
      <w:pPr>
        <w:pStyle w:val="FootnoteText"/>
        <w:rPr>
          <w:lang w:val="en-AU"/>
        </w:rPr>
      </w:pPr>
      <w:r>
        <w:rPr>
          <w:rStyle w:val="FootnoteReference"/>
        </w:rPr>
        <w:footnoteRef/>
      </w:r>
      <w:r>
        <w:t xml:space="preserve"> </w:t>
      </w:r>
      <w:r w:rsidR="004A728E" w:rsidRPr="00790404">
        <w:t>https://www.legislation.gov.au/F2008L02230/latest/versions</w:t>
      </w:r>
      <w:r>
        <w:t xml:space="preserve"> </w:t>
      </w:r>
    </w:p>
  </w:footnote>
  <w:footnote w:id="3">
    <w:p w14:paraId="30A43163" w14:textId="530EDEA3" w:rsidR="004F2DBF" w:rsidRPr="005374FB" w:rsidRDefault="004F2DBF">
      <w:pPr>
        <w:pStyle w:val="FootnoteText"/>
        <w:rPr>
          <w:lang w:val="en-AU"/>
        </w:rPr>
      </w:pPr>
      <w:r>
        <w:rPr>
          <w:rStyle w:val="FootnoteReference"/>
        </w:rPr>
        <w:footnoteRef/>
      </w:r>
      <w:r>
        <w:t xml:space="preserve"> </w:t>
      </w:r>
      <w:r w:rsidR="004A728E" w:rsidRPr="00790404">
        <w:t>https://www.legislation.gov.au/C2007A00175/latest/versions</w:t>
      </w:r>
      <w:r>
        <w:t xml:space="preserve"> </w:t>
      </w:r>
    </w:p>
  </w:footnote>
  <w:footnote w:id="4">
    <w:p w14:paraId="60F6E3DB" w14:textId="158C8EF7" w:rsidR="00571F5A" w:rsidRPr="001D3D62" w:rsidRDefault="00571F5A" w:rsidP="00571F5A">
      <w:pPr>
        <w:pStyle w:val="FootnoteText"/>
        <w:rPr>
          <w:lang w:val="en-AU"/>
        </w:rPr>
      </w:pPr>
      <w:r>
        <w:rPr>
          <w:rStyle w:val="FootnoteReference"/>
        </w:rPr>
        <w:footnoteRef/>
      </w:r>
      <w:r>
        <w:t xml:space="preserve"> </w:t>
      </w:r>
      <w:r w:rsidR="004A728E" w:rsidRPr="00790404">
        <w:t>https://cer.gov.au/schemes/national-greenhouse-and-energy-reporting-scheme/assess-your-obligations#what-is-an-nger-facility</w:t>
      </w:r>
      <w:r w:rsidR="00AC0A71">
        <w:t xml:space="preserve"> </w:t>
      </w:r>
    </w:p>
  </w:footnote>
  <w:footnote w:id="5">
    <w:p w14:paraId="104632A0" w14:textId="44A3D725" w:rsidR="00CB6A30" w:rsidRPr="001D3D62" w:rsidRDefault="00CB6A30" w:rsidP="00CB6A30">
      <w:pPr>
        <w:pStyle w:val="FootnoteText"/>
        <w:rPr>
          <w:lang w:val="en-AU"/>
        </w:rPr>
      </w:pPr>
      <w:r>
        <w:rPr>
          <w:rStyle w:val="FootnoteReference"/>
        </w:rPr>
        <w:footnoteRef/>
      </w:r>
      <w:r>
        <w:t xml:space="preserve"> </w:t>
      </w:r>
      <w:r w:rsidR="000D2A64" w:rsidRPr="000D2A64">
        <w:t>https://www.legislation.gov.au/F2008L02230/latest/versions</w:t>
      </w:r>
    </w:p>
  </w:footnote>
  <w:footnote w:id="6">
    <w:p w14:paraId="09180760" w14:textId="77777777" w:rsidR="001D275A" w:rsidRPr="00B81E15" w:rsidRDefault="001D275A" w:rsidP="001D275A">
      <w:pPr>
        <w:pStyle w:val="FootnoteText"/>
        <w:rPr>
          <w:lang w:val="en-AU"/>
        </w:rPr>
      </w:pPr>
      <w:r>
        <w:rPr>
          <w:rStyle w:val="FootnoteReference"/>
        </w:rPr>
        <w:footnoteRef/>
      </w:r>
      <w:r>
        <w:t xml:space="preserve"> </w:t>
      </w:r>
      <w:r w:rsidRPr="00790404">
        <w:t>https://ghgprotocol.org/sites/default/files/ghg-uncertainty.pdf</w:t>
      </w:r>
      <w:r>
        <w:t xml:space="preserve"> </w:t>
      </w:r>
    </w:p>
  </w:footnote>
  <w:footnote w:id="7">
    <w:p w14:paraId="28170A7C" w14:textId="4C55451D" w:rsidR="00F570BC" w:rsidRPr="008F212C" w:rsidRDefault="00F570BC" w:rsidP="00F570BC">
      <w:pPr>
        <w:pStyle w:val="FootnoteText"/>
        <w:rPr>
          <w:lang w:val="en-AU"/>
        </w:rPr>
      </w:pPr>
      <w:r>
        <w:rPr>
          <w:rStyle w:val="FootnoteReference"/>
        </w:rPr>
        <w:footnoteRef/>
      </w:r>
      <w:r>
        <w:t xml:space="preserve"> </w:t>
      </w:r>
      <w:r w:rsidR="004A728E" w:rsidRPr="00790404">
        <w:t>https://www.legislation.gov.au/help-and-resources/understanding-legislation/reading-legislation</w:t>
      </w:r>
      <w:r>
        <w:t xml:space="preserve"> </w:t>
      </w:r>
    </w:p>
  </w:footnote>
  <w:footnote w:id="8">
    <w:p w14:paraId="1B04DD3C" w14:textId="25B21452" w:rsidR="00460A32" w:rsidRPr="00906F7C" w:rsidRDefault="00460A32" w:rsidP="00460A32">
      <w:pPr>
        <w:pStyle w:val="FootnoteText"/>
      </w:pPr>
      <w:r w:rsidRPr="00906F7C">
        <w:rPr>
          <w:rStyle w:val="FootnoteReference"/>
        </w:rPr>
        <w:footnoteRef/>
      </w:r>
      <w:r w:rsidRPr="00906F7C">
        <w:t xml:space="preserve"> </w:t>
      </w:r>
      <w:r w:rsidR="00694A13" w:rsidRPr="00694A13">
        <w:t>https://www.legislation.gov.au/C2007A00175/latest/versions</w:t>
      </w:r>
    </w:p>
  </w:footnote>
  <w:footnote w:id="9">
    <w:p w14:paraId="24A7FCF9" w14:textId="3FA025C2" w:rsidR="00460A32" w:rsidRPr="00906F7C" w:rsidRDefault="00460A32" w:rsidP="00460A32">
      <w:pPr>
        <w:pStyle w:val="FootnoteText"/>
      </w:pPr>
      <w:r w:rsidRPr="00906F7C">
        <w:rPr>
          <w:rStyle w:val="FootnoteReference"/>
        </w:rPr>
        <w:footnoteRef/>
      </w:r>
      <w:r w:rsidR="00455FFD">
        <w:t xml:space="preserve"> </w:t>
      </w:r>
      <w:r w:rsidR="00455FFD" w:rsidRPr="00455FFD">
        <w:t>https://www.legislation.gov.au/F2008L02230/latest/versions</w:t>
      </w:r>
    </w:p>
  </w:footnote>
  <w:footnote w:id="10">
    <w:p w14:paraId="5BA09C72" w14:textId="10D02C32" w:rsidR="00460A32" w:rsidRPr="00906F7C" w:rsidRDefault="00460A32" w:rsidP="00460A32">
      <w:pPr>
        <w:pStyle w:val="FootnoteText"/>
      </w:pPr>
      <w:r w:rsidRPr="00906F7C">
        <w:rPr>
          <w:rStyle w:val="FootnoteReference"/>
        </w:rPr>
        <w:footnoteRef/>
      </w:r>
      <w:r w:rsidRPr="00906F7C">
        <w:t xml:space="preserve"> </w:t>
      </w:r>
      <w:r w:rsidR="009F09FB" w:rsidRPr="009F09FB">
        <w:t>https://www.legislation.gov.au/F2008L02309/latest/versions</w:t>
      </w:r>
    </w:p>
  </w:footnote>
  <w:footnote w:id="11">
    <w:p w14:paraId="3B9E9FE6" w14:textId="129D4EB1" w:rsidR="00460A32" w:rsidRPr="00740092" w:rsidRDefault="00460A32" w:rsidP="00460A32">
      <w:pPr>
        <w:pStyle w:val="FootnoteText"/>
      </w:pPr>
      <w:r w:rsidRPr="00906F7C">
        <w:rPr>
          <w:rStyle w:val="FootnoteReference"/>
        </w:rPr>
        <w:footnoteRef/>
      </w:r>
      <w:r w:rsidRPr="00906F7C">
        <w:t xml:space="preserve"> </w:t>
      </w:r>
      <w:r w:rsidR="00AC0A71" w:rsidRPr="00AC0A71">
        <w:t xml:space="preserve"> </w:t>
      </w:r>
      <w:r w:rsidR="004A728E" w:rsidRPr="00790404">
        <w:t>https://cer.gov.au/schemes/national-greenhouse-and-energy-reporting-scheme</w:t>
      </w:r>
      <w:r w:rsidR="00AC0A71">
        <w:rPr>
          <w:rStyle w:val="Hyperlink"/>
          <w:sz w:val="20"/>
        </w:rPr>
        <w:t xml:space="preserve"> </w:t>
      </w:r>
    </w:p>
  </w:footnote>
  <w:footnote w:id="12">
    <w:p w14:paraId="7C607007" w14:textId="72018B4B" w:rsidR="00482355" w:rsidRPr="00B81E15" w:rsidRDefault="00482355" w:rsidP="00482355">
      <w:pPr>
        <w:pStyle w:val="FootnoteText"/>
        <w:rPr>
          <w:lang w:val="en-AU"/>
        </w:rPr>
      </w:pPr>
      <w:r>
        <w:rPr>
          <w:rStyle w:val="FootnoteReference"/>
        </w:rPr>
        <w:footnoteRef/>
      </w:r>
      <w:r>
        <w:t xml:space="preserve"> </w:t>
      </w:r>
      <w:r w:rsidR="004A069A" w:rsidRPr="004A069A">
        <w:t>https://cer.gov.au/online-systems#emissions-and-energy-reporting-system</w:t>
      </w:r>
    </w:p>
  </w:footnote>
  <w:footnote w:id="13">
    <w:p w14:paraId="1AB6A61F" w14:textId="4DC8D870" w:rsidR="00482355" w:rsidRPr="00B81E15" w:rsidRDefault="00482355" w:rsidP="00482355">
      <w:pPr>
        <w:pStyle w:val="FootnoteText"/>
        <w:rPr>
          <w:lang w:val="en-AU"/>
        </w:rPr>
      </w:pPr>
      <w:r>
        <w:rPr>
          <w:rStyle w:val="FootnoteReference"/>
        </w:rPr>
        <w:footnoteRef/>
      </w:r>
      <w:r>
        <w:t xml:space="preserve"> </w:t>
      </w:r>
      <w:r w:rsidR="00643D77" w:rsidRPr="00790404">
        <w:rPr>
          <w:rStyle w:val="Hyperlink"/>
          <w:rFonts w:asciiTheme="minorHAnsi" w:hAnsiTheme="minorHAnsi"/>
          <w:color w:val="auto"/>
          <w:sz w:val="20"/>
          <w:u w:val="none"/>
        </w:rPr>
        <w:t>https://cer.gov.au/schemes/national-greenhouse-and-energy-reporting-scheme/report-emissions-and-energy/nger</w:t>
      </w:r>
      <w:r w:rsidR="00BC20A5">
        <w:rPr>
          <w:rStyle w:val="Hyperlink"/>
          <w:rFonts w:asciiTheme="minorHAnsi" w:hAnsiTheme="minorHAnsi"/>
          <w:color w:val="auto"/>
          <w:sz w:val="20"/>
          <w:u w:val="none"/>
        </w:rPr>
        <w:t>-calculators</w:t>
      </w:r>
    </w:p>
  </w:footnote>
  <w:footnote w:id="14">
    <w:p w14:paraId="2F1AB6BB" w14:textId="39128A25" w:rsidR="00482355" w:rsidRPr="00B81E15" w:rsidRDefault="00482355" w:rsidP="00482355">
      <w:pPr>
        <w:pStyle w:val="FootnoteText"/>
        <w:rPr>
          <w:lang w:val="en-AU"/>
        </w:rPr>
      </w:pPr>
      <w:r>
        <w:rPr>
          <w:rStyle w:val="FootnoteReference"/>
        </w:rPr>
        <w:footnoteRef/>
      </w:r>
      <w:r w:rsidR="00643D77" w:rsidRPr="00790404">
        <w:t>https://cer.gov.au/document_page/methods-and-measurement-criteria-guideline</w:t>
      </w:r>
      <w:r w:rsidR="00F169D6">
        <w:rPr>
          <w:rStyle w:val="Hyperlink"/>
          <w:rFonts w:asciiTheme="minorHAnsi" w:hAnsiTheme="minorHAnsi"/>
          <w:sz w:val="20"/>
        </w:rPr>
        <w:t xml:space="preserve"> </w:t>
      </w:r>
    </w:p>
  </w:footnote>
  <w:footnote w:id="15">
    <w:p w14:paraId="5BEBFB47" w14:textId="5300D106" w:rsidR="004E510D" w:rsidRPr="00790404" w:rsidRDefault="004E510D">
      <w:pPr>
        <w:pStyle w:val="FootnoteText"/>
        <w:rPr>
          <w:lang w:val="en-AU"/>
        </w:rPr>
      </w:pPr>
      <w:r>
        <w:rPr>
          <w:rStyle w:val="FootnoteReference"/>
        </w:rPr>
        <w:footnoteRef/>
      </w:r>
      <w:r>
        <w:t xml:space="preserve"> </w:t>
      </w:r>
      <w:r w:rsidRPr="004E510D">
        <w:t>https://cer.gov.au/document_page/emissions-and-energy-reporting-system-navigation-guide</w:t>
      </w:r>
    </w:p>
  </w:footnote>
  <w:footnote w:id="16">
    <w:p w14:paraId="6FD01C38" w14:textId="0EB59177" w:rsidR="00DE02DE" w:rsidRPr="00790404" w:rsidRDefault="00DE02DE" w:rsidP="00DE02DE">
      <w:pPr>
        <w:pStyle w:val="FootnoteText"/>
        <w:rPr>
          <w:lang w:val="en-AU"/>
        </w:rPr>
      </w:pPr>
      <w:r>
        <w:rPr>
          <w:rStyle w:val="FootnoteReference"/>
        </w:rPr>
        <w:footnoteRef/>
      </w:r>
      <w:r>
        <w:t xml:space="preserve"> </w:t>
      </w:r>
      <w:r w:rsidRPr="00DE02DE">
        <w:t>https://cer.gov.au/document_page/reporting-uncertainty-guideline</w:t>
      </w:r>
    </w:p>
  </w:footnote>
  <w:footnote w:id="17">
    <w:p w14:paraId="2EE0EFFD" w14:textId="2DB65BD9" w:rsidR="00482355" w:rsidRPr="00B81E15" w:rsidRDefault="00482355" w:rsidP="00482355">
      <w:pPr>
        <w:pStyle w:val="FootnoteText"/>
        <w:rPr>
          <w:lang w:val="en-AU"/>
        </w:rPr>
      </w:pPr>
      <w:r>
        <w:rPr>
          <w:rStyle w:val="FootnoteReference"/>
        </w:rPr>
        <w:footnoteRef/>
      </w:r>
      <w:r>
        <w:t xml:space="preserve"> </w:t>
      </w:r>
      <w:r w:rsidR="00643D77" w:rsidRPr="00790404">
        <w:t>https://ghgprotocol.org/sites/default/files/standards_supporting/Uncertainty Calculation Tool.xlsx</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C533" w14:textId="356F53BB"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31857C65" wp14:editId="73E9458F">
          <wp:simplePos x="0" y="0"/>
          <wp:positionH relativeFrom="column">
            <wp:posOffset>4740275</wp:posOffset>
          </wp:positionH>
          <wp:positionV relativeFrom="paragraph">
            <wp:posOffset>85725</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7D763C4"/>
    <w:multiLevelType w:val="multilevel"/>
    <w:tmpl w:val="3A984D40"/>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387149"/>
    <w:multiLevelType w:val="hybridMultilevel"/>
    <w:tmpl w:val="96DA8E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4C25439"/>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7417DD"/>
    <w:multiLevelType w:val="multilevel"/>
    <w:tmpl w:val="3A984D40"/>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5" w15:restartNumberingAfterBreak="0">
    <w:nsid w:val="3A120414"/>
    <w:multiLevelType w:val="hybridMultilevel"/>
    <w:tmpl w:val="3348C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103641C"/>
    <w:multiLevelType w:val="multilevel"/>
    <w:tmpl w:val="6A90B2C0"/>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9CE1C9A"/>
    <w:multiLevelType w:val="multilevel"/>
    <w:tmpl w:val="6A90B2C0"/>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3"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3CB726"/>
    <w:multiLevelType w:val="hybridMultilevel"/>
    <w:tmpl w:val="FFFFFFFF"/>
    <w:lvl w:ilvl="0" w:tplc="78E2FE94">
      <w:start w:val="1"/>
      <w:numFmt w:val="decimal"/>
      <w:lvlText w:val="%1."/>
      <w:lvlJc w:val="left"/>
      <w:pPr>
        <w:ind w:left="720" w:hanging="360"/>
      </w:pPr>
    </w:lvl>
    <w:lvl w:ilvl="1" w:tplc="31002D8C">
      <w:start w:val="1"/>
      <w:numFmt w:val="lowerLetter"/>
      <w:lvlText w:val="%2."/>
      <w:lvlJc w:val="left"/>
      <w:pPr>
        <w:ind w:left="1440" w:hanging="360"/>
      </w:pPr>
    </w:lvl>
    <w:lvl w:ilvl="2" w:tplc="DFAA40F6">
      <w:start w:val="1"/>
      <w:numFmt w:val="lowerRoman"/>
      <w:lvlText w:val="%3."/>
      <w:lvlJc w:val="right"/>
      <w:pPr>
        <w:ind w:left="2160" w:hanging="180"/>
      </w:pPr>
    </w:lvl>
    <w:lvl w:ilvl="3" w:tplc="700C0630">
      <w:start w:val="1"/>
      <w:numFmt w:val="decimal"/>
      <w:lvlText w:val="%4."/>
      <w:lvlJc w:val="left"/>
      <w:pPr>
        <w:ind w:left="2880" w:hanging="360"/>
      </w:pPr>
    </w:lvl>
    <w:lvl w:ilvl="4" w:tplc="D206BD60">
      <w:start w:val="1"/>
      <w:numFmt w:val="lowerLetter"/>
      <w:lvlText w:val="%5."/>
      <w:lvlJc w:val="left"/>
      <w:pPr>
        <w:ind w:left="3600" w:hanging="360"/>
      </w:pPr>
    </w:lvl>
    <w:lvl w:ilvl="5" w:tplc="B4E2B92E">
      <w:start w:val="1"/>
      <w:numFmt w:val="lowerRoman"/>
      <w:lvlText w:val="%6."/>
      <w:lvlJc w:val="right"/>
      <w:pPr>
        <w:ind w:left="4320" w:hanging="180"/>
      </w:pPr>
    </w:lvl>
    <w:lvl w:ilvl="6" w:tplc="A332689E">
      <w:start w:val="1"/>
      <w:numFmt w:val="decimal"/>
      <w:lvlText w:val="%7."/>
      <w:lvlJc w:val="left"/>
      <w:pPr>
        <w:ind w:left="5040" w:hanging="360"/>
      </w:pPr>
    </w:lvl>
    <w:lvl w:ilvl="7" w:tplc="EE3C0B14">
      <w:start w:val="1"/>
      <w:numFmt w:val="lowerLetter"/>
      <w:lvlText w:val="%8."/>
      <w:lvlJc w:val="left"/>
      <w:pPr>
        <w:ind w:left="5760" w:hanging="360"/>
      </w:pPr>
    </w:lvl>
    <w:lvl w:ilvl="8" w:tplc="4F32A8C4">
      <w:start w:val="1"/>
      <w:numFmt w:val="lowerRoman"/>
      <w:lvlText w:val="%9."/>
      <w:lvlJc w:val="right"/>
      <w:pPr>
        <w:ind w:left="6480" w:hanging="180"/>
      </w:pPr>
    </w:lvl>
  </w:abstractNum>
  <w:abstractNum w:abstractNumId="36"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4629764">
    <w:abstractNumId w:val="30"/>
  </w:num>
  <w:num w:numId="2" w16cid:durableId="2023509383">
    <w:abstractNumId w:val="20"/>
  </w:num>
  <w:num w:numId="3" w16cid:durableId="442768591">
    <w:abstractNumId w:val="21"/>
  </w:num>
  <w:num w:numId="4" w16cid:durableId="151065198">
    <w:abstractNumId w:val="13"/>
  </w:num>
  <w:num w:numId="5" w16cid:durableId="1710492474">
    <w:abstractNumId w:val="14"/>
  </w:num>
  <w:num w:numId="6" w16cid:durableId="1141773185">
    <w:abstractNumId w:val="24"/>
  </w:num>
  <w:num w:numId="7" w16cid:durableId="486676176">
    <w:abstractNumId w:val="32"/>
  </w:num>
  <w:num w:numId="8" w16cid:durableId="25719394">
    <w:abstractNumId w:val="14"/>
  </w:num>
  <w:num w:numId="9" w16cid:durableId="1717196031">
    <w:abstractNumId w:val="9"/>
  </w:num>
  <w:num w:numId="10" w16cid:durableId="1656228215">
    <w:abstractNumId w:val="7"/>
  </w:num>
  <w:num w:numId="11" w16cid:durableId="65343431">
    <w:abstractNumId w:val="6"/>
  </w:num>
  <w:num w:numId="12" w16cid:durableId="1658606316">
    <w:abstractNumId w:val="5"/>
  </w:num>
  <w:num w:numId="13" w16cid:durableId="1814903581">
    <w:abstractNumId w:val="4"/>
  </w:num>
  <w:num w:numId="14" w16cid:durableId="1947690185">
    <w:abstractNumId w:val="8"/>
  </w:num>
  <w:num w:numId="15" w16cid:durableId="973365792">
    <w:abstractNumId w:val="3"/>
  </w:num>
  <w:num w:numId="16" w16cid:durableId="1465080292">
    <w:abstractNumId w:val="2"/>
  </w:num>
  <w:num w:numId="17" w16cid:durableId="1484809891">
    <w:abstractNumId w:val="1"/>
  </w:num>
  <w:num w:numId="18" w16cid:durableId="1251701662">
    <w:abstractNumId w:val="0"/>
  </w:num>
  <w:num w:numId="19" w16cid:durableId="1456869133">
    <w:abstractNumId w:val="12"/>
  </w:num>
  <w:num w:numId="20" w16cid:durableId="692994676">
    <w:abstractNumId w:val="16"/>
  </w:num>
  <w:num w:numId="21" w16cid:durableId="1910845190">
    <w:abstractNumId w:val="38"/>
  </w:num>
  <w:num w:numId="22" w16cid:durableId="2089955229">
    <w:abstractNumId w:val="10"/>
  </w:num>
  <w:num w:numId="23" w16cid:durableId="400517265">
    <w:abstractNumId w:val="39"/>
  </w:num>
  <w:num w:numId="24" w16cid:durableId="1023097825">
    <w:abstractNumId w:val="26"/>
  </w:num>
  <w:num w:numId="25" w16cid:durableId="1576167816">
    <w:abstractNumId w:val="22"/>
  </w:num>
  <w:num w:numId="26" w16cid:durableId="337587095">
    <w:abstractNumId w:val="18"/>
  </w:num>
  <w:num w:numId="27" w16cid:durableId="2104837720">
    <w:abstractNumId w:val="37"/>
  </w:num>
  <w:num w:numId="28" w16cid:durableId="1755080245">
    <w:abstractNumId w:val="31"/>
  </w:num>
  <w:num w:numId="29" w16cid:durableId="596332172">
    <w:abstractNumId w:val="29"/>
  </w:num>
  <w:num w:numId="30" w16cid:durableId="1225605301">
    <w:abstractNumId w:val="33"/>
  </w:num>
  <w:num w:numId="31" w16cid:durableId="776369756">
    <w:abstractNumId w:val="36"/>
  </w:num>
  <w:num w:numId="32" w16cid:durableId="1130826257">
    <w:abstractNumId w:val="11"/>
  </w:num>
  <w:num w:numId="33" w16cid:durableId="902562340">
    <w:abstractNumId w:val="34"/>
  </w:num>
  <w:num w:numId="34" w16cid:durableId="1524785003">
    <w:abstractNumId w:val="25"/>
  </w:num>
  <w:num w:numId="35" w16cid:durableId="1408574290">
    <w:abstractNumId w:val="19"/>
  </w:num>
  <w:num w:numId="36" w16cid:durableId="338042718">
    <w:abstractNumId w:val="17"/>
  </w:num>
  <w:num w:numId="37" w16cid:durableId="1296568547">
    <w:abstractNumId w:val="35"/>
  </w:num>
  <w:num w:numId="38" w16cid:durableId="1747915881">
    <w:abstractNumId w:val="28"/>
  </w:num>
  <w:num w:numId="39" w16cid:durableId="2054190986">
    <w:abstractNumId w:val="27"/>
  </w:num>
  <w:num w:numId="40" w16cid:durableId="540243252">
    <w:abstractNumId w:val="23"/>
  </w:num>
  <w:num w:numId="41" w16cid:durableId="372434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trackedChanges"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0D517D2-5911-4768-B8FC-9C3FFBDF390C}"/>
    <w:docVar w:name="dgnword-eventsink" w:val="2371712331024"/>
  </w:docVars>
  <w:rsids>
    <w:rsidRoot w:val="002D30B2"/>
    <w:rsid w:val="00000D68"/>
    <w:rsid w:val="00001478"/>
    <w:rsid w:val="00006426"/>
    <w:rsid w:val="00007539"/>
    <w:rsid w:val="00011B52"/>
    <w:rsid w:val="000157C6"/>
    <w:rsid w:val="0001590C"/>
    <w:rsid w:val="000218E5"/>
    <w:rsid w:val="00022A46"/>
    <w:rsid w:val="0002468B"/>
    <w:rsid w:val="000251F4"/>
    <w:rsid w:val="000263C9"/>
    <w:rsid w:val="000308CA"/>
    <w:rsid w:val="00031090"/>
    <w:rsid w:val="000319E3"/>
    <w:rsid w:val="00031BDF"/>
    <w:rsid w:val="000345D0"/>
    <w:rsid w:val="00034F8F"/>
    <w:rsid w:val="00035321"/>
    <w:rsid w:val="0003582F"/>
    <w:rsid w:val="000378B6"/>
    <w:rsid w:val="00037A8F"/>
    <w:rsid w:val="00041160"/>
    <w:rsid w:val="000412AF"/>
    <w:rsid w:val="000438FA"/>
    <w:rsid w:val="000442F7"/>
    <w:rsid w:val="00047228"/>
    <w:rsid w:val="00047838"/>
    <w:rsid w:val="00050A88"/>
    <w:rsid w:val="00050ADA"/>
    <w:rsid w:val="0005239B"/>
    <w:rsid w:val="00053037"/>
    <w:rsid w:val="000535B4"/>
    <w:rsid w:val="0005489F"/>
    <w:rsid w:val="00054BD7"/>
    <w:rsid w:val="000561D7"/>
    <w:rsid w:val="0005645A"/>
    <w:rsid w:val="00056FF0"/>
    <w:rsid w:val="000631D3"/>
    <w:rsid w:val="000636B1"/>
    <w:rsid w:val="00066664"/>
    <w:rsid w:val="000678AA"/>
    <w:rsid w:val="00067B56"/>
    <w:rsid w:val="00067FDE"/>
    <w:rsid w:val="000706DC"/>
    <w:rsid w:val="0007431C"/>
    <w:rsid w:val="00075889"/>
    <w:rsid w:val="0008365C"/>
    <w:rsid w:val="00083C92"/>
    <w:rsid w:val="00083FFC"/>
    <w:rsid w:val="00084B55"/>
    <w:rsid w:val="0008554A"/>
    <w:rsid w:val="00085671"/>
    <w:rsid w:val="00085825"/>
    <w:rsid w:val="000873E6"/>
    <w:rsid w:val="00087B66"/>
    <w:rsid w:val="000906DE"/>
    <w:rsid w:val="00093DD2"/>
    <w:rsid w:val="00096878"/>
    <w:rsid w:val="000A02C5"/>
    <w:rsid w:val="000A0C63"/>
    <w:rsid w:val="000A0DD5"/>
    <w:rsid w:val="000A13FD"/>
    <w:rsid w:val="000A148B"/>
    <w:rsid w:val="000A272B"/>
    <w:rsid w:val="000A2817"/>
    <w:rsid w:val="000A2848"/>
    <w:rsid w:val="000A2A59"/>
    <w:rsid w:val="000A3604"/>
    <w:rsid w:val="000A43DC"/>
    <w:rsid w:val="000A595C"/>
    <w:rsid w:val="000B023B"/>
    <w:rsid w:val="000B1CA8"/>
    <w:rsid w:val="000B2168"/>
    <w:rsid w:val="000B2225"/>
    <w:rsid w:val="000B3432"/>
    <w:rsid w:val="000B4D75"/>
    <w:rsid w:val="000B58DB"/>
    <w:rsid w:val="000B6378"/>
    <w:rsid w:val="000B7135"/>
    <w:rsid w:val="000B742B"/>
    <w:rsid w:val="000C1491"/>
    <w:rsid w:val="000C26E0"/>
    <w:rsid w:val="000C6005"/>
    <w:rsid w:val="000C6513"/>
    <w:rsid w:val="000C7DB2"/>
    <w:rsid w:val="000D01E0"/>
    <w:rsid w:val="000D0D7D"/>
    <w:rsid w:val="000D2345"/>
    <w:rsid w:val="000D2A64"/>
    <w:rsid w:val="000D2A67"/>
    <w:rsid w:val="000D3109"/>
    <w:rsid w:val="000D4B1E"/>
    <w:rsid w:val="000D56FF"/>
    <w:rsid w:val="000D78DD"/>
    <w:rsid w:val="000E0656"/>
    <w:rsid w:val="000E2A49"/>
    <w:rsid w:val="000E4005"/>
    <w:rsid w:val="000E4280"/>
    <w:rsid w:val="000E521E"/>
    <w:rsid w:val="000E5A13"/>
    <w:rsid w:val="000F043F"/>
    <w:rsid w:val="000F1746"/>
    <w:rsid w:val="000F271F"/>
    <w:rsid w:val="000F2A0F"/>
    <w:rsid w:val="000F4DE5"/>
    <w:rsid w:val="000F63DA"/>
    <w:rsid w:val="000F6B44"/>
    <w:rsid w:val="000F7CC9"/>
    <w:rsid w:val="00100A7C"/>
    <w:rsid w:val="00102488"/>
    <w:rsid w:val="00104C52"/>
    <w:rsid w:val="00105675"/>
    <w:rsid w:val="00105CE9"/>
    <w:rsid w:val="00106BA6"/>
    <w:rsid w:val="00107162"/>
    <w:rsid w:val="0010794B"/>
    <w:rsid w:val="001115C2"/>
    <w:rsid w:val="001123B4"/>
    <w:rsid w:val="00112E29"/>
    <w:rsid w:val="00113241"/>
    <w:rsid w:val="00114A14"/>
    <w:rsid w:val="0011588C"/>
    <w:rsid w:val="00116EDD"/>
    <w:rsid w:val="00126745"/>
    <w:rsid w:val="001276AA"/>
    <w:rsid w:val="00127A65"/>
    <w:rsid w:val="00131FCE"/>
    <w:rsid w:val="00132545"/>
    <w:rsid w:val="001326CC"/>
    <w:rsid w:val="00133074"/>
    <w:rsid w:val="001351C9"/>
    <w:rsid w:val="00140939"/>
    <w:rsid w:val="00140D78"/>
    <w:rsid w:val="001414B4"/>
    <w:rsid w:val="00143357"/>
    <w:rsid w:val="00143EC2"/>
    <w:rsid w:val="00144137"/>
    <w:rsid w:val="00144663"/>
    <w:rsid w:val="00144A09"/>
    <w:rsid w:val="001462D7"/>
    <w:rsid w:val="00146C5C"/>
    <w:rsid w:val="00146FC8"/>
    <w:rsid w:val="00147683"/>
    <w:rsid w:val="001512C0"/>
    <w:rsid w:val="0015227A"/>
    <w:rsid w:val="00156849"/>
    <w:rsid w:val="00157175"/>
    <w:rsid w:val="00161E57"/>
    <w:rsid w:val="001625D2"/>
    <w:rsid w:val="0016432B"/>
    <w:rsid w:val="001643AF"/>
    <w:rsid w:val="001651E8"/>
    <w:rsid w:val="001651F7"/>
    <w:rsid w:val="00165518"/>
    <w:rsid w:val="00166089"/>
    <w:rsid w:val="00166FC1"/>
    <w:rsid w:val="001677FE"/>
    <w:rsid w:val="00167A16"/>
    <w:rsid w:val="001722AC"/>
    <w:rsid w:val="001728C6"/>
    <w:rsid w:val="00172F37"/>
    <w:rsid w:val="00173083"/>
    <w:rsid w:val="00173BEA"/>
    <w:rsid w:val="0017514E"/>
    <w:rsid w:val="00176871"/>
    <w:rsid w:val="00176C28"/>
    <w:rsid w:val="00176EF6"/>
    <w:rsid w:val="00177862"/>
    <w:rsid w:val="001813BF"/>
    <w:rsid w:val="001813DE"/>
    <w:rsid w:val="001819CA"/>
    <w:rsid w:val="00185E47"/>
    <w:rsid w:val="00186F7A"/>
    <w:rsid w:val="00190CE1"/>
    <w:rsid w:val="00192EF8"/>
    <w:rsid w:val="00193A6C"/>
    <w:rsid w:val="00194C94"/>
    <w:rsid w:val="00197F43"/>
    <w:rsid w:val="001A037F"/>
    <w:rsid w:val="001A43A3"/>
    <w:rsid w:val="001A4B93"/>
    <w:rsid w:val="001B0533"/>
    <w:rsid w:val="001B0752"/>
    <w:rsid w:val="001B2DC0"/>
    <w:rsid w:val="001B318D"/>
    <w:rsid w:val="001B554A"/>
    <w:rsid w:val="001B5974"/>
    <w:rsid w:val="001B66AA"/>
    <w:rsid w:val="001B6DE4"/>
    <w:rsid w:val="001B6DF9"/>
    <w:rsid w:val="001C11D7"/>
    <w:rsid w:val="001C191F"/>
    <w:rsid w:val="001C4EAB"/>
    <w:rsid w:val="001C4F9B"/>
    <w:rsid w:val="001C6095"/>
    <w:rsid w:val="001C6E74"/>
    <w:rsid w:val="001C7035"/>
    <w:rsid w:val="001C7B6C"/>
    <w:rsid w:val="001D275A"/>
    <w:rsid w:val="001D2DB3"/>
    <w:rsid w:val="001D3D62"/>
    <w:rsid w:val="001D4161"/>
    <w:rsid w:val="001D5E01"/>
    <w:rsid w:val="001D61D5"/>
    <w:rsid w:val="001D73FD"/>
    <w:rsid w:val="001E11D6"/>
    <w:rsid w:val="001E21C9"/>
    <w:rsid w:val="001E2F66"/>
    <w:rsid w:val="001E486E"/>
    <w:rsid w:val="001E6B7D"/>
    <w:rsid w:val="001E794F"/>
    <w:rsid w:val="001E7E6F"/>
    <w:rsid w:val="001E7F06"/>
    <w:rsid w:val="001F2EDC"/>
    <w:rsid w:val="001F41A3"/>
    <w:rsid w:val="001F4544"/>
    <w:rsid w:val="001F61DB"/>
    <w:rsid w:val="0020129D"/>
    <w:rsid w:val="002021B0"/>
    <w:rsid w:val="00203D75"/>
    <w:rsid w:val="00204394"/>
    <w:rsid w:val="00206104"/>
    <w:rsid w:val="0020635F"/>
    <w:rsid w:val="00207DFC"/>
    <w:rsid w:val="00210B45"/>
    <w:rsid w:val="002118E5"/>
    <w:rsid w:val="00214A7B"/>
    <w:rsid w:val="00214E2E"/>
    <w:rsid w:val="002160B8"/>
    <w:rsid w:val="0021644B"/>
    <w:rsid w:val="00216E5D"/>
    <w:rsid w:val="00216FDC"/>
    <w:rsid w:val="0021782A"/>
    <w:rsid w:val="00222E4E"/>
    <w:rsid w:val="00223676"/>
    <w:rsid w:val="00224813"/>
    <w:rsid w:val="00224E1C"/>
    <w:rsid w:val="00226CE0"/>
    <w:rsid w:val="00226F58"/>
    <w:rsid w:val="0022713D"/>
    <w:rsid w:val="00230917"/>
    <w:rsid w:val="00235142"/>
    <w:rsid w:val="00235B98"/>
    <w:rsid w:val="0023687C"/>
    <w:rsid w:val="002405DC"/>
    <w:rsid w:val="00240D18"/>
    <w:rsid w:val="002434A7"/>
    <w:rsid w:val="00245273"/>
    <w:rsid w:val="002469D5"/>
    <w:rsid w:val="00246CA2"/>
    <w:rsid w:val="00247289"/>
    <w:rsid w:val="00251120"/>
    <w:rsid w:val="002537CF"/>
    <w:rsid w:val="00253FFC"/>
    <w:rsid w:val="00254DE2"/>
    <w:rsid w:val="00255783"/>
    <w:rsid w:val="00255C89"/>
    <w:rsid w:val="00256D17"/>
    <w:rsid w:val="00256F47"/>
    <w:rsid w:val="002613D3"/>
    <w:rsid w:val="00261DA4"/>
    <w:rsid w:val="002622E9"/>
    <w:rsid w:val="00266B5B"/>
    <w:rsid w:val="0026783F"/>
    <w:rsid w:val="00267E29"/>
    <w:rsid w:val="00270578"/>
    <w:rsid w:val="00270902"/>
    <w:rsid w:val="00270A94"/>
    <w:rsid w:val="00271C19"/>
    <w:rsid w:val="00274758"/>
    <w:rsid w:val="00276072"/>
    <w:rsid w:val="00281766"/>
    <w:rsid w:val="0028227D"/>
    <w:rsid w:val="00282B5E"/>
    <w:rsid w:val="002864F6"/>
    <w:rsid w:val="002870B8"/>
    <w:rsid w:val="00290E3D"/>
    <w:rsid w:val="002912E2"/>
    <w:rsid w:val="00291D72"/>
    <w:rsid w:val="0029262D"/>
    <w:rsid w:val="00293F50"/>
    <w:rsid w:val="0029490F"/>
    <w:rsid w:val="00294EEB"/>
    <w:rsid w:val="002961E8"/>
    <w:rsid w:val="002A4079"/>
    <w:rsid w:val="002A53C6"/>
    <w:rsid w:val="002A71D5"/>
    <w:rsid w:val="002A7EA6"/>
    <w:rsid w:val="002B00F7"/>
    <w:rsid w:val="002B0BA4"/>
    <w:rsid w:val="002B380B"/>
    <w:rsid w:val="002B3EE7"/>
    <w:rsid w:val="002B4A9B"/>
    <w:rsid w:val="002B6238"/>
    <w:rsid w:val="002B7366"/>
    <w:rsid w:val="002C19F9"/>
    <w:rsid w:val="002C228B"/>
    <w:rsid w:val="002C2AC4"/>
    <w:rsid w:val="002C2B72"/>
    <w:rsid w:val="002C3BDE"/>
    <w:rsid w:val="002C427B"/>
    <w:rsid w:val="002C438B"/>
    <w:rsid w:val="002C5234"/>
    <w:rsid w:val="002C5C1C"/>
    <w:rsid w:val="002C636F"/>
    <w:rsid w:val="002C702A"/>
    <w:rsid w:val="002C749C"/>
    <w:rsid w:val="002C7739"/>
    <w:rsid w:val="002D0198"/>
    <w:rsid w:val="002D10F6"/>
    <w:rsid w:val="002D1144"/>
    <w:rsid w:val="002D18F3"/>
    <w:rsid w:val="002D1E83"/>
    <w:rsid w:val="002D248B"/>
    <w:rsid w:val="002D30B2"/>
    <w:rsid w:val="002D4933"/>
    <w:rsid w:val="002D58DA"/>
    <w:rsid w:val="002D652F"/>
    <w:rsid w:val="002E010F"/>
    <w:rsid w:val="002E101E"/>
    <w:rsid w:val="002E2C20"/>
    <w:rsid w:val="002E2CC3"/>
    <w:rsid w:val="002E4A47"/>
    <w:rsid w:val="002E62D4"/>
    <w:rsid w:val="002E7006"/>
    <w:rsid w:val="002F013E"/>
    <w:rsid w:val="002F07FA"/>
    <w:rsid w:val="002F0F87"/>
    <w:rsid w:val="002F1986"/>
    <w:rsid w:val="002F2B90"/>
    <w:rsid w:val="002F3415"/>
    <w:rsid w:val="002F3DCE"/>
    <w:rsid w:val="002F4918"/>
    <w:rsid w:val="002F52B7"/>
    <w:rsid w:val="002F6ED2"/>
    <w:rsid w:val="002F7784"/>
    <w:rsid w:val="002F7DAE"/>
    <w:rsid w:val="002F7E33"/>
    <w:rsid w:val="00303251"/>
    <w:rsid w:val="003056BD"/>
    <w:rsid w:val="00306288"/>
    <w:rsid w:val="0030651C"/>
    <w:rsid w:val="003067E9"/>
    <w:rsid w:val="00310875"/>
    <w:rsid w:val="0031246C"/>
    <w:rsid w:val="00314507"/>
    <w:rsid w:val="00316A6F"/>
    <w:rsid w:val="00317FF2"/>
    <w:rsid w:val="00323163"/>
    <w:rsid w:val="003232CF"/>
    <w:rsid w:val="003243D7"/>
    <w:rsid w:val="0032489F"/>
    <w:rsid w:val="00330352"/>
    <w:rsid w:val="0033175E"/>
    <w:rsid w:val="00332671"/>
    <w:rsid w:val="00332D41"/>
    <w:rsid w:val="003332D0"/>
    <w:rsid w:val="00334A7F"/>
    <w:rsid w:val="00335248"/>
    <w:rsid w:val="003354E0"/>
    <w:rsid w:val="00337CCB"/>
    <w:rsid w:val="00341C40"/>
    <w:rsid w:val="0034555F"/>
    <w:rsid w:val="003456B2"/>
    <w:rsid w:val="00346AEF"/>
    <w:rsid w:val="00347248"/>
    <w:rsid w:val="00350194"/>
    <w:rsid w:val="00353A1E"/>
    <w:rsid w:val="00354F7B"/>
    <w:rsid w:val="0035624B"/>
    <w:rsid w:val="0036096E"/>
    <w:rsid w:val="00360FF7"/>
    <w:rsid w:val="00361E26"/>
    <w:rsid w:val="00361E65"/>
    <w:rsid w:val="003638AF"/>
    <w:rsid w:val="003639C1"/>
    <w:rsid w:val="00363BA3"/>
    <w:rsid w:val="00365BC1"/>
    <w:rsid w:val="00365CD3"/>
    <w:rsid w:val="00367F73"/>
    <w:rsid w:val="00370CE8"/>
    <w:rsid w:val="00371059"/>
    <w:rsid w:val="00371C6D"/>
    <w:rsid w:val="003727ED"/>
    <w:rsid w:val="0037384D"/>
    <w:rsid w:val="0037536F"/>
    <w:rsid w:val="00375D01"/>
    <w:rsid w:val="00376184"/>
    <w:rsid w:val="00381C9C"/>
    <w:rsid w:val="00382A88"/>
    <w:rsid w:val="003830E5"/>
    <w:rsid w:val="003842BF"/>
    <w:rsid w:val="00384646"/>
    <w:rsid w:val="00386C52"/>
    <w:rsid w:val="0039190C"/>
    <w:rsid w:val="00391A14"/>
    <w:rsid w:val="00391E9A"/>
    <w:rsid w:val="00392000"/>
    <w:rsid w:val="003931AB"/>
    <w:rsid w:val="00393AE0"/>
    <w:rsid w:val="00394D0D"/>
    <w:rsid w:val="00395075"/>
    <w:rsid w:val="00395640"/>
    <w:rsid w:val="00395E48"/>
    <w:rsid w:val="00396F84"/>
    <w:rsid w:val="003A0D22"/>
    <w:rsid w:val="003A1118"/>
    <w:rsid w:val="003A158D"/>
    <w:rsid w:val="003A1A5B"/>
    <w:rsid w:val="003A4623"/>
    <w:rsid w:val="003A5739"/>
    <w:rsid w:val="003A5B4D"/>
    <w:rsid w:val="003A760B"/>
    <w:rsid w:val="003B5403"/>
    <w:rsid w:val="003B5835"/>
    <w:rsid w:val="003B6B2B"/>
    <w:rsid w:val="003B70C1"/>
    <w:rsid w:val="003B7E44"/>
    <w:rsid w:val="003C0F08"/>
    <w:rsid w:val="003C1DC6"/>
    <w:rsid w:val="003C2467"/>
    <w:rsid w:val="003C3E89"/>
    <w:rsid w:val="003C4271"/>
    <w:rsid w:val="003C726F"/>
    <w:rsid w:val="003C77F3"/>
    <w:rsid w:val="003D00D7"/>
    <w:rsid w:val="003D1620"/>
    <w:rsid w:val="003D1A09"/>
    <w:rsid w:val="003D2A51"/>
    <w:rsid w:val="003D574C"/>
    <w:rsid w:val="003D58E4"/>
    <w:rsid w:val="003D5C96"/>
    <w:rsid w:val="003D6316"/>
    <w:rsid w:val="003E036B"/>
    <w:rsid w:val="003E0A13"/>
    <w:rsid w:val="003E0B3E"/>
    <w:rsid w:val="003E2594"/>
    <w:rsid w:val="003E3672"/>
    <w:rsid w:val="003E687A"/>
    <w:rsid w:val="003E6D6D"/>
    <w:rsid w:val="003E6D7A"/>
    <w:rsid w:val="003F0FEF"/>
    <w:rsid w:val="003F3B18"/>
    <w:rsid w:val="003F3F6D"/>
    <w:rsid w:val="003F4B18"/>
    <w:rsid w:val="003F607C"/>
    <w:rsid w:val="003F7680"/>
    <w:rsid w:val="00400BA0"/>
    <w:rsid w:val="00400D4D"/>
    <w:rsid w:val="0040461F"/>
    <w:rsid w:val="00404940"/>
    <w:rsid w:val="0040529C"/>
    <w:rsid w:val="00406C85"/>
    <w:rsid w:val="00407882"/>
    <w:rsid w:val="00407A97"/>
    <w:rsid w:val="00410399"/>
    <w:rsid w:val="0041120B"/>
    <w:rsid w:val="00411DF8"/>
    <w:rsid w:val="00414B2F"/>
    <w:rsid w:val="00414B89"/>
    <w:rsid w:val="00415729"/>
    <w:rsid w:val="00417BB1"/>
    <w:rsid w:val="0042025B"/>
    <w:rsid w:val="00420BF6"/>
    <w:rsid w:val="00421530"/>
    <w:rsid w:val="004220AF"/>
    <w:rsid w:val="0042220C"/>
    <w:rsid w:val="00423748"/>
    <w:rsid w:val="004238A3"/>
    <w:rsid w:val="00424CC6"/>
    <w:rsid w:val="00424EF6"/>
    <w:rsid w:val="00426275"/>
    <w:rsid w:val="00426D8A"/>
    <w:rsid w:val="0042738E"/>
    <w:rsid w:val="00430043"/>
    <w:rsid w:val="004306A6"/>
    <w:rsid w:val="00430E65"/>
    <w:rsid w:val="00433B07"/>
    <w:rsid w:val="00436D2A"/>
    <w:rsid w:val="00441B98"/>
    <w:rsid w:val="00443480"/>
    <w:rsid w:val="004440EF"/>
    <w:rsid w:val="004447CF"/>
    <w:rsid w:val="004458B4"/>
    <w:rsid w:val="00446204"/>
    <w:rsid w:val="004464A0"/>
    <w:rsid w:val="00446877"/>
    <w:rsid w:val="004468B6"/>
    <w:rsid w:val="00450D76"/>
    <w:rsid w:val="0045118E"/>
    <w:rsid w:val="0045146E"/>
    <w:rsid w:val="00451A0F"/>
    <w:rsid w:val="004528F0"/>
    <w:rsid w:val="00452966"/>
    <w:rsid w:val="0045532B"/>
    <w:rsid w:val="00455455"/>
    <w:rsid w:val="004558FA"/>
    <w:rsid w:val="004559EF"/>
    <w:rsid w:val="00455FFD"/>
    <w:rsid w:val="00456893"/>
    <w:rsid w:val="00456F90"/>
    <w:rsid w:val="00460481"/>
    <w:rsid w:val="00460A32"/>
    <w:rsid w:val="00461811"/>
    <w:rsid w:val="004619AD"/>
    <w:rsid w:val="00462F02"/>
    <w:rsid w:val="00465287"/>
    <w:rsid w:val="00466749"/>
    <w:rsid w:val="004714B5"/>
    <w:rsid w:val="00471682"/>
    <w:rsid w:val="004726BC"/>
    <w:rsid w:val="00472DE0"/>
    <w:rsid w:val="00472F38"/>
    <w:rsid w:val="00474D43"/>
    <w:rsid w:val="0047599C"/>
    <w:rsid w:val="00477478"/>
    <w:rsid w:val="00480154"/>
    <w:rsid w:val="0048085B"/>
    <w:rsid w:val="00482188"/>
    <w:rsid w:val="00482355"/>
    <w:rsid w:val="00483F09"/>
    <w:rsid w:val="00484748"/>
    <w:rsid w:val="00484F09"/>
    <w:rsid w:val="00485F23"/>
    <w:rsid w:val="00486867"/>
    <w:rsid w:val="00493047"/>
    <w:rsid w:val="00493C69"/>
    <w:rsid w:val="004941A6"/>
    <w:rsid w:val="00494F07"/>
    <w:rsid w:val="00495354"/>
    <w:rsid w:val="00495A2A"/>
    <w:rsid w:val="00496558"/>
    <w:rsid w:val="0049681C"/>
    <w:rsid w:val="004970D6"/>
    <w:rsid w:val="004979B4"/>
    <w:rsid w:val="00497BB4"/>
    <w:rsid w:val="004A069A"/>
    <w:rsid w:val="004A0757"/>
    <w:rsid w:val="004A0D6A"/>
    <w:rsid w:val="004A1960"/>
    <w:rsid w:val="004A1E5E"/>
    <w:rsid w:val="004A3CB2"/>
    <w:rsid w:val="004A52E5"/>
    <w:rsid w:val="004A581F"/>
    <w:rsid w:val="004A5F95"/>
    <w:rsid w:val="004A66FD"/>
    <w:rsid w:val="004A728E"/>
    <w:rsid w:val="004A7D25"/>
    <w:rsid w:val="004B0435"/>
    <w:rsid w:val="004B059E"/>
    <w:rsid w:val="004B6AF5"/>
    <w:rsid w:val="004C03ED"/>
    <w:rsid w:val="004C1079"/>
    <w:rsid w:val="004C56D9"/>
    <w:rsid w:val="004C5CEF"/>
    <w:rsid w:val="004C63B3"/>
    <w:rsid w:val="004C6DF4"/>
    <w:rsid w:val="004C6FF1"/>
    <w:rsid w:val="004D0162"/>
    <w:rsid w:val="004D1693"/>
    <w:rsid w:val="004D2D87"/>
    <w:rsid w:val="004D3F8B"/>
    <w:rsid w:val="004D43E7"/>
    <w:rsid w:val="004D4A6D"/>
    <w:rsid w:val="004D5EA3"/>
    <w:rsid w:val="004D6EB1"/>
    <w:rsid w:val="004D70CF"/>
    <w:rsid w:val="004D7F81"/>
    <w:rsid w:val="004E0CF1"/>
    <w:rsid w:val="004E510D"/>
    <w:rsid w:val="004E6E21"/>
    <w:rsid w:val="004E7913"/>
    <w:rsid w:val="004E7AFB"/>
    <w:rsid w:val="004E7D34"/>
    <w:rsid w:val="004F111C"/>
    <w:rsid w:val="004F2DBF"/>
    <w:rsid w:val="004F4506"/>
    <w:rsid w:val="004F5F58"/>
    <w:rsid w:val="005013E3"/>
    <w:rsid w:val="0050253A"/>
    <w:rsid w:val="005079EF"/>
    <w:rsid w:val="005100EB"/>
    <w:rsid w:val="00510514"/>
    <w:rsid w:val="0051097E"/>
    <w:rsid w:val="0051370B"/>
    <w:rsid w:val="00515A79"/>
    <w:rsid w:val="00515BEA"/>
    <w:rsid w:val="00516089"/>
    <w:rsid w:val="00516CC7"/>
    <w:rsid w:val="00521016"/>
    <w:rsid w:val="005216FA"/>
    <w:rsid w:val="00522877"/>
    <w:rsid w:val="005230BD"/>
    <w:rsid w:val="0052457E"/>
    <w:rsid w:val="005311A1"/>
    <w:rsid w:val="005315BF"/>
    <w:rsid w:val="005318AB"/>
    <w:rsid w:val="00531F3B"/>
    <w:rsid w:val="0053286C"/>
    <w:rsid w:val="005334C6"/>
    <w:rsid w:val="00533531"/>
    <w:rsid w:val="00533798"/>
    <w:rsid w:val="005343F1"/>
    <w:rsid w:val="005374FB"/>
    <w:rsid w:val="00537914"/>
    <w:rsid w:val="005400FC"/>
    <w:rsid w:val="0054199F"/>
    <w:rsid w:val="005430A4"/>
    <w:rsid w:val="00544EB5"/>
    <w:rsid w:val="0054516B"/>
    <w:rsid w:val="005505E4"/>
    <w:rsid w:val="00553732"/>
    <w:rsid w:val="0056054A"/>
    <w:rsid w:val="005626FE"/>
    <w:rsid w:val="0056468C"/>
    <w:rsid w:val="00565531"/>
    <w:rsid w:val="005670A6"/>
    <w:rsid w:val="00570473"/>
    <w:rsid w:val="00571957"/>
    <w:rsid w:val="00571F5A"/>
    <w:rsid w:val="005720C5"/>
    <w:rsid w:val="00572321"/>
    <w:rsid w:val="00572C1E"/>
    <w:rsid w:val="005745FC"/>
    <w:rsid w:val="00574C24"/>
    <w:rsid w:val="00574E44"/>
    <w:rsid w:val="00576032"/>
    <w:rsid w:val="00577093"/>
    <w:rsid w:val="0057736C"/>
    <w:rsid w:val="005800E5"/>
    <w:rsid w:val="0058115A"/>
    <w:rsid w:val="00581CE6"/>
    <w:rsid w:val="0058293A"/>
    <w:rsid w:val="00582C2F"/>
    <w:rsid w:val="00585D42"/>
    <w:rsid w:val="00591E92"/>
    <w:rsid w:val="00592CE5"/>
    <w:rsid w:val="00593F22"/>
    <w:rsid w:val="00594A07"/>
    <w:rsid w:val="005950B4"/>
    <w:rsid w:val="0059620D"/>
    <w:rsid w:val="005977CD"/>
    <w:rsid w:val="005A0F62"/>
    <w:rsid w:val="005A1283"/>
    <w:rsid w:val="005A266D"/>
    <w:rsid w:val="005A354E"/>
    <w:rsid w:val="005A3E38"/>
    <w:rsid w:val="005A62FD"/>
    <w:rsid w:val="005A7471"/>
    <w:rsid w:val="005A7629"/>
    <w:rsid w:val="005A792B"/>
    <w:rsid w:val="005B0A1A"/>
    <w:rsid w:val="005B0A4F"/>
    <w:rsid w:val="005B1525"/>
    <w:rsid w:val="005B2609"/>
    <w:rsid w:val="005B37D0"/>
    <w:rsid w:val="005B6033"/>
    <w:rsid w:val="005B6795"/>
    <w:rsid w:val="005B6EE9"/>
    <w:rsid w:val="005B71C9"/>
    <w:rsid w:val="005C0A94"/>
    <w:rsid w:val="005C21B0"/>
    <w:rsid w:val="005C462F"/>
    <w:rsid w:val="005C6C92"/>
    <w:rsid w:val="005C733A"/>
    <w:rsid w:val="005D1849"/>
    <w:rsid w:val="005D3FEE"/>
    <w:rsid w:val="005D48C1"/>
    <w:rsid w:val="005D4D95"/>
    <w:rsid w:val="005D5CF4"/>
    <w:rsid w:val="005E0EF3"/>
    <w:rsid w:val="005E2868"/>
    <w:rsid w:val="005E3D2F"/>
    <w:rsid w:val="005E7408"/>
    <w:rsid w:val="005E76B0"/>
    <w:rsid w:val="005F3CFA"/>
    <w:rsid w:val="005F4BE4"/>
    <w:rsid w:val="005F4D05"/>
    <w:rsid w:val="005F530E"/>
    <w:rsid w:val="005F57C0"/>
    <w:rsid w:val="005F5B03"/>
    <w:rsid w:val="005F78AC"/>
    <w:rsid w:val="005F7E51"/>
    <w:rsid w:val="00601CD7"/>
    <w:rsid w:val="00602C8D"/>
    <w:rsid w:val="00602E93"/>
    <w:rsid w:val="0060333E"/>
    <w:rsid w:val="00605314"/>
    <w:rsid w:val="00605F76"/>
    <w:rsid w:val="0060652D"/>
    <w:rsid w:val="00606707"/>
    <w:rsid w:val="0061010A"/>
    <w:rsid w:val="00612D0E"/>
    <w:rsid w:val="00613172"/>
    <w:rsid w:val="00617836"/>
    <w:rsid w:val="00617935"/>
    <w:rsid w:val="0062080A"/>
    <w:rsid w:val="00622DA5"/>
    <w:rsid w:val="006235DA"/>
    <w:rsid w:val="00625B91"/>
    <w:rsid w:val="00625F19"/>
    <w:rsid w:val="00630BF4"/>
    <w:rsid w:val="0063243E"/>
    <w:rsid w:val="00632E89"/>
    <w:rsid w:val="006333B4"/>
    <w:rsid w:val="00641DFC"/>
    <w:rsid w:val="00641F53"/>
    <w:rsid w:val="006423DF"/>
    <w:rsid w:val="00642C78"/>
    <w:rsid w:val="00643D77"/>
    <w:rsid w:val="00652BA5"/>
    <w:rsid w:val="006530B0"/>
    <w:rsid w:val="0065337A"/>
    <w:rsid w:val="00653D37"/>
    <w:rsid w:val="006558F2"/>
    <w:rsid w:val="0065750A"/>
    <w:rsid w:val="00660CC6"/>
    <w:rsid w:val="006619EA"/>
    <w:rsid w:val="0066210D"/>
    <w:rsid w:val="00662ED8"/>
    <w:rsid w:val="00665C09"/>
    <w:rsid w:val="00665D99"/>
    <w:rsid w:val="006668E6"/>
    <w:rsid w:val="00670F03"/>
    <w:rsid w:val="006726CB"/>
    <w:rsid w:val="00672DE7"/>
    <w:rsid w:val="006732C1"/>
    <w:rsid w:val="006734DF"/>
    <w:rsid w:val="00674932"/>
    <w:rsid w:val="006754BA"/>
    <w:rsid w:val="0068074E"/>
    <w:rsid w:val="00680B5A"/>
    <w:rsid w:val="00681980"/>
    <w:rsid w:val="00683614"/>
    <w:rsid w:val="0068486A"/>
    <w:rsid w:val="00685906"/>
    <w:rsid w:val="00686B29"/>
    <w:rsid w:val="00692449"/>
    <w:rsid w:val="006939B2"/>
    <w:rsid w:val="00694A13"/>
    <w:rsid w:val="00694B81"/>
    <w:rsid w:val="00695818"/>
    <w:rsid w:val="0069771D"/>
    <w:rsid w:val="006A094D"/>
    <w:rsid w:val="006A0FD6"/>
    <w:rsid w:val="006A1906"/>
    <w:rsid w:val="006A3556"/>
    <w:rsid w:val="006A37D7"/>
    <w:rsid w:val="006A3EDD"/>
    <w:rsid w:val="006A4321"/>
    <w:rsid w:val="006A446A"/>
    <w:rsid w:val="006A4FD3"/>
    <w:rsid w:val="006A6266"/>
    <w:rsid w:val="006A730A"/>
    <w:rsid w:val="006A73FC"/>
    <w:rsid w:val="006A7678"/>
    <w:rsid w:val="006A7A4E"/>
    <w:rsid w:val="006B01B2"/>
    <w:rsid w:val="006B2457"/>
    <w:rsid w:val="006B3121"/>
    <w:rsid w:val="006C0649"/>
    <w:rsid w:val="006C121A"/>
    <w:rsid w:val="006C3CCC"/>
    <w:rsid w:val="006C58B9"/>
    <w:rsid w:val="006C673D"/>
    <w:rsid w:val="006C75ED"/>
    <w:rsid w:val="006C7963"/>
    <w:rsid w:val="006D18DF"/>
    <w:rsid w:val="006D1C7B"/>
    <w:rsid w:val="006D2A56"/>
    <w:rsid w:val="006D38F3"/>
    <w:rsid w:val="006D3D45"/>
    <w:rsid w:val="006D4652"/>
    <w:rsid w:val="006D630E"/>
    <w:rsid w:val="006D7C42"/>
    <w:rsid w:val="006E0AE1"/>
    <w:rsid w:val="006E0E9B"/>
    <w:rsid w:val="006E20EA"/>
    <w:rsid w:val="006E3B58"/>
    <w:rsid w:val="006E3CA9"/>
    <w:rsid w:val="006E3F98"/>
    <w:rsid w:val="006E5540"/>
    <w:rsid w:val="006E574E"/>
    <w:rsid w:val="006E6219"/>
    <w:rsid w:val="006F0013"/>
    <w:rsid w:val="006F2724"/>
    <w:rsid w:val="006F2DC7"/>
    <w:rsid w:val="006F31BA"/>
    <w:rsid w:val="006F6EB7"/>
    <w:rsid w:val="00700E73"/>
    <w:rsid w:val="007017A6"/>
    <w:rsid w:val="00702D68"/>
    <w:rsid w:val="00702F4D"/>
    <w:rsid w:val="00704135"/>
    <w:rsid w:val="007044F9"/>
    <w:rsid w:val="00705352"/>
    <w:rsid w:val="00705CF7"/>
    <w:rsid w:val="00707610"/>
    <w:rsid w:val="007100C1"/>
    <w:rsid w:val="007113F6"/>
    <w:rsid w:val="0071182F"/>
    <w:rsid w:val="00712469"/>
    <w:rsid w:val="007128F3"/>
    <w:rsid w:val="00713194"/>
    <w:rsid w:val="0071687D"/>
    <w:rsid w:val="007177A3"/>
    <w:rsid w:val="007177F7"/>
    <w:rsid w:val="00717BE8"/>
    <w:rsid w:val="00721383"/>
    <w:rsid w:val="00722F45"/>
    <w:rsid w:val="00724B10"/>
    <w:rsid w:val="0072557E"/>
    <w:rsid w:val="00726096"/>
    <w:rsid w:val="007270A5"/>
    <w:rsid w:val="007274BD"/>
    <w:rsid w:val="00727C4C"/>
    <w:rsid w:val="0073090A"/>
    <w:rsid w:val="007309DC"/>
    <w:rsid w:val="00731864"/>
    <w:rsid w:val="00731EFC"/>
    <w:rsid w:val="00732FBA"/>
    <w:rsid w:val="00732FC8"/>
    <w:rsid w:val="00733C45"/>
    <w:rsid w:val="00734CA6"/>
    <w:rsid w:val="00735945"/>
    <w:rsid w:val="0073673A"/>
    <w:rsid w:val="007374F6"/>
    <w:rsid w:val="007413E9"/>
    <w:rsid w:val="00741A8C"/>
    <w:rsid w:val="00743148"/>
    <w:rsid w:val="00750894"/>
    <w:rsid w:val="00750C5C"/>
    <w:rsid w:val="00751E47"/>
    <w:rsid w:val="007535B3"/>
    <w:rsid w:val="0075535D"/>
    <w:rsid w:val="0076052D"/>
    <w:rsid w:val="00761C19"/>
    <w:rsid w:val="007628EA"/>
    <w:rsid w:val="0076309C"/>
    <w:rsid w:val="0076397A"/>
    <w:rsid w:val="007670C7"/>
    <w:rsid w:val="00767FAB"/>
    <w:rsid w:val="007716BD"/>
    <w:rsid w:val="00774B13"/>
    <w:rsid w:val="007755BB"/>
    <w:rsid w:val="007756F4"/>
    <w:rsid w:val="00775762"/>
    <w:rsid w:val="007773D1"/>
    <w:rsid w:val="00780610"/>
    <w:rsid w:val="007813EC"/>
    <w:rsid w:val="007828FF"/>
    <w:rsid w:val="00782A06"/>
    <w:rsid w:val="007855A6"/>
    <w:rsid w:val="007863FD"/>
    <w:rsid w:val="00786DE2"/>
    <w:rsid w:val="00786E16"/>
    <w:rsid w:val="00790404"/>
    <w:rsid w:val="00790E79"/>
    <w:rsid w:val="00791AF8"/>
    <w:rsid w:val="00791EA6"/>
    <w:rsid w:val="00792FFC"/>
    <w:rsid w:val="007979D1"/>
    <w:rsid w:val="00797D74"/>
    <w:rsid w:val="00797DB7"/>
    <w:rsid w:val="007A078A"/>
    <w:rsid w:val="007A10C0"/>
    <w:rsid w:val="007A1C9C"/>
    <w:rsid w:val="007A31FE"/>
    <w:rsid w:val="007A5482"/>
    <w:rsid w:val="007A5CF8"/>
    <w:rsid w:val="007A6258"/>
    <w:rsid w:val="007A7087"/>
    <w:rsid w:val="007B0D07"/>
    <w:rsid w:val="007B12EE"/>
    <w:rsid w:val="007B2652"/>
    <w:rsid w:val="007B31E7"/>
    <w:rsid w:val="007B330E"/>
    <w:rsid w:val="007B3A2F"/>
    <w:rsid w:val="007B6EED"/>
    <w:rsid w:val="007B721C"/>
    <w:rsid w:val="007C0732"/>
    <w:rsid w:val="007C0D7F"/>
    <w:rsid w:val="007C182E"/>
    <w:rsid w:val="007C2840"/>
    <w:rsid w:val="007C2F14"/>
    <w:rsid w:val="007C310C"/>
    <w:rsid w:val="007C45A4"/>
    <w:rsid w:val="007C4FCA"/>
    <w:rsid w:val="007C5FBB"/>
    <w:rsid w:val="007C7046"/>
    <w:rsid w:val="007D09A9"/>
    <w:rsid w:val="007D2593"/>
    <w:rsid w:val="007D40F4"/>
    <w:rsid w:val="007D4297"/>
    <w:rsid w:val="007D4FC8"/>
    <w:rsid w:val="007E129F"/>
    <w:rsid w:val="007E2498"/>
    <w:rsid w:val="007E3645"/>
    <w:rsid w:val="007E412C"/>
    <w:rsid w:val="007E5418"/>
    <w:rsid w:val="007E7308"/>
    <w:rsid w:val="007E737A"/>
    <w:rsid w:val="007F1FF1"/>
    <w:rsid w:val="007F2226"/>
    <w:rsid w:val="007F2CC2"/>
    <w:rsid w:val="007F3369"/>
    <w:rsid w:val="007F3928"/>
    <w:rsid w:val="007F3D9D"/>
    <w:rsid w:val="007F4D0F"/>
    <w:rsid w:val="007F5BF9"/>
    <w:rsid w:val="00800672"/>
    <w:rsid w:val="00801EDE"/>
    <w:rsid w:val="0080365D"/>
    <w:rsid w:val="008037B0"/>
    <w:rsid w:val="00804C27"/>
    <w:rsid w:val="00805956"/>
    <w:rsid w:val="00805BEB"/>
    <w:rsid w:val="00806AAD"/>
    <w:rsid w:val="00807CDF"/>
    <w:rsid w:val="008119DC"/>
    <w:rsid w:val="008130E9"/>
    <w:rsid w:val="0081602C"/>
    <w:rsid w:val="00816D8B"/>
    <w:rsid w:val="00817934"/>
    <w:rsid w:val="00817B3E"/>
    <w:rsid w:val="00821201"/>
    <w:rsid w:val="008214AB"/>
    <w:rsid w:val="008234D3"/>
    <w:rsid w:val="00823670"/>
    <w:rsid w:val="00824259"/>
    <w:rsid w:val="00825439"/>
    <w:rsid w:val="008264FD"/>
    <w:rsid w:val="00826A84"/>
    <w:rsid w:val="008306D5"/>
    <w:rsid w:val="008308E2"/>
    <w:rsid w:val="00831E6F"/>
    <w:rsid w:val="00835150"/>
    <w:rsid w:val="008352D1"/>
    <w:rsid w:val="008355CE"/>
    <w:rsid w:val="00837106"/>
    <w:rsid w:val="008374FD"/>
    <w:rsid w:val="00837799"/>
    <w:rsid w:val="00840418"/>
    <w:rsid w:val="008408D6"/>
    <w:rsid w:val="008424AA"/>
    <w:rsid w:val="008424F3"/>
    <w:rsid w:val="00842B1D"/>
    <w:rsid w:val="008444A8"/>
    <w:rsid w:val="00846045"/>
    <w:rsid w:val="00846D5C"/>
    <w:rsid w:val="008524FC"/>
    <w:rsid w:val="00852556"/>
    <w:rsid w:val="008554CE"/>
    <w:rsid w:val="008557E1"/>
    <w:rsid w:val="00856F02"/>
    <w:rsid w:val="00861313"/>
    <w:rsid w:val="00862D08"/>
    <w:rsid w:val="00862F26"/>
    <w:rsid w:val="0086391C"/>
    <w:rsid w:val="00865357"/>
    <w:rsid w:val="00865868"/>
    <w:rsid w:val="00866CCB"/>
    <w:rsid w:val="00874533"/>
    <w:rsid w:val="0088186C"/>
    <w:rsid w:val="0088297C"/>
    <w:rsid w:val="00883849"/>
    <w:rsid w:val="00885AB6"/>
    <w:rsid w:val="00887548"/>
    <w:rsid w:val="00887C95"/>
    <w:rsid w:val="00890121"/>
    <w:rsid w:val="00890472"/>
    <w:rsid w:val="008926A5"/>
    <w:rsid w:val="00893755"/>
    <w:rsid w:val="00893FC5"/>
    <w:rsid w:val="00895A99"/>
    <w:rsid w:val="008A33E7"/>
    <w:rsid w:val="008A4F2A"/>
    <w:rsid w:val="008B0D79"/>
    <w:rsid w:val="008B1689"/>
    <w:rsid w:val="008B434A"/>
    <w:rsid w:val="008C15A4"/>
    <w:rsid w:val="008C26C1"/>
    <w:rsid w:val="008C44A6"/>
    <w:rsid w:val="008C47CF"/>
    <w:rsid w:val="008C5075"/>
    <w:rsid w:val="008C5E82"/>
    <w:rsid w:val="008C63A1"/>
    <w:rsid w:val="008C66A2"/>
    <w:rsid w:val="008C6C54"/>
    <w:rsid w:val="008D1F5E"/>
    <w:rsid w:val="008D2E4C"/>
    <w:rsid w:val="008D317B"/>
    <w:rsid w:val="008D66B1"/>
    <w:rsid w:val="008D6B76"/>
    <w:rsid w:val="008D6F64"/>
    <w:rsid w:val="008E15DF"/>
    <w:rsid w:val="008E1CC3"/>
    <w:rsid w:val="008E22CC"/>
    <w:rsid w:val="008E58C2"/>
    <w:rsid w:val="008E6CE0"/>
    <w:rsid w:val="008E7524"/>
    <w:rsid w:val="008F287B"/>
    <w:rsid w:val="008F36F3"/>
    <w:rsid w:val="008F548E"/>
    <w:rsid w:val="008F6BA7"/>
    <w:rsid w:val="008F722B"/>
    <w:rsid w:val="0090465C"/>
    <w:rsid w:val="00906672"/>
    <w:rsid w:val="00906DED"/>
    <w:rsid w:val="00910BD6"/>
    <w:rsid w:val="00911B29"/>
    <w:rsid w:val="00913F65"/>
    <w:rsid w:val="0091464F"/>
    <w:rsid w:val="00916335"/>
    <w:rsid w:val="009171CB"/>
    <w:rsid w:val="00917370"/>
    <w:rsid w:val="0092145D"/>
    <w:rsid w:val="0092191F"/>
    <w:rsid w:val="00923E25"/>
    <w:rsid w:val="009244D2"/>
    <w:rsid w:val="0092568B"/>
    <w:rsid w:val="00926DED"/>
    <w:rsid w:val="00930D2E"/>
    <w:rsid w:val="0093155E"/>
    <w:rsid w:val="009318B1"/>
    <w:rsid w:val="0093226C"/>
    <w:rsid w:val="00932E2A"/>
    <w:rsid w:val="00932E52"/>
    <w:rsid w:val="00933452"/>
    <w:rsid w:val="00933845"/>
    <w:rsid w:val="00934BD3"/>
    <w:rsid w:val="00934E77"/>
    <w:rsid w:val="00937F36"/>
    <w:rsid w:val="00940344"/>
    <w:rsid w:val="0094099F"/>
    <w:rsid w:val="00940E16"/>
    <w:rsid w:val="00941479"/>
    <w:rsid w:val="00941CC2"/>
    <w:rsid w:val="00942030"/>
    <w:rsid w:val="009430B0"/>
    <w:rsid w:val="00943526"/>
    <w:rsid w:val="00944107"/>
    <w:rsid w:val="00944239"/>
    <w:rsid w:val="009453E4"/>
    <w:rsid w:val="009472DD"/>
    <w:rsid w:val="00947AA2"/>
    <w:rsid w:val="0095009E"/>
    <w:rsid w:val="00952891"/>
    <w:rsid w:val="00952D00"/>
    <w:rsid w:val="00957974"/>
    <w:rsid w:val="0096061C"/>
    <w:rsid w:val="009633DE"/>
    <w:rsid w:val="00963609"/>
    <w:rsid w:val="00965CAC"/>
    <w:rsid w:val="00966B26"/>
    <w:rsid w:val="00970833"/>
    <w:rsid w:val="0097099C"/>
    <w:rsid w:val="00971265"/>
    <w:rsid w:val="009749A2"/>
    <w:rsid w:val="00975509"/>
    <w:rsid w:val="009757EB"/>
    <w:rsid w:val="00976340"/>
    <w:rsid w:val="009763AE"/>
    <w:rsid w:val="009764DB"/>
    <w:rsid w:val="00977234"/>
    <w:rsid w:val="009801E4"/>
    <w:rsid w:val="009803D3"/>
    <w:rsid w:val="00980A74"/>
    <w:rsid w:val="00983542"/>
    <w:rsid w:val="0098373B"/>
    <w:rsid w:val="0098413F"/>
    <w:rsid w:val="009843E6"/>
    <w:rsid w:val="00987F3D"/>
    <w:rsid w:val="00990C52"/>
    <w:rsid w:val="00991074"/>
    <w:rsid w:val="009917C8"/>
    <w:rsid w:val="00991FCD"/>
    <w:rsid w:val="00993CC6"/>
    <w:rsid w:val="00993DD3"/>
    <w:rsid w:val="00994AEE"/>
    <w:rsid w:val="009951CB"/>
    <w:rsid w:val="00996713"/>
    <w:rsid w:val="00997060"/>
    <w:rsid w:val="009A0456"/>
    <w:rsid w:val="009A08DB"/>
    <w:rsid w:val="009A1A33"/>
    <w:rsid w:val="009A2199"/>
    <w:rsid w:val="009A2794"/>
    <w:rsid w:val="009A28C8"/>
    <w:rsid w:val="009A2E7F"/>
    <w:rsid w:val="009A57D4"/>
    <w:rsid w:val="009A7BC5"/>
    <w:rsid w:val="009A7C38"/>
    <w:rsid w:val="009B0353"/>
    <w:rsid w:val="009B1850"/>
    <w:rsid w:val="009B2388"/>
    <w:rsid w:val="009B41A9"/>
    <w:rsid w:val="009B41BF"/>
    <w:rsid w:val="009B538D"/>
    <w:rsid w:val="009B645C"/>
    <w:rsid w:val="009B6A7E"/>
    <w:rsid w:val="009B70BB"/>
    <w:rsid w:val="009B761E"/>
    <w:rsid w:val="009C094A"/>
    <w:rsid w:val="009C260C"/>
    <w:rsid w:val="009C30B4"/>
    <w:rsid w:val="009D01EB"/>
    <w:rsid w:val="009D147B"/>
    <w:rsid w:val="009D196B"/>
    <w:rsid w:val="009D24B3"/>
    <w:rsid w:val="009D4475"/>
    <w:rsid w:val="009D4D75"/>
    <w:rsid w:val="009D5F4D"/>
    <w:rsid w:val="009D63F0"/>
    <w:rsid w:val="009D7178"/>
    <w:rsid w:val="009D7BC9"/>
    <w:rsid w:val="009D7D90"/>
    <w:rsid w:val="009D7EC5"/>
    <w:rsid w:val="009E20B4"/>
    <w:rsid w:val="009E20C1"/>
    <w:rsid w:val="009F09FB"/>
    <w:rsid w:val="009F09FC"/>
    <w:rsid w:val="009F3B40"/>
    <w:rsid w:val="009F4AB1"/>
    <w:rsid w:val="009F58EA"/>
    <w:rsid w:val="009F683E"/>
    <w:rsid w:val="00A0061C"/>
    <w:rsid w:val="00A00E00"/>
    <w:rsid w:val="00A02467"/>
    <w:rsid w:val="00A034BD"/>
    <w:rsid w:val="00A04BA2"/>
    <w:rsid w:val="00A051F6"/>
    <w:rsid w:val="00A0558E"/>
    <w:rsid w:val="00A05F52"/>
    <w:rsid w:val="00A061CE"/>
    <w:rsid w:val="00A06C1F"/>
    <w:rsid w:val="00A1110A"/>
    <w:rsid w:val="00A114F2"/>
    <w:rsid w:val="00A13EAE"/>
    <w:rsid w:val="00A162CC"/>
    <w:rsid w:val="00A171EB"/>
    <w:rsid w:val="00A23C1D"/>
    <w:rsid w:val="00A24065"/>
    <w:rsid w:val="00A251DD"/>
    <w:rsid w:val="00A31ACD"/>
    <w:rsid w:val="00A33A1F"/>
    <w:rsid w:val="00A342F5"/>
    <w:rsid w:val="00A345A1"/>
    <w:rsid w:val="00A417E8"/>
    <w:rsid w:val="00A41A11"/>
    <w:rsid w:val="00A44ACD"/>
    <w:rsid w:val="00A44C0C"/>
    <w:rsid w:val="00A468A8"/>
    <w:rsid w:val="00A469CE"/>
    <w:rsid w:val="00A472EA"/>
    <w:rsid w:val="00A47FF5"/>
    <w:rsid w:val="00A50A9D"/>
    <w:rsid w:val="00A545EE"/>
    <w:rsid w:val="00A55DEE"/>
    <w:rsid w:val="00A57E50"/>
    <w:rsid w:val="00A602FE"/>
    <w:rsid w:val="00A619FF"/>
    <w:rsid w:val="00A64F26"/>
    <w:rsid w:val="00A66AAD"/>
    <w:rsid w:val="00A675F6"/>
    <w:rsid w:val="00A70CB8"/>
    <w:rsid w:val="00A72289"/>
    <w:rsid w:val="00A747CC"/>
    <w:rsid w:val="00A7541D"/>
    <w:rsid w:val="00A75D6F"/>
    <w:rsid w:val="00A761BE"/>
    <w:rsid w:val="00A77A2B"/>
    <w:rsid w:val="00A77F2F"/>
    <w:rsid w:val="00A83154"/>
    <w:rsid w:val="00A8524E"/>
    <w:rsid w:val="00A85AB9"/>
    <w:rsid w:val="00A86477"/>
    <w:rsid w:val="00A86DC3"/>
    <w:rsid w:val="00A9007E"/>
    <w:rsid w:val="00A9025F"/>
    <w:rsid w:val="00A90C6E"/>
    <w:rsid w:val="00A91E14"/>
    <w:rsid w:val="00A9385B"/>
    <w:rsid w:val="00A951A1"/>
    <w:rsid w:val="00A954BE"/>
    <w:rsid w:val="00A95673"/>
    <w:rsid w:val="00A9727B"/>
    <w:rsid w:val="00A97BD9"/>
    <w:rsid w:val="00AA2792"/>
    <w:rsid w:val="00AA574B"/>
    <w:rsid w:val="00AA705A"/>
    <w:rsid w:val="00AA7303"/>
    <w:rsid w:val="00AB04A4"/>
    <w:rsid w:val="00AB1D66"/>
    <w:rsid w:val="00AB28ED"/>
    <w:rsid w:val="00AB3809"/>
    <w:rsid w:val="00AB526E"/>
    <w:rsid w:val="00AB6708"/>
    <w:rsid w:val="00AC0A71"/>
    <w:rsid w:val="00AC0CFF"/>
    <w:rsid w:val="00AC2F10"/>
    <w:rsid w:val="00AC2FA7"/>
    <w:rsid w:val="00AC30D6"/>
    <w:rsid w:val="00AC67DD"/>
    <w:rsid w:val="00AD054F"/>
    <w:rsid w:val="00AD0763"/>
    <w:rsid w:val="00AD1541"/>
    <w:rsid w:val="00AD1661"/>
    <w:rsid w:val="00AD25CB"/>
    <w:rsid w:val="00AD384A"/>
    <w:rsid w:val="00AD3999"/>
    <w:rsid w:val="00AD5555"/>
    <w:rsid w:val="00AD5A78"/>
    <w:rsid w:val="00AD649E"/>
    <w:rsid w:val="00AD65A6"/>
    <w:rsid w:val="00AD6F97"/>
    <w:rsid w:val="00AE0D37"/>
    <w:rsid w:val="00AE347F"/>
    <w:rsid w:val="00AE4BD5"/>
    <w:rsid w:val="00AE6186"/>
    <w:rsid w:val="00AE62F5"/>
    <w:rsid w:val="00AE6690"/>
    <w:rsid w:val="00AE782C"/>
    <w:rsid w:val="00AF015D"/>
    <w:rsid w:val="00AF07E9"/>
    <w:rsid w:val="00AF0BA6"/>
    <w:rsid w:val="00AF2B67"/>
    <w:rsid w:val="00AF5F77"/>
    <w:rsid w:val="00AF660F"/>
    <w:rsid w:val="00B0185C"/>
    <w:rsid w:val="00B01B08"/>
    <w:rsid w:val="00B01C66"/>
    <w:rsid w:val="00B04953"/>
    <w:rsid w:val="00B054BC"/>
    <w:rsid w:val="00B055C4"/>
    <w:rsid w:val="00B0632D"/>
    <w:rsid w:val="00B07E33"/>
    <w:rsid w:val="00B10C72"/>
    <w:rsid w:val="00B12797"/>
    <w:rsid w:val="00B12AC2"/>
    <w:rsid w:val="00B1312A"/>
    <w:rsid w:val="00B1329C"/>
    <w:rsid w:val="00B13DF5"/>
    <w:rsid w:val="00B162E6"/>
    <w:rsid w:val="00B1649E"/>
    <w:rsid w:val="00B169EA"/>
    <w:rsid w:val="00B16D30"/>
    <w:rsid w:val="00B217BD"/>
    <w:rsid w:val="00B21EC3"/>
    <w:rsid w:val="00B22716"/>
    <w:rsid w:val="00B25567"/>
    <w:rsid w:val="00B266F3"/>
    <w:rsid w:val="00B27D30"/>
    <w:rsid w:val="00B3019C"/>
    <w:rsid w:val="00B31390"/>
    <w:rsid w:val="00B335A6"/>
    <w:rsid w:val="00B3761C"/>
    <w:rsid w:val="00B401AD"/>
    <w:rsid w:val="00B403EA"/>
    <w:rsid w:val="00B4052B"/>
    <w:rsid w:val="00B42777"/>
    <w:rsid w:val="00B44397"/>
    <w:rsid w:val="00B44479"/>
    <w:rsid w:val="00B44C1D"/>
    <w:rsid w:val="00B45921"/>
    <w:rsid w:val="00B4686B"/>
    <w:rsid w:val="00B47E98"/>
    <w:rsid w:val="00B5031D"/>
    <w:rsid w:val="00B50A22"/>
    <w:rsid w:val="00B531D4"/>
    <w:rsid w:val="00B532AB"/>
    <w:rsid w:val="00B54FB6"/>
    <w:rsid w:val="00B5670B"/>
    <w:rsid w:val="00B574F5"/>
    <w:rsid w:val="00B60ADD"/>
    <w:rsid w:val="00B61F7A"/>
    <w:rsid w:val="00B642F5"/>
    <w:rsid w:val="00B717DE"/>
    <w:rsid w:val="00B71A11"/>
    <w:rsid w:val="00B74ACD"/>
    <w:rsid w:val="00B75CD6"/>
    <w:rsid w:val="00B77F4A"/>
    <w:rsid w:val="00B832A4"/>
    <w:rsid w:val="00B83C20"/>
    <w:rsid w:val="00B846BA"/>
    <w:rsid w:val="00B85DF5"/>
    <w:rsid w:val="00B86C7A"/>
    <w:rsid w:val="00B87C5F"/>
    <w:rsid w:val="00B91D5D"/>
    <w:rsid w:val="00B92B18"/>
    <w:rsid w:val="00B93029"/>
    <w:rsid w:val="00B9542A"/>
    <w:rsid w:val="00BA0739"/>
    <w:rsid w:val="00BA3D6B"/>
    <w:rsid w:val="00BA4403"/>
    <w:rsid w:val="00BA5DDA"/>
    <w:rsid w:val="00BA5EFB"/>
    <w:rsid w:val="00BB0D39"/>
    <w:rsid w:val="00BB0F5E"/>
    <w:rsid w:val="00BB24F3"/>
    <w:rsid w:val="00BB32F7"/>
    <w:rsid w:val="00BB48B1"/>
    <w:rsid w:val="00BB5FF1"/>
    <w:rsid w:val="00BC0A06"/>
    <w:rsid w:val="00BC166A"/>
    <w:rsid w:val="00BC20A5"/>
    <w:rsid w:val="00BC383F"/>
    <w:rsid w:val="00BC3E50"/>
    <w:rsid w:val="00BC49FF"/>
    <w:rsid w:val="00BC540F"/>
    <w:rsid w:val="00BC5446"/>
    <w:rsid w:val="00BC5898"/>
    <w:rsid w:val="00BC7744"/>
    <w:rsid w:val="00BC7E26"/>
    <w:rsid w:val="00BD0CE0"/>
    <w:rsid w:val="00BD4AA6"/>
    <w:rsid w:val="00BD56C8"/>
    <w:rsid w:val="00BD5ED5"/>
    <w:rsid w:val="00BD6172"/>
    <w:rsid w:val="00BD6B99"/>
    <w:rsid w:val="00BD78C6"/>
    <w:rsid w:val="00BE1FCF"/>
    <w:rsid w:val="00BE2197"/>
    <w:rsid w:val="00BE241D"/>
    <w:rsid w:val="00BE3658"/>
    <w:rsid w:val="00BE42E6"/>
    <w:rsid w:val="00BE4537"/>
    <w:rsid w:val="00BE5747"/>
    <w:rsid w:val="00BE5A74"/>
    <w:rsid w:val="00BE71CB"/>
    <w:rsid w:val="00BE740F"/>
    <w:rsid w:val="00BF04B7"/>
    <w:rsid w:val="00BF38FD"/>
    <w:rsid w:val="00BF6FEA"/>
    <w:rsid w:val="00C03027"/>
    <w:rsid w:val="00C033D8"/>
    <w:rsid w:val="00C04C62"/>
    <w:rsid w:val="00C04F5C"/>
    <w:rsid w:val="00C05D3C"/>
    <w:rsid w:val="00C062C9"/>
    <w:rsid w:val="00C067A3"/>
    <w:rsid w:val="00C06C5E"/>
    <w:rsid w:val="00C06FDE"/>
    <w:rsid w:val="00C1120A"/>
    <w:rsid w:val="00C114B5"/>
    <w:rsid w:val="00C120CC"/>
    <w:rsid w:val="00C125BA"/>
    <w:rsid w:val="00C12EF2"/>
    <w:rsid w:val="00C13512"/>
    <w:rsid w:val="00C13A44"/>
    <w:rsid w:val="00C1703B"/>
    <w:rsid w:val="00C21071"/>
    <w:rsid w:val="00C21454"/>
    <w:rsid w:val="00C2189E"/>
    <w:rsid w:val="00C2606C"/>
    <w:rsid w:val="00C27341"/>
    <w:rsid w:val="00C27627"/>
    <w:rsid w:val="00C27CD2"/>
    <w:rsid w:val="00C30834"/>
    <w:rsid w:val="00C30DC2"/>
    <w:rsid w:val="00C310BA"/>
    <w:rsid w:val="00C3122E"/>
    <w:rsid w:val="00C3185D"/>
    <w:rsid w:val="00C32AB1"/>
    <w:rsid w:val="00C33027"/>
    <w:rsid w:val="00C33420"/>
    <w:rsid w:val="00C35EC0"/>
    <w:rsid w:val="00C371E3"/>
    <w:rsid w:val="00C37238"/>
    <w:rsid w:val="00C37FEE"/>
    <w:rsid w:val="00C40CF0"/>
    <w:rsid w:val="00C44517"/>
    <w:rsid w:val="00C451D1"/>
    <w:rsid w:val="00C45D2A"/>
    <w:rsid w:val="00C45EF2"/>
    <w:rsid w:val="00C46E5D"/>
    <w:rsid w:val="00C47609"/>
    <w:rsid w:val="00C5025D"/>
    <w:rsid w:val="00C50D60"/>
    <w:rsid w:val="00C56D68"/>
    <w:rsid w:val="00C61148"/>
    <w:rsid w:val="00C61441"/>
    <w:rsid w:val="00C61AE0"/>
    <w:rsid w:val="00C6247C"/>
    <w:rsid w:val="00C62DF8"/>
    <w:rsid w:val="00C63AD4"/>
    <w:rsid w:val="00C63D81"/>
    <w:rsid w:val="00C65341"/>
    <w:rsid w:val="00C6555A"/>
    <w:rsid w:val="00C671C0"/>
    <w:rsid w:val="00C70BB2"/>
    <w:rsid w:val="00C70E38"/>
    <w:rsid w:val="00C728CD"/>
    <w:rsid w:val="00C73199"/>
    <w:rsid w:val="00C734CE"/>
    <w:rsid w:val="00C73A1C"/>
    <w:rsid w:val="00C740C4"/>
    <w:rsid w:val="00C7495E"/>
    <w:rsid w:val="00C74C9E"/>
    <w:rsid w:val="00C75083"/>
    <w:rsid w:val="00C75FF4"/>
    <w:rsid w:val="00C8194E"/>
    <w:rsid w:val="00C81A85"/>
    <w:rsid w:val="00C85673"/>
    <w:rsid w:val="00C860E3"/>
    <w:rsid w:val="00C860EA"/>
    <w:rsid w:val="00C86B48"/>
    <w:rsid w:val="00C8768D"/>
    <w:rsid w:val="00C907C1"/>
    <w:rsid w:val="00C90DEB"/>
    <w:rsid w:val="00C91E0F"/>
    <w:rsid w:val="00C92160"/>
    <w:rsid w:val="00C94CB4"/>
    <w:rsid w:val="00C94FDE"/>
    <w:rsid w:val="00C94FE7"/>
    <w:rsid w:val="00C976BC"/>
    <w:rsid w:val="00CA1D86"/>
    <w:rsid w:val="00CA1F2E"/>
    <w:rsid w:val="00CA276D"/>
    <w:rsid w:val="00CA2954"/>
    <w:rsid w:val="00CA2BF2"/>
    <w:rsid w:val="00CA3DBC"/>
    <w:rsid w:val="00CA4443"/>
    <w:rsid w:val="00CA49CF"/>
    <w:rsid w:val="00CA63D2"/>
    <w:rsid w:val="00CA7A2A"/>
    <w:rsid w:val="00CB0959"/>
    <w:rsid w:val="00CB2628"/>
    <w:rsid w:val="00CB2698"/>
    <w:rsid w:val="00CB310D"/>
    <w:rsid w:val="00CB3E18"/>
    <w:rsid w:val="00CB6A30"/>
    <w:rsid w:val="00CB7ED6"/>
    <w:rsid w:val="00CC3C3B"/>
    <w:rsid w:val="00CC4130"/>
    <w:rsid w:val="00CC5291"/>
    <w:rsid w:val="00CC55C7"/>
    <w:rsid w:val="00CC5FEC"/>
    <w:rsid w:val="00CC760B"/>
    <w:rsid w:val="00CD1E06"/>
    <w:rsid w:val="00CD331D"/>
    <w:rsid w:val="00CD689B"/>
    <w:rsid w:val="00CE14AB"/>
    <w:rsid w:val="00CE1943"/>
    <w:rsid w:val="00CE2597"/>
    <w:rsid w:val="00CE3E30"/>
    <w:rsid w:val="00CE4492"/>
    <w:rsid w:val="00CE550D"/>
    <w:rsid w:val="00CE6134"/>
    <w:rsid w:val="00CE7D0D"/>
    <w:rsid w:val="00CF18F4"/>
    <w:rsid w:val="00CF558A"/>
    <w:rsid w:val="00D009BA"/>
    <w:rsid w:val="00D00C07"/>
    <w:rsid w:val="00D02A67"/>
    <w:rsid w:val="00D05495"/>
    <w:rsid w:val="00D06992"/>
    <w:rsid w:val="00D075DF"/>
    <w:rsid w:val="00D078D6"/>
    <w:rsid w:val="00D07937"/>
    <w:rsid w:val="00D102D0"/>
    <w:rsid w:val="00D10B5A"/>
    <w:rsid w:val="00D1442F"/>
    <w:rsid w:val="00D1469C"/>
    <w:rsid w:val="00D160DC"/>
    <w:rsid w:val="00D1738E"/>
    <w:rsid w:val="00D17696"/>
    <w:rsid w:val="00D20416"/>
    <w:rsid w:val="00D2163B"/>
    <w:rsid w:val="00D23A54"/>
    <w:rsid w:val="00D24326"/>
    <w:rsid w:val="00D25552"/>
    <w:rsid w:val="00D2571C"/>
    <w:rsid w:val="00D25BC7"/>
    <w:rsid w:val="00D27410"/>
    <w:rsid w:val="00D301A4"/>
    <w:rsid w:val="00D3058F"/>
    <w:rsid w:val="00D31FBC"/>
    <w:rsid w:val="00D32205"/>
    <w:rsid w:val="00D32B17"/>
    <w:rsid w:val="00D335B3"/>
    <w:rsid w:val="00D3391E"/>
    <w:rsid w:val="00D34228"/>
    <w:rsid w:val="00D34922"/>
    <w:rsid w:val="00D34DE2"/>
    <w:rsid w:val="00D35836"/>
    <w:rsid w:val="00D435BB"/>
    <w:rsid w:val="00D435E0"/>
    <w:rsid w:val="00D45197"/>
    <w:rsid w:val="00D454C3"/>
    <w:rsid w:val="00D46287"/>
    <w:rsid w:val="00D50467"/>
    <w:rsid w:val="00D5130D"/>
    <w:rsid w:val="00D522A2"/>
    <w:rsid w:val="00D52571"/>
    <w:rsid w:val="00D52D39"/>
    <w:rsid w:val="00D53E54"/>
    <w:rsid w:val="00D541E8"/>
    <w:rsid w:val="00D54E49"/>
    <w:rsid w:val="00D55B7F"/>
    <w:rsid w:val="00D64081"/>
    <w:rsid w:val="00D6769D"/>
    <w:rsid w:val="00D67C52"/>
    <w:rsid w:val="00D67FC5"/>
    <w:rsid w:val="00D707EA"/>
    <w:rsid w:val="00D70DF6"/>
    <w:rsid w:val="00D71319"/>
    <w:rsid w:val="00D722FC"/>
    <w:rsid w:val="00D733EB"/>
    <w:rsid w:val="00D74228"/>
    <w:rsid w:val="00D77E26"/>
    <w:rsid w:val="00D80D4E"/>
    <w:rsid w:val="00D81782"/>
    <w:rsid w:val="00D8267A"/>
    <w:rsid w:val="00D82A36"/>
    <w:rsid w:val="00D8387D"/>
    <w:rsid w:val="00D84186"/>
    <w:rsid w:val="00D863F7"/>
    <w:rsid w:val="00D8653A"/>
    <w:rsid w:val="00D87308"/>
    <w:rsid w:val="00D90832"/>
    <w:rsid w:val="00D92546"/>
    <w:rsid w:val="00D95157"/>
    <w:rsid w:val="00D95420"/>
    <w:rsid w:val="00D9656A"/>
    <w:rsid w:val="00D96FF7"/>
    <w:rsid w:val="00DA2392"/>
    <w:rsid w:val="00DA2DFD"/>
    <w:rsid w:val="00DA339F"/>
    <w:rsid w:val="00DA3619"/>
    <w:rsid w:val="00DA491E"/>
    <w:rsid w:val="00DA7A58"/>
    <w:rsid w:val="00DB01EF"/>
    <w:rsid w:val="00DB090A"/>
    <w:rsid w:val="00DB16FB"/>
    <w:rsid w:val="00DB222E"/>
    <w:rsid w:val="00DB247A"/>
    <w:rsid w:val="00DB7B46"/>
    <w:rsid w:val="00DC06A6"/>
    <w:rsid w:val="00DC12D8"/>
    <w:rsid w:val="00DC13DC"/>
    <w:rsid w:val="00DC1559"/>
    <w:rsid w:val="00DC2B84"/>
    <w:rsid w:val="00DC346F"/>
    <w:rsid w:val="00DC3A30"/>
    <w:rsid w:val="00DC4F89"/>
    <w:rsid w:val="00DC4FCD"/>
    <w:rsid w:val="00DC6281"/>
    <w:rsid w:val="00DC7699"/>
    <w:rsid w:val="00DD23C4"/>
    <w:rsid w:val="00DD61F7"/>
    <w:rsid w:val="00DD7B33"/>
    <w:rsid w:val="00DE02DE"/>
    <w:rsid w:val="00DE1CD4"/>
    <w:rsid w:val="00DE2778"/>
    <w:rsid w:val="00DE3B20"/>
    <w:rsid w:val="00DE47DE"/>
    <w:rsid w:val="00DE5214"/>
    <w:rsid w:val="00DE5423"/>
    <w:rsid w:val="00DE617E"/>
    <w:rsid w:val="00DE6B72"/>
    <w:rsid w:val="00DE7331"/>
    <w:rsid w:val="00DE735A"/>
    <w:rsid w:val="00DE7D10"/>
    <w:rsid w:val="00DF0F4C"/>
    <w:rsid w:val="00DF1741"/>
    <w:rsid w:val="00DF1E1F"/>
    <w:rsid w:val="00DF3A01"/>
    <w:rsid w:val="00DF4814"/>
    <w:rsid w:val="00DF481D"/>
    <w:rsid w:val="00DF5DBF"/>
    <w:rsid w:val="00DF7235"/>
    <w:rsid w:val="00E002A2"/>
    <w:rsid w:val="00E01709"/>
    <w:rsid w:val="00E01C7A"/>
    <w:rsid w:val="00E0283B"/>
    <w:rsid w:val="00E02C7D"/>
    <w:rsid w:val="00E04045"/>
    <w:rsid w:val="00E061BB"/>
    <w:rsid w:val="00E06B04"/>
    <w:rsid w:val="00E1008D"/>
    <w:rsid w:val="00E12286"/>
    <w:rsid w:val="00E13338"/>
    <w:rsid w:val="00E13698"/>
    <w:rsid w:val="00E139FF"/>
    <w:rsid w:val="00E14307"/>
    <w:rsid w:val="00E14615"/>
    <w:rsid w:val="00E148F6"/>
    <w:rsid w:val="00E165EF"/>
    <w:rsid w:val="00E16726"/>
    <w:rsid w:val="00E1795F"/>
    <w:rsid w:val="00E17A35"/>
    <w:rsid w:val="00E20FFA"/>
    <w:rsid w:val="00E21A3F"/>
    <w:rsid w:val="00E253BA"/>
    <w:rsid w:val="00E27354"/>
    <w:rsid w:val="00E30D47"/>
    <w:rsid w:val="00E30F09"/>
    <w:rsid w:val="00E34143"/>
    <w:rsid w:val="00E349EF"/>
    <w:rsid w:val="00E36E09"/>
    <w:rsid w:val="00E37F21"/>
    <w:rsid w:val="00E42B3A"/>
    <w:rsid w:val="00E42E46"/>
    <w:rsid w:val="00E42EF2"/>
    <w:rsid w:val="00E43365"/>
    <w:rsid w:val="00E43DF6"/>
    <w:rsid w:val="00E47279"/>
    <w:rsid w:val="00E507EA"/>
    <w:rsid w:val="00E51158"/>
    <w:rsid w:val="00E526B8"/>
    <w:rsid w:val="00E526C7"/>
    <w:rsid w:val="00E5383C"/>
    <w:rsid w:val="00E54C95"/>
    <w:rsid w:val="00E60744"/>
    <w:rsid w:val="00E61480"/>
    <w:rsid w:val="00E62BEE"/>
    <w:rsid w:val="00E635EC"/>
    <w:rsid w:val="00E6449E"/>
    <w:rsid w:val="00E645A6"/>
    <w:rsid w:val="00E64A32"/>
    <w:rsid w:val="00E6587E"/>
    <w:rsid w:val="00E6771B"/>
    <w:rsid w:val="00E679D8"/>
    <w:rsid w:val="00E71BAE"/>
    <w:rsid w:val="00E71DFA"/>
    <w:rsid w:val="00E7224C"/>
    <w:rsid w:val="00E725D3"/>
    <w:rsid w:val="00E7502E"/>
    <w:rsid w:val="00E76926"/>
    <w:rsid w:val="00E770EC"/>
    <w:rsid w:val="00E771E2"/>
    <w:rsid w:val="00E77612"/>
    <w:rsid w:val="00E80FE4"/>
    <w:rsid w:val="00E812B9"/>
    <w:rsid w:val="00E81D82"/>
    <w:rsid w:val="00E83E7C"/>
    <w:rsid w:val="00E851B6"/>
    <w:rsid w:val="00E852DA"/>
    <w:rsid w:val="00E8597D"/>
    <w:rsid w:val="00E85BF6"/>
    <w:rsid w:val="00E86B1F"/>
    <w:rsid w:val="00E90561"/>
    <w:rsid w:val="00E90F38"/>
    <w:rsid w:val="00E9247B"/>
    <w:rsid w:val="00E94FFF"/>
    <w:rsid w:val="00E956A9"/>
    <w:rsid w:val="00E97612"/>
    <w:rsid w:val="00E97A65"/>
    <w:rsid w:val="00EA15EC"/>
    <w:rsid w:val="00EA4B31"/>
    <w:rsid w:val="00EA550C"/>
    <w:rsid w:val="00EA7148"/>
    <w:rsid w:val="00EA7A28"/>
    <w:rsid w:val="00EB0A89"/>
    <w:rsid w:val="00EB0C70"/>
    <w:rsid w:val="00EB2250"/>
    <w:rsid w:val="00EB3AAB"/>
    <w:rsid w:val="00EB3F75"/>
    <w:rsid w:val="00EB3FB5"/>
    <w:rsid w:val="00EB4696"/>
    <w:rsid w:val="00EB47FA"/>
    <w:rsid w:val="00EB4B99"/>
    <w:rsid w:val="00EB62AB"/>
    <w:rsid w:val="00EB694E"/>
    <w:rsid w:val="00EB6D98"/>
    <w:rsid w:val="00EB73C5"/>
    <w:rsid w:val="00EB76B0"/>
    <w:rsid w:val="00EB7F5F"/>
    <w:rsid w:val="00EC0480"/>
    <w:rsid w:val="00EC05D1"/>
    <w:rsid w:val="00EC16C4"/>
    <w:rsid w:val="00EC2C79"/>
    <w:rsid w:val="00EC59AB"/>
    <w:rsid w:val="00ED1259"/>
    <w:rsid w:val="00ED20ED"/>
    <w:rsid w:val="00ED3188"/>
    <w:rsid w:val="00ED3FC5"/>
    <w:rsid w:val="00ED5088"/>
    <w:rsid w:val="00EE1211"/>
    <w:rsid w:val="00EE485E"/>
    <w:rsid w:val="00EE660A"/>
    <w:rsid w:val="00EF0214"/>
    <w:rsid w:val="00EF77C4"/>
    <w:rsid w:val="00F00596"/>
    <w:rsid w:val="00F01E2F"/>
    <w:rsid w:val="00F02756"/>
    <w:rsid w:val="00F03C6D"/>
    <w:rsid w:val="00F05CD1"/>
    <w:rsid w:val="00F1084B"/>
    <w:rsid w:val="00F10AB5"/>
    <w:rsid w:val="00F11EE4"/>
    <w:rsid w:val="00F124AB"/>
    <w:rsid w:val="00F143A8"/>
    <w:rsid w:val="00F15215"/>
    <w:rsid w:val="00F169D6"/>
    <w:rsid w:val="00F20203"/>
    <w:rsid w:val="00F220E4"/>
    <w:rsid w:val="00F22C57"/>
    <w:rsid w:val="00F244DF"/>
    <w:rsid w:val="00F25FD3"/>
    <w:rsid w:val="00F26B17"/>
    <w:rsid w:val="00F275CA"/>
    <w:rsid w:val="00F2767A"/>
    <w:rsid w:val="00F27F38"/>
    <w:rsid w:val="00F32404"/>
    <w:rsid w:val="00F32ED5"/>
    <w:rsid w:val="00F33B2D"/>
    <w:rsid w:val="00F33C29"/>
    <w:rsid w:val="00F34642"/>
    <w:rsid w:val="00F349C7"/>
    <w:rsid w:val="00F34AC7"/>
    <w:rsid w:val="00F3522B"/>
    <w:rsid w:val="00F353EB"/>
    <w:rsid w:val="00F35B4E"/>
    <w:rsid w:val="00F40347"/>
    <w:rsid w:val="00F420DE"/>
    <w:rsid w:val="00F439FF"/>
    <w:rsid w:val="00F44989"/>
    <w:rsid w:val="00F44CB3"/>
    <w:rsid w:val="00F463D5"/>
    <w:rsid w:val="00F47C13"/>
    <w:rsid w:val="00F50B06"/>
    <w:rsid w:val="00F50B0E"/>
    <w:rsid w:val="00F525B1"/>
    <w:rsid w:val="00F52716"/>
    <w:rsid w:val="00F52C8F"/>
    <w:rsid w:val="00F547D5"/>
    <w:rsid w:val="00F5495C"/>
    <w:rsid w:val="00F570BC"/>
    <w:rsid w:val="00F60433"/>
    <w:rsid w:val="00F60600"/>
    <w:rsid w:val="00F61D33"/>
    <w:rsid w:val="00F63207"/>
    <w:rsid w:val="00F6355F"/>
    <w:rsid w:val="00F650DC"/>
    <w:rsid w:val="00F66B1A"/>
    <w:rsid w:val="00F6701D"/>
    <w:rsid w:val="00F67520"/>
    <w:rsid w:val="00F67805"/>
    <w:rsid w:val="00F67F4E"/>
    <w:rsid w:val="00F705D4"/>
    <w:rsid w:val="00F70B17"/>
    <w:rsid w:val="00F71038"/>
    <w:rsid w:val="00F71D97"/>
    <w:rsid w:val="00F72455"/>
    <w:rsid w:val="00F76419"/>
    <w:rsid w:val="00F76E64"/>
    <w:rsid w:val="00F8070C"/>
    <w:rsid w:val="00F81804"/>
    <w:rsid w:val="00F82EF2"/>
    <w:rsid w:val="00F831A1"/>
    <w:rsid w:val="00F8643C"/>
    <w:rsid w:val="00F90863"/>
    <w:rsid w:val="00F94571"/>
    <w:rsid w:val="00FA0982"/>
    <w:rsid w:val="00FA0F58"/>
    <w:rsid w:val="00FA134A"/>
    <w:rsid w:val="00FA7517"/>
    <w:rsid w:val="00FA7635"/>
    <w:rsid w:val="00FA7660"/>
    <w:rsid w:val="00FB0B36"/>
    <w:rsid w:val="00FB26CE"/>
    <w:rsid w:val="00FB2E69"/>
    <w:rsid w:val="00FB31EF"/>
    <w:rsid w:val="00FB3EC2"/>
    <w:rsid w:val="00FB4557"/>
    <w:rsid w:val="00FB4A61"/>
    <w:rsid w:val="00FB565C"/>
    <w:rsid w:val="00FB77C4"/>
    <w:rsid w:val="00FB7CC7"/>
    <w:rsid w:val="00FB7FB5"/>
    <w:rsid w:val="00FC0CE2"/>
    <w:rsid w:val="00FC20CB"/>
    <w:rsid w:val="00FC3B77"/>
    <w:rsid w:val="00FC3CD6"/>
    <w:rsid w:val="00FC46FA"/>
    <w:rsid w:val="00FC5782"/>
    <w:rsid w:val="00FC5CAA"/>
    <w:rsid w:val="00FD0DDC"/>
    <w:rsid w:val="00FD2635"/>
    <w:rsid w:val="00FD3188"/>
    <w:rsid w:val="00FD422C"/>
    <w:rsid w:val="00FD4385"/>
    <w:rsid w:val="00FD4719"/>
    <w:rsid w:val="00FD69FF"/>
    <w:rsid w:val="00FD6B8F"/>
    <w:rsid w:val="00FD71E1"/>
    <w:rsid w:val="00FD71EC"/>
    <w:rsid w:val="00FD7A7D"/>
    <w:rsid w:val="00FE07BB"/>
    <w:rsid w:val="00FE08CE"/>
    <w:rsid w:val="00FE2F68"/>
    <w:rsid w:val="00FE3847"/>
    <w:rsid w:val="00FE39A4"/>
    <w:rsid w:val="00FE733C"/>
    <w:rsid w:val="00FE750E"/>
    <w:rsid w:val="00FE793A"/>
    <w:rsid w:val="00FF19DA"/>
    <w:rsid w:val="00FF2F64"/>
    <w:rsid w:val="00FF2FC2"/>
    <w:rsid w:val="01279A7E"/>
    <w:rsid w:val="01B9AFFA"/>
    <w:rsid w:val="01E9CA13"/>
    <w:rsid w:val="03953868"/>
    <w:rsid w:val="0698F3E8"/>
    <w:rsid w:val="06D60619"/>
    <w:rsid w:val="08C1FEE9"/>
    <w:rsid w:val="0F022F56"/>
    <w:rsid w:val="0F8C9C04"/>
    <w:rsid w:val="10E077E5"/>
    <w:rsid w:val="11A7DD30"/>
    <w:rsid w:val="12BBBA8C"/>
    <w:rsid w:val="13304B8D"/>
    <w:rsid w:val="144B35BF"/>
    <w:rsid w:val="161B12E0"/>
    <w:rsid w:val="18229A9D"/>
    <w:rsid w:val="18C70B38"/>
    <w:rsid w:val="197A1920"/>
    <w:rsid w:val="1A56A519"/>
    <w:rsid w:val="1AD41C3B"/>
    <w:rsid w:val="1AEBF086"/>
    <w:rsid w:val="1B059723"/>
    <w:rsid w:val="1BF6BDDC"/>
    <w:rsid w:val="1D130C51"/>
    <w:rsid w:val="1DD26211"/>
    <w:rsid w:val="22D79520"/>
    <w:rsid w:val="22F494E1"/>
    <w:rsid w:val="23021E4F"/>
    <w:rsid w:val="26E96BF6"/>
    <w:rsid w:val="2B622CA8"/>
    <w:rsid w:val="2C29361A"/>
    <w:rsid w:val="2E834362"/>
    <w:rsid w:val="30B03465"/>
    <w:rsid w:val="31A36F2B"/>
    <w:rsid w:val="32095379"/>
    <w:rsid w:val="3250C25A"/>
    <w:rsid w:val="3268DAF1"/>
    <w:rsid w:val="34A46E36"/>
    <w:rsid w:val="34D19054"/>
    <w:rsid w:val="379B1004"/>
    <w:rsid w:val="38CF8EDA"/>
    <w:rsid w:val="3B6E3992"/>
    <w:rsid w:val="3C6D1EEF"/>
    <w:rsid w:val="3CD7D90A"/>
    <w:rsid w:val="3E7A72FB"/>
    <w:rsid w:val="3ED57362"/>
    <w:rsid w:val="3F3AFF6C"/>
    <w:rsid w:val="3F63B8E9"/>
    <w:rsid w:val="44D9771C"/>
    <w:rsid w:val="4507489F"/>
    <w:rsid w:val="45729BC1"/>
    <w:rsid w:val="4730D0F1"/>
    <w:rsid w:val="4A23A8C2"/>
    <w:rsid w:val="4A750C04"/>
    <w:rsid w:val="4B9B37E0"/>
    <w:rsid w:val="4F9480EC"/>
    <w:rsid w:val="53345461"/>
    <w:rsid w:val="54AF2BBD"/>
    <w:rsid w:val="5567E5F2"/>
    <w:rsid w:val="55CD724A"/>
    <w:rsid w:val="56CD0366"/>
    <w:rsid w:val="5AB64221"/>
    <w:rsid w:val="5B8DDF34"/>
    <w:rsid w:val="5BF74987"/>
    <w:rsid w:val="5C0DB396"/>
    <w:rsid w:val="5C1D17FA"/>
    <w:rsid w:val="5CD27988"/>
    <w:rsid w:val="5D26E2D8"/>
    <w:rsid w:val="5EA01F28"/>
    <w:rsid w:val="5EA74270"/>
    <w:rsid w:val="5EE7E68E"/>
    <w:rsid w:val="5FC68995"/>
    <w:rsid w:val="60637121"/>
    <w:rsid w:val="646FB45D"/>
    <w:rsid w:val="660D49CA"/>
    <w:rsid w:val="68A6DE96"/>
    <w:rsid w:val="69B3E5CF"/>
    <w:rsid w:val="6A99BBEE"/>
    <w:rsid w:val="6DFE9EA5"/>
    <w:rsid w:val="70CD1F30"/>
    <w:rsid w:val="711E7E26"/>
    <w:rsid w:val="74E77E71"/>
    <w:rsid w:val="750F86AD"/>
    <w:rsid w:val="76B80D03"/>
    <w:rsid w:val="7B3E9114"/>
    <w:rsid w:val="7C30DC76"/>
    <w:rsid w:val="7D935D2D"/>
    <w:rsid w:val="7DA6D449"/>
    <w:rsid w:val="7DCC9C08"/>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1D3D62"/>
    <w:pPr>
      <w:tabs>
        <w:tab w:val="right" w:leader="dot" w:pos="9730"/>
      </w:tabs>
      <w:spacing w:after="100"/>
      <w:ind w:left="220"/>
    </w:pPr>
  </w:style>
  <w:style w:type="paragraph" w:styleId="TOC1">
    <w:name w:val="toc 1"/>
    <w:basedOn w:val="Normal"/>
    <w:next w:val="Normal"/>
    <w:autoRedefine/>
    <w:uiPriority w:val="39"/>
    <w:unhideWhenUsed/>
    <w:rsid w:val="001D3D62"/>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39"/>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character" w:styleId="Mention">
    <w:name w:val="Mention"/>
    <w:basedOn w:val="DefaultParagraphFont"/>
    <w:uiPriority w:val="99"/>
    <w:unhideWhenUsed/>
    <w:rsid w:val="00460A32"/>
    <w:rPr>
      <w:color w:val="2B579A"/>
      <w:shd w:val="clear" w:color="auto" w:fill="E1DFDD"/>
    </w:rPr>
  </w:style>
  <w:style w:type="paragraph" w:styleId="Revision">
    <w:name w:val="Revision"/>
    <w:hidden/>
    <w:semiHidden/>
    <w:rsid w:val="00994AEE"/>
    <w:rPr>
      <w:rFonts w:asciiTheme="minorHAnsi" w:hAnsiTheme="minorHAnsi" w:cstheme="minorHAnsi"/>
      <w:color w:val="000000" w:themeColor="text1"/>
      <w:sz w:val="22"/>
      <w:szCs w:val="24"/>
      <w:lang w:eastAsia="en-US"/>
    </w:rPr>
  </w:style>
  <w:style w:type="paragraph" w:styleId="CommentSubject">
    <w:name w:val="annotation subject"/>
    <w:basedOn w:val="CommentText"/>
    <w:next w:val="CommentText"/>
    <w:link w:val="CommentSubjectChar"/>
    <w:uiPriority w:val="99"/>
    <w:semiHidden/>
    <w:unhideWhenUsed/>
    <w:rsid w:val="00F124AB"/>
    <w:rPr>
      <w:b/>
      <w:bCs/>
      <w:lang w:val="en-AU"/>
    </w:rPr>
  </w:style>
  <w:style w:type="character" w:customStyle="1" w:styleId="CommentSubjectChar">
    <w:name w:val="Comment Subject Char"/>
    <w:basedOn w:val="CommentTextChar"/>
    <w:link w:val="CommentSubject"/>
    <w:uiPriority w:val="99"/>
    <w:semiHidden/>
    <w:rsid w:val="00F124AB"/>
    <w:rPr>
      <w:rFonts w:asciiTheme="minorHAnsi" w:hAnsiTheme="minorHAnsi" w:cstheme="minorHAnsi"/>
      <w:b/>
      <w:bCs/>
      <w:color w:val="000000" w:themeColor="text1"/>
      <w:lang w:val="en-GB" w:eastAsia="en-US"/>
    </w:rPr>
  </w:style>
  <w:style w:type="character" w:styleId="UnresolvedMention">
    <w:name w:val="Unresolved Mention"/>
    <w:basedOn w:val="DefaultParagraphFont"/>
    <w:uiPriority w:val="99"/>
    <w:unhideWhenUsed/>
    <w:rsid w:val="00147683"/>
    <w:rPr>
      <w:color w:val="605E5C"/>
      <w:shd w:val="clear" w:color="auto" w:fill="E1DFDD"/>
    </w:rPr>
  </w:style>
  <w:style w:type="character" w:customStyle="1" w:styleId="normaltextrun">
    <w:name w:val="normaltextrun"/>
    <w:basedOn w:val="DefaultParagraphFont"/>
    <w:rsid w:val="00294EEB"/>
  </w:style>
  <w:style w:type="character" w:customStyle="1" w:styleId="scxw121805585">
    <w:name w:val="scxw121805585"/>
    <w:basedOn w:val="DefaultParagraphFont"/>
    <w:rsid w:val="00294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hyperlink" Target="https://ghgprotocol.org/sites/default/files/ghg-uncertainty.pdf" TargetMode="External"/><Relationship Id="rId39" Type="http://schemas.openxmlformats.org/officeDocument/2006/relationships/image" Target="media/image18.png"/><Relationship Id="rId21" Type="http://schemas.openxmlformats.org/officeDocument/2006/relationships/image" Target="media/image12.png"/><Relationship Id="rId34" Type="http://schemas.openxmlformats.org/officeDocument/2006/relationships/image" Target="media/image13.png"/><Relationship Id="rId42" Type="http://schemas.openxmlformats.org/officeDocument/2006/relationships/image" Target="media/image20.png"/><Relationship Id="rId47" Type="http://schemas.openxmlformats.org/officeDocument/2006/relationships/hyperlink" Target="mailto:cer-nger-reporting@cer.gov.au" TargetMode="External"/><Relationship Id="rId50"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hyperlink" Target="https://www.legislation.gov.au/Series/F2008L02230" TargetMode="External"/><Relationship Id="rId11" Type="http://schemas.openxmlformats.org/officeDocument/2006/relationships/image" Target="media/image3.png"/><Relationship Id="rId24" Type="http://schemas.openxmlformats.org/officeDocument/2006/relationships/hyperlink" Target="https://cer.gov.au/schemes/national-greenhouse-and-energy-reporting-scheme/assess-your-obligations" TargetMode="External"/><Relationship Id="rId32" Type="http://schemas.openxmlformats.org/officeDocument/2006/relationships/hyperlink" Target="https://cer.gov.au/online-systems" TargetMode="External"/><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hyperlink" Target="https://ghgprotocol.org/sites/default/files/standards_supporting/Uncertainty%20Calculation%20Tool.xlsx"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svg"/><Relationship Id="rId19" Type="http://schemas.openxmlformats.org/officeDocument/2006/relationships/image" Target="media/image10.png"/><Relationship Id="rId31" Type="http://schemas.openxmlformats.org/officeDocument/2006/relationships/hyperlink" Target="http://www.cleanenergyregulator.gov.au/NGER/Pages/default.aspx" TargetMode="External"/><Relationship Id="rId44" Type="http://schemas.openxmlformats.org/officeDocument/2006/relationships/hyperlink" Target="https://cer.gov.au/document_page/reporting-uncertainty-guideline" TargetMode="External"/><Relationship Id="rId52"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svg"/><Relationship Id="rId22" Type="http://schemas.openxmlformats.org/officeDocument/2006/relationships/hyperlink" Target="https://www.legislation.gov.au/F2008L02230/latest/versions" TargetMode="External"/><Relationship Id="rId27" Type="http://schemas.openxmlformats.org/officeDocument/2006/relationships/hyperlink" Target="https://www.legislation.gov.au/help-and-resources/understanding-legislation/reading-legislation" TargetMode="External"/><Relationship Id="rId30" Type="http://schemas.openxmlformats.org/officeDocument/2006/relationships/hyperlink" Target="https://www.legislation.gov.au/Series/F2008L02309" TargetMode="External"/><Relationship Id="rId35" Type="http://schemas.openxmlformats.org/officeDocument/2006/relationships/image" Target="media/image14.png"/><Relationship Id="rId43" Type="http://schemas.openxmlformats.org/officeDocument/2006/relationships/hyperlink" Target="https://cer.gov.au/document_page/emissions-and-energy-reporting-system-navigation-guide"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www.legislation.gov.au/F2008L02230/latest/versions" TargetMode="External"/><Relationship Id="rId33" Type="http://schemas.openxmlformats.org/officeDocument/2006/relationships/hyperlink" Target="https://cer.gov.au/schemes/national-greenhouse-and-energy-reporting-scheme/report-emissions-and-energy/nger" TargetMode="External"/><Relationship Id="rId38" Type="http://schemas.openxmlformats.org/officeDocument/2006/relationships/image" Target="media/image17.png"/><Relationship Id="rId46" Type="http://schemas.openxmlformats.org/officeDocument/2006/relationships/hyperlink" Target="mailto:" TargetMode="External"/><Relationship Id="rId20" Type="http://schemas.openxmlformats.org/officeDocument/2006/relationships/image" Target="media/image11.svg"/><Relationship Id="rId41" Type="http://schemas.openxmlformats.org/officeDocument/2006/relationships/hyperlink" Target="https://cer.gov.au/document_page/methods-and-measurement-criteria-guidelin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legislation.gov.au/C2007A00175/latest/versions" TargetMode="External"/><Relationship Id="rId28" Type="http://schemas.openxmlformats.org/officeDocument/2006/relationships/hyperlink" Target="https://www.legislation.gov.au/Series/C2007A00175" TargetMode="External"/><Relationship Id="rId36" Type="http://schemas.openxmlformats.org/officeDocument/2006/relationships/image" Target="media/image15.png"/><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enquiries@cer.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8A6230-EEE1-4ECE-B62A-E1601A731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4623</Words>
  <Characters>25291</Characters>
  <Application>Microsoft Office Word</Application>
  <DocSecurity>0</DocSecurity>
  <Lines>486</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29596</CharactersWithSpaces>
  <SharedDoc>false</SharedDoc>
  <HLinks>
    <vt:vector size="174" baseType="variant">
      <vt:variant>
        <vt:i4>7995400</vt:i4>
      </vt:variant>
      <vt:variant>
        <vt:i4>141</vt:i4>
      </vt:variant>
      <vt:variant>
        <vt:i4>0</vt:i4>
      </vt:variant>
      <vt:variant>
        <vt:i4>5</vt:i4>
      </vt:variant>
      <vt:variant>
        <vt:lpwstr>mailto:cer-nger-reporting@cer.gov.au</vt:lpwstr>
      </vt:variant>
      <vt:variant>
        <vt:lpwstr/>
      </vt:variant>
      <vt:variant>
        <vt:i4>6422640</vt:i4>
      </vt:variant>
      <vt:variant>
        <vt:i4>138</vt:i4>
      </vt:variant>
      <vt:variant>
        <vt:i4>0</vt:i4>
      </vt:variant>
      <vt:variant>
        <vt:i4>5</vt:i4>
      </vt:variant>
      <vt:variant>
        <vt:lpwstr>mailto:</vt:lpwstr>
      </vt:variant>
      <vt:variant>
        <vt:lpwstr/>
      </vt:variant>
      <vt:variant>
        <vt:i4>4456574</vt:i4>
      </vt:variant>
      <vt:variant>
        <vt:i4>135</vt:i4>
      </vt:variant>
      <vt:variant>
        <vt:i4>0</vt:i4>
      </vt:variant>
      <vt:variant>
        <vt:i4>5</vt:i4>
      </vt:variant>
      <vt:variant>
        <vt:lpwstr>https://ghgprotocol.org/sites/default/files/standards_supporting/Uncertainty Calculation Tool.xlsx</vt:lpwstr>
      </vt:variant>
      <vt:variant>
        <vt:lpwstr/>
      </vt:variant>
      <vt:variant>
        <vt:i4>3801180</vt:i4>
      </vt:variant>
      <vt:variant>
        <vt:i4>132</vt:i4>
      </vt:variant>
      <vt:variant>
        <vt:i4>0</vt:i4>
      </vt:variant>
      <vt:variant>
        <vt:i4>5</vt:i4>
      </vt:variant>
      <vt:variant>
        <vt:lpwstr>https://cer.gov.au/document_page/reporting-uncertainty-guideline</vt:lpwstr>
      </vt:variant>
      <vt:variant>
        <vt:lpwstr/>
      </vt:variant>
      <vt:variant>
        <vt:i4>1572985</vt:i4>
      </vt:variant>
      <vt:variant>
        <vt:i4>129</vt:i4>
      </vt:variant>
      <vt:variant>
        <vt:i4>0</vt:i4>
      </vt:variant>
      <vt:variant>
        <vt:i4>5</vt:i4>
      </vt:variant>
      <vt:variant>
        <vt:lpwstr>https://cer.gov.au/document_page/emissions-and-energy-reporting-system-navigation-guide</vt:lpwstr>
      </vt:variant>
      <vt:variant>
        <vt:lpwstr/>
      </vt:variant>
      <vt:variant>
        <vt:i4>262166</vt:i4>
      </vt:variant>
      <vt:variant>
        <vt:i4>126</vt:i4>
      </vt:variant>
      <vt:variant>
        <vt:i4>0</vt:i4>
      </vt:variant>
      <vt:variant>
        <vt:i4>5</vt:i4>
      </vt:variant>
      <vt:variant>
        <vt:lpwstr/>
      </vt:variant>
      <vt:variant>
        <vt:lpwstr>Step3</vt:lpwstr>
      </vt:variant>
      <vt:variant>
        <vt:i4>7929971</vt:i4>
      </vt:variant>
      <vt:variant>
        <vt:i4>123</vt:i4>
      </vt:variant>
      <vt:variant>
        <vt:i4>0</vt:i4>
      </vt:variant>
      <vt:variant>
        <vt:i4>5</vt:i4>
      </vt:variant>
      <vt:variant>
        <vt:lpwstr/>
      </vt:variant>
      <vt:variant>
        <vt:lpwstr>Figure3</vt:lpwstr>
      </vt:variant>
      <vt:variant>
        <vt:i4>3735556</vt:i4>
      </vt:variant>
      <vt:variant>
        <vt:i4>120</vt:i4>
      </vt:variant>
      <vt:variant>
        <vt:i4>0</vt:i4>
      </vt:variant>
      <vt:variant>
        <vt:i4>5</vt:i4>
      </vt:variant>
      <vt:variant>
        <vt:lpwstr/>
      </vt:variant>
      <vt:variant>
        <vt:lpwstr>_Exporting_data_from</vt:lpwstr>
      </vt:variant>
      <vt:variant>
        <vt:i4>262247</vt:i4>
      </vt:variant>
      <vt:variant>
        <vt:i4>117</vt:i4>
      </vt:variant>
      <vt:variant>
        <vt:i4>0</vt:i4>
      </vt:variant>
      <vt:variant>
        <vt:i4>5</vt:i4>
      </vt:variant>
      <vt:variant>
        <vt:lpwstr>https://cer.gov.au/document_page/methods-and-measurement-criteria-guideline</vt:lpwstr>
      </vt:variant>
      <vt:variant>
        <vt:lpwstr/>
      </vt:variant>
      <vt:variant>
        <vt:i4>6815779</vt:i4>
      </vt:variant>
      <vt:variant>
        <vt:i4>114</vt:i4>
      </vt:variant>
      <vt:variant>
        <vt:i4>0</vt:i4>
      </vt:variant>
      <vt:variant>
        <vt:i4>5</vt:i4>
      </vt:variant>
      <vt:variant>
        <vt:lpwstr>https://cer.gov.au/schemes/national-greenhouse-and-energy-reporting-scheme/report-emissions-and-energy/nger</vt:lpwstr>
      </vt:variant>
      <vt:variant>
        <vt:lpwstr/>
      </vt:variant>
      <vt:variant>
        <vt:i4>4653077</vt:i4>
      </vt:variant>
      <vt:variant>
        <vt:i4>111</vt:i4>
      </vt:variant>
      <vt:variant>
        <vt:i4>0</vt:i4>
      </vt:variant>
      <vt:variant>
        <vt:i4>5</vt:i4>
      </vt:variant>
      <vt:variant>
        <vt:lpwstr>https://cer.gov.au/online-systems</vt:lpwstr>
      </vt:variant>
      <vt:variant>
        <vt:lpwstr>emissions-and-energy-reporting-system</vt:lpwstr>
      </vt:variant>
      <vt:variant>
        <vt:i4>6291577</vt:i4>
      </vt:variant>
      <vt:variant>
        <vt:i4>108</vt:i4>
      </vt:variant>
      <vt:variant>
        <vt:i4>0</vt:i4>
      </vt:variant>
      <vt:variant>
        <vt:i4>5</vt:i4>
      </vt:variant>
      <vt:variant>
        <vt:lpwstr>http://www.cleanenergyregulator.gov.au/NGER/Pages/default.aspx</vt:lpwstr>
      </vt:variant>
      <vt:variant>
        <vt:lpwstr/>
      </vt:variant>
      <vt:variant>
        <vt:i4>917523</vt:i4>
      </vt:variant>
      <vt:variant>
        <vt:i4>105</vt:i4>
      </vt:variant>
      <vt:variant>
        <vt:i4>0</vt:i4>
      </vt:variant>
      <vt:variant>
        <vt:i4>5</vt:i4>
      </vt:variant>
      <vt:variant>
        <vt:lpwstr>https://www.legislation.gov.au/Series/F2008L02309</vt:lpwstr>
      </vt:variant>
      <vt:variant>
        <vt:lpwstr/>
      </vt:variant>
      <vt:variant>
        <vt:i4>851986</vt:i4>
      </vt:variant>
      <vt:variant>
        <vt:i4>102</vt:i4>
      </vt:variant>
      <vt:variant>
        <vt:i4>0</vt:i4>
      </vt:variant>
      <vt:variant>
        <vt:i4>5</vt:i4>
      </vt:variant>
      <vt:variant>
        <vt:lpwstr>https://www.legislation.gov.au/Series/F2008L02230</vt:lpwstr>
      </vt:variant>
      <vt:variant>
        <vt:lpwstr/>
      </vt:variant>
      <vt:variant>
        <vt:i4>393243</vt:i4>
      </vt:variant>
      <vt:variant>
        <vt:i4>99</vt:i4>
      </vt:variant>
      <vt:variant>
        <vt:i4>0</vt:i4>
      </vt:variant>
      <vt:variant>
        <vt:i4>5</vt:i4>
      </vt:variant>
      <vt:variant>
        <vt:lpwstr>https://www.legislation.gov.au/Series/C2007A00175</vt:lpwstr>
      </vt:variant>
      <vt:variant>
        <vt:lpwstr/>
      </vt:variant>
      <vt:variant>
        <vt:i4>2228337</vt:i4>
      </vt:variant>
      <vt:variant>
        <vt:i4>96</vt:i4>
      </vt:variant>
      <vt:variant>
        <vt:i4>0</vt:i4>
      </vt:variant>
      <vt:variant>
        <vt:i4>5</vt:i4>
      </vt:variant>
      <vt:variant>
        <vt:lpwstr>https://www.legislation.gov.au/help-and-resources/understanding-legislation/reading-legislation</vt:lpwstr>
      </vt:variant>
      <vt:variant>
        <vt:lpwstr/>
      </vt:variant>
      <vt:variant>
        <vt:i4>4128813</vt:i4>
      </vt:variant>
      <vt:variant>
        <vt:i4>93</vt:i4>
      </vt:variant>
      <vt:variant>
        <vt:i4>0</vt:i4>
      </vt:variant>
      <vt:variant>
        <vt:i4>5</vt:i4>
      </vt:variant>
      <vt:variant>
        <vt:lpwstr>https://ghgprotocol.org/sites/default/files/ghg-uncertainty.pdf</vt:lpwstr>
      </vt:variant>
      <vt:variant>
        <vt:lpwstr/>
      </vt:variant>
      <vt:variant>
        <vt:i4>3866674</vt:i4>
      </vt:variant>
      <vt:variant>
        <vt:i4>90</vt:i4>
      </vt:variant>
      <vt:variant>
        <vt:i4>0</vt:i4>
      </vt:variant>
      <vt:variant>
        <vt:i4>5</vt:i4>
      </vt:variant>
      <vt:variant>
        <vt:lpwstr>https://www.legislation.gov.au/F2008L02230/latest/versions</vt:lpwstr>
      </vt:variant>
      <vt:variant>
        <vt:lpwstr/>
      </vt:variant>
      <vt:variant>
        <vt:i4>7929905</vt:i4>
      </vt:variant>
      <vt:variant>
        <vt:i4>87</vt:i4>
      </vt:variant>
      <vt:variant>
        <vt:i4>0</vt:i4>
      </vt:variant>
      <vt:variant>
        <vt:i4>5</vt:i4>
      </vt:variant>
      <vt:variant>
        <vt:lpwstr>https://cer.gov.au/schemes/national-greenhouse-and-energy-reporting-scheme/assess-your-obligations</vt:lpwstr>
      </vt:variant>
      <vt:variant>
        <vt:lpwstr>what-is-an-nger-facility</vt:lpwstr>
      </vt:variant>
      <vt:variant>
        <vt:i4>3604537</vt:i4>
      </vt:variant>
      <vt:variant>
        <vt:i4>84</vt:i4>
      </vt:variant>
      <vt:variant>
        <vt:i4>0</vt:i4>
      </vt:variant>
      <vt:variant>
        <vt:i4>5</vt:i4>
      </vt:variant>
      <vt:variant>
        <vt:lpwstr>https://www.legislation.gov.au/C2007A00175/latest/versions</vt:lpwstr>
      </vt:variant>
      <vt:variant>
        <vt:lpwstr/>
      </vt:variant>
      <vt:variant>
        <vt:i4>3866674</vt:i4>
      </vt:variant>
      <vt:variant>
        <vt:i4>81</vt:i4>
      </vt:variant>
      <vt:variant>
        <vt:i4>0</vt:i4>
      </vt:variant>
      <vt:variant>
        <vt:i4>5</vt:i4>
      </vt:variant>
      <vt:variant>
        <vt:lpwstr>https://www.legislation.gov.au/F2008L02230/latest/versions</vt:lpwstr>
      </vt:variant>
      <vt:variant>
        <vt:lpwstr/>
      </vt:variant>
      <vt:variant>
        <vt:i4>6553612</vt:i4>
      </vt:variant>
      <vt:variant>
        <vt:i4>2</vt:i4>
      </vt:variant>
      <vt:variant>
        <vt:i4>0</vt:i4>
      </vt:variant>
      <vt:variant>
        <vt:i4>5</vt:i4>
      </vt:variant>
      <vt:variant>
        <vt:lpwstr>mailto:enquiries@cer.gov.au</vt:lpwstr>
      </vt:variant>
      <vt:variant>
        <vt:lpwstr/>
      </vt:variant>
      <vt:variant>
        <vt:i4>7405639</vt:i4>
      </vt:variant>
      <vt:variant>
        <vt:i4>18</vt:i4>
      </vt:variant>
      <vt:variant>
        <vt:i4>0</vt:i4>
      </vt:variant>
      <vt:variant>
        <vt:i4>5</vt:i4>
      </vt:variant>
      <vt:variant>
        <vt:lpwstr>mailto:Chris.Sheahan@cer.gov.au</vt:lpwstr>
      </vt:variant>
      <vt:variant>
        <vt:lpwstr/>
      </vt:variant>
      <vt:variant>
        <vt:i4>7405639</vt:i4>
      </vt:variant>
      <vt:variant>
        <vt:i4>15</vt:i4>
      </vt:variant>
      <vt:variant>
        <vt:i4>0</vt:i4>
      </vt:variant>
      <vt:variant>
        <vt:i4>5</vt:i4>
      </vt:variant>
      <vt:variant>
        <vt:lpwstr>mailto:Chris.Sheahan@cer.gov.au</vt:lpwstr>
      </vt:variant>
      <vt:variant>
        <vt:lpwstr/>
      </vt:variant>
      <vt:variant>
        <vt:i4>7405639</vt:i4>
      </vt:variant>
      <vt:variant>
        <vt:i4>12</vt:i4>
      </vt:variant>
      <vt:variant>
        <vt:i4>0</vt:i4>
      </vt:variant>
      <vt:variant>
        <vt:i4>5</vt:i4>
      </vt:variant>
      <vt:variant>
        <vt:lpwstr>mailto:Chris.Sheahan@cer.gov.au</vt:lpwstr>
      </vt:variant>
      <vt:variant>
        <vt:lpwstr/>
      </vt:variant>
      <vt:variant>
        <vt:i4>7471188</vt:i4>
      </vt:variant>
      <vt:variant>
        <vt:i4>9</vt:i4>
      </vt:variant>
      <vt:variant>
        <vt:i4>0</vt:i4>
      </vt:variant>
      <vt:variant>
        <vt:i4>5</vt:i4>
      </vt:variant>
      <vt:variant>
        <vt:lpwstr>mailto:Andrew.May@cer.gov.au</vt:lpwstr>
      </vt:variant>
      <vt:variant>
        <vt:lpwstr/>
      </vt:variant>
      <vt:variant>
        <vt:i4>7405639</vt:i4>
      </vt:variant>
      <vt:variant>
        <vt:i4>6</vt:i4>
      </vt:variant>
      <vt:variant>
        <vt:i4>0</vt:i4>
      </vt:variant>
      <vt:variant>
        <vt:i4>5</vt:i4>
      </vt:variant>
      <vt:variant>
        <vt:lpwstr>mailto:Chris.Sheahan@cer.gov.au</vt:lpwstr>
      </vt:variant>
      <vt:variant>
        <vt:lpwstr/>
      </vt:variant>
      <vt:variant>
        <vt:i4>5636205</vt:i4>
      </vt:variant>
      <vt:variant>
        <vt:i4>3</vt:i4>
      </vt:variant>
      <vt:variant>
        <vt:i4>0</vt:i4>
      </vt:variant>
      <vt:variant>
        <vt:i4>5</vt:i4>
      </vt:variant>
      <vt:variant>
        <vt:lpwstr>mailto:Derek.Motion@cer.gov.au</vt:lpwstr>
      </vt:variant>
      <vt:variant>
        <vt:lpwstr/>
      </vt:variant>
      <vt:variant>
        <vt:i4>4128813</vt:i4>
      </vt:variant>
      <vt:variant>
        <vt:i4>0</vt:i4>
      </vt:variant>
      <vt:variant>
        <vt:i4>0</vt:i4>
      </vt:variant>
      <vt:variant>
        <vt:i4>5</vt:i4>
      </vt:variant>
      <vt:variant>
        <vt:lpwstr>https://ghgprotocol.org/sites/default/files/ghg-uncertainty.pdf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Greenhouse Energy Reporting uncertainty calculator user guide 2025-26</dc:title>
  <dc:subject/>
  <dc:creator/>
  <cp:keywords/>
  <cp:lastModifiedBy/>
  <cp:revision>1</cp:revision>
  <dcterms:created xsi:type="dcterms:W3CDTF">2026-06-29T23:31:00Z</dcterms:created>
  <dcterms:modified xsi:type="dcterms:W3CDTF">2026-06-29T23:34:00Z</dcterms:modified>
  <cp:contentStatus/>
</cp:coreProperties>
</file>