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1EFBA34D"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329D5143">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6F28A44"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d9e696"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893D7A" w:rsidRPr="00893D7A">
        <w:rPr>
          <w:rFonts w:asciiTheme="minorHAnsi" w:hAnsiTheme="minorHAnsi"/>
          <w:sz w:val="54"/>
          <w:szCs w:val="54"/>
        </w:rPr>
        <w:t>Methods and measurement criteria guideline</w:t>
      </w:r>
    </w:p>
    <w:p w14:paraId="3B543F96" w14:textId="036F2FEA" w:rsidR="003A5739" w:rsidRPr="00531F3B" w:rsidRDefault="004A4C26" w:rsidP="001813DE">
      <w:pPr>
        <w:pStyle w:val="BodyText1"/>
        <w:tabs>
          <w:tab w:val="left" w:pos="3969"/>
        </w:tabs>
        <w:ind w:left="5103" w:right="101"/>
      </w:pPr>
      <w:r>
        <w:t xml:space="preserve">August </w:t>
      </w:r>
      <w:r w:rsidR="0068486A">
        <w:t>202</w:t>
      </w:r>
      <w:r w:rsidR="00B35317">
        <w:t>5</w:t>
      </w:r>
    </w:p>
    <w:p w14:paraId="6519C78F" w14:textId="03C371E9" w:rsidR="00235142" w:rsidRPr="00874B8F" w:rsidRDefault="00346AEF" w:rsidP="005B2609">
      <w:pPr>
        <w:pStyle w:val="Heading1"/>
      </w:pPr>
      <w:bookmarkStart w:id="0" w:name="_Toc107997334"/>
      <w:bookmarkStart w:id="1" w:name="_Toc138069634"/>
      <w:bookmarkStart w:id="2" w:name="_Toc205547696"/>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3" w:name="_Toc447009035"/>
      <w:bookmarkStart w:id="4" w:name="_Toc413749884"/>
      <w:r w:rsidR="00235142" w:rsidRPr="00874B8F">
        <w:lastRenderedPageBreak/>
        <w:t>Contents</w:t>
      </w:r>
      <w:bookmarkEnd w:id="0"/>
      <w:bookmarkEnd w:id="1"/>
      <w:bookmarkEnd w:id="2"/>
    </w:p>
    <w:p w14:paraId="6DC53672" w14:textId="73801AC3" w:rsidR="00EB25A3"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EB25A3">
        <w:rPr>
          <w:noProof/>
        </w:rPr>
        <w:t>Contents</w:t>
      </w:r>
      <w:r w:rsidR="00EB25A3">
        <w:rPr>
          <w:noProof/>
        </w:rPr>
        <w:tab/>
      </w:r>
      <w:r w:rsidR="00EB25A3">
        <w:rPr>
          <w:noProof/>
        </w:rPr>
        <w:fldChar w:fldCharType="begin"/>
      </w:r>
      <w:r w:rsidR="00EB25A3">
        <w:rPr>
          <w:noProof/>
        </w:rPr>
        <w:instrText xml:space="preserve"> PAGEREF _Toc205547696 \h </w:instrText>
      </w:r>
      <w:r w:rsidR="00EB25A3">
        <w:rPr>
          <w:noProof/>
        </w:rPr>
      </w:r>
      <w:r w:rsidR="00EB25A3">
        <w:rPr>
          <w:noProof/>
        </w:rPr>
        <w:fldChar w:fldCharType="separate"/>
      </w:r>
      <w:r w:rsidR="00B71E67">
        <w:rPr>
          <w:noProof/>
        </w:rPr>
        <w:t>1</w:t>
      </w:r>
      <w:r w:rsidR="00EB25A3">
        <w:rPr>
          <w:noProof/>
        </w:rPr>
        <w:fldChar w:fldCharType="end"/>
      </w:r>
    </w:p>
    <w:p w14:paraId="41C69E56" w14:textId="63405DBE" w:rsidR="00EB25A3" w:rsidRDefault="00EB25A3">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_Toc205547697 \h </w:instrText>
      </w:r>
      <w:r>
        <w:rPr>
          <w:noProof/>
        </w:rPr>
      </w:r>
      <w:r>
        <w:rPr>
          <w:noProof/>
        </w:rPr>
        <w:fldChar w:fldCharType="separate"/>
      </w:r>
      <w:r w:rsidR="00B71E67">
        <w:rPr>
          <w:noProof/>
        </w:rPr>
        <w:t>3</w:t>
      </w:r>
      <w:r>
        <w:rPr>
          <w:noProof/>
        </w:rPr>
        <w:fldChar w:fldCharType="end"/>
      </w:r>
    </w:p>
    <w:p w14:paraId="7BB52ADF" w14:textId="747FB190" w:rsidR="00EB25A3" w:rsidRDefault="00EB25A3">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_Toc205547698 \h </w:instrText>
      </w:r>
      <w:r>
        <w:rPr>
          <w:noProof/>
        </w:rPr>
      </w:r>
      <w:r>
        <w:rPr>
          <w:noProof/>
        </w:rPr>
        <w:fldChar w:fldCharType="separate"/>
      </w:r>
      <w:r w:rsidR="00B71E67">
        <w:rPr>
          <w:noProof/>
        </w:rPr>
        <w:t>4</w:t>
      </w:r>
      <w:r>
        <w:rPr>
          <w:noProof/>
        </w:rPr>
        <w:fldChar w:fldCharType="end"/>
      </w:r>
    </w:p>
    <w:p w14:paraId="703AA0D9" w14:textId="61786616" w:rsidR="00EB25A3" w:rsidRDefault="00EB25A3">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_Toc205547699 \h </w:instrText>
      </w:r>
      <w:r>
        <w:rPr>
          <w:noProof/>
        </w:rPr>
      </w:r>
      <w:r>
        <w:rPr>
          <w:noProof/>
        </w:rPr>
        <w:fldChar w:fldCharType="separate"/>
      </w:r>
      <w:r w:rsidR="00B71E67">
        <w:rPr>
          <w:noProof/>
        </w:rPr>
        <w:t>5</w:t>
      </w:r>
      <w:r>
        <w:rPr>
          <w:noProof/>
        </w:rPr>
        <w:fldChar w:fldCharType="end"/>
      </w:r>
    </w:p>
    <w:p w14:paraId="14399E25" w14:textId="5CBCC8C3"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sidRPr="00B724AC">
        <w:rPr>
          <w:noProof/>
          <w:lang w:val="en-GB"/>
        </w:rPr>
        <w:t>1.</w:t>
      </w:r>
      <w:r>
        <w:rPr>
          <w:rFonts w:eastAsiaTheme="minorEastAsia" w:cstheme="minorBidi"/>
          <w:b w:val="0"/>
          <w:noProof/>
          <w:color w:val="auto"/>
          <w:kern w:val="2"/>
          <w:sz w:val="24"/>
          <w:lang w:eastAsia="en-AU"/>
          <w14:ligatures w14:val="standardContextual"/>
        </w:rPr>
        <w:tab/>
      </w:r>
      <w:r w:rsidRPr="00B724AC">
        <w:rPr>
          <w:noProof/>
          <w:lang w:val="en-GB"/>
        </w:rPr>
        <w:t>Purpose of this guideline</w:t>
      </w:r>
      <w:r>
        <w:rPr>
          <w:noProof/>
        </w:rPr>
        <w:tab/>
      </w:r>
      <w:r>
        <w:rPr>
          <w:noProof/>
        </w:rPr>
        <w:fldChar w:fldCharType="begin"/>
      </w:r>
      <w:r>
        <w:rPr>
          <w:noProof/>
        </w:rPr>
        <w:instrText xml:space="preserve"> PAGEREF _Toc205547700 \h </w:instrText>
      </w:r>
      <w:r>
        <w:rPr>
          <w:noProof/>
        </w:rPr>
      </w:r>
      <w:r>
        <w:rPr>
          <w:noProof/>
        </w:rPr>
        <w:fldChar w:fldCharType="separate"/>
      </w:r>
      <w:r w:rsidR="00B71E67">
        <w:rPr>
          <w:noProof/>
        </w:rPr>
        <w:t>5</w:t>
      </w:r>
      <w:r>
        <w:rPr>
          <w:noProof/>
        </w:rPr>
        <w:fldChar w:fldCharType="end"/>
      </w:r>
    </w:p>
    <w:p w14:paraId="0174A7EB" w14:textId="21D6C18C" w:rsidR="00EB25A3" w:rsidRDefault="00EB25A3">
      <w:pPr>
        <w:pStyle w:val="TOC2"/>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_Toc205547701 \h </w:instrText>
      </w:r>
      <w:r>
        <w:rPr>
          <w:noProof/>
        </w:rPr>
      </w:r>
      <w:r>
        <w:rPr>
          <w:noProof/>
        </w:rPr>
        <w:fldChar w:fldCharType="separate"/>
      </w:r>
      <w:r w:rsidR="00B71E67">
        <w:rPr>
          <w:noProof/>
        </w:rPr>
        <w:t>6</w:t>
      </w:r>
      <w:r>
        <w:rPr>
          <w:noProof/>
        </w:rPr>
        <w:fldChar w:fldCharType="end"/>
      </w:r>
    </w:p>
    <w:p w14:paraId="735A97DE" w14:textId="14C88275"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Methods for measurement - overview</w:t>
      </w:r>
      <w:r>
        <w:rPr>
          <w:noProof/>
        </w:rPr>
        <w:tab/>
      </w:r>
      <w:r>
        <w:rPr>
          <w:noProof/>
        </w:rPr>
        <w:fldChar w:fldCharType="begin"/>
      </w:r>
      <w:r>
        <w:rPr>
          <w:noProof/>
        </w:rPr>
        <w:instrText xml:space="preserve"> PAGEREF _Toc205547702 \h </w:instrText>
      </w:r>
      <w:r>
        <w:rPr>
          <w:noProof/>
        </w:rPr>
      </w:r>
      <w:r>
        <w:rPr>
          <w:noProof/>
        </w:rPr>
        <w:fldChar w:fldCharType="separate"/>
      </w:r>
      <w:r w:rsidR="00B71E67">
        <w:rPr>
          <w:noProof/>
        </w:rPr>
        <w:t>6</w:t>
      </w:r>
      <w:r>
        <w:rPr>
          <w:noProof/>
        </w:rPr>
        <w:fldChar w:fldCharType="end"/>
      </w:r>
    </w:p>
    <w:p w14:paraId="75811403" w14:textId="4C23AFA7"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2.1.</w:t>
      </w:r>
      <w:r>
        <w:rPr>
          <w:rFonts w:eastAsiaTheme="minorEastAsia" w:cstheme="minorBidi"/>
          <w:noProof/>
          <w:color w:val="auto"/>
          <w:kern w:val="2"/>
          <w:sz w:val="24"/>
          <w:lang w:eastAsia="en-AU"/>
          <w14:ligatures w14:val="standardContextual"/>
        </w:rPr>
        <w:tab/>
      </w:r>
      <w:r>
        <w:rPr>
          <w:noProof/>
          <w:lang w:eastAsia="en-AU"/>
        </w:rPr>
        <w:t>Method 1</w:t>
      </w:r>
      <w:r>
        <w:rPr>
          <w:noProof/>
        </w:rPr>
        <w:tab/>
      </w:r>
      <w:r>
        <w:rPr>
          <w:noProof/>
        </w:rPr>
        <w:fldChar w:fldCharType="begin"/>
      </w:r>
      <w:r>
        <w:rPr>
          <w:noProof/>
        </w:rPr>
        <w:instrText xml:space="preserve"> PAGEREF _Toc205547703 \h </w:instrText>
      </w:r>
      <w:r>
        <w:rPr>
          <w:noProof/>
        </w:rPr>
      </w:r>
      <w:r>
        <w:rPr>
          <w:noProof/>
        </w:rPr>
        <w:fldChar w:fldCharType="separate"/>
      </w:r>
      <w:r w:rsidR="00B71E67">
        <w:rPr>
          <w:noProof/>
        </w:rPr>
        <w:t>7</w:t>
      </w:r>
      <w:r>
        <w:rPr>
          <w:noProof/>
        </w:rPr>
        <w:fldChar w:fldCharType="end"/>
      </w:r>
    </w:p>
    <w:p w14:paraId="73E99FE9" w14:textId="49BE83DD"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2.2.</w:t>
      </w:r>
      <w:r>
        <w:rPr>
          <w:rFonts w:eastAsiaTheme="minorEastAsia" w:cstheme="minorBidi"/>
          <w:noProof/>
          <w:color w:val="auto"/>
          <w:kern w:val="2"/>
          <w:sz w:val="24"/>
          <w:lang w:eastAsia="en-AU"/>
          <w14:ligatures w14:val="standardContextual"/>
        </w:rPr>
        <w:tab/>
      </w:r>
      <w:r>
        <w:rPr>
          <w:noProof/>
          <w:lang w:eastAsia="en-AU"/>
        </w:rPr>
        <w:t>Method 2</w:t>
      </w:r>
      <w:r>
        <w:rPr>
          <w:noProof/>
        </w:rPr>
        <w:tab/>
      </w:r>
      <w:r>
        <w:rPr>
          <w:noProof/>
        </w:rPr>
        <w:fldChar w:fldCharType="begin"/>
      </w:r>
      <w:r>
        <w:rPr>
          <w:noProof/>
        </w:rPr>
        <w:instrText xml:space="preserve"> PAGEREF _Toc205547704 \h </w:instrText>
      </w:r>
      <w:r>
        <w:rPr>
          <w:noProof/>
        </w:rPr>
      </w:r>
      <w:r>
        <w:rPr>
          <w:noProof/>
        </w:rPr>
        <w:fldChar w:fldCharType="separate"/>
      </w:r>
      <w:r w:rsidR="00B71E67">
        <w:rPr>
          <w:noProof/>
        </w:rPr>
        <w:t>7</w:t>
      </w:r>
      <w:r>
        <w:rPr>
          <w:noProof/>
        </w:rPr>
        <w:fldChar w:fldCharType="end"/>
      </w:r>
    </w:p>
    <w:p w14:paraId="64A8B257" w14:textId="15F7E649" w:rsidR="00EB25A3" w:rsidRDefault="00EB25A3">
      <w:pPr>
        <w:pStyle w:val="TOC2"/>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Method 3</w:t>
      </w:r>
      <w:r>
        <w:rPr>
          <w:noProof/>
        </w:rPr>
        <w:tab/>
      </w:r>
      <w:r>
        <w:rPr>
          <w:noProof/>
        </w:rPr>
        <w:fldChar w:fldCharType="begin"/>
      </w:r>
      <w:r>
        <w:rPr>
          <w:noProof/>
        </w:rPr>
        <w:instrText xml:space="preserve"> PAGEREF _Toc205547705 \h </w:instrText>
      </w:r>
      <w:r>
        <w:rPr>
          <w:noProof/>
        </w:rPr>
      </w:r>
      <w:r>
        <w:rPr>
          <w:noProof/>
        </w:rPr>
        <w:fldChar w:fldCharType="separate"/>
      </w:r>
      <w:r w:rsidR="00B71E67">
        <w:rPr>
          <w:noProof/>
        </w:rPr>
        <w:t>7</w:t>
      </w:r>
      <w:r>
        <w:rPr>
          <w:noProof/>
        </w:rPr>
        <w:fldChar w:fldCharType="end"/>
      </w:r>
    </w:p>
    <w:p w14:paraId="36CEA7D2" w14:textId="54DCC4C1"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2.4.</w:t>
      </w:r>
      <w:r>
        <w:rPr>
          <w:rFonts w:eastAsiaTheme="minorEastAsia" w:cstheme="minorBidi"/>
          <w:noProof/>
          <w:color w:val="auto"/>
          <w:kern w:val="2"/>
          <w:sz w:val="24"/>
          <w:lang w:eastAsia="en-AU"/>
          <w14:ligatures w14:val="standardContextual"/>
        </w:rPr>
        <w:tab/>
      </w:r>
      <w:r>
        <w:rPr>
          <w:noProof/>
          <w:lang w:eastAsia="en-AU"/>
        </w:rPr>
        <w:t>Method 4</w:t>
      </w:r>
      <w:r>
        <w:rPr>
          <w:noProof/>
        </w:rPr>
        <w:tab/>
      </w:r>
      <w:r>
        <w:rPr>
          <w:noProof/>
        </w:rPr>
        <w:fldChar w:fldCharType="begin"/>
      </w:r>
      <w:r>
        <w:rPr>
          <w:noProof/>
        </w:rPr>
        <w:instrText xml:space="preserve"> PAGEREF _Toc205547706 \h </w:instrText>
      </w:r>
      <w:r>
        <w:rPr>
          <w:noProof/>
        </w:rPr>
      </w:r>
      <w:r>
        <w:rPr>
          <w:noProof/>
        </w:rPr>
        <w:fldChar w:fldCharType="separate"/>
      </w:r>
      <w:r w:rsidR="00B71E67">
        <w:rPr>
          <w:noProof/>
        </w:rPr>
        <w:t>8</w:t>
      </w:r>
      <w:r>
        <w:rPr>
          <w:noProof/>
        </w:rPr>
        <w:fldChar w:fldCharType="end"/>
      </w:r>
    </w:p>
    <w:p w14:paraId="3108F290" w14:textId="0804878A"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2.5.</w:t>
      </w:r>
      <w:r>
        <w:rPr>
          <w:rFonts w:eastAsiaTheme="minorEastAsia" w:cstheme="minorBidi"/>
          <w:noProof/>
          <w:color w:val="auto"/>
          <w:kern w:val="2"/>
          <w:sz w:val="24"/>
          <w:lang w:eastAsia="en-AU"/>
          <w14:ligatures w14:val="standardContextual"/>
        </w:rPr>
        <w:tab/>
      </w:r>
      <w:r>
        <w:rPr>
          <w:noProof/>
          <w:lang w:eastAsia="en-AU"/>
        </w:rPr>
        <w:t>Scope 2 emissions estimation methods - overview</w:t>
      </w:r>
      <w:r>
        <w:rPr>
          <w:noProof/>
        </w:rPr>
        <w:tab/>
      </w:r>
      <w:r>
        <w:rPr>
          <w:noProof/>
        </w:rPr>
        <w:fldChar w:fldCharType="begin"/>
      </w:r>
      <w:r>
        <w:rPr>
          <w:noProof/>
        </w:rPr>
        <w:instrText xml:space="preserve"> PAGEREF _Toc205547707 \h </w:instrText>
      </w:r>
      <w:r>
        <w:rPr>
          <w:noProof/>
        </w:rPr>
      </w:r>
      <w:r>
        <w:rPr>
          <w:noProof/>
        </w:rPr>
        <w:fldChar w:fldCharType="separate"/>
      </w:r>
      <w:r w:rsidR="00B71E67">
        <w:rPr>
          <w:noProof/>
        </w:rPr>
        <w:t>8</w:t>
      </w:r>
      <w:r>
        <w:rPr>
          <w:noProof/>
        </w:rPr>
        <w:fldChar w:fldCharType="end"/>
      </w:r>
    </w:p>
    <w:p w14:paraId="3F4E5EE5" w14:textId="4636F61A" w:rsidR="00EB25A3" w:rsidRDefault="00EB25A3">
      <w:pPr>
        <w:pStyle w:val="TOC3"/>
        <w:rPr>
          <w:rFonts w:eastAsiaTheme="minorEastAsia" w:cstheme="minorBidi"/>
          <w:noProof/>
          <w:color w:val="auto"/>
          <w:kern w:val="2"/>
          <w:sz w:val="24"/>
          <w:lang w:eastAsia="en-AU"/>
          <w14:ligatures w14:val="standardContextual"/>
        </w:rPr>
      </w:pPr>
      <w:r>
        <w:rPr>
          <w:noProof/>
          <w:lang w:eastAsia="en-AU"/>
        </w:rPr>
        <w:t>Mandatory location-based methods for estimating scope 2 emissions</w:t>
      </w:r>
      <w:r>
        <w:rPr>
          <w:noProof/>
        </w:rPr>
        <w:tab/>
      </w:r>
      <w:r>
        <w:rPr>
          <w:noProof/>
        </w:rPr>
        <w:fldChar w:fldCharType="begin"/>
      </w:r>
      <w:r>
        <w:rPr>
          <w:noProof/>
        </w:rPr>
        <w:instrText xml:space="preserve"> PAGEREF _Toc205547708 \h </w:instrText>
      </w:r>
      <w:r>
        <w:rPr>
          <w:noProof/>
        </w:rPr>
      </w:r>
      <w:r>
        <w:rPr>
          <w:noProof/>
        </w:rPr>
        <w:fldChar w:fldCharType="separate"/>
      </w:r>
      <w:r w:rsidR="00B71E67">
        <w:rPr>
          <w:noProof/>
        </w:rPr>
        <w:t>8</w:t>
      </w:r>
      <w:r>
        <w:rPr>
          <w:noProof/>
        </w:rPr>
        <w:fldChar w:fldCharType="end"/>
      </w:r>
    </w:p>
    <w:p w14:paraId="3C9B5633" w14:textId="2DCA6E7C" w:rsidR="00EB25A3" w:rsidRDefault="00EB25A3">
      <w:pPr>
        <w:pStyle w:val="TOC3"/>
        <w:rPr>
          <w:rFonts w:eastAsiaTheme="minorEastAsia" w:cstheme="minorBidi"/>
          <w:noProof/>
          <w:color w:val="auto"/>
          <w:kern w:val="2"/>
          <w:sz w:val="24"/>
          <w:lang w:eastAsia="en-AU"/>
          <w14:ligatures w14:val="standardContextual"/>
        </w:rPr>
      </w:pPr>
      <w:r>
        <w:rPr>
          <w:noProof/>
          <w:lang w:eastAsia="en-AU"/>
        </w:rPr>
        <w:t>Voluntary market-based method for estimating scope 2 emissions</w:t>
      </w:r>
      <w:r>
        <w:rPr>
          <w:noProof/>
        </w:rPr>
        <w:tab/>
      </w:r>
      <w:r>
        <w:rPr>
          <w:noProof/>
        </w:rPr>
        <w:fldChar w:fldCharType="begin"/>
      </w:r>
      <w:r>
        <w:rPr>
          <w:noProof/>
        </w:rPr>
        <w:instrText xml:space="preserve"> PAGEREF _Toc205547709 \h </w:instrText>
      </w:r>
      <w:r>
        <w:rPr>
          <w:noProof/>
        </w:rPr>
      </w:r>
      <w:r>
        <w:rPr>
          <w:noProof/>
        </w:rPr>
        <w:fldChar w:fldCharType="separate"/>
      </w:r>
      <w:r w:rsidR="00B71E67">
        <w:rPr>
          <w:noProof/>
        </w:rPr>
        <w:t>8</w:t>
      </w:r>
      <w:r>
        <w:rPr>
          <w:noProof/>
        </w:rPr>
        <w:fldChar w:fldCharType="end"/>
      </w:r>
    </w:p>
    <w:p w14:paraId="2E46C8A8" w14:textId="1423630B"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2.6.</w:t>
      </w:r>
      <w:r>
        <w:rPr>
          <w:rFonts w:eastAsiaTheme="minorEastAsia" w:cstheme="minorBidi"/>
          <w:noProof/>
          <w:color w:val="auto"/>
          <w:kern w:val="2"/>
          <w:sz w:val="24"/>
          <w:lang w:eastAsia="en-AU"/>
          <w14:ligatures w14:val="standardContextual"/>
        </w:rPr>
        <w:tab/>
      </w:r>
      <w:r>
        <w:rPr>
          <w:noProof/>
          <w:lang w:eastAsia="en-AU"/>
        </w:rPr>
        <w:t>Energy estimation methods – overview</w:t>
      </w:r>
      <w:r>
        <w:rPr>
          <w:noProof/>
        </w:rPr>
        <w:tab/>
      </w:r>
      <w:r>
        <w:rPr>
          <w:noProof/>
        </w:rPr>
        <w:fldChar w:fldCharType="begin"/>
      </w:r>
      <w:r>
        <w:rPr>
          <w:noProof/>
        </w:rPr>
        <w:instrText xml:space="preserve"> PAGEREF _Toc205547710 \h </w:instrText>
      </w:r>
      <w:r>
        <w:rPr>
          <w:noProof/>
        </w:rPr>
      </w:r>
      <w:r>
        <w:rPr>
          <w:noProof/>
        </w:rPr>
        <w:fldChar w:fldCharType="separate"/>
      </w:r>
      <w:r w:rsidR="00B71E67">
        <w:rPr>
          <w:noProof/>
        </w:rPr>
        <w:t>9</w:t>
      </w:r>
      <w:r>
        <w:rPr>
          <w:noProof/>
        </w:rPr>
        <w:fldChar w:fldCharType="end"/>
      </w:r>
    </w:p>
    <w:p w14:paraId="6C8C9E9C" w14:textId="5EE0B2D1"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2.7.</w:t>
      </w:r>
      <w:r>
        <w:rPr>
          <w:rFonts w:eastAsiaTheme="minorEastAsia" w:cstheme="minorBidi"/>
          <w:noProof/>
          <w:color w:val="auto"/>
          <w:kern w:val="2"/>
          <w:sz w:val="24"/>
          <w:lang w:eastAsia="en-AU"/>
          <w14:ligatures w14:val="standardContextual"/>
        </w:rPr>
        <w:tab/>
      </w:r>
      <w:r>
        <w:rPr>
          <w:noProof/>
          <w:lang w:eastAsia="en-AU"/>
        </w:rPr>
        <w:t>Temporary unavailability of Method</w:t>
      </w:r>
      <w:r>
        <w:rPr>
          <w:noProof/>
        </w:rPr>
        <w:tab/>
      </w:r>
      <w:r>
        <w:rPr>
          <w:noProof/>
        </w:rPr>
        <w:fldChar w:fldCharType="begin"/>
      </w:r>
      <w:r>
        <w:rPr>
          <w:noProof/>
        </w:rPr>
        <w:instrText xml:space="preserve"> PAGEREF _Toc205547711 \h </w:instrText>
      </w:r>
      <w:r>
        <w:rPr>
          <w:noProof/>
        </w:rPr>
      </w:r>
      <w:r>
        <w:rPr>
          <w:noProof/>
        </w:rPr>
        <w:fldChar w:fldCharType="separate"/>
      </w:r>
      <w:r w:rsidR="00B71E67">
        <w:rPr>
          <w:noProof/>
        </w:rPr>
        <w:t>9</w:t>
      </w:r>
      <w:r>
        <w:rPr>
          <w:noProof/>
        </w:rPr>
        <w:fldChar w:fldCharType="end"/>
      </w:r>
    </w:p>
    <w:p w14:paraId="69ADAEBF" w14:textId="38901053" w:rsidR="00EB25A3" w:rsidRDefault="00EB25A3">
      <w:pPr>
        <w:pStyle w:val="TOC2"/>
        <w:rPr>
          <w:rFonts w:eastAsiaTheme="minorEastAsia" w:cstheme="minorBidi"/>
          <w:noProof/>
          <w:color w:val="auto"/>
          <w:kern w:val="2"/>
          <w:sz w:val="24"/>
          <w:lang w:eastAsia="en-AU"/>
          <w14:ligatures w14:val="standardContextual"/>
        </w:rPr>
      </w:pPr>
      <w:r>
        <w:rPr>
          <w:noProof/>
          <w:lang w:eastAsia="en-AU"/>
        </w:rPr>
        <w:t>2.8.</w:t>
      </w:r>
      <w:r>
        <w:rPr>
          <w:rFonts w:eastAsiaTheme="minorEastAsia" w:cstheme="minorBidi"/>
          <w:noProof/>
          <w:color w:val="auto"/>
          <w:kern w:val="2"/>
          <w:sz w:val="24"/>
          <w:lang w:eastAsia="en-AU"/>
          <w14:ligatures w14:val="standardContextual"/>
        </w:rPr>
        <w:tab/>
      </w:r>
      <w:r>
        <w:rPr>
          <w:noProof/>
          <w:lang w:eastAsia="en-AU"/>
        </w:rPr>
        <w:t>Constraints on Methods</w:t>
      </w:r>
      <w:r>
        <w:rPr>
          <w:noProof/>
        </w:rPr>
        <w:tab/>
      </w:r>
      <w:r>
        <w:rPr>
          <w:noProof/>
        </w:rPr>
        <w:fldChar w:fldCharType="begin"/>
      </w:r>
      <w:r>
        <w:rPr>
          <w:noProof/>
        </w:rPr>
        <w:instrText xml:space="preserve"> PAGEREF _Toc205547712 \h </w:instrText>
      </w:r>
      <w:r>
        <w:rPr>
          <w:noProof/>
        </w:rPr>
      </w:r>
      <w:r>
        <w:rPr>
          <w:noProof/>
        </w:rPr>
        <w:fldChar w:fldCharType="separate"/>
      </w:r>
      <w:r w:rsidR="00B71E67">
        <w:rPr>
          <w:noProof/>
        </w:rPr>
        <w:t>11</w:t>
      </w:r>
      <w:r>
        <w:rPr>
          <w:noProof/>
        </w:rPr>
        <w:fldChar w:fldCharType="end"/>
      </w:r>
    </w:p>
    <w:p w14:paraId="4715BAC4" w14:textId="67700A9A"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What are measurement criteria?</w:t>
      </w:r>
      <w:r>
        <w:rPr>
          <w:noProof/>
        </w:rPr>
        <w:tab/>
      </w:r>
      <w:r>
        <w:rPr>
          <w:noProof/>
        </w:rPr>
        <w:fldChar w:fldCharType="begin"/>
      </w:r>
      <w:r>
        <w:rPr>
          <w:noProof/>
        </w:rPr>
        <w:instrText xml:space="preserve"> PAGEREF _Toc205547713 \h </w:instrText>
      </w:r>
      <w:r>
        <w:rPr>
          <w:noProof/>
        </w:rPr>
      </w:r>
      <w:r>
        <w:rPr>
          <w:noProof/>
        </w:rPr>
        <w:fldChar w:fldCharType="separate"/>
      </w:r>
      <w:r w:rsidR="00B71E67">
        <w:rPr>
          <w:noProof/>
        </w:rPr>
        <w:t>12</w:t>
      </w:r>
      <w:r>
        <w:rPr>
          <w:noProof/>
        </w:rPr>
        <w:fldChar w:fldCharType="end"/>
      </w:r>
    </w:p>
    <w:p w14:paraId="27AAC1D4" w14:textId="32918EBE" w:rsidR="00EB25A3" w:rsidRDefault="00EB25A3">
      <w:pPr>
        <w:pStyle w:val="TOC2"/>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General definitions</w:t>
      </w:r>
      <w:r>
        <w:rPr>
          <w:noProof/>
        </w:rPr>
        <w:tab/>
      </w:r>
      <w:r>
        <w:rPr>
          <w:noProof/>
        </w:rPr>
        <w:fldChar w:fldCharType="begin"/>
      </w:r>
      <w:r>
        <w:rPr>
          <w:noProof/>
        </w:rPr>
        <w:instrText xml:space="preserve"> PAGEREF _Toc205547714 \h </w:instrText>
      </w:r>
      <w:r>
        <w:rPr>
          <w:noProof/>
        </w:rPr>
      </w:r>
      <w:r>
        <w:rPr>
          <w:noProof/>
        </w:rPr>
        <w:fldChar w:fldCharType="separate"/>
      </w:r>
      <w:r w:rsidR="00B71E67">
        <w:rPr>
          <w:noProof/>
        </w:rPr>
        <w:t>12</w:t>
      </w:r>
      <w:r>
        <w:rPr>
          <w:noProof/>
        </w:rPr>
        <w:fldChar w:fldCharType="end"/>
      </w:r>
    </w:p>
    <w:p w14:paraId="5CDAA693" w14:textId="3519D360" w:rsidR="00EB25A3" w:rsidRDefault="00EB25A3">
      <w:pPr>
        <w:pStyle w:val="TOC2"/>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Constraints on measurement criterion</w:t>
      </w:r>
      <w:r>
        <w:rPr>
          <w:noProof/>
        </w:rPr>
        <w:tab/>
      </w:r>
      <w:r>
        <w:rPr>
          <w:noProof/>
        </w:rPr>
        <w:fldChar w:fldCharType="begin"/>
      </w:r>
      <w:r>
        <w:rPr>
          <w:noProof/>
        </w:rPr>
        <w:instrText xml:space="preserve"> PAGEREF _Toc205547715 \h </w:instrText>
      </w:r>
      <w:r>
        <w:rPr>
          <w:noProof/>
        </w:rPr>
      </w:r>
      <w:r>
        <w:rPr>
          <w:noProof/>
        </w:rPr>
        <w:fldChar w:fldCharType="separate"/>
      </w:r>
      <w:r w:rsidR="00B71E67">
        <w:rPr>
          <w:noProof/>
        </w:rPr>
        <w:t>14</w:t>
      </w:r>
      <w:r>
        <w:rPr>
          <w:noProof/>
        </w:rPr>
        <w:fldChar w:fldCharType="end"/>
      </w:r>
    </w:p>
    <w:p w14:paraId="4B3536F5" w14:textId="2CA404EE"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Measurement criteria for carbon capture and storage</w:t>
      </w:r>
      <w:r>
        <w:rPr>
          <w:noProof/>
        </w:rPr>
        <w:tab/>
      </w:r>
      <w:r>
        <w:rPr>
          <w:noProof/>
        </w:rPr>
        <w:fldChar w:fldCharType="begin"/>
      </w:r>
      <w:r>
        <w:rPr>
          <w:noProof/>
        </w:rPr>
        <w:instrText xml:space="preserve"> PAGEREF _Toc205547716 \h </w:instrText>
      </w:r>
      <w:r>
        <w:rPr>
          <w:noProof/>
        </w:rPr>
      </w:r>
      <w:r>
        <w:rPr>
          <w:noProof/>
        </w:rPr>
        <w:fldChar w:fldCharType="separate"/>
      </w:r>
      <w:r w:rsidR="00B71E67">
        <w:rPr>
          <w:noProof/>
        </w:rPr>
        <w:t>14</w:t>
      </w:r>
      <w:r>
        <w:rPr>
          <w:noProof/>
        </w:rPr>
        <w:fldChar w:fldCharType="end"/>
      </w:r>
    </w:p>
    <w:p w14:paraId="538A41E0" w14:textId="4F956D70"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Measurement criteria for solid fuels</w:t>
      </w:r>
      <w:r>
        <w:rPr>
          <w:noProof/>
        </w:rPr>
        <w:tab/>
      </w:r>
      <w:r>
        <w:rPr>
          <w:noProof/>
        </w:rPr>
        <w:fldChar w:fldCharType="begin"/>
      </w:r>
      <w:r>
        <w:rPr>
          <w:noProof/>
        </w:rPr>
        <w:instrText xml:space="preserve"> PAGEREF _Toc205547717 \h </w:instrText>
      </w:r>
      <w:r>
        <w:rPr>
          <w:noProof/>
        </w:rPr>
      </w:r>
      <w:r>
        <w:rPr>
          <w:noProof/>
        </w:rPr>
        <w:fldChar w:fldCharType="separate"/>
      </w:r>
      <w:r w:rsidR="00B71E67">
        <w:rPr>
          <w:noProof/>
        </w:rPr>
        <w:t>15</w:t>
      </w:r>
      <w:r>
        <w:rPr>
          <w:noProof/>
        </w:rPr>
        <w:fldChar w:fldCharType="end"/>
      </w:r>
    </w:p>
    <w:p w14:paraId="7A0E054A" w14:textId="7AC546D5"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6.</w:t>
      </w:r>
      <w:r>
        <w:rPr>
          <w:rFonts w:eastAsiaTheme="minorEastAsia" w:cstheme="minorBidi"/>
          <w:b w:val="0"/>
          <w:noProof/>
          <w:color w:val="auto"/>
          <w:kern w:val="2"/>
          <w:sz w:val="24"/>
          <w:lang w:eastAsia="en-AU"/>
          <w14:ligatures w14:val="standardContextual"/>
        </w:rPr>
        <w:tab/>
      </w:r>
      <w:r>
        <w:rPr>
          <w:noProof/>
        </w:rPr>
        <w:t>Measurement criteria for gaseous fuels</w:t>
      </w:r>
      <w:r>
        <w:rPr>
          <w:noProof/>
        </w:rPr>
        <w:tab/>
      </w:r>
      <w:r>
        <w:rPr>
          <w:noProof/>
        </w:rPr>
        <w:fldChar w:fldCharType="begin"/>
      </w:r>
      <w:r>
        <w:rPr>
          <w:noProof/>
        </w:rPr>
        <w:instrText xml:space="preserve"> PAGEREF _Toc205547718 \h </w:instrText>
      </w:r>
      <w:r>
        <w:rPr>
          <w:noProof/>
        </w:rPr>
      </w:r>
      <w:r>
        <w:rPr>
          <w:noProof/>
        </w:rPr>
        <w:fldChar w:fldCharType="separate"/>
      </w:r>
      <w:r w:rsidR="00B71E67">
        <w:rPr>
          <w:noProof/>
        </w:rPr>
        <w:t>16</w:t>
      </w:r>
      <w:r>
        <w:rPr>
          <w:noProof/>
        </w:rPr>
        <w:fldChar w:fldCharType="end"/>
      </w:r>
    </w:p>
    <w:p w14:paraId="06EDDCB3" w14:textId="6A35EBDF"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7.</w:t>
      </w:r>
      <w:r>
        <w:rPr>
          <w:rFonts w:eastAsiaTheme="minorEastAsia" w:cstheme="minorBidi"/>
          <w:b w:val="0"/>
          <w:noProof/>
          <w:color w:val="auto"/>
          <w:kern w:val="2"/>
          <w:sz w:val="24"/>
          <w:lang w:eastAsia="en-AU"/>
          <w14:ligatures w14:val="standardContextual"/>
        </w:rPr>
        <w:tab/>
      </w:r>
      <w:r>
        <w:rPr>
          <w:noProof/>
        </w:rPr>
        <w:t>Measurement criteria for liquid fuels</w:t>
      </w:r>
      <w:r>
        <w:rPr>
          <w:noProof/>
        </w:rPr>
        <w:tab/>
      </w:r>
      <w:r>
        <w:rPr>
          <w:noProof/>
        </w:rPr>
        <w:fldChar w:fldCharType="begin"/>
      </w:r>
      <w:r>
        <w:rPr>
          <w:noProof/>
        </w:rPr>
        <w:instrText xml:space="preserve"> PAGEREF _Toc205547719 \h </w:instrText>
      </w:r>
      <w:r>
        <w:rPr>
          <w:noProof/>
        </w:rPr>
      </w:r>
      <w:r>
        <w:rPr>
          <w:noProof/>
        </w:rPr>
        <w:fldChar w:fldCharType="separate"/>
      </w:r>
      <w:r w:rsidR="00B71E67">
        <w:rPr>
          <w:noProof/>
        </w:rPr>
        <w:t>17</w:t>
      </w:r>
      <w:r>
        <w:rPr>
          <w:noProof/>
        </w:rPr>
        <w:fldChar w:fldCharType="end"/>
      </w:r>
    </w:p>
    <w:p w14:paraId="6E387965" w14:textId="64FF04CA"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8.</w:t>
      </w:r>
      <w:r>
        <w:rPr>
          <w:rFonts w:eastAsiaTheme="minorEastAsia" w:cstheme="minorBidi"/>
          <w:b w:val="0"/>
          <w:noProof/>
          <w:color w:val="auto"/>
          <w:kern w:val="2"/>
          <w:sz w:val="24"/>
          <w:lang w:eastAsia="en-AU"/>
          <w14:ligatures w14:val="standardContextual"/>
        </w:rPr>
        <w:tab/>
      </w:r>
      <w:r>
        <w:rPr>
          <w:noProof/>
        </w:rPr>
        <w:t>Measurement criteria for carbonates</w:t>
      </w:r>
      <w:r>
        <w:rPr>
          <w:noProof/>
        </w:rPr>
        <w:tab/>
      </w:r>
      <w:r>
        <w:rPr>
          <w:noProof/>
        </w:rPr>
        <w:fldChar w:fldCharType="begin"/>
      </w:r>
      <w:r>
        <w:rPr>
          <w:noProof/>
        </w:rPr>
        <w:instrText xml:space="preserve"> PAGEREF _Toc205547720 \h </w:instrText>
      </w:r>
      <w:r>
        <w:rPr>
          <w:noProof/>
        </w:rPr>
      </w:r>
      <w:r>
        <w:rPr>
          <w:noProof/>
        </w:rPr>
        <w:fldChar w:fldCharType="separate"/>
      </w:r>
      <w:r w:rsidR="00B71E67">
        <w:rPr>
          <w:noProof/>
        </w:rPr>
        <w:t>18</w:t>
      </w:r>
      <w:r>
        <w:rPr>
          <w:noProof/>
        </w:rPr>
        <w:fldChar w:fldCharType="end"/>
      </w:r>
    </w:p>
    <w:p w14:paraId="079604A4" w14:textId="73A0C8A9" w:rsidR="00EB25A3" w:rsidRDefault="00EB25A3">
      <w:pPr>
        <w:pStyle w:val="TOC1"/>
        <w:tabs>
          <w:tab w:val="left" w:pos="440"/>
        </w:tabs>
        <w:rPr>
          <w:rFonts w:eastAsiaTheme="minorEastAsia" w:cstheme="minorBidi"/>
          <w:b w:val="0"/>
          <w:noProof/>
          <w:color w:val="auto"/>
          <w:kern w:val="2"/>
          <w:sz w:val="24"/>
          <w:lang w:eastAsia="en-AU"/>
          <w14:ligatures w14:val="standardContextual"/>
        </w:rPr>
      </w:pPr>
      <w:r>
        <w:rPr>
          <w:noProof/>
        </w:rPr>
        <w:t>9.</w:t>
      </w:r>
      <w:r>
        <w:rPr>
          <w:rFonts w:eastAsiaTheme="minorEastAsia" w:cstheme="minorBidi"/>
          <w:b w:val="0"/>
          <w:noProof/>
          <w:color w:val="auto"/>
          <w:kern w:val="2"/>
          <w:sz w:val="24"/>
          <w:lang w:eastAsia="en-AU"/>
          <w14:ligatures w14:val="standardContextual"/>
        </w:rPr>
        <w:tab/>
      </w:r>
      <w:r>
        <w:rPr>
          <w:noProof/>
        </w:rPr>
        <w:t>Measurement criteria for solid waste</w:t>
      </w:r>
      <w:r>
        <w:rPr>
          <w:noProof/>
        </w:rPr>
        <w:tab/>
      </w:r>
      <w:r>
        <w:rPr>
          <w:noProof/>
        </w:rPr>
        <w:fldChar w:fldCharType="begin"/>
      </w:r>
      <w:r>
        <w:rPr>
          <w:noProof/>
        </w:rPr>
        <w:instrText xml:space="preserve"> PAGEREF _Toc205547721 \h </w:instrText>
      </w:r>
      <w:r>
        <w:rPr>
          <w:noProof/>
        </w:rPr>
      </w:r>
      <w:r>
        <w:rPr>
          <w:noProof/>
        </w:rPr>
        <w:fldChar w:fldCharType="separate"/>
      </w:r>
      <w:r w:rsidR="00B71E67">
        <w:rPr>
          <w:noProof/>
        </w:rPr>
        <w:t>19</w:t>
      </w:r>
      <w:r>
        <w:rPr>
          <w:noProof/>
        </w:rPr>
        <w:fldChar w:fldCharType="end"/>
      </w:r>
    </w:p>
    <w:p w14:paraId="213CBF41" w14:textId="5E88DFD8" w:rsidR="00EB25A3" w:rsidRDefault="00EB25A3">
      <w:pPr>
        <w:pStyle w:val="TOC1"/>
        <w:tabs>
          <w:tab w:val="left" w:pos="660"/>
        </w:tabs>
        <w:rPr>
          <w:rFonts w:eastAsiaTheme="minorEastAsia" w:cstheme="minorBidi"/>
          <w:b w:val="0"/>
          <w:noProof/>
          <w:color w:val="auto"/>
          <w:kern w:val="2"/>
          <w:sz w:val="24"/>
          <w:lang w:eastAsia="en-AU"/>
          <w14:ligatures w14:val="standardContextual"/>
        </w:rPr>
      </w:pPr>
      <w:r>
        <w:rPr>
          <w:noProof/>
        </w:rPr>
        <w:t>10.</w:t>
      </w:r>
      <w:r>
        <w:rPr>
          <w:rFonts w:eastAsiaTheme="minorEastAsia" w:cstheme="minorBidi"/>
          <w:b w:val="0"/>
          <w:noProof/>
          <w:color w:val="auto"/>
          <w:kern w:val="2"/>
          <w:sz w:val="24"/>
          <w:lang w:eastAsia="en-AU"/>
          <w14:ligatures w14:val="standardContextual"/>
        </w:rPr>
        <w:tab/>
      </w:r>
      <w:r>
        <w:rPr>
          <w:noProof/>
        </w:rPr>
        <w:t>Measurement criteria where data relates to a contractor’s activities</w:t>
      </w:r>
      <w:r>
        <w:rPr>
          <w:noProof/>
        </w:rPr>
        <w:tab/>
      </w:r>
      <w:r>
        <w:rPr>
          <w:noProof/>
        </w:rPr>
        <w:fldChar w:fldCharType="begin"/>
      </w:r>
      <w:r>
        <w:rPr>
          <w:noProof/>
        </w:rPr>
        <w:instrText xml:space="preserve"> PAGEREF _Toc205547722 \h </w:instrText>
      </w:r>
      <w:r>
        <w:rPr>
          <w:noProof/>
        </w:rPr>
      </w:r>
      <w:r>
        <w:rPr>
          <w:noProof/>
        </w:rPr>
        <w:fldChar w:fldCharType="separate"/>
      </w:r>
      <w:r w:rsidR="00B71E67">
        <w:rPr>
          <w:noProof/>
        </w:rPr>
        <w:t>19</w:t>
      </w:r>
      <w:r>
        <w:rPr>
          <w:noProof/>
        </w:rPr>
        <w:fldChar w:fldCharType="end"/>
      </w:r>
    </w:p>
    <w:p w14:paraId="3281D284" w14:textId="58BF0E0F" w:rsidR="00EB25A3" w:rsidRDefault="00EB25A3">
      <w:pPr>
        <w:pStyle w:val="TOC1"/>
        <w:tabs>
          <w:tab w:val="left" w:pos="660"/>
        </w:tabs>
        <w:rPr>
          <w:rFonts w:eastAsiaTheme="minorEastAsia" w:cstheme="minorBidi"/>
          <w:b w:val="0"/>
          <w:noProof/>
          <w:color w:val="auto"/>
          <w:kern w:val="2"/>
          <w:sz w:val="24"/>
          <w:lang w:eastAsia="en-AU"/>
          <w14:ligatures w14:val="standardContextual"/>
        </w:rPr>
      </w:pPr>
      <w:r>
        <w:rPr>
          <w:noProof/>
        </w:rPr>
        <w:t>11.</w:t>
      </w:r>
      <w:r>
        <w:rPr>
          <w:rFonts w:eastAsiaTheme="minorEastAsia" w:cstheme="minorBidi"/>
          <w:b w:val="0"/>
          <w:noProof/>
          <w:color w:val="auto"/>
          <w:kern w:val="2"/>
          <w:sz w:val="24"/>
          <w:lang w:eastAsia="en-AU"/>
          <w14:ligatures w14:val="standardContextual"/>
        </w:rPr>
        <w:tab/>
      </w:r>
      <w:r>
        <w:rPr>
          <w:noProof/>
        </w:rPr>
        <w:t>More information</w:t>
      </w:r>
      <w:r>
        <w:rPr>
          <w:noProof/>
        </w:rPr>
        <w:tab/>
      </w:r>
      <w:r>
        <w:rPr>
          <w:noProof/>
        </w:rPr>
        <w:fldChar w:fldCharType="begin"/>
      </w:r>
      <w:r>
        <w:rPr>
          <w:noProof/>
        </w:rPr>
        <w:instrText xml:space="preserve"> PAGEREF _Toc205547723 \h </w:instrText>
      </w:r>
      <w:r>
        <w:rPr>
          <w:noProof/>
        </w:rPr>
      </w:r>
      <w:r>
        <w:rPr>
          <w:noProof/>
        </w:rPr>
        <w:fldChar w:fldCharType="separate"/>
      </w:r>
      <w:r w:rsidR="00B71E67">
        <w:rPr>
          <w:noProof/>
        </w:rPr>
        <w:t>20</w:t>
      </w:r>
      <w:r>
        <w:rPr>
          <w:noProof/>
        </w:rPr>
        <w:fldChar w:fldCharType="end"/>
      </w:r>
    </w:p>
    <w:p w14:paraId="6A75B548" w14:textId="3975EABE" w:rsidR="00235142" w:rsidRDefault="00235142" w:rsidP="00235142">
      <w:r>
        <w:fldChar w:fldCharType="end"/>
      </w:r>
    </w:p>
    <w:p w14:paraId="5E1262D8" w14:textId="77777777" w:rsidR="003404D8" w:rsidRDefault="00235142" w:rsidP="003404D8">
      <w:pPr>
        <w:pStyle w:val="Heading1"/>
      </w:pPr>
      <w:r>
        <w:br w:type="page"/>
      </w:r>
      <w:bookmarkStart w:id="5" w:name="_Toc489614759"/>
      <w:bookmarkStart w:id="6" w:name="_Toc76042516"/>
      <w:bookmarkStart w:id="7" w:name="_Toc205547697"/>
      <w:bookmarkStart w:id="8" w:name="_Toc489447782"/>
      <w:bookmarkEnd w:id="3"/>
      <w:bookmarkEnd w:id="4"/>
      <w:r w:rsidR="003404D8">
        <w:lastRenderedPageBreak/>
        <w:t>Definitions and abbreviations</w:t>
      </w:r>
      <w:bookmarkEnd w:id="5"/>
      <w:bookmarkEnd w:id="6"/>
      <w:bookmarkEnd w:id="7"/>
      <w:r w:rsidR="003404D8">
        <w:t xml:space="preserve"> </w:t>
      </w:r>
    </w:p>
    <w:tbl>
      <w:tblPr>
        <w:tblStyle w:val="CERTable"/>
        <w:tblW w:w="0" w:type="auto"/>
        <w:tblLook w:val="06A0" w:firstRow="1" w:lastRow="0" w:firstColumn="1" w:lastColumn="0" w:noHBand="1" w:noVBand="1"/>
      </w:tblPr>
      <w:tblGrid>
        <w:gridCol w:w="2486"/>
        <w:gridCol w:w="7244"/>
      </w:tblGrid>
      <w:tr w:rsidR="003404D8" w:rsidRPr="00AA1BB1" w14:paraId="0DCC1855" w14:textId="77777777" w:rsidTr="00D14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0266D622" w14:textId="77777777" w:rsidR="003404D8" w:rsidRPr="00BF392D" w:rsidRDefault="003404D8" w:rsidP="009A1EBF">
            <w:pPr>
              <w:spacing w:before="60"/>
            </w:pPr>
            <w:r w:rsidRPr="00BF392D">
              <w:t>Term</w:t>
            </w:r>
          </w:p>
        </w:tc>
        <w:tc>
          <w:tcPr>
            <w:tcW w:w="7244" w:type="dxa"/>
          </w:tcPr>
          <w:p w14:paraId="3E318BC7" w14:textId="77777777" w:rsidR="003404D8" w:rsidRPr="00BF392D" w:rsidRDefault="003404D8" w:rsidP="009A1EBF">
            <w:pPr>
              <w:spacing w:before="60"/>
              <w:cnfStyle w:val="100000000000" w:firstRow="1" w:lastRow="0" w:firstColumn="0" w:lastColumn="0" w:oddVBand="0" w:evenVBand="0" w:oddHBand="0" w:evenHBand="0" w:firstRowFirstColumn="0" w:firstRowLastColumn="0" w:lastRowFirstColumn="0" w:lastRowLastColumn="0"/>
            </w:pPr>
            <w:r w:rsidRPr="00BF392D">
              <w:t>Meaning</w:t>
            </w:r>
          </w:p>
        </w:tc>
      </w:tr>
      <w:tr w:rsidR="003404D8" w:rsidRPr="00AA1BB1" w14:paraId="4480FCCE"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69CE207C" w14:textId="77777777" w:rsidR="003404D8" w:rsidRPr="00BF392D" w:rsidRDefault="003404D8" w:rsidP="009A1EBF">
            <w:pPr>
              <w:spacing w:before="60"/>
            </w:pPr>
            <w:r>
              <w:t>Department</w:t>
            </w:r>
          </w:p>
        </w:tc>
        <w:tc>
          <w:tcPr>
            <w:tcW w:w="7244" w:type="dxa"/>
          </w:tcPr>
          <w:p w14:paraId="23C12A50" w14:textId="77777777" w:rsidR="003404D8" w:rsidRPr="00BF392D" w:rsidRDefault="003404D8" w:rsidP="009A1EBF">
            <w:pPr>
              <w:spacing w:before="60"/>
              <w:cnfStyle w:val="000000000000" w:firstRow="0" w:lastRow="0" w:firstColumn="0" w:lastColumn="0" w:oddVBand="0" w:evenVBand="0" w:oddHBand="0" w:evenHBand="0" w:firstRowFirstColumn="0" w:firstRowLastColumn="0" w:lastRowFirstColumn="0" w:lastRowLastColumn="0"/>
            </w:pPr>
            <w:r>
              <w:t>Department of Climate Change, Energy, the Environment and Water. Federal department who is the policy agency for the NGER Legislation.</w:t>
            </w:r>
          </w:p>
        </w:tc>
      </w:tr>
      <w:tr w:rsidR="00071554" w:rsidRPr="00AA1BB1" w14:paraId="6002DC87"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3A5524B3" w14:textId="2F3FC153" w:rsidR="00071554" w:rsidRDefault="00071554" w:rsidP="00071554">
            <w:pPr>
              <w:spacing w:before="60"/>
            </w:pPr>
            <w:r>
              <w:t xml:space="preserve">Facility </w:t>
            </w:r>
          </w:p>
        </w:tc>
        <w:tc>
          <w:tcPr>
            <w:tcW w:w="7244" w:type="dxa"/>
          </w:tcPr>
          <w:p w14:paraId="6F6DBD44" w14:textId="5B9C65EA" w:rsidR="00071554" w:rsidRDefault="00071554" w:rsidP="00071554">
            <w:pPr>
              <w:spacing w:before="60"/>
              <w:cnfStyle w:val="000000000000" w:firstRow="0" w:lastRow="0" w:firstColumn="0" w:lastColumn="0" w:oddVBand="0" w:evenVBand="0" w:oddHBand="0" w:evenHBand="0" w:firstRowFirstColumn="0" w:firstRowLastColumn="0" w:lastRowFirstColumn="0" w:lastRowLastColumn="0"/>
            </w:pPr>
            <w:r>
              <w:rPr>
                <w:color w:val="000000"/>
                <w:szCs w:val="22"/>
                <w:shd w:val="clear" w:color="auto" w:fill="FFFFFF"/>
              </w:rPr>
              <w:t xml:space="preserve">Has the meaning given by section 9 of the NGER Act. For more information on defining a facility under the NGER scheme, see </w:t>
            </w:r>
            <w:hyperlink r:id="rId22" w:anchor="what-is-an-nger-facility" w:tooltip="A link to the Assess your obligations page on the Clean Energy Regulator website" w:history="1">
              <w:r>
                <w:rPr>
                  <w:rStyle w:val="Hyperlink"/>
                  <w:szCs w:val="22"/>
                  <w:shd w:val="clear" w:color="auto" w:fill="FFFFFF"/>
                </w:rPr>
                <w:t>What is a</w:t>
              </w:r>
              <w:r>
                <w:rPr>
                  <w:rStyle w:val="Hyperlink"/>
                  <w:szCs w:val="22"/>
                  <w:shd w:val="clear" w:color="auto" w:fill="FFFFFF"/>
                </w:rPr>
                <w:t xml:space="preserve"> </w:t>
              </w:r>
              <w:r>
                <w:rPr>
                  <w:rStyle w:val="Hyperlink"/>
                  <w:szCs w:val="22"/>
                  <w:shd w:val="clear" w:color="auto" w:fill="FFFFFF"/>
                </w:rPr>
                <w:t>Facility</w:t>
              </w:r>
            </w:hyperlink>
            <w:r>
              <w:rPr>
                <w:rStyle w:val="FootnoteReference"/>
                <w:color w:val="000000"/>
                <w:szCs w:val="22"/>
                <w:shd w:val="clear" w:color="auto" w:fill="FFFFFF"/>
              </w:rPr>
              <w:footnoteReference w:id="2"/>
            </w:r>
            <w:r>
              <w:rPr>
                <w:color w:val="000000"/>
                <w:szCs w:val="22"/>
                <w:shd w:val="clear" w:color="auto" w:fill="FFFFFF"/>
              </w:rPr>
              <w:t xml:space="preserve">.  </w:t>
            </w:r>
          </w:p>
        </w:tc>
      </w:tr>
      <w:tr w:rsidR="003404D8" w:rsidRPr="00AA1BB1" w14:paraId="0DC2B414"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236F3817" w14:textId="77777777" w:rsidR="003404D8" w:rsidRPr="00AA1BB1" w:rsidRDefault="003404D8" w:rsidP="009A1EBF">
            <w:pPr>
              <w:spacing w:before="60"/>
            </w:pPr>
            <w:r w:rsidRPr="00AA1BB1">
              <w:t>GJ</w:t>
            </w:r>
          </w:p>
        </w:tc>
        <w:tc>
          <w:tcPr>
            <w:tcW w:w="7244" w:type="dxa"/>
          </w:tcPr>
          <w:p w14:paraId="7CC7883E" w14:textId="77777777" w:rsidR="003404D8" w:rsidRPr="00AA1BB1" w:rsidRDefault="003404D8" w:rsidP="009A1EBF">
            <w:pPr>
              <w:spacing w:before="60"/>
              <w:cnfStyle w:val="000000000000" w:firstRow="0" w:lastRow="0" w:firstColumn="0" w:lastColumn="0" w:oddVBand="0" w:evenVBand="0" w:oddHBand="0" w:evenHBand="0" w:firstRowFirstColumn="0" w:firstRowLastColumn="0" w:lastRowFirstColumn="0" w:lastRowLastColumn="0"/>
            </w:pPr>
            <w:r>
              <w:t>G</w:t>
            </w:r>
            <w:r w:rsidRPr="00AA1BB1">
              <w:t xml:space="preserve">igajoules </w:t>
            </w:r>
          </w:p>
        </w:tc>
      </w:tr>
      <w:tr w:rsidR="003404D8" w:rsidRPr="00AA1BB1" w14:paraId="678E16C6"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018318FE" w14:textId="77777777" w:rsidR="003404D8" w:rsidRPr="00AA1BB1" w:rsidRDefault="003404D8" w:rsidP="009A1EBF">
            <w:pPr>
              <w:spacing w:before="60"/>
            </w:pPr>
            <w:r w:rsidRPr="003C7D92">
              <w:t>L</w:t>
            </w:r>
          </w:p>
        </w:tc>
        <w:tc>
          <w:tcPr>
            <w:tcW w:w="7244" w:type="dxa"/>
          </w:tcPr>
          <w:p w14:paraId="1D6284D1" w14:textId="77777777" w:rsidR="003404D8" w:rsidRPr="00AA1BB1" w:rsidRDefault="003404D8" w:rsidP="009A1EBF">
            <w:pPr>
              <w:spacing w:before="60"/>
              <w:cnfStyle w:val="000000000000" w:firstRow="0" w:lastRow="0" w:firstColumn="0" w:lastColumn="0" w:oddVBand="0" w:evenVBand="0" w:oddHBand="0" w:evenHBand="0" w:firstRowFirstColumn="0" w:firstRowLastColumn="0" w:lastRowFirstColumn="0" w:lastRowLastColumn="0"/>
            </w:pPr>
            <w:r>
              <w:t>Litres</w:t>
            </w:r>
          </w:p>
        </w:tc>
      </w:tr>
      <w:tr w:rsidR="003404D8" w:rsidRPr="00AA1BB1" w14:paraId="56C27060"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510C8EE5" w14:textId="77777777" w:rsidR="003404D8" w:rsidRPr="00AA1BB1" w:rsidRDefault="003404D8" w:rsidP="009A1EBF">
            <w:pPr>
              <w:spacing w:before="60"/>
            </w:pPr>
            <w:r w:rsidRPr="00AA1BB1">
              <w:t>NGER</w:t>
            </w:r>
          </w:p>
        </w:tc>
        <w:tc>
          <w:tcPr>
            <w:tcW w:w="7244" w:type="dxa"/>
          </w:tcPr>
          <w:p w14:paraId="69D2CAFE" w14:textId="77777777" w:rsidR="003404D8" w:rsidRPr="00AA1BB1" w:rsidRDefault="003404D8" w:rsidP="009A1EBF">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3404D8" w:rsidRPr="00AA1BB1" w14:paraId="279E0262"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7C5E079C" w14:textId="77777777" w:rsidR="003404D8" w:rsidRPr="00AA1BB1" w:rsidRDefault="003404D8" w:rsidP="009A1EBF">
            <w:pPr>
              <w:spacing w:before="60"/>
            </w:pPr>
            <w:r w:rsidRPr="00AA1BB1">
              <w:t>NGER Act</w:t>
            </w:r>
          </w:p>
        </w:tc>
        <w:tc>
          <w:tcPr>
            <w:tcW w:w="7244" w:type="dxa"/>
          </w:tcPr>
          <w:p w14:paraId="3E56EBBA" w14:textId="77777777" w:rsidR="003404D8" w:rsidRPr="00AA1BB1" w:rsidRDefault="003404D8" w:rsidP="009A1EBF">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3404D8" w:rsidRPr="00AA1BB1" w14:paraId="603CA21C"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73CE2BD6" w14:textId="77777777" w:rsidR="003404D8" w:rsidRPr="00AA1BB1" w:rsidRDefault="003404D8" w:rsidP="009A1EBF">
            <w:pPr>
              <w:spacing w:before="60"/>
            </w:pPr>
            <w:r>
              <w:t>NGER Legislation</w:t>
            </w:r>
          </w:p>
        </w:tc>
        <w:tc>
          <w:tcPr>
            <w:tcW w:w="7244" w:type="dxa"/>
          </w:tcPr>
          <w:p w14:paraId="4774A076" w14:textId="77777777" w:rsidR="003404D8" w:rsidRPr="0047252D" w:rsidRDefault="003404D8" w:rsidP="009A1EBF">
            <w:pPr>
              <w:spacing w:before="60"/>
              <w:cnfStyle w:val="000000000000" w:firstRow="0" w:lastRow="0" w:firstColumn="0" w:lastColumn="0" w:oddVBand="0" w:evenVBand="0" w:oddHBand="0" w:evenHBand="0" w:firstRowFirstColumn="0" w:firstRowLastColumn="0" w:lastRowFirstColumn="0" w:lastRowLastColumn="0"/>
            </w:pPr>
            <w:r w:rsidRPr="0047252D">
              <w:t>The NGER Act, the NGER Regulations and the NGER Measurement Determination</w:t>
            </w:r>
          </w:p>
        </w:tc>
      </w:tr>
      <w:tr w:rsidR="003404D8" w:rsidRPr="00AA1BB1" w14:paraId="021D5D4C"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112404CF" w14:textId="77777777" w:rsidR="003404D8" w:rsidRPr="00AA1BB1" w:rsidRDefault="003404D8" w:rsidP="009A1EBF">
            <w:pPr>
              <w:spacing w:before="60"/>
            </w:pPr>
            <w:r w:rsidRPr="00AA1BB1">
              <w:t xml:space="preserve">NGER </w:t>
            </w:r>
            <w:r>
              <w:t xml:space="preserve">Measurement </w:t>
            </w:r>
            <w:r w:rsidRPr="00AA1BB1">
              <w:t>Determination</w:t>
            </w:r>
          </w:p>
        </w:tc>
        <w:tc>
          <w:tcPr>
            <w:tcW w:w="7244" w:type="dxa"/>
          </w:tcPr>
          <w:p w14:paraId="2DD93D9C" w14:textId="77777777" w:rsidR="003404D8" w:rsidRPr="001D17B1" w:rsidRDefault="003404D8" w:rsidP="009A1EBF">
            <w:pPr>
              <w:spacing w:before="60"/>
              <w:cnfStyle w:val="000000000000" w:firstRow="0" w:lastRow="0" w:firstColumn="0" w:lastColumn="0" w:oddVBand="0" w:evenVBand="0" w:oddHBand="0" w:evenHBand="0" w:firstRowFirstColumn="0" w:firstRowLastColumn="0" w:lastRowFirstColumn="0" w:lastRowLastColumn="0"/>
              <w:rPr>
                <w:iCs/>
              </w:rPr>
            </w:pPr>
            <w:r w:rsidRPr="001D17B1">
              <w:rPr>
                <w:iCs/>
              </w:rPr>
              <w:t xml:space="preserve">National Greenhouse and Energy Reporting (Measurement) Determination 2008 </w:t>
            </w:r>
          </w:p>
        </w:tc>
      </w:tr>
      <w:tr w:rsidR="003404D8" w:rsidRPr="00AA1BB1" w14:paraId="6DB99B54"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3B90D4FF" w14:textId="77777777" w:rsidR="003404D8" w:rsidRPr="00AA1BB1" w:rsidRDefault="003404D8" w:rsidP="009A1EBF">
            <w:pPr>
              <w:spacing w:before="60"/>
            </w:pPr>
            <w:r w:rsidRPr="00AA1BB1">
              <w:t>NGER Regulations</w:t>
            </w:r>
          </w:p>
        </w:tc>
        <w:tc>
          <w:tcPr>
            <w:tcW w:w="7244" w:type="dxa"/>
          </w:tcPr>
          <w:p w14:paraId="3E4810CF" w14:textId="77777777" w:rsidR="003404D8" w:rsidRPr="001D17B1" w:rsidRDefault="003404D8" w:rsidP="009A1EBF">
            <w:pPr>
              <w:spacing w:before="60"/>
              <w:cnfStyle w:val="000000000000" w:firstRow="0" w:lastRow="0" w:firstColumn="0" w:lastColumn="0" w:oddVBand="0" w:evenVBand="0" w:oddHBand="0" w:evenHBand="0" w:firstRowFirstColumn="0" w:firstRowLastColumn="0" w:lastRowFirstColumn="0" w:lastRowLastColumn="0"/>
              <w:rPr>
                <w:iCs/>
              </w:rPr>
            </w:pPr>
            <w:r w:rsidRPr="001D17B1">
              <w:rPr>
                <w:iCs/>
              </w:rPr>
              <w:t xml:space="preserve">National Greenhouse and Energy Reporting Regulations 2008 </w:t>
            </w:r>
          </w:p>
        </w:tc>
      </w:tr>
      <w:tr w:rsidR="00BE5BD2" w:rsidRPr="00AA1BB1" w14:paraId="4D9326EC"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4F5FBC8E" w14:textId="1CEA8474" w:rsidR="00BE5BD2" w:rsidRPr="00AA1BB1" w:rsidRDefault="00BE5BD2" w:rsidP="00BE5BD2">
            <w:pPr>
              <w:spacing w:before="60"/>
            </w:pPr>
            <w:r w:rsidRPr="002C556E">
              <w:t xml:space="preserve">Safeguard </w:t>
            </w:r>
            <w:r>
              <w:t>M</w:t>
            </w:r>
            <w:r w:rsidRPr="002C556E">
              <w:t>echanism</w:t>
            </w:r>
          </w:p>
        </w:tc>
        <w:tc>
          <w:tcPr>
            <w:tcW w:w="7244" w:type="dxa"/>
          </w:tcPr>
          <w:p w14:paraId="26D17C1D" w14:textId="3FAAA8AB" w:rsidR="00BE5BD2" w:rsidRPr="00281A61" w:rsidRDefault="00BE5BD2" w:rsidP="00281A61">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Cs w:val="22"/>
              </w:rPr>
            </w:pPr>
            <w:r w:rsidRPr="00D02F02">
              <w:rPr>
                <w:color w:val="auto"/>
              </w:rPr>
              <w:t xml:space="preserve">The Australian Government’s mechanism to contribute to the achievement of Australia’s greenhouse gas emissions reduction targets. See </w:t>
            </w:r>
            <w:hyperlink r:id="rId23" w:tooltip="A link to the Safeguard Mechanism scheme page on the Clean Energy Regulator website" w:history="1">
              <w:r w:rsidRPr="00281A61">
                <w:rPr>
                  <w:rStyle w:val="Hyperlink"/>
                </w:rPr>
                <w:t>the Safeguard Mechanism</w:t>
              </w:r>
            </w:hyperlink>
            <w:r w:rsidR="00281A61">
              <w:rPr>
                <w:rStyle w:val="FootnoteReference"/>
                <w:color w:val="auto"/>
              </w:rPr>
              <w:footnoteReference w:id="3"/>
            </w:r>
            <w:r w:rsidRPr="00D02F02">
              <w:rPr>
                <w:color w:val="auto"/>
              </w:rPr>
              <w:t xml:space="preserve"> for more information.</w:t>
            </w:r>
          </w:p>
        </w:tc>
      </w:tr>
      <w:tr w:rsidR="003404D8" w:rsidRPr="00AA1BB1" w14:paraId="6567F156"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0488E652" w14:textId="77777777" w:rsidR="003404D8" w:rsidRPr="00AA1BB1" w:rsidRDefault="003404D8" w:rsidP="009A1EBF">
            <w:pPr>
              <w:spacing w:before="60"/>
            </w:pPr>
            <w:r w:rsidRPr="00AA1BB1">
              <w:t>Scope 1 emissions</w:t>
            </w:r>
          </w:p>
        </w:tc>
        <w:tc>
          <w:tcPr>
            <w:tcW w:w="7244" w:type="dxa"/>
          </w:tcPr>
          <w:p w14:paraId="12F8948F" w14:textId="77777777" w:rsidR="003404D8" w:rsidRPr="00AA1BB1" w:rsidRDefault="003404D8" w:rsidP="009A1EBF">
            <w:pPr>
              <w:spacing w:before="60"/>
              <w:cnfStyle w:val="000000000000" w:firstRow="0" w:lastRow="0" w:firstColumn="0" w:lastColumn="0" w:oddVBand="0" w:evenVBand="0" w:oddHBand="0" w:evenHBand="0" w:firstRowFirstColumn="0" w:firstRowLastColumn="0" w:lastRowFirstColumn="0" w:lastRowLastColumn="0"/>
            </w:pPr>
            <w:r w:rsidRPr="00AA1BB1">
              <w:t>Means the release of greenhouse gas into the atmosphere as a direct result of an activity or series of activities (including ancillary activities) that constitute the facility.</w:t>
            </w:r>
          </w:p>
        </w:tc>
      </w:tr>
      <w:tr w:rsidR="003404D8" w:rsidRPr="00AA1BB1" w14:paraId="3DAEAEF8"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5FA263B4" w14:textId="77777777" w:rsidR="003404D8" w:rsidRPr="00AA1BB1" w:rsidRDefault="003404D8" w:rsidP="009A1EBF">
            <w:pPr>
              <w:spacing w:before="60"/>
            </w:pPr>
            <w:r w:rsidRPr="00AA1BB1">
              <w:t>Scope 2 emissions</w:t>
            </w:r>
          </w:p>
        </w:tc>
        <w:tc>
          <w:tcPr>
            <w:tcW w:w="7244" w:type="dxa"/>
          </w:tcPr>
          <w:p w14:paraId="73D7ED12" w14:textId="77777777" w:rsidR="003404D8" w:rsidRPr="00AA1BB1" w:rsidRDefault="003404D8" w:rsidP="009A1EBF">
            <w:pPr>
              <w:spacing w:before="60"/>
              <w:cnfStyle w:val="000000000000" w:firstRow="0" w:lastRow="0" w:firstColumn="0" w:lastColumn="0" w:oddVBand="0" w:evenVBand="0" w:oddHBand="0" w:evenHBand="0" w:firstRowFirstColumn="0" w:firstRowLastColumn="0" w:lastRowFirstColumn="0" w:lastRowLastColumn="0"/>
            </w:pPr>
            <w:r w:rsidRPr="00AA1BB1">
              <w:t>Means the release of greenhouse gas into the atmosphere as a direct result of one or more activities that generate electricity, heating, cooling or steam that is consumed by the facility but that do not form part of the facility.</w:t>
            </w:r>
          </w:p>
        </w:tc>
      </w:tr>
      <w:tr w:rsidR="003404D8" w:rsidRPr="00AA1BB1" w14:paraId="6B2BC27D" w14:textId="77777777" w:rsidTr="249A7AA5">
        <w:tc>
          <w:tcPr>
            <w:cnfStyle w:val="001000000000" w:firstRow="0" w:lastRow="0" w:firstColumn="1" w:lastColumn="0" w:oddVBand="0" w:evenVBand="0" w:oddHBand="0" w:evenHBand="0" w:firstRowFirstColumn="0" w:firstRowLastColumn="0" w:lastRowFirstColumn="0" w:lastRowLastColumn="0"/>
            <w:tcW w:w="2486" w:type="dxa"/>
          </w:tcPr>
          <w:p w14:paraId="717B3B6E" w14:textId="77777777" w:rsidR="003404D8" w:rsidRPr="00AA1BB1" w:rsidRDefault="003404D8" w:rsidP="009A1EBF">
            <w:pPr>
              <w:spacing w:before="60"/>
            </w:pPr>
            <w:r w:rsidRPr="00AA1BB1">
              <w:t>t CO</w:t>
            </w:r>
            <w:r w:rsidRPr="004F7F39">
              <w:rPr>
                <w:vertAlign w:val="subscript"/>
              </w:rPr>
              <w:t>2</w:t>
            </w:r>
            <w:r w:rsidRPr="00AA1BB1">
              <w:t>-e</w:t>
            </w:r>
          </w:p>
        </w:tc>
        <w:tc>
          <w:tcPr>
            <w:tcW w:w="7244" w:type="dxa"/>
          </w:tcPr>
          <w:p w14:paraId="1FA3D4E9" w14:textId="389E2B75" w:rsidR="003404D8" w:rsidRPr="00AA1BB1" w:rsidRDefault="50460906" w:rsidP="2F35B756">
            <w:pPr>
              <w:spacing w:before="60"/>
              <w:cnfStyle w:val="000000000000" w:firstRow="0" w:lastRow="0" w:firstColumn="0" w:lastColumn="0" w:oddVBand="0" w:evenVBand="0" w:oddHBand="0" w:evenHBand="0" w:firstRowFirstColumn="0" w:firstRowLastColumn="0" w:lastRowFirstColumn="0" w:lastRowLastColumn="0"/>
            </w:pPr>
            <w:r>
              <w:t>Tonnes carbon dioxide equivalence</w:t>
            </w:r>
          </w:p>
        </w:tc>
      </w:tr>
    </w:tbl>
    <w:p w14:paraId="07D150D1" w14:textId="77777777" w:rsidR="00CB0A24" w:rsidRPr="00F8076C" w:rsidRDefault="00CB0A24" w:rsidP="00CB0A24">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58BB6B21" w14:textId="17A5060C" w:rsidR="003404D8" w:rsidRDefault="00CB0A24" w:rsidP="0029209B">
      <w:pPr>
        <w:pStyle w:val="BodyText1"/>
        <w:rPr>
          <w:rFonts w:eastAsia="Times New Roman"/>
          <w:b/>
          <w:bCs/>
          <w:color w:val="005874"/>
          <w:kern w:val="32"/>
          <w:sz w:val="40"/>
        </w:rPr>
      </w:pPr>
      <w:r w:rsidRPr="00F8076C">
        <w:lastRenderedPageBreak/>
        <w:t xml:space="preserve">For more information on interpreting legislation see </w:t>
      </w:r>
      <w:hyperlink r:id="rId24" w:history="1">
        <w:r w:rsidRPr="00F8076C">
          <w:rPr>
            <w:rStyle w:val="Hyperlink"/>
            <w:rFonts w:asciiTheme="minorHAnsi" w:hAnsiTheme="minorHAnsi"/>
          </w:rPr>
          <w:t>Federal Register of Legislation - Understanding Legislation</w:t>
        </w:r>
      </w:hyperlink>
      <w:r>
        <w:rPr>
          <w:rStyle w:val="FootnoteReference"/>
          <w:lang w:val="en-GB"/>
        </w:rPr>
        <w:footnoteReference w:id="4"/>
      </w:r>
      <w:r w:rsidRPr="00F8076C">
        <w:t>.</w:t>
      </w:r>
    </w:p>
    <w:p w14:paraId="2909B58B" w14:textId="77777777" w:rsidR="003404D8" w:rsidRPr="003C733A" w:rsidRDefault="003404D8" w:rsidP="003404D8">
      <w:pPr>
        <w:pStyle w:val="Heading1"/>
        <w:ind w:right="537"/>
      </w:pPr>
      <w:bookmarkStart w:id="9" w:name="_Toc76042517"/>
      <w:bookmarkStart w:id="10" w:name="_Toc205547698"/>
      <w:r w:rsidRPr="003C733A">
        <w:t>Disclaimer</w:t>
      </w:r>
      <w:bookmarkEnd w:id="8"/>
      <w:bookmarkEnd w:id="9"/>
      <w:bookmarkEnd w:id="10"/>
    </w:p>
    <w:p w14:paraId="74866631" w14:textId="064193A2" w:rsidR="003404D8" w:rsidRPr="000B3301" w:rsidRDefault="003404D8" w:rsidP="00A10FAA">
      <w:pPr>
        <w:autoSpaceDE w:val="0"/>
        <w:autoSpaceDN w:val="0"/>
        <w:adjustRightInd w:val="0"/>
        <w:spacing w:before="240"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72AB586B" w:rsidRPr="000B3301">
        <w:rPr>
          <w:lang w:eastAsia="en-AU"/>
        </w:rPr>
        <w:t>CER</w:t>
      </w:r>
      <w:r w:rsidRPr="000B3301">
        <w:rPr>
          <w:lang w:eastAsia="en-AU"/>
        </w:rPr>
        <w:t xml:space="preserve">) to assist entities to comply with their reporting obligations under the </w:t>
      </w:r>
      <w:hyperlink r:id="rId25"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11" w:name="_Ref105748531"/>
      <w:r w:rsidRPr="00A469D7">
        <w:rPr>
          <w:rStyle w:val="FootnoteReference"/>
          <w:color w:val="000000"/>
          <w:lang w:eastAsia="en-AU"/>
        </w:rPr>
        <w:footnoteReference w:id="5"/>
      </w:r>
      <w:bookmarkEnd w:id="11"/>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630B57B1" w14:textId="77777777" w:rsidR="003404D8" w:rsidRPr="000B3301" w:rsidRDefault="003404D8" w:rsidP="002B05F4">
      <w:pPr>
        <w:autoSpaceDE w:val="0"/>
        <w:autoSpaceDN w:val="0"/>
        <w:adjustRightInd w:val="0"/>
        <w:spacing w:after="0"/>
        <w:rPr>
          <w:lang w:eastAsia="en-AU"/>
        </w:rPr>
      </w:pPr>
    </w:p>
    <w:p w14:paraId="452FFEBD" w14:textId="1871A8AF" w:rsidR="003404D8" w:rsidRPr="000B3301" w:rsidRDefault="003404D8" w:rsidP="002B05F4">
      <w:pPr>
        <w:autoSpaceDE w:val="0"/>
        <w:autoSpaceDN w:val="0"/>
        <w:adjustRightInd w:val="0"/>
        <w:spacing w:after="0"/>
        <w:rPr>
          <w:lang w:eastAsia="en-AU"/>
        </w:rPr>
      </w:pPr>
      <w:r w:rsidRPr="004C131A">
        <w:rPr>
          <w:lang w:eastAsia="en-AU"/>
        </w:rPr>
        <w:t xml:space="preserve">This guideline only applies to the </w:t>
      </w:r>
      <w:r w:rsidR="00B35317">
        <w:rPr>
          <w:lang w:eastAsia="en-AU"/>
        </w:rPr>
        <w:t>2024–25</w:t>
      </w:r>
      <w:r w:rsidRPr="004C131A">
        <w:rPr>
          <w:lang w:eastAsia="en-AU"/>
        </w:rPr>
        <w:t xml:space="preserve"> NGER reporting year and should be read in conjunction with the NGER </w:t>
      </w:r>
      <w:r w:rsidRPr="003440EB">
        <w:rPr>
          <w:lang w:eastAsia="en-AU"/>
        </w:rPr>
        <w:t xml:space="preserve">Act, </w:t>
      </w:r>
      <w:hyperlink r:id="rId26" w:tooltip="A link to the Australian Government legislation - the National Greenhouse and Energy regulations 2008" w:history="1">
        <w:r w:rsidRPr="002B05F4">
          <w:rPr>
            <w:rStyle w:val="Hyperlink"/>
            <w:lang w:eastAsia="en-AU"/>
          </w:rPr>
          <w:t>National Greenhouse and Energy Regulations 2008</w:t>
        </w:r>
      </w:hyperlink>
      <w:r w:rsidRPr="003440EB">
        <w:rPr>
          <w:rStyle w:val="FootnoteReference"/>
          <w:color w:val="000000"/>
          <w:lang w:eastAsia="en-AU"/>
        </w:rPr>
        <w:footnoteReference w:id="6"/>
      </w:r>
      <w:r w:rsidRPr="003440EB">
        <w:rPr>
          <w:color w:val="000000"/>
          <w:lang w:eastAsia="en-AU"/>
        </w:rPr>
        <w:t xml:space="preserve"> (</w:t>
      </w:r>
      <w:r w:rsidRPr="003440EB">
        <w:rPr>
          <w:lang w:eastAsia="en-AU"/>
        </w:rPr>
        <w:t xml:space="preserve">NGER Regulations), and </w:t>
      </w:r>
      <w:hyperlink r:id="rId27" w:tooltip="A link to the Australian Government legislation - the National Greenhouse and Energy Measurement Determination" w:history="1">
        <w:r w:rsidRPr="002B05F4">
          <w:rPr>
            <w:rStyle w:val="Hyperlink"/>
            <w:lang w:eastAsia="en-AU"/>
          </w:rPr>
          <w:t>National Greenhouse and Energy Reporting (Measurement) Determination 2008</w:t>
        </w:r>
      </w:hyperlink>
      <w:r w:rsidRPr="003440EB">
        <w:rPr>
          <w:rStyle w:val="FootnoteReference"/>
          <w:color w:val="000000"/>
          <w:lang w:eastAsia="en-AU"/>
        </w:rPr>
        <w:footnoteReference w:id="7"/>
      </w:r>
      <w:r w:rsidRPr="003440EB">
        <w:rPr>
          <w:lang w:eastAsia="en-AU"/>
        </w:rPr>
        <w:t xml:space="preserve"> (NGER Measurement Determination), as in force</w:t>
      </w:r>
      <w:r w:rsidRPr="004C131A">
        <w:rPr>
          <w:lang w:eastAsia="en-AU"/>
        </w:rPr>
        <w:t xml:space="preserve"> for this reporting period. These</w:t>
      </w:r>
      <w:r w:rsidRPr="000B3301">
        <w:rPr>
          <w:lang w:eastAsia="en-AU"/>
        </w:rPr>
        <w:t xml:space="preserve"> laws and their interpretation are subject to change, which may affect the accuracy of the information contained in the guideline. </w:t>
      </w:r>
    </w:p>
    <w:p w14:paraId="5D4C5F8A" w14:textId="77777777" w:rsidR="003404D8" w:rsidRPr="000B3301" w:rsidRDefault="003404D8" w:rsidP="002B05F4">
      <w:pPr>
        <w:autoSpaceDE w:val="0"/>
        <w:autoSpaceDN w:val="0"/>
        <w:adjustRightInd w:val="0"/>
        <w:spacing w:after="0"/>
        <w:rPr>
          <w:lang w:eastAsia="en-AU"/>
        </w:rPr>
      </w:pPr>
    </w:p>
    <w:p w14:paraId="55FA2AE4" w14:textId="0F447E31" w:rsidR="003404D8" w:rsidRPr="000B3301" w:rsidRDefault="003404D8" w:rsidP="002B05F4">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8" w:tooltip="A link to the Australian Government legislation - the National Greenhouse and Energy Measurement Determination" w:history="1">
        <w:r w:rsidRPr="00452C2E">
          <w:rPr>
            <w:rStyle w:val="Hyperlink"/>
            <w:lang w:eastAsia="en-AU"/>
          </w:rPr>
          <w:t>National Greenhouse and Energy Reporting (NGER) scheme</w:t>
        </w:r>
      </w:hyperlink>
      <w:r>
        <w:rPr>
          <w:rStyle w:val="FootnoteReference"/>
          <w:lang w:eastAsia="en-AU"/>
        </w:rPr>
        <w:footnoteReference w:id="8"/>
      </w:r>
      <w:r w:rsidRPr="000B3301">
        <w:rPr>
          <w:lang w:eastAsia="en-AU"/>
        </w:rPr>
        <w:t xml:space="preserve"> at all times. </w:t>
      </w:r>
      <w:r w:rsidR="01A711D1" w:rsidRPr="3944F9C2">
        <w:rPr>
          <w:lang w:eastAsia="en-AU"/>
        </w:rPr>
        <w:t xml:space="preserve"> </w:t>
      </w:r>
      <w:r w:rsidR="381CAA0A" w:rsidRPr="3944F9C2">
        <w:rPr>
          <w:lang w:eastAsia="en-AU"/>
        </w:rPr>
        <w:t>CER</w:t>
      </w:r>
      <w:r w:rsidR="00D42407">
        <w:rPr>
          <w:lang w:eastAsia="en-AU"/>
        </w:rPr>
        <w:t xml:space="preserve"> </w:t>
      </w:r>
      <w:r w:rsidRPr="000B3301">
        <w:rPr>
          <w:lang w:eastAsia="en-AU"/>
        </w:rPr>
        <w:t xml:space="preserve">encourages all users of this </w:t>
      </w:r>
      <w:r>
        <w:rPr>
          <w:lang w:eastAsia="en-AU"/>
        </w:rPr>
        <w:t>guidance</w:t>
      </w:r>
      <w:r w:rsidRPr="000B3301">
        <w:rPr>
          <w:lang w:eastAsia="en-AU"/>
        </w:rPr>
        <w:t xml:space="preserve"> to seek independent legal advice before taking any action or decision </w:t>
      </w:r>
      <w:r w:rsidR="00AB6476" w:rsidRPr="000B3301">
        <w:rPr>
          <w:lang w:eastAsia="en-AU"/>
        </w:rPr>
        <w:t>based on</w:t>
      </w:r>
      <w:r w:rsidRPr="000B3301">
        <w:rPr>
          <w:lang w:eastAsia="en-AU"/>
        </w:rPr>
        <w:t xml:space="preserve"> this </w:t>
      </w:r>
      <w:r>
        <w:rPr>
          <w:lang w:eastAsia="en-AU"/>
        </w:rPr>
        <w:t>guidance</w:t>
      </w:r>
      <w:r w:rsidRPr="000B3301">
        <w:rPr>
          <w:lang w:eastAsia="en-AU"/>
        </w:rPr>
        <w:t>.</w:t>
      </w:r>
    </w:p>
    <w:p w14:paraId="794C4D08" w14:textId="77777777" w:rsidR="003404D8" w:rsidRPr="000B3301" w:rsidRDefault="003404D8" w:rsidP="002B05F4">
      <w:pPr>
        <w:autoSpaceDE w:val="0"/>
        <w:autoSpaceDN w:val="0"/>
        <w:adjustRightInd w:val="0"/>
        <w:spacing w:after="0"/>
        <w:rPr>
          <w:lang w:eastAsia="en-AU"/>
        </w:rPr>
      </w:pPr>
    </w:p>
    <w:p w14:paraId="7F3434CC" w14:textId="745A6FE4" w:rsidR="003404D8" w:rsidRPr="000B3301" w:rsidRDefault="3252B44E" w:rsidP="002B05F4">
      <w:pPr>
        <w:autoSpaceDE w:val="0"/>
        <w:autoSpaceDN w:val="0"/>
        <w:adjustRightInd w:val="0"/>
        <w:spacing w:after="0"/>
        <w:rPr>
          <w:lang w:eastAsia="en-AU"/>
        </w:rPr>
      </w:pPr>
      <w:r w:rsidRPr="3944F9C2">
        <w:rPr>
          <w:lang w:eastAsia="en-AU"/>
        </w:rPr>
        <w:t>CER</w:t>
      </w:r>
      <w:r w:rsidR="003404D8" w:rsidRPr="000B3301">
        <w:rPr>
          <w:lang w:eastAsia="en-AU"/>
        </w:rPr>
        <w:t xml:space="preserve"> and the Australian Government will not be liable for any loss or damage from any cause (including negligence) whether arising directly, </w:t>
      </w:r>
      <w:r w:rsidR="00AB6476" w:rsidRPr="000B3301">
        <w:rPr>
          <w:lang w:eastAsia="en-AU"/>
        </w:rPr>
        <w:t>incidentally,</w:t>
      </w:r>
      <w:r w:rsidR="003404D8" w:rsidRPr="000B3301">
        <w:rPr>
          <w:lang w:eastAsia="en-AU"/>
        </w:rPr>
        <w:t xml:space="preserve"> or as consequential loss, out of or in connection with, any use of this guideline or reliance on it, for any purpose.</w:t>
      </w:r>
    </w:p>
    <w:p w14:paraId="10DA70EC" w14:textId="77777777" w:rsidR="003404D8" w:rsidRPr="000B3301" w:rsidRDefault="003404D8" w:rsidP="002B05F4">
      <w:pPr>
        <w:autoSpaceDE w:val="0"/>
        <w:autoSpaceDN w:val="0"/>
        <w:adjustRightInd w:val="0"/>
        <w:spacing w:after="0"/>
        <w:rPr>
          <w:lang w:eastAsia="en-AU"/>
        </w:rPr>
      </w:pPr>
    </w:p>
    <w:p w14:paraId="78C0F416" w14:textId="32446D6F" w:rsidR="003404D8" w:rsidRDefault="003404D8" w:rsidP="003404D8">
      <w:pPr>
        <w:spacing w:after="0"/>
        <w:rPr>
          <w:lang w:val="en-GB"/>
        </w:rPr>
      </w:pPr>
      <w:r w:rsidRPr="000B3301">
        <w:rPr>
          <w:lang w:eastAsia="en-AU"/>
        </w:rPr>
        <w:t xml:space="preserve">If an entity chooses to meet their obligations under the NGER scheme in a manner that is inconsistent with the guidance provided in this document, </w:t>
      </w:r>
      <w:r w:rsidR="4E4D9187" w:rsidRPr="3944F9C2">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bookmarkStart w:id="12" w:name="_Toc43159422"/>
    </w:p>
    <w:p w14:paraId="1D60DCF1" w14:textId="77777777" w:rsidR="003404D8" w:rsidRDefault="003404D8" w:rsidP="003404D8">
      <w:pPr>
        <w:spacing w:after="0"/>
        <w:rPr>
          <w:rFonts w:eastAsia="Times New Roman"/>
          <w:b/>
          <w:bCs/>
          <w:color w:val="005874"/>
          <w:kern w:val="32"/>
          <w:sz w:val="40"/>
        </w:rPr>
      </w:pPr>
      <w:r>
        <w:br w:type="page"/>
      </w:r>
    </w:p>
    <w:p w14:paraId="2808C139" w14:textId="5AFDB985" w:rsidR="003404D8" w:rsidRPr="00FA7635" w:rsidRDefault="00B35317" w:rsidP="003404D8">
      <w:pPr>
        <w:pStyle w:val="Heading1"/>
      </w:pPr>
      <w:bookmarkStart w:id="13" w:name="_Toc205547699"/>
      <w:r>
        <w:lastRenderedPageBreak/>
        <w:t>2024–25</w:t>
      </w:r>
      <w:r w:rsidR="003404D8">
        <w:t xml:space="preserve"> updates</w:t>
      </w:r>
      <w:bookmarkEnd w:id="13"/>
    </w:p>
    <w:p w14:paraId="72E97FF8" w14:textId="035FAB60" w:rsidR="003404D8" w:rsidRDefault="003404D8" w:rsidP="00A10FAA">
      <w:pPr>
        <w:spacing w:before="240"/>
      </w:pPr>
      <w:r>
        <w:t xml:space="preserve">Changes in this document for the </w:t>
      </w:r>
      <w:r w:rsidR="00B35317">
        <w:t>2024–25</w:t>
      </w:r>
      <w:r>
        <w:t xml:space="preserve"> reporting year:</w:t>
      </w:r>
    </w:p>
    <w:p w14:paraId="7E5D1E3C" w14:textId="77777777" w:rsidR="00827E8A" w:rsidRDefault="00604BE3" w:rsidP="0002564E">
      <w:pPr>
        <w:pStyle w:val="CERbullets"/>
        <w:rPr>
          <w:rStyle w:val="scxw216678499"/>
        </w:rPr>
      </w:pPr>
      <w:r w:rsidRPr="0002564E">
        <w:rPr>
          <w:rStyle w:val="normaltextrun"/>
        </w:rPr>
        <w:t>Minor stylistic and formatting changes have been made to this document</w:t>
      </w:r>
      <w:r w:rsidRPr="0002564E">
        <w:rPr>
          <w:rStyle w:val="scxw216678499"/>
        </w:rPr>
        <w:t> </w:t>
      </w:r>
    </w:p>
    <w:p w14:paraId="1B4FA41A" w14:textId="61C5996C" w:rsidR="00C30172" w:rsidRPr="00C30172" w:rsidRDefault="005B0EF1" w:rsidP="00C30172">
      <w:pPr>
        <w:pStyle w:val="CERbullets"/>
        <w:rPr>
          <w:lang w:eastAsia="en-AU"/>
        </w:rPr>
      </w:pPr>
      <w:r>
        <w:rPr>
          <w:lang w:eastAsia="en-AU"/>
        </w:rPr>
        <w:t>Chapter</w:t>
      </w:r>
      <w:r w:rsidR="00C30172" w:rsidRPr="00C30172">
        <w:rPr>
          <w:lang w:eastAsia="en-AU"/>
        </w:rPr>
        <w:t xml:space="preserve"> 2.4: </w:t>
      </w:r>
      <w:r w:rsidR="00FE105C">
        <w:rPr>
          <w:lang w:eastAsia="en-AU"/>
        </w:rPr>
        <w:t>R</w:t>
      </w:r>
      <w:r w:rsidR="00262A9E">
        <w:rPr>
          <w:lang w:eastAsia="en-AU"/>
        </w:rPr>
        <w:t>elocated</w:t>
      </w:r>
      <w:r w:rsidR="00B61F42">
        <w:rPr>
          <w:lang w:eastAsia="en-AU"/>
        </w:rPr>
        <w:t xml:space="preserve"> </w:t>
      </w:r>
      <w:r w:rsidR="00C30172" w:rsidRPr="00C30172">
        <w:rPr>
          <w:lang w:eastAsia="en-AU"/>
        </w:rPr>
        <w:t xml:space="preserve">information </w:t>
      </w:r>
      <w:r w:rsidR="00B61F42">
        <w:rPr>
          <w:lang w:eastAsia="en-AU"/>
        </w:rPr>
        <w:t>from section 2.7 on</w:t>
      </w:r>
      <w:r w:rsidR="00C30172" w:rsidRPr="00C30172">
        <w:rPr>
          <w:lang w:eastAsia="en-AU"/>
        </w:rPr>
        <w:t xml:space="preserve"> continuous emissions monitoring</w:t>
      </w:r>
    </w:p>
    <w:p w14:paraId="017CEA3D" w14:textId="50DF0074" w:rsidR="00C30172" w:rsidRPr="00C30172" w:rsidRDefault="005B0EF1" w:rsidP="00226BF3">
      <w:pPr>
        <w:pStyle w:val="CERbullets"/>
        <w:rPr>
          <w:lang w:eastAsia="en-AU"/>
        </w:rPr>
      </w:pPr>
      <w:r>
        <w:rPr>
          <w:lang w:eastAsia="en-AU"/>
        </w:rPr>
        <w:t>Chapter</w:t>
      </w:r>
      <w:r w:rsidR="00C30172" w:rsidRPr="00C30172">
        <w:rPr>
          <w:lang w:eastAsia="en-AU"/>
        </w:rPr>
        <w:t xml:space="preserve"> 2.7: </w:t>
      </w:r>
      <w:r w:rsidR="00FE105C">
        <w:rPr>
          <w:lang w:eastAsia="en-AU"/>
        </w:rPr>
        <w:t>E</w:t>
      </w:r>
      <w:r w:rsidR="00262A9E">
        <w:rPr>
          <w:lang w:eastAsia="en-AU"/>
        </w:rPr>
        <w:t xml:space="preserve">xpanded on </w:t>
      </w:r>
      <w:r w:rsidR="00C30172" w:rsidRPr="00C30172">
        <w:rPr>
          <w:lang w:eastAsia="en-AU"/>
        </w:rPr>
        <w:t>definition of down time</w:t>
      </w:r>
    </w:p>
    <w:p w14:paraId="5B0BA8DA" w14:textId="2DD61ACE" w:rsidR="00604BE3" w:rsidRDefault="005B0EF1" w:rsidP="00870C15">
      <w:pPr>
        <w:pStyle w:val="CERbullets"/>
        <w:rPr>
          <w:szCs w:val="22"/>
        </w:rPr>
      </w:pPr>
      <w:r>
        <w:rPr>
          <w:lang w:eastAsia="en-AU"/>
        </w:rPr>
        <w:t>Chapter</w:t>
      </w:r>
      <w:r w:rsidR="00C30172" w:rsidRPr="00C30172">
        <w:rPr>
          <w:lang w:eastAsia="en-AU"/>
        </w:rPr>
        <w:t xml:space="preserve"> 2.7: </w:t>
      </w:r>
      <w:r w:rsidR="00FE105C">
        <w:rPr>
          <w:lang w:eastAsia="en-AU"/>
        </w:rPr>
        <w:t>A</w:t>
      </w:r>
      <w:r w:rsidR="00C30172" w:rsidRPr="00C30172">
        <w:rPr>
          <w:lang w:eastAsia="en-AU"/>
        </w:rPr>
        <w:t xml:space="preserve">dded </w:t>
      </w:r>
      <w:r w:rsidR="000625BB">
        <w:rPr>
          <w:lang w:eastAsia="en-AU"/>
        </w:rPr>
        <w:t>two</w:t>
      </w:r>
      <w:r w:rsidR="00B61F42">
        <w:rPr>
          <w:lang w:eastAsia="en-AU"/>
        </w:rPr>
        <w:t xml:space="preserve"> </w:t>
      </w:r>
      <w:r w:rsidR="00C30172" w:rsidRPr="00C30172">
        <w:rPr>
          <w:lang w:eastAsia="en-AU"/>
        </w:rPr>
        <w:t>example</w:t>
      </w:r>
      <w:r w:rsidR="000625BB">
        <w:rPr>
          <w:lang w:eastAsia="en-AU"/>
        </w:rPr>
        <w:t>s</w:t>
      </w:r>
      <w:r w:rsidR="00C30172" w:rsidRPr="00C30172">
        <w:rPr>
          <w:lang w:eastAsia="en-AU"/>
        </w:rPr>
        <w:t xml:space="preserve"> of </w:t>
      </w:r>
      <w:r w:rsidR="00226BF3">
        <w:rPr>
          <w:lang w:eastAsia="en-AU"/>
        </w:rPr>
        <w:t xml:space="preserve">instances of </w:t>
      </w:r>
      <w:r w:rsidR="00C30172" w:rsidRPr="00C30172">
        <w:rPr>
          <w:lang w:eastAsia="en-AU"/>
        </w:rPr>
        <w:t>temporary unavailability of method</w:t>
      </w:r>
    </w:p>
    <w:p w14:paraId="48FC0950" w14:textId="77777777" w:rsidR="00B61F42" w:rsidRDefault="00B61F42" w:rsidP="00604BE3">
      <w:pPr>
        <w:pStyle w:val="paragraph"/>
        <w:spacing w:before="0" w:beforeAutospacing="0" w:after="0" w:afterAutospacing="0"/>
        <w:textAlignment w:val="baseline"/>
        <w:rPr>
          <w:rStyle w:val="normaltextrun"/>
          <w:rFonts w:ascii="Calibri" w:eastAsiaTheme="minorEastAsia" w:hAnsi="Calibri" w:cs="Calibri"/>
          <w:sz w:val="22"/>
        </w:rPr>
      </w:pPr>
    </w:p>
    <w:p w14:paraId="6959AA08" w14:textId="14BA9E9E" w:rsidR="00604BE3" w:rsidRDefault="00604BE3" w:rsidP="00604BE3">
      <w:pPr>
        <w:pStyle w:val="paragraph"/>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9" w:tooltip="A link to the NGER amendments page of the Clean Energy Regulator website" w:history="1">
        <w:r w:rsidR="00D42586">
          <w:rPr>
            <w:rStyle w:val="normaltextrun"/>
            <w:rFonts w:ascii="Calibri" w:eastAsiaTheme="minorEastAsia" w:hAnsi="Calibri" w:cs="Calibri"/>
            <w:color w:val="006C93"/>
            <w:sz w:val="22"/>
            <w:u w:val="single"/>
          </w:rPr>
          <w:t xml:space="preserve">changes to the NGER Legislation for the </w:t>
        </w:r>
        <w:r w:rsidR="00B35317">
          <w:rPr>
            <w:rStyle w:val="normaltextrun"/>
            <w:rFonts w:ascii="Calibri" w:eastAsiaTheme="minorEastAsia" w:hAnsi="Calibri" w:cs="Calibri"/>
            <w:color w:val="006C93"/>
            <w:sz w:val="22"/>
            <w:u w:val="single"/>
          </w:rPr>
          <w:t>2024–25</w:t>
        </w:r>
        <w:r w:rsidR="00D42586">
          <w:rPr>
            <w:rStyle w:val="normaltextrun"/>
            <w:rFonts w:ascii="Calibri" w:eastAsiaTheme="minorEastAsia" w:hAnsi="Calibri" w:cs="Calibri"/>
            <w:color w:val="006C93"/>
            <w:sz w:val="22"/>
            <w:u w:val="single"/>
          </w:rPr>
          <w:t xml:space="preserve"> reporting period</w:t>
        </w:r>
      </w:hyperlink>
      <w:r w:rsidR="00D42586">
        <w:rPr>
          <w:rStyle w:val="FootnoteReference"/>
          <w:rFonts w:ascii="Calibri" w:hAnsi="Calibri" w:cs="Calibri"/>
          <w:sz w:val="22"/>
          <w:szCs w:val="22"/>
        </w:rPr>
        <w:footnoteReference w:id="9"/>
      </w:r>
      <w:r>
        <w:rPr>
          <w:rStyle w:val="normaltextrun"/>
          <w:rFonts w:ascii="Calibri" w:eastAsiaTheme="minorEastAsia" w:hAnsi="Calibri" w:cs="Calibri"/>
          <w:sz w:val="22"/>
        </w:rPr>
        <w:t>.  </w:t>
      </w:r>
      <w:r>
        <w:rPr>
          <w:rStyle w:val="eop"/>
          <w:rFonts w:ascii="Calibri" w:hAnsi="Calibri" w:cs="Calibri"/>
          <w:sz w:val="22"/>
          <w:szCs w:val="22"/>
        </w:rPr>
        <w:t> </w:t>
      </w:r>
    </w:p>
    <w:p w14:paraId="27FC7F7A" w14:textId="77777777" w:rsidR="003404D8" w:rsidRPr="002C556E" w:rsidRDefault="003404D8" w:rsidP="00E56C14">
      <w:pPr>
        <w:pStyle w:val="Heading1"/>
        <w:numPr>
          <w:ilvl w:val="0"/>
          <w:numId w:val="4"/>
        </w:numPr>
        <w:ind w:left="720" w:hanging="720"/>
        <w:rPr>
          <w:lang w:val="en-GB"/>
        </w:rPr>
      </w:pPr>
      <w:bookmarkStart w:id="14" w:name="_Toc171072670"/>
      <w:bookmarkStart w:id="15" w:name="_Toc171072671"/>
      <w:bookmarkStart w:id="16" w:name="_Toc171072672"/>
      <w:bookmarkStart w:id="17" w:name="_Toc171072673"/>
      <w:bookmarkStart w:id="18" w:name="_Toc76042518"/>
      <w:bookmarkStart w:id="19" w:name="_Toc205547700"/>
      <w:bookmarkEnd w:id="14"/>
      <w:bookmarkEnd w:id="15"/>
      <w:bookmarkEnd w:id="16"/>
      <w:bookmarkEnd w:id="17"/>
      <w:r w:rsidRPr="002C556E">
        <w:rPr>
          <w:lang w:val="en-GB"/>
        </w:rPr>
        <w:t>Purpose of this</w:t>
      </w:r>
      <w:bookmarkEnd w:id="12"/>
      <w:r>
        <w:rPr>
          <w:lang w:val="en-GB"/>
        </w:rPr>
        <w:t xml:space="preserve"> guideline</w:t>
      </w:r>
      <w:bookmarkEnd w:id="18"/>
      <w:bookmarkEnd w:id="19"/>
    </w:p>
    <w:p w14:paraId="1CB343AA" w14:textId="77777777" w:rsidR="003404D8" w:rsidRPr="002C556E" w:rsidRDefault="003404D8" w:rsidP="00E56C14">
      <w:pPr>
        <w:spacing w:before="240"/>
      </w:pPr>
      <w:r>
        <w:t>Certain organisations</w:t>
      </w:r>
      <w:r w:rsidRPr="002C556E">
        <w:t xml:space="preserve"> have reporting obligations under the </w:t>
      </w:r>
      <w:r>
        <w:t>NGER Legislation</w:t>
      </w:r>
      <w:r w:rsidRPr="002C556E">
        <w:t xml:space="preserve">, comprising the </w:t>
      </w:r>
      <w:r>
        <w:t>NGER Act</w:t>
      </w:r>
      <w:r w:rsidRPr="002C556E">
        <w:t xml:space="preserve">, the </w:t>
      </w:r>
      <w:r>
        <w:t>NGER Regulations</w:t>
      </w:r>
      <w:r w:rsidRPr="002C556E">
        <w:t xml:space="preserve"> and the</w:t>
      </w:r>
      <w:r>
        <w:rPr>
          <w:i/>
        </w:rPr>
        <w:t xml:space="preserve"> </w:t>
      </w:r>
      <w:r>
        <w:t>NGER Measurement Determination</w:t>
      </w:r>
      <w:r w:rsidRPr="002C556E">
        <w:t>.</w:t>
      </w:r>
    </w:p>
    <w:p w14:paraId="24378A28" w14:textId="77777777" w:rsidR="003404D8" w:rsidRPr="002C556E" w:rsidRDefault="003404D8" w:rsidP="003404D8">
      <w:r w:rsidRPr="002C556E">
        <w:t xml:space="preserve">It is important that data relating to greenhouse gas emissions, energy consumption and energy production of corporations, provided under the </w:t>
      </w:r>
      <w:r>
        <w:t>NGER</w:t>
      </w:r>
      <w:r w:rsidRPr="002C556E">
        <w:t xml:space="preserve"> scheme, is accurate and complies with the requirements of the legislation. The information is used to:</w:t>
      </w:r>
    </w:p>
    <w:p w14:paraId="01BBD942" w14:textId="77777777" w:rsidR="003404D8" w:rsidRPr="002C556E" w:rsidRDefault="003404D8" w:rsidP="006C3C5D">
      <w:pPr>
        <w:numPr>
          <w:ilvl w:val="0"/>
          <w:numId w:val="1"/>
        </w:numPr>
        <w:spacing w:before="120" w:after="120"/>
      </w:pPr>
      <w:r w:rsidRPr="002C556E">
        <w:t>inform government policy formulation and the Australian public</w:t>
      </w:r>
    </w:p>
    <w:p w14:paraId="1E8A5959" w14:textId="77777777" w:rsidR="003404D8" w:rsidRPr="002C556E" w:rsidRDefault="003404D8" w:rsidP="006C3C5D">
      <w:pPr>
        <w:numPr>
          <w:ilvl w:val="0"/>
          <w:numId w:val="1"/>
        </w:numPr>
        <w:spacing w:before="120" w:after="120"/>
      </w:pPr>
      <w:r w:rsidRPr="002C556E">
        <w:t>meet Australia’s international reporting obligations</w:t>
      </w:r>
    </w:p>
    <w:p w14:paraId="3C9270CB" w14:textId="77777777" w:rsidR="003404D8" w:rsidRPr="002C556E" w:rsidRDefault="003404D8" w:rsidP="006C3C5D">
      <w:pPr>
        <w:numPr>
          <w:ilvl w:val="0"/>
          <w:numId w:val="1"/>
        </w:numPr>
        <w:spacing w:before="120" w:after="120"/>
      </w:pPr>
      <w:r w:rsidRPr="002C556E">
        <w:t>assist Commonwealth, State and Territory government programs and activities</w:t>
      </w:r>
    </w:p>
    <w:p w14:paraId="58FDF4D6" w14:textId="03B57324" w:rsidR="003404D8" w:rsidRPr="002C556E" w:rsidRDefault="003404D8" w:rsidP="006C3C5D">
      <w:pPr>
        <w:numPr>
          <w:ilvl w:val="0"/>
          <w:numId w:val="1"/>
        </w:numPr>
        <w:spacing w:before="120" w:after="120"/>
      </w:pPr>
      <w:r w:rsidRPr="002C556E">
        <w:t xml:space="preserve">ensure, under the </w:t>
      </w:r>
      <w:r w:rsidR="00544500">
        <w:t>S</w:t>
      </w:r>
      <w:r w:rsidRPr="002C556E">
        <w:t xml:space="preserve">afeguard </w:t>
      </w:r>
      <w:r w:rsidR="00544500">
        <w:t>M</w:t>
      </w:r>
      <w:r w:rsidRPr="002C556E">
        <w:t>echanism, that net covered emissions of greenhouse gases from the operation of a designated large facility do not exceed the baseline applicable to the facility.</w:t>
      </w:r>
    </w:p>
    <w:p w14:paraId="21A68E76" w14:textId="77777777" w:rsidR="003404D8" w:rsidRDefault="003404D8" w:rsidP="003404D8">
      <w:r>
        <w:t>The following information has been compiled to provide stakeholders with an understanding of how we will apply legislation with regards to method and measurement criterion selection and application through worked examples and elaborations. It is intended to assist stakeholders (reporters, auditors, and those who prepare NGER reports) with demonstrating compliance by providing practical examples of the application of the legislation.</w:t>
      </w:r>
    </w:p>
    <w:p w14:paraId="0DB3FABE" w14:textId="4D18F6F4" w:rsidR="003404D8" w:rsidRDefault="003404D8" w:rsidP="003404D8">
      <w:r>
        <w:t>This compilation is an extension of the Department of Climate Change, Energy, the Environment and Water’s (</w:t>
      </w:r>
      <w:r w:rsidR="0B191F8A">
        <w:t>DCCEEW</w:t>
      </w:r>
      <w:r>
        <w:t>) discontinued technical guidelines and is intended to provide industry stakeholders with an understanding of how the regulator interprets and applies the legislation. It is intended for educational purposes only.</w:t>
      </w:r>
    </w:p>
    <w:p w14:paraId="4CA71580" w14:textId="77777777" w:rsidR="003404D8" w:rsidRPr="002C556E" w:rsidRDefault="003404D8" w:rsidP="003404D8">
      <w:r>
        <w:t>Reporters are responsible for ensuring they meet the legislative requirements.</w:t>
      </w:r>
    </w:p>
    <w:p w14:paraId="40F0BE78" w14:textId="77777777" w:rsidR="003404D8" w:rsidRPr="00C54C7E" w:rsidRDefault="003404D8" w:rsidP="00E56C14">
      <w:pPr>
        <w:pStyle w:val="Heading2"/>
        <w:numPr>
          <w:ilvl w:val="1"/>
          <w:numId w:val="4"/>
        </w:numPr>
        <w:ind w:left="720" w:hanging="720"/>
        <w:jc w:val="both"/>
      </w:pPr>
      <w:bookmarkStart w:id="20" w:name="_Toc43159423"/>
      <w:bookmarkStart w:id="21" w:name="_Toc76042519"/>
      <w:bookmarkStart w:id="22" w:name="_Toc205547701"/>
      <w:r w:rsidRPr="00C54C7E">
        <w:lastRenderedPageBreak/>
        <w:t xml:space="preserve">Focus of this </w:t>
      </w:r>
      <w:bookmarkEnd w:id="20"/>
      <w:r>
        <w:t>guideline</w:t>
      </w:r>
      <w:bookmarkEnd w:id="21"/>
      <w:bookmarkEnd w:id="22"/>
    </w:p>
    <w:p w14:paraId="6EC7DBCE" w14:textId="11545179" w:rsidR="003404D8" w:rsidRDefault="003404D8" w:rsidP="00E56C14">
      <w:pPr>
        <w:spacing w:before="240"/>
        <w:rPr>
          <w:noProof/>
        </w:rPr>
      </w:pPr>
      <w:r w:rsidRPr="00FF338C">
        <w:t xml:space="preserve">The objective of this </w:t>
      </w:r>
      <w:r>
        <w:t>guideline</w:t>
      </w:r>
      <w:r w:rsidRPr="00FF338C">
        <w:t xml:space="preserve"> is to promote </w:t>
      </w:r>
      <w:r>
        <w:t>an understanding of the methods used for estimating emissions and energy, the general requirements for measurement of emissions and energy and the compliant reporting of measurement criteria for a facility under the NGER Act</w:t>
      </w:r>
      <w:r w:rsidRPr="00FF338C">
        <w:t>.</w:t>
      </w:r>
      <w:r>
        <w:t xml:space="preserve"> </w:t>
      </w:r>
      <w:r>
        <w:rPr>
          <w:noProof/>
        </w:rPr>
        <w:t xml:space="preserve">See </w:t>
      </w:r>
      <w:hyperlink r:id="rId30" w:tooltip="A link to the Defining NGER facilities guide on the Clean Energy Regulator website" w:history="1">
        <w:r w:rsidRPr="00B623F4">
          <w:rPr>
            <w:rStyle w:val="Hyperlink"/>
            <w:rFonts w:asciiTheme="minorHAnsi" w:hAnsiTheme="minorHAnsi"/>
            <w:noProof/>
          </w:rPr>
          <w:t>NGER Defining facilities</w:t>
        </w:r>
      </w:hyperlink>
      <w:r w:rsidRPr="00EB7EBD">
        <w:rPr>
          <w:rStyle w:val="FootnoteReference"/>
          <w:noProof/>
          <w:color w:val="005874"/>
        </w:rPr>
        <w:footnoteReference w:id="10"/>
      </w:r>
      <w:r w:rsidRPr="003A1FD0">
        <w:rPr>
          <w:noProof/>
        </w:rPr>
        <w:t xml:space="preserve"> </w:t>
      </w:r>
      <w:r>
        <w:rPr>
          <w:noProof/>
        </w:rPr>
        <w:t>for guidance on what constitutes a facility.</w:t>
      </w:r>
      <w:bookmarkStart w:id="23" w:name="_Toc423516668"/>
      <w:bookmarkStart w:id="24" w:name="_Toc495652581"/>
    </w:p>
    <w:p w14:paraId="0448625A" w14:textId="77777777" w:rsidR="003404D8" w:rsidRPr="000C11CB" w:rsidRDefault="003404D8" w:rsidP="00E56C14">
      <w:pPr>
        <w:pStyle w:val="Heading1"/>
        <w:numPr>
          <w:ilvl w:val="0"/>
          <w:numId w:val="4"/>
        </w:numPr>
        <w:ind w:left="720" w:hanging="720"/>
      </w:pPr>
      <w:bookmarkStart w:id="25" w:name="_Toc171072676"/>
      <w:bookmarkStart w:id="26" w:name="_Toc171072677"/>
      <w:bookmarkStart w:id="27" w:name="_Toc76042520"/>
      <w:bookmarkStart w:id="28" w:name="_Toc205547702"/>
      <w:bookmarkEnd w:id="25"/>
      <w:bookmarkEnd w:id="26"/>
      <w:r>
        <w:t>M</w:t>
      </w:r>
      <w:r w:rsidRPr="000C11CB">
        <w:t>ethods for measurement</w:t>
      </w:r>
      <w:bookmarkEnd w:id="23"/>
      <w:bookmarkEnd w:id="24"/>
      <w:r>
        <w:t xml:space="preserve"> - overview</w:t>
      </w:r>
      <w:bookmarkEnd w:id="27"/>
      <w:bookmarkEnd w:id="28"/>
    </w:p>
    <w:p w14:paraId="67F1DB8D" w14:textId="77777777" w:rsidR="003404D8" w:rsidRPr="000C11CB" w:rsidRDefault="003404D8" w:rsidP="00E56C14">
      <w:pPr>
        <w:spacing w:before="240"/>
        <w:rPr>
          <w:lang w:eastAsia="en-AU"/>
        </w:rPr>
      </w:pPr>
      <w:r w:rsidRPr="000C11CB">
        <w:rPr>
          <w:lang w:eastAsia="en-AU"/>
        </w:rPr>
        <w:t>Emissions are rarely measured through direct observation</w:t>
      </w:r>
      <w:r>
        <w:rPr>
          <w:lang w:eastAsia="en-AU"/>
        </w:rPr>
        <w:t xml:space="preserve">. They </w:t>
      </w:r>
      <w:r w:rsidRPr="000C11CB">
        <w:rPr>
          <w:lang w:eastAsia="en-AU"/>
        </w:rPr>
        <w:t>are most often estimated by reference to readily observable variables that are closely related to greenhouse gas emissions such as the quantity of fossil fuels consumed.</w:t>
      </w:r>
    </w:p>
    <w:p w14:paraId="4480ADA7" w14:textId="08219184" w:rsidR="003404D8" w:rsidRPr="000C11CB" w:rsidRDefault="003404D8" w:rsidP="003404D8">
      <w:pPr>
        <w:rPr>
          <w:lang w:eastAsia="en-AU"/>
        </w:rPr>
      </w:pPr>
      <w:r w:rsidRPr="000C11CB">
        <w:rPr>
          <w:lang w:eastAsia="en-AU"/>
        </w:rPr>
        <w:t>Th</w:t>
      </w:r>
      <w:r>
        <w:rPr>
          <w:lang w:eastAsia="en-AU"/>
        </w:rPr>
        <w:t>is</w:t>
      </w:r>
      <w:r w:rsidRPr="000C11CB">
        <w:rPr>
          <w:lang w:eastAsia="en-AU"/>
        </w:rPr>
        <w:t xml:space="preserve"> </w:t>
      </w:r>
      <w:r>
        <w:rPr>
          <w:lang w:eastAsia="en-AU"/>
        </w:rPr>
        <w:t>g</w:t>
      </w:r>
      <w:r w:rsidRPr="000C11CB">
        <w:rPr>
          <w:lang w:eastAsia="en-AU"/>
        </w:rPr>
        <w:t xml:space="preserve">uideline </w:t>
      </w:r>
      <w:r>
        <w:rPr>
          <w:lang w:eastAsia="en-AU"/>
        </w:rPr>
        <w:t>outlines the</w:t>
      </w:r>
      <w:r w:rsidRPr="000C11CB">
        <w:rPr>
          <w:lang w:eastAsia="en-AU"/>
        </w:rPr>
        <w:t xml:space="preserve"> </w:t>
      </w:r>
      <w:r>
        <w:rPr>
          <w:lang w:eastAsia="en-AU"/>
        </w:rPr>
        <w:t>m</w:t>
      </w:r>
      <w:r w:rsidRPr="000C11CB">
        <w:rPr>
          <w:lang w:eastAsia="en-AU"/>
        </w:rPr>
        <w:t xml:space="preserve">ethods that allow for both direct emissions monitoring and the estimation of emissions through the of </w:t>
      </w:r>
      <w:r w:rsidRPr="00421568">
        <w:rPr>
          <w:lang w:eastAsia="en-AU"/>
        </w:rPr>
        <w:t>tracking of related variables</w:t>
      </w:r>
      <w:r w:rsidRPr="00421568" w:rsidDel="00421568">
        <w:rPr>
          <w:lang w:eastAsia="en-AU"/>
        </w:rPr>
        <w:t>.</w:t>
      </w:r>
      <w:r w:rsidRPr="000C11CB">
        <w:rPr>
          <w:lang w:eastAsia="en-AU"/>
        </w:rPr>
        <w:t xml:space="preserve"> Th</w:t>
      </w:r>
      <w:r>
        <w:rPr>
          <w:lang w:eastAsia="en-AU"/>
        </w:rPr>
        <w:t xml:space="preserve">e methods </w:t>
      </w:r>
      <w:r w:rsidRPr="000C11CB">
        <w:rPr>
          <w:lang w:eastAsia="en-AU"/>
        </w:rPr>
        <w:t>reflect the approaches</w:t>
      </w:r>
      <w:r>
        <w:rPr>
          <w:lang w:eastAsia="en-AU"/>
        </w:rPr>
        <w:t xml:space="preserve"> taken globally, for example for </w:t>
      </w:r>
      <w:r w:rsidRPr="000C11CB">
        <w:rPr>
          <w:lang w:eastAsia="en-AU"/>
        </w:rPr>
        <w:t>the estimation of national greenhouse gas inventories</w:t>
      </w:r>
      <w:r>
        <w:rPr>
          <w:lang w:eastAsia="en-AU"/>
        </w:rPr>
        <w:t xml:space="preserve">, </w:t>
      </w:r>
      <w:r w:rsidRPr="000C11CB">
        <w:rPr>
          <w:lang w:eastAsia="en-AU"/>
        </w:rPr>
        <w:t xml:space="preserve">the </w:t>
      </w:r>
      <w:r w:rsidRPr="00EB7EBD">
        <w:rPr>
          <w:iCs/>
          <w:lang w:eastAsia="en-AU"/>
        </w:rPr>
        <w:t xml:space="preserve">EU </w:t>
      </w:r>
      <w:bookmarkStart w:id="29" w:name="_Hlk48729242"/>
      <w:r>
        <w:rPr>
          <w:iCs/>
          <w:lang w:eastAsia="en-AU"/>
        </w:rPr>
        <w:t xml:space="preserve">guidelines, </w:t>
      </w:r>
      <w:bookmarkEnd w:id="29"/>
      <w:r w:rsidRPr="0041250A">
        <w:rPr>
          <w:iCs/>
          <w:lang w:eastAsia="en-AU"/>
        </w:rPr>
        <w:t>and the</w:t>
      </w:r>
      <w:r w:rsidRPr="00EB7EBD">
        <w:rPr>
          <w:iCs/>
          <w:lang w:eastAsia="en-AU"/>
        </w:rPr>
        <w:t xml:space="preserve"> </w:t>
      </w:r>
      <w:r>
        <w:rPr>
          <w:iCs/>
          <w:lang w:eastAsia="en-AU"/>
        </w:rPr>
        <w:t xml:space="preserve">United States Environmental Protection Agency’s </w:t>
      </w:r>
      <w:hyperlink r:id="rId31" w:tooltip="A link to the Mandatory Greenhouse Gas Reporting Rule page of the EPA website" w:history="1">
        <w:r w:rsidRPr="00975F8E">
          <w:rPr>
            <w:rStyle w:val="Hyperlink"/>
            <w:rFonts w:asciiTheme="minorHAnsi" w:hAnsiTheme="minorHAnsi"/>
            <w:iCs/>
            <w:lang w:eastAsia="en-AU"/>
          </w:rPr>
          <w:t>Mandatory Greenhouse Gas Reporting Rule</w:t>
        </w:r>
      </w:hyperlink>
      <w:r>
        <w:rPr>
          <w:rStyle w:val="FootnoteReference"/>
          <w:iCs/>
          <w:color w:val="005874"/>
          <w:u w:val="single"/>
          <w:lang w:eastAsia="en-AU"/>
        </w:rPr>
        <w:footnoteReference w:id="11"/>
      </w:r>
      <w:r w:rsidRPr="000C11CB">
        <w:rPr>
          <w:i/>
          <w:lang w:eastAsia="en-AU"/>
        </w:rPr>
        <w:t>.</w:t>
      </w:r>
    </w:p>
    <w:p w14:paraId="1792BC0F" w14:textId="77777777" w:rsidR="003404D8" w:rsidRPr="000C11CB" w:rsidRDefault="003404D8" w:rsidP="003404D8">
      <w:pPr>
        <w:rPr>
          <w:lang w:eastAsia="en-AU"/>
        </w:rPr>
      </w:pPr>
      <w:r w:rsidRPr="000C11CB">
        <w:rPr>
          <w:lang w:eastAsia="en-AU"/>
        </w:rPr>
        <w:t>At its simplest, emissions may be estimated by reference to reportable data such as fossil fuel consumption</w:t>
      </w:r>
      <w:r>
        <w:rPr>
          <w:lang w:eastAsia="en-AU"/>
        </w:rPr>
        <w:t xml:space="preserve"> </w:t>
      </w:r>
      <w:r w:rsidRPr="000C11CB">
        <w:rPr>
          <w:lang w:eastAsia="en-AU"/>
        </w:rPr>
        <w:t>and the use of specified emission factors provided in th</w:t>
      </w:r>
      <w:r>
        <w:rPr>
          <w:lang w:eastAsia="en-AU"/>
        </w:rPr>
        <w:t>is</w:t>
      </w:r>
      <w:r w:rsidRPr="000C11CB">
        <w:rPr>
          <w:lang w:eastAsia="en-AU"/>
        </w:rPr>
        <w:t xml:space="preserve"> </w:t>
      </w:r>
      <w:r>
        <w:rPr>
          <w:lang w:eastAsia="en-AU"/>
        </w:rPr>
        <w:t>g</w:t>
      </w:r>
      <w:r w:rsidRPr="000C11CB">
        <w:rPr>
          <w:lang w:eastAsia="en-AU"/>
        </w:rPr>
        <w:t xml:space="preserve">uideline. For </w:t>
      </w:r>
      <w:r>
        <w:rPr>
          <w:lang w:eastAsia="en-AU"/>
        </w:rPr>
        <w:t xml:space="preserve">example, </w:t>
      </w:r>
      <w:r w:rsidRPr="000C11CB">
        <w:rPr>
          <w:lang w:eastAsia="en-AU"/>
        </w:rPr>
        <w:t>emissions from fuel combustion</w:t>
      </w:r>
      <w:r>
        <w:rPr>
          <w:lang w:eastAsia="en-AU"/>
        </w:rPr>
        <w:t xml:space="preserve"> </w:t>
      </w:r>
      <w:r w:rsidRPr="000C11CB">
        <w:rPr>
          <w:lang w:eastAsia="en-AU"/>
        </w:rPr>
        <w:t>data on consumption of a fuel would be multiplied by a specific emission factor for that fuel to generate an emissions estimate.</w:t>
      </w:r>
    </w:p>
    <w:p w14:paraId="73453D80" w14:textId="416A0211" w:rsidR="003404D8" w:rsidRPr="000C11CB" w:rsidRDefault="003404D8" w:rsidP="003404D8">
      <w:pPr>
        <w:rPr>
          <w:lang w:eastAsia="en-AU"/>
        </w:rPr>
      </w:pPr>
      <w:r w:rsidRPr="000C11CB">
        <w:rPr>
          <w:lang w:eastAsia="en-AU"/>
        </w:rPr>
        <w:t>Greater levels of complexity</w:t>
      </w:r>
      <w:r>
        <w:rPr>
          <w:lang w:eastAsia="en-AU"/>
        </w:rPr>
        <w:t>,</w:t>
      </w:r>
      <w:r w:rsidRPr="000C11CB">
        <w:rPr>
          <w:lang w:eastAsia="en-AU"/>
        </w:rPr>
        <w:t xml:space="preserve"> </w:t>
      </w:r>
      <w:r w:rsidRPr="00A13BEF">
        <w:rPr>
          <w:lang w:eastAsia="en-AU"/>
        </w:rPr>
        <w:t xml:space="preserve">technical equipment and expertise </w:t>
      </w:r>
      <w:r w:rsidRPr="000C11CB">
        <w:rPr>
          <w:lang w:eastAsia="en-AU"/>
        </w:rPr>
        <w:t xml:space="preserve">may in some circumstances produce </w:t>
      </w:r>
      <w:r>
        <w:rPr>
          <w:lang w:eastAsia="en-AU"/>
        </w:rPr>
        <w:t xml:space="preserve">more accurate </w:t>
      </w:r>
      <w:r w:rsidRPr="000C11CB">
        <w:rPr>
          <w:lang w:eastAsia="en-AU"/>
        </w:rPr>
        <w:t>estimates of emissions at</w:t>
      </w:r>
      <w:r>
        <w:rPr>
          <w:lang w:eastAsia="en-AU"/>
        </w:rPr>
        <w:t xml:space="preserve"> the</w:t>
      </w:r>
      <w:r w:rsidRPr="000C11CB">
        <w:rPr>
          <w:lang w:eastAsia="en-AU"/>
        </w:rPr>
        <w:t xml:space="preserve"> facility level. </w:t>
      </w:r>
      <w:r>
        <w:rPr>
          <w:lang w:eastAsia="en-AU"/>
        </w:rPr>
        <w:t>For</w:t>
      </w:r>
      <w:r w:rsidRPr="000C11CB">
        <w:rPr>
          <w:lang w:eastAsia="en-AU"/>
        </w:rPr>
        <w:t xml:space="preserve"> example, sampling and </w:t>
      </w:r>
      <w:r>
        <w:rPr>
          <w:lang w:eastAsia="en-AU"/>
        </w:rPr>
        <w:t xml:space="preserve">direct </w:t>
      </w:r>
      <w:r w:rsidRPr="000C11CB">
        <w:rPr>
          <w:lang w:eastAsia="en-AU"/>
        </w:rPr>
        <w:t xml:space="preserve">analysis of </w:t>
      </w:r>
      <w:r>
        <w:rPr>
          <w:lang w:eastAsia="en-AU"/>
        </w:rPr>
        <w:t xml:space="preserve">the carbon content and other </w:t>
      </w:r>
      <w:r w:rsidR="0078559B">
        <w:rPr>
          <w:lang w:eastAsia="en-AU"/>
        </w:rPr>
        <w:t>characteristics</w:t>
      </w:r>
      <w:r w:rsidR="0078559B" w:rsidRPr="000C11CB">
        <w:rPr>
          <w:lang w:eastAsia="en-AU"/>
        </w:rPr>
        <w:t xml:space="preserve"> </w:t>
      </w:r>
      <w:r w:rsidRPr="000C11CB">
        <w:rPr>
          <w:lang w:eastAsia="en-AU"/>
        </w:rPr>
        <w:t xml:space="preserve">will </w:t>
      </w:r>
      <w:r>
        <w:rPr>
          <w:lang w:eastAsia="en-AU"/>
        </w:rPr>
        <w:t>lead to a more accurate estimate of</w:t>
      </w:r>
      <w:r w:rsidRPr="000C11CB">
        <w:rPr>
          <w:lang w:eastAsia="en-AU"/>
        </w:rPr>
        <w:t xml:space="preserve"> actual emissions generated by its </w:t>
      </w:r>
      <w:r>
        <w:rPr>
          <w:lang w:eastAsia="en-AU"/>
        </w:rPr>
        <w:t>use</w:t>
      </w:r>
      <w:r w:rsidRPr="000C11CB">
        <w:rPr>
          <w:lang w:eastAsia="en-AU"/>
        </w:rPr>
        <w:t xml:space="preserve"> at a facility.</w:t>
      </w:r>
      <w:r>
        <w:rPr>
          <w:lang w:eastAsia="en-AU"/>
        </w:rPr>
        <w:t xml:space="preserve"> </w:t>
      </w:r>
      <w:r w:rsidRPr="000C11CB">
        <w:rPr>
          <w:lang w:eastAsia="en-AU"/>
        </w:rPr>
        <w:t xml:space="preserve">In Australia, this approach to estimation </w:t>
      </w:r>
      <w:r>
        <w:rPr>
          <w:lang w:eastAsia="en-AU"/>
        </w:rPr>
        <w:t xml:space="preserve">of </w:t>
      </w:r>
      <w:r w:rsidRPr="000C11CB">
        <w:rPr>
          <w:lang w:eastAsia="en-AU"/>
        </w:rPr>
        <w:t>emissions has been used for several years in the electricity industry.</w:t>
      </w:r>
    </w:p>
    <w:p w14:paraId="42553E3A" w14:textId="77777777" w:rsidR="003404D8" w:rsidRPr="000C11CB" w:rsidRDefault="003404D8" w:rsidP="003404D8">
      <w:pPr>
        <w:rPr>
          <w:lang w:eastAsia="en-AU"/>
        </w:rPr>
      </w:pPr>
      <w:r>
        <w:rPr>
          <w:lang w:eastAsia="en-AU"/>
        </w:rPr>
        <w:t>D</w:t>
      </w:r>
      <w:r w:rsidRPr="00A41DE0">
        <w:rPr>
          <w:lang w:eastAsia="en-AU"/>
        </w:rPr>
        <w:t>irect monitoring of emissions is also an approach that reporters may find useful in accurately estimating their emissions</w:t>
      </w:r>
      <w:r w:rsidRPr="000C11CB">
        <w:rPr>
          <w:lang w:eastAsia="en-AU"/>
        </w:rPr>
        <w:t>. While not common, direct monitoring already occurs in the coal industry, where state legislation requires the monitoring of methane levels for health and safety reasons.</w:t>
      </w:r>
    </w:p>
    <w:p w14:paraId="5B41121B" w14:textId="083E9718" w:rsidR="003404D8" w:rsidRPr="000C11CB" w:rsidRDefault="003404D8" w:rsidP="003404D8">
      <w:pPr>
        <w:rPr>
          <w:lang w:eastAsia="en-AU"/>
        </w:rPr>
      </w:pPr>
      <w:r>
        <w:rPr>
          <w:lang w:eastAsia="en-AU"/>
        </w:rPr>
        <w:t xml:space="preserve">The </w:t>
      </w:r>
      <w:r w:rsidR="00381DFC">
        <w:rPr>
          <w:lang w:eastAsia="en-AU"/>
        </w:rPr>
        <w:t>4</w:t>
      </w:r>
      <w:r w:rsidR="00381DFC" w:rsidRPr="000C11CB">
        <w:rPr>
          <w:lang w:eastAsia="en-AU"/>
        </w:rPr>
        <w:t xml:space="preserve"> </w:t>
      </w:r>
      <w:r>
        <w:rPr>
          <w:lang w:eastAsia="en-AU"/>
        </w:rPr>
        <w:t>m</w:t>
      </w:r>
      <w:r w:rsidRPr="000C11CB">
        <w:rPr>
          <w:lang w:eastAsia="en-AU"/>
        </w:rPr>
        <w:t>ethods</w:t>
      </w:r>
      <w:r>
        <w:rPr>
          <w:lang w:eastAsia="en-AU"/>
        </w:rPr>
        <w:t xml:space="preserve"> are described in general terms in </w:t>
      </w:r>
      <w:hyperlink w:anchor="_Method_1" w:history="1">
        <w:r>
          <w:rPr>
            <w:rStyle w:val="Hyperlink"/>
            <w:rFonts w:asciiTheme="minorHAnsi" w:hAnsiTheme="minorHAnsi"/>
            <w:lang w:eastAsia="en-AU"/>
          </w:rPr>
          <w:t>chapter</w:t>
        </w:r>
        <w:r w:rsidRPr="006F7CB6">
          <w:rPr>
            <w:rStyle w:val="Hyperlink"/>
            <w:rFonts w:asciiTheme="minorHAnsi" w:hAnsiTheme="minorHAnsi"/>
            <w:lang w:eastAsia="en-AU"/>
          </w:rPr>
          <w:t>s 2.1</w:t>
        </w:r>
        <w:r>
          <w:rPr>
            <w:rStyle w:val="Hyperlink"/>
            <w:rFonts w:asciiTheme="minorHAnsi" w:hAnsiTheme="minorHAnsi"/>
            <w:lang w:eastAsia="en-AU"/>
          </w:rPr>
          <w:t xml:space="preserve"> to </w:t>
        </w:r>
        <w:r w:rsidRPr="006F7CB6">
          <w:rPr>
            <w:rStyle w:val="Hyperlink"/>
            <w:rFonts w:asciiTheme="minorHAnsi" w:hAnsiTheme="minorHAnsi"/>
            <w:lang w:eastAsia="en-AU"/>
          </w:rPr>
          <w:t>2.4</w:t>
        </w:r>
      </w:hyperlink>
      <w:r>
        <w:rPr>
          <w:lang w:eastAsia="en-AU"/>
        </w:rPr>
        <w:t xml:space="preserve"> of this guideline. These </w:t>
      </w:r>
      <w:r w:rsidR="00381DFC">
        <w:rPr>
          <w:lang w:eastAsia="en-AU"/>
        </w:rPr>
        <w:t xml:space="preserve">4 </w:t>
      </w:r>
      <w:r>
        <w:rPr>
          <w:lang w:eastAsia="en-AU"/>
        </w:rPr>
        <w:t xml:space="preserve">general types of method are used for estimating emissions in the </w:t>
      </w:r>
      <w:r w:rsidRPr="00DA3699">
        <w:rPr>
          <w:lang w:eastAsia="en-AU"/>
        </w:rPr>
        <w:t xml:space="preserve">NGER Measurement Determination </w:t>
      </w:r>
      <w:r w:rsidRPr="000C11CB">
        <w:rPr>
          <w:lang w:eastAsia="en-AU"/>
        </w:rPr>
        <w:t xml:space="preserve">for a range of </w:t>
      </w:r>
      <w:r>
        <w:rPr>
          <w:lang w:eastAsia="en-AU"/>
        </w:rPr>
        <w:t xml:space="preserve">sources. Reporters are given a choice of methods they may use for estimating </w:t>
      </w:r>
      <w:proofErr w:type="gramStart"/>
      <w:r>
        <w:rPr>
          <w:lang w:eastAsia="en-AU"/>
        </w:rPr>
        <w:t>emissions,</w:t>
      </w:r>
      <w:proofErr w:type="gramEnd"/>
      <w:r>
        <w:rPr>
          <w:lang w:eastAsia="en-AU"/>
        </w:rPr>
        <w:t xml:space="preserve"> however not all methods are available for estimating emissions from all sources.</w:t>
      </w:r>
    </w:p>
    <w:p w14:paraId="6A608A3F" w14:textId="2DF5199D" w:rsidR="003404D8" w:rsidRPr="000C11CB" w:rsidRDefault="003404D8" w:rsidP="003404D8">
      <w:pPr>
        <w:rPr>
          <w:lang w:eastAsia="en-AU"/>
        </w:rPr>
      </w:pPr>
      <w:r>
        <w:rPr>
          <w:lang w:eastAsia="en-AU"/>
        </w:rPr>
        <w:t xml:space="preserve">Methods for estimating emissions have been developed to be compatible with </w:t>
      </w:r>
      <w:r w:rsidRPr="000C11CB">
        <w:rPr>
          <w:lang w:eastAsia="en-AU"/>
        </w:rPr>
        <w:t>existing emission estimation practices where possible</w:t>
      </w:r>
      <w:r>
        <w:rPr>
          <w:lang w:eastAsia="en-AU"/>
        </w:rPr>
        <w:t>.</w:t>
      </w:r>
      <w:r w:rsidRPr="000C11CB">
        <w:rPr>
          <w:lang w:eastAsia="en-AU"/>
        </w:rPr>
        <w:t xml:space="preserve"> </w:t>
      </w:r>
      <w:r>
        <w:rPr>
          <w:lang w:eastAsia="en-AU"/>
        </w:rPr>
        <w:t>T</w:t>
      </w:r>
      <w:r w:rsidRPr="000C11CB">
        <w:rPr>
          <w:lang w:eastAsia="en-AU"/>
        </w:rPr>
        <w:t xml:space="preserve">he </w:t>
      </w:r>
      <w:r w:rsidRPr="00EF28BC">
        <w:rPr>
          <w:lang w:eastAsia="en-AU"/>
        </w:rPr>
        <w:t>guidance documents published by</w:t>
      </w:r>
      <w:r w:rsidR="726EE364" w:rsidRPr="3944F9C2" w:rsidDel="00480C67">
        <w:rPr>
          <w:lang w:eastAsia="en-AU"/>
        </w:rPr>
        <w:t xml:space="preserve"> </w:t>
      </w:r>
      <w:r w:rsidR="0CCA3F7A" w:rsidRPr="1E4CDFCF">
        <w:rPr>
          <w:lang w:eastAsia="en-AU"/>
        </w:rPr>
        <w:t>CER</w:t>
      </w:r>
      <w:r w:rsidRPr="00EF28BC">
        <w:rPr>
          <w:lang w:eastAsia="en-AU"/>
        </w:rPr>
        <w:t xml:space="preserve"> </w:t>
      </w:r>
      <w:r>
        <w:rPr>
          <w:lang w:eastAsia="en-AU"/>
        </w:rPr>
        <w:t>are intended to assist</w:t>
      </w:r>
      <w:r w:rsidRPr="000C11CB">
        <w:rPr>
          <w:lang w:eastAsia="en-AU"/>
        </w:rPr>
        <w:t xml:space="preserve"> reporters to meet their </w:t>
      </w:r>
      <w:r>
        <w:rPr>
          <w:lang w:eastAsia="en-AU"/>
        </w:rPr>
        <w:t xml:space="preserve">NGER </w:t>
      </w:r>
      <w:r w:rsidRPr="000C11CB">
        <w:rPr>
          <w:lang w:eastAsia="en-AU"/>
        </w:rPr>
        <w:t xml:space="preserve">obligations </w:t>
      </w:r>
      <w:r>
        <w:rPr>
          <w:lang w:eastAsia="en-AU"/>
        </w:rPr>
        <w:t xml:space="preserve">by drawing on existing processes particularly for </w:t>
      </w:r>
      <w:r w:rsidRPr="000C11CB">
        <w:rPr>
          <w:lang w:eastAsia="en-AU"/>
        </w:rPr>
        <w:t>higher order methods (2, 3 and 4 set out below</w:t>
      </w:r>
      <w:r>
        <w:rPr>
          <w:lang w:eastAsia="en-AU"/>
        </w:rPr>
        <w:t>)</w:t>
      </w:r>
      <w:r w:rsidRPr="000C11CB">
        <w:rPr>
          <w:lang w:eastAsia="en-AU"/>
        </w:rPr>
        <w:t>.</w:t>
      </w:r>
    </w:p>
    <w:p w14:paraId="14A47712" w14:textId="77777777" w:rsidR="003404D8" w:rsidRDefault="003404D8" w:rsidP="003404D8">
      <w:pPr>
        <w:rPr>
          <w:lang w:eastAsia="en-AU"/>
        </w:rPr>
      </w:pPr>
      <w:r w:rsidRPr="000C11CB">
        <w:rPr>
          <w:lang w:eastAsia="en-AU"/>
        </w:rPr>
        <w:t xml:space="preserve">The provision for </w:t>
      </w:r>
      <w:r>
        <w:rPr>
          <w:lang w:eastAsia="en-AU"/>
        </w:rPr>
        <w:t>r</w:t>
      </w:r>
      <w:r w:rsidRPr="000C11CB">
        <w:rPr>
          <w:lang w:eastAsia="en-AU"/>
        </w:rPr>
        <w:t xml:space="preserve">eporters to select </w:t>
      </w:r>
      <w:r>
        <w:rPr>
          <w:lang w:eastAsia="en-AU"/>
        </w:rPr>
        <w:t>m</w:t>
      </w:r>
      <w:r w:rsidRPr="000C11CB">
        <w:rPr>
          <w:lang w:eastAsia="en-AU"/>
        </w:rPr>
        <w:t xml:space="preserve">ethods for the estimation of emissions also allows </w:t>
      </w:r>
      <w:r>
        <w:rPr>
          <w:lang w:eastAsia="en-AU"/>
        </w:rPr>
        <w:t>r</w:t>
      </w:r>
      <w:r w:rsidRPr="000C11CB">
        <w:rPr>
          <w:lang w:eastAsia="en-AU"/>
        </w:rPr>
        <w:t xml:space="preserve">eporters to make their own judgements to balance the costs of using the higher methods with the benefits of potentially </w:t>
      </w:r>
      <w:r>
        <w:rPr>
          <w:lang w:eastAsia="en-AU"/>
        </w:rPr>
        <w:t>more accurate</w:t>
      </w:r>
      <w:r w:rsidRPr="000C11CB">
        <w:rPr>
          <w:lang w:eastAsia="en-AU"/>
        </w:rPr>
        <w:t xml:space="preserve"> emission estimates.  </w:t>
      </w:r>
    </w:p>
    <w:p w14:paraId="04789B66" w14:textId="70EC2284" w:rsidR="003404D8" w:rsidRPr="000C11CB" w:rsidRDefault="003404D8" w:rsidP="003404D8">
      <w:pPr>
        <w:rPr>
          <w:lang w:eastAsia="en-AU"/>
        </w:rPr>
      </w:pPr>
      <w:r w:rsidRPr="000C11CB">
        <w:rPr>
          <w:lang w:eastAsia="en-AU"/>
        </w:rPr>
        <w:lastRenderedPageBreak/>
        <w:t xml:space="preserve">It is intended that the </w:t>
      </w:r>
      <w:r>
        <w:rPr>
          <w:lang w:eastAsia="en-AU"/>
        </w:rPr>
        <w:t>r</w:t>
      </w:r>
      <w:r w:rsidRPr="000C11CB">
        <w:rPr>
          <w:lang w:eastAsia="en-AU"/>
        </w:rPr>
        <w:t xml:space="preserve">eporter </w:t>
      </w:r>
      <w:r>
        <w:rPr>
          <w:lang w:eastAsia="en-AU"/>
        </w:rPr>
        <w:t xml:space="preserve">indicate the method used </w:t>
      </w:r>
      <w:r w:rsidRPr="000C11CB">
        <w:rPr>
          <w:lang w:eastAsia="en-AU"/>
        </w:rPr>
        <w:t xml:space="preserve">for </w:t>
      </w:r>
      <w:r>
        <w:rPr>
          <w:lang w:eastAsia="en-AU"/>
        </w:rPr>
        <w:t xml:space="preserve">reporting </w:t>
      </w:r>
      <w:r w:rsidRPr="000C11CB">
        <w:rPr>
          <w:lang w:eastAsia="en-AU"/>
        </w:rPr>
        <w:t xml:space="preserve">each source. For example, the </w:t>
      </w:r>
      <w:r>
        <w:rPr>
          <w:lang w:eastAsia="en-AU"/>
        </w:rPr>
        <w:t>r</w:t>
      </w:r>
      <w:r w:rsidRPr="000C11CB">
        <w:rPr>
          <w:lang w:eastAsia="en-AU"/>
        </w:rPr>
        <w:t xml:space="preserve">eporter </w:t>
      </w:r>
      <w:r w:rsidR="00381DFC">
        <w:rPr>
          <w:lang w:eastAsia="en-AU"/>
        </w:rPr>
        <w:t>can</w:t>
      </w:r>
      <w:r>
        <w:rPr>
          <w:lang w:eastAsia="en-AU"/>
        </w:rPr>
        <w:t xml:space="preserve"> apply</w:t>
      </w:r>
      <w:r w:rsidRPr="000C11CB">
        <w:rPr>
          <w:lang w:eastAsia="en-AU"/>
        </w:rPr>
        <w:t xml:space="preserve"> different methods for different fuels and different methods for individual gases. </w:t>
      </w:r>
      <w:r>
        <w:rPr>
          <w:lang w:eastAsia="en-AU"/>
        </w:rPr>
        <w:t xml:space="preserve">Where appropriate, the reporter </w:t>
      </w:r>
      <w:r w:rsidR="117FB5EE" w:rsidRPr="3944F9C2">
        <w:rPr>
          <w:lang w:eastAsia="en-AU"/>
        </w:rPr>
        <w:t>can</w:t>
      </w:r>
      <w:r w:rsidRPr="3944F9C2">
        <w:rPr>
          <w:lang w:eastAsia="en-AU"/>
        </w:rPr>
        <w:t xml:space="preserve"> </w:t>
      </w:r>
      <w:r>
        <w:rPr>
          <w:lang w:eastAsia="en-AU"/>
        </w:rPr>
        <w:t>use different methods to estimate emissions from ‘separate instances of a source’ (section 1.9A of the NGER Measurement Determination) and ‘separate occurrences of a source’ (section 1.9B of the NGER Measurement Determination). Not all methods are available for all sources or for all gases.</w:t>
      </w:r>
      <w:r w:rsidRPr="000C11CB">
        <w:rPr>
          <w:lang w:eastAsia="en-AU"/>
        </w:rPr>
        <w:t xml:space="preserve"> </w:t>
      </w:r>
      <w:r>
        <w:rPr>
          <w:lang w:eastAsia="en-AU"/>
        </w:rPr>
        <w:t>For example, f</w:t>
      </w:r>
      <w:r w:rsidRPr="000C11CB">
        <w:rPr>
          <w:lang w:eastAsia="en-AU"/>
        </w:rPr>
        <w:t xml:space="preserve">or solid fuels only </w:t>
      </w:r>
      <w:r w:rsidR="1CDD4D6E" w:rsidRPr="3944F9C2">
        <w:rPr>
          <w:lang w:eastAsia="en-AU"/>
        </w:rPr>
        <w:t>M</w:t>
      </w:r>
      <w:r w:rsidRPr="000C11CB">
        <w:rPr>
          <w:lang w:eastAsia="en-AU"/>
        </w:rPr>
        <w:t xml:space="preserve">ethod 1 </w:t>
      </w:r>
      <w:r>
        <w:rPr>
          <w:lang w:eastAsia="en-AU"/>
        </w:rPr>
        <w:t>is available</w:t>
      </w:r>
      <w:r w:rsidRPr="000C11CB">
        <w:rPr>
          <w:lang w:eastAsia="en-AU"/>
        </w:rPr>
        <w:t xml:space="preserve"> for methane and nitrous oxide, reflecting the minor nature of the emission sources, whereas </w:t>
      </w:r>
      <w:r w:rsidR="00381DFC">
        <w:rPr>
          <w:lang w:eastAsia="en-AU"/>
        </w:rPr>
        <w:t>4</w:t>
      </w:r>
      <w:r w:rsidR="00381DFC" w:rsidRPr="000C11CB">
        <w:rPr>
          <w:lang w:eastAsia="en-AU"/>
        </w:rPr>
        <w:t xml:space="preserve"> </w:t>
      </w:r>
      <w:r w:rsidRPr="000C11CB">
        <w:rPr>
          <w:lang w:eastAsia="en-AU"/>
        </w:rPr>
        <w:t xml:space="preserve">methods are available for carbon dioxide. </w:t>
      </w:r>
    </w:p>
    <w:p w14:paraId="21EE51D4" w14:textId="77777777" w:rsidR="003404D8" w:rsidRPr="000C11CB" w:rsidRDefault="003404D8" w:rsidP="00E56C14">
      <w:pPr>
        <w:pStyle w:val="Heading2"/>
        <w:numPr>
          <w:ilvl w:val="1"/>
          <w:numId w:val="4"/>
        </w:numPr>
        <w:ind w:left="720" w:hanging="720"/>
        <w:rPr>
          <w:lang w:eastAsia="en-AU"/>
        </w:rPr>
      </w:pPr>
      <w:bookmarkStart w:id="30" w:name="_Toc76042521"/>
      <w:bookmarkStart w:id="31" w:name="_Method_1"/>
      <w:bookmarkStart w:id="32" w:name="_Toc76042522"/>
      <w:bookmarkStart w:id="33" w:name="_Toc205547703"/>
      <w:bookmarkEnd w:id="30"/>
      <w:bookmarkEnd w:id="31"/>
      <w:r w:rsidRPr="000C11CB">
        <w:rPr>
          <w:lang w:eastAsia="en-AU"/>
        </w:rPr>
        <w:t>Method 1</w:t>
      </w:r>
      <w:bookmarkEnd w:id="32"/>
      <w:bookmarkEnd w:id="33"/>
    </w:p>
    <w:p w14:paraId="4EC5E737" w14:textId="1216C640" w:rsidR="003404D8" w:rsidRDefault="003404D8" w:rsidP="00A10FAA">
      <w:pPr>
        <w:spacing w:before="240"/>
        <w:rPr>
          <w:lang w:eastAsia="en-AU"/>
        </w:rPr>
      </w:pPr>
      <w:r w:rsidRPr="000C11CB">
        <w:rPr>
          <w:lang w:eastAsia="en-AU"/>
        </w:rPr>
        <w:t>Method 1</w:t>
      </w:r>
      <w:r>
        <w:rPr>
          <w:lang w:eastAsia="en-AU"/>
        </w:rPr>
        <w:t xml:space="preserve"> within the NGER </w:t>
      </w:r>
      <w:r w:rsidR="00135B06">
        <w:rPr>
          <w:lang w:eastAsia="en-AU"/>
        </w:rPr>
        <w:t>Scheme</w:t>
      </w:r>
      <w:r w:rsidR="00A33D77">
        <w:rPr>
          <w:lang w:eastAsia="en-AU"/>
        </w:rPr>
        <w:t xml:space="preserve"> </w:t>
      </w:r>
      <w:r>
        <w:rPr>
          <w:lang w:eastAsia="en-AU"/>
        </w:rPr>
        <w:t xml:space="preserve">is the </w:t>
      </w:r>
      <w:r w:rsidRPr="009C6FF4">
        <w:rPr>
          <w:lang w:eastAsia="en-AU"/>
        </w:rPr>
        <w:t xml:space="preserve">default method for determining </w:t>
      </w:r>
      <w:r>
        <w:rPr>
          <w:lang w:eastAsia="en-AU"/>
        </w:rPr>
        <w:t>emissions, and it:</w:t>
      </w:r>
    </w:p>
    <w:p w14:paraId="19440179" w14:textId="31E84139" w:rsidR="003404D8" w:rsidRPr="000C11CB" w:rsidRDefault="003404D8" w:rsidP="003404D8">
      <w:pPr>
        <w:pStyle w:val="CERbullets"/>
        <w:rPr>
          <w:lang w:eastAsia="en-AU"/>
        </w:rPr>
      </w:pPr>
      <w:r>
        <w:rPr>
          <w:lang w:eastAsia="en-AU"/>
        </w:rPr>
        <w:t>P</w:t>
      </w:r>
      <w:r w:rsidRPr="000C11CB">
        <w:rPr>
          <w:lang w:eastAsia="en-AU"/>
        </w:rPr>
        <w:t>rovides estimation procedures derived directly from the methodologies used by the Department of</w:t>
      </w:r>
      <w:r>
        <w:rPr>
          <w:lang w:eastAsia="en-AU"/>
        </w:rPr>
        <w:t xml:space="preserve"> Climate Change, Energy, the Environment and Water</w:t>
      </w:r>
      <w:r w:rsidRPr="000C11CB">
        <w:rPr>
          <w:lang w:eastAsia="en-AU"/>
        </w:rPr>
        <w:t xml:space="preserve"> for the preparation of </w:t>
      </w:r>
      <w:r>
        <w:rPr>
          <w:lang w:eastAsia="en-AU"/>
        </w:rPr>
        <w:t>Australia’s</w:t>
      </w:r>
      <w:r w:rsidRPr="000C11CB">
        <w:rPr>
          <w:lang w:eastAsia="en-AU"/>
        </w:rPr>
        <w:t xml:space="preserve"> </w:t>
      </w:r>
      <w:r w:rsidRPr="0047252D">
        <w:rPr>
          <w:lang w:eastAsia="en-AU"/>
        </w:rPr>
        <w:t>National Greenhouse Accounts</w:t>
      </w:r>
      <w:r w:rsidRPr="00852FFF">
        <w:rPr>
          <w:lang w:eastAsia="en-AU"/>
        </w:rPr>
        <w:t>.</w:t>
      </w:r>
      <w:r w:rsidRPr="000C11CB">
        <w:rPr>
          <w:lang w:eastAsia="en-AU"/>
        </w:rPr>
        <w:t xml:space="preserve"> The use of methodologies from the </w:t>
      </w:r>
      <w:r w:rsidRPr="0047252D">
        <w:rPr>
          <w:lang w:eastAsia="en-AU"/>
        </w:rPr>
        <w:t>National Greenhouse Accounts</w:t>
      </w:r>
      <w:r w:rsidRPr="00E9224E">
        <w:rPr>
          <w:i/>
          <w:lang w:eastAsia="en-AU"/>
        </w:rPr>
        <w:t xml:space="preserve"> </w:t>
      </w:r>
      <w:r w:rsidRPr="000C11CB">
        <w:rPr>
          <w:lang w:eastAsia="en-AU"/>
        </w:rPr>
        <w:t xml:space="preserve">anchors </w:t>
      </w:r>
      <w:r w:rsidR="7E8E9FF4" w:rsidRPr="0CBF3C1E">
        <w:rPr>
          <w:lang w:eastAsia="en-AU"/>
        </w:rPr>
        <w:t>M</w:t>
      </w:r>
      <w:r w:rsidRPr="000C11CB">
        <w:rPr>
          <w:lang w:eastAsia="en-AU"/>
        </w:rPr>
        <w:t xml:space="preserve">ethod 1 within the international guidelines adopted by the </w:t>
      </w:r>
      <w:r w:rsidRPr="00451C66">
        <w:rPr>
          <w:lang w:eastAsia="en-AU"/>
        </w:rPr>
        <w:t xml:space="preserve">United Nations Framework Convention on Climate Change </w:t>
      </w:r>
      <w:r>
        <w:rPr>
          <w:lang w:eastAsia="en-AU"/>
        </w:rPr>
        <w:t>(</w:t>
      </w:r>
      <w:r w:rsidRPr="000C11CB">
        <w:rPr>
          <w:lang w:eastAsia="en-AU"/>
        </w:rPr>
        <w:t>UNFCCC</w:t>
      </w:r>
      <w:r>
        <w:rPr>
          <w:lang w:eastAsia="en-AU"/>
        </w:rPr>
        <w:t>)</w:t>
      </w:r>
      <w:r w:rsidRPr="000C11CB">
        <w:rPr>
          <w:lang w:eastAsia="en-AU"/>
        </w:rPr>
        <w:t xml:space="preserve"> for the estimation of greenhouse emissions.</w:t>
      </w:r>
    </w:p>
    <w:p w14:paraId="60F94649" w14:textId="69E77C6D" w:rsidR="003404D8" w:rsidRPr="000C11CB" w:rsidRDefault="003404D8" w:rsidP="003404D8">
      <w:pPr>
        <w:pStyle w:val="CERbullets"/>
        <w:rPr>
          <w:lang w:eastAsia="en-AU"/>
        </w:rPr>
      </w:pPr>
      <w:r>
        <w:rPr>
          <w:lang w:eastAsia="en-AU"/>
        </w:rPr>
        <w:t>S</w:t>
      </w:r>
      <w:r w:rsidRPr="000C11CB">
        <w:rPr>
          <w:lang w:eastAsia="en-AU"/>
        </w:rPr>
        <w:t xml:space="preserve">pecifies the use of </w:t>
      </w:r>
      <w:r>
        <w:rPr>
          <w:lang w:eastAsia="en-AU"/>
        </w:rPr>
        <w:t>default</w:t>
      </w:r>
      <w:r w:rsidRPr="000C11CB">
        <w:rPr>
          <w:lang w:eastAsia="en-AU"/>
        </w:rPr>
        <w:t xml:space="preserve"> emission factors in the estimation of emissions. These emission factors are national average factors determined by the Department of </w:t>
      </w:r>
      <w:r>
        <w:rPr>
          <w:lang w:eastAsia="en-AU"/>
        </w:rPr>
        <w:t xml:space="preserve">Climate Change, Energy, the Environment and Water </w:t>
      </w:r>
      <w:r w:rsidRPr="000C11CB">
        <w:rPr>
          <w:lang w:eastAsia="en-AU"/>
        </w:rPr>
        <w:t>using the Australian Greenhouse Emissions Information System (AGEIS).</w:t>
      </w:r>
    </w:p>
    <w:p w14:paraId="560A5BB9" w14:textId="77777777" w:rsidR="003404D8" w:rsidRPr="000C11CB" w:rsidRDefault="003404D8" w:rsidP="003404D8">
      <w:pPr>
        <w:pStyle w:val="CERbullets"/>
        <w:rPr>
          <w:lang w:eastAsia="en-AU"/>
        </w:rPr>
      </w:pPr>
      <w:r>
        <w:rPr>
          <w:lang w:eastAsia="en-AU"/>
        </w:rPr>
        <w:t>I</w:t>
      </w:r>
      <w:r w:rsidRPr="000C11CB">
        <w:rPr>
          <w:lang w:eastAsia="en-AU"/>
        </w:rPr>
        <w:t>s likely to be most useful for emission sources where the source is relatively homogenous, such as from the combustion of standard liquid fossil fuels</w:t>
      </w:r>
      <w:r>
        <w:rPr>
          <w:lang w:eastAsia="en-AU"/>
        </w:rPr>
        <w:t xml:space="preserve"> and </w:t>
      </w:r>
      <w:r w:rsidRPr="000C11CB">
        <w:rPr>
          <w:lang w:eastAsia="en-AU"/>
        </w:rPr>
        <w:t xml:space="preserve">where the emissions resulting from combustion will be very similar across most facilities.  </w:t>
      </w:r>
    </w:p>
    <w:p w14:paraId="666DB60D" w14:textId="77777777" w:rsidR="003404D8" w:rsidRPr="000C11CB" w:rsidRDefault="003404D8" w:rsidP="005D6C54">
      <w:pPr>
        <w:pStyle w:val="Heading2"/>
        <w:numPr>
          <w:ilvl w:val="1"/>
          <w:numId w:val="4"/>
        </w:numPr>
        <w:ind w:left="720" w:hanging="720"/>
        <w:rPr>
          <w:lang w:eastAsia="en-AU"/>
        </w:rPr>
      </w:pPr>
      <w:bookmarkStart w:id="34" w:name="_Toc43481977"/>
      <w:bookmarkStart w:id="35" w:name="_Toc43482131"/>
      <w:bookmarkStart w:id="36" w:name="_Toc43482155"/>
      <w:bookmarkStart w:id="37" w:name="_Toc43796809"/>
      <w:bookmarkStart w:id="38" w:name="_Toc76042523"/>
      <w:bookmarkStart w:id="39" w:name="_Toc205547704"/>
      <w:bookmarkEnd w:id="34"/>
      <w:bookmarkEnd w:id="35"/>
      <w:bookmarkEnd w:id="36"/>
      <w:bookmarkEnd w:id="37"/>
      <w:r>
        <w:rPr>
          <w:lang w:eastAsia="en-AU"/>
        </w:rPr>
        <w:t>M</w:t>
      </w:r>
      <w:r w:rsidRPr="000C11CB">
        <w:rPr>
          <w:lang w:eastAsia="en-AU"/>
        </w:rPr>
        <w:t>ethod 2</w:t>
      </w:r>
      <w:bookmarkEnd w:id="38"/>
      <w:bookmarkEnd w:id="39"/>
    </w:p>
    <w:p w14:paraId="19EDF581" w14:textId="77777777" w:rsidR="003404D8" w:rsidRDefault="003404D8" w:rsidP="005D6C54">
      <w:pPr>
        <w:spacing w:before="240"/>
        <w:rPr>
          <w:lang w:eastAsia="en-AU"/>
        </w:rPr>
      </w:pPr>
      <w:r>
        <w:rPr>
          <w:lang w:eastAsia="en-AU"/>
        </w:rPr>
        <w:t>Method 2 employs</w:t>
      </w:r>
      <w:r w:rsidRPr="00E9224E">
        <w:rPr>
          <w:lang w:eastAsia="en-AU"/>
        </w:rPr>
        <w:t xml:space="preserve"> </w:t>
      </w:r>
      <w:r>
        <w:rPr>
          <w:lang w:eastAsia="en-AU"/>
        </w:rPr>
        <w:t>i</w:t>
      </w:r>
      <w:r w:rsidRPr="00E9224E">
        <w:rPr>
          <w:lang w:eastAsia="en-AU"/>
        </w:rPr>
        <w:t>ndustry</w:t>
      </w:r>
      <w:r>
        <w:rPr>
          <w:lang w:eastAsia="en-AU"/>
        </w:rPr>
        <w:t>-</w:t>
      </w:r>
      <w:r w:rsidRPr="00E9224E">
        <w:rPr>
          <w:lang w:eastAsia="en-AU"/>
        </w:rPr>
        <w:t xml:space="preserve">based sampling and </w:t>
      </w:r>
      <w:r>
        <w:rPr>
          <w:lang w:eastAsia="en-AU"/>
        </w:rPr>
        <w:t>applies</w:t>
      </w:r>
      <w:r w:rsidRPr="00E9224E">
        <w:rPr>
          <w:lang w:eastAsia="en-AU"/>
        </w:rPr>
        <w:t xml:space="preserve"> Australian or international standards</w:t>
      </w:r>
      <w:r>
        <w:rPr>
          <w:lang w:eastAsia="en-AU"/>
        </w:rPr>
        <w:t>,</w:t>
      </w:r>
      <w:r w:rsidRPr="00E9224E">
        <w:rPr>
          <w:lang w:eastAsia="en-AU"/>
        </w:rPr>
        <w:t xml:space="preserve"> or their equivalent</w:t>
      </w:r>
      <w:r>
        <w:rPr>
          <w:lang w:eastAsia="en-AU"/>
        </w:rPr>
        <w:t>,</w:t>
      </w:r>
      <w:r w:rsidRPr="00E9224E">
        <w:rPr>
          <w:lang w:eastAsia="en-AU"/>
        </w:rPr>
        <w:t xml:space="preserve"> </w:t>
      </w:r>
      <w:r>
        <w:rPr>
          <w:lang w:eastAsia="en-AU"/>
        </w:rPr>
        <w:t>to</w:t>
      </w:r>
      <w:r w:rsidRPr="00E9224E">
        <w:rPr>
          <w:lang w:eastAsia="en-AU"/>
        </w:rPr>
        <w:t xml:space="preserve"> analysis of fuels and raw materials</w:t>
      </w:r>
      <w:r>
        <w:rPr>
          <w:lang w:eastAsia="en-AU"/>
        </w:rPr>
        <w:t>. Method 2:</w:t>
      </w:r>
    </w:p>
    <w:p w14:paraId="58F0151A" w14:textId="2EE47906" w:rsidR="003404D8" w:rsidRPr="000C11CB" w:rsidRDefault="003404D8" w:rsidP="003404D8">
      <w:pPr>
        <w:pStyle w:val="CERbullets"/>
        <w:rPr>
          <w:lang w:eastAsia="en-AU"/>
        </w:rPr>
      </w:pPr>
      <w:r>
        <w:rPr>
          <w:lang w:eastAsia="en-AU"/>
        </w:rPr>
        <w:t>E</w:t>
      </w:r>
      <w:r w:rsidRPr="000C11CB">
        <w:rPr>
          <w:lang w:eastAsia="en-AU"/>
        </w:rPr>
        <w:t>nables corporations to undertake additional measurements</w:t>
      </w:r>
      <w:r>
        <w:rPr>
          <w:lang w:eastAsia="en-AU"/>
        </w:rPr>
        <w:t>,</w:t>
      </w:r>
      <w:r w:rsidRPr="000C11CB">
        <w:rPr>
          <w:lang w:eastAsia="en-AU"/>
        </w:rPr>
        <w:t xml:space="preserve"> for example</w:t>
      </w:r>
      <w:r>
        <w:rPr>
          <w:lang w:eastAsia="en-AU"/>
        </w:rPr>
        <w:t>,</w:t>
      </w:r>
      <w:r w:rsidRPr="000C11CB">
        <w:rPr>
          <w:lang w:eastAsia="en-AU"/>
        </w:rPr>
        <w:t xml:space="preserve"> the qualities of fuels consumed at a facility</w:t>
      </w:r>
      <w:r>
        <w:rPr>
          <w:lang w:eastAsia="en-AU"/>
        </w:rPr>
        <w:t>,</w:t>
      </w:r>
      <w:r w:rsidRPr="000C11CB">
        <w:rPr>
          <w:lang w:eastAsia="en-AU"/>
        </w:rPr>
        <w:t xml:space="preserve"> </w:t>
      </w:r>
      <w:r w:rsidR="20914904" w:rsidRPr="3944F9C2">
        <w:rPr>
          <w:lang w:eastAsia="en-AU"/>
        </w:rPr>
        <w:t>to</w:t>
      </w:r>
      <w:r w:rsidRPr="3944F9C2">
        <w:rPr>
          <w:lang w:eastAsia="en-AU"/>
        </w:rPr>
        <w:t xml:space="preserve"> </w:t>
      </w:r>
      <w:r w:rsidRPr="000C11CB">
        <w:rPr>
          <w:lang w:eastAsia="en-AU"/>
        </w:rPr>
        <w:t xml:space="preserve">gain more accurate estimates for emissions for </w:t>
      </w:r>
      <w:r>
        <w:rPr>
          <w:lang w:eastAsia="en-AU"/>
        </w:rPr>
        <w:t>a</w:t>
      </w:r>
      <w:r w:rsidRPr="000C11CB">
        <w:rPr>
          <w:lang w:eastAsia="en-AU"/>
        </w:rPr>
        <w:t xml:space="preserve"> particular facility.  </w:t>
      </w:r>
    </w:p>
    <w:p w14:paraId="0D666BFA" w14:textId="77777777" w:rsidR="003404D8" w:rsidRPr="000C11CB" w:rsidRDefault="003404D8" w:rsidP="003404D8">
      <w:pPr>
        <w:pStyle w:val="CERbullets"/>
        <w:rPr>
          <w:lang w:eastAsia="en-AU"/>
        </w:rPr>
      </w:pPr>
      <w:r>
        <w:rPr>
          <w:lang w:eastAsia="en-AU"/>
        </w:rPr>
        <w:t>D</w:t>
      </w:r>
      <w:r w:rsidRPr="000C11CB">
        <w:rPr>
          <w:lang w:eastAsia="en-AU"/>
        </w:rPr>
        <w:t>raws on the large body of Australian and international documentary standards prepared by standards organisations to provide the benchmarks for procedures for the analysis of, typically, the critical chemical properties of the fuels being combusted.</w:t>
      </w:r>
    </w:p>
    <w:p w14:paraId="2D490E05" w14:textId="77777777" w:rsidR="003404D8" w:rsidRPr="000C11CB" w:rsidRDefault="003404D8" w:rsidP="003404D8">
      <w:pPr>
        <w:pStyle w:val="CERbullets"/>
        <w:rPr>
          <w:lang w:eastAsia="en-AU"/>
        </w:rPr>
      </w:pPr>
      <w:r>
        <w:rPr>
          <w:lang w:eastAsia="en-AU"/>
        </w:rPr>
        <w:t>I</w:t>
      </w:r>
      <w:r w:rsidRPr="000C11CB">
        <w:rPr>
          <w:lang w:eastAsia="en-AU"/>
        </w:rPr>
        <w:t>s likely to be most useful for fuels which exhibit some variability in key qualities, such as carbon content, from source to source. This is the case for coal in Australia.</w:t>
      </w:r>
    </w:p>
    <w:p w14:paraId="66AB9222" w14:textId="77777777" w:rsidR="003404D8" w:rsidRPr="000C11CB" w:rsidRDefault="003404D8" w:rsidP="003404D8">
      <w:pPr>
        <w:pStyle w:val="CERbullets"/>
        <w:rPr>
          <w:lang w:eastAsia="en-AU"/>
        </w:rPr>
      </w:pPr>
      <w:r>
        <w:rPr>
          <w:lang w:eastAsia="en-AU"/>
        </w:rPr>
        <w:t>I</w:t>
      </w:r>
      <w:r w:rsidRPr="000C11CB">
        <w:rPr>
          <w:lang w:eastAsia="en-AU"/>
        </w:rPr>
        <w:t xml:space="preserve">s based on technical guidelines that were used by reporters under the Generator Efficiency Standards program. The </w:t>
      </w:r>
      <w:r>
        <w:rPr>
          <w:lang w:eastAsia="en-AU"/>
        </w:rPr>
        <w:t>option</w:t>
      </w:r>
      <w:r w:rsidRPr="000C11CB">
        <w:rPr>
          <w:lang w:eastAsia="en-AU"/>
        </w:rPr>
        <w:t xml:space="preserve"> to report using this higher order approach is extended by the </w:t>
      </w:r>
      <w:r>
        <w:rPr>
          <w:lang w:eastAsia="en-AU"/>
        </w:rPr>
        <w:t xml:space="preserve">NGER Measurement </w:t>
      </w:r>
      <w:r w:rsidRPr="000C11CB">
        <w:rPr>
          <w:lang w:eastAsia="en-AU"/>
        </w:rPr>
        <w:t>Determination from the electricity industry to all major consumers of fossil fuels.</w:t>
      </w:r>
    </w:p>
    <w:p w14:paraId="5F1204A8" w14:textId="77777777" w:rsidR="003404D8" w:rsidRPr="00FE3563" w:rsidRDefault="003404D8" w:rsidP="005D6C54">
      <w:pPr>
        <w:pStyle w:val="Heading2"/>
        <w:numPr>
          <w:ilvl w:val="1"/>
          <w:numId w:val="4"/>
        </w:numPr>
        <w:ind w:left="720" w:hanging="720"/>
      </w:pPr>
      <w:bookmarkStart w:id="40" w:name="_Toc76042524"/>
      <w:bookmarkStart w:id="41" w:name="_Toc205547705"/>
      <w:r w:rsidRPr="00FE3563">
        <w:t>Method 3</w:t>
      </w:r>
      <w:bookmarkEnd w:id="40"/>
      <w:bookmarkEnd w:id="41"/>
    </w:p>
    <w:p w14:paraId="514986DC" w14:textId="429DDA09" w:rsidR="003404D8" w:rsidRDefault="003404D8" w:rsidP="005D6C54">
      <w:pPr>
        <w:spacing w:before="240"/>
        <w:rPr>
          <w:lang w:eastAsia="en-AU"/>
        </w:rPr>
      </w:pPr>
      <w:r w:rsidRPr="000C11CB">
        <w:rPr>
          <w:lang w:eastAsia="en-AU"/>
        </w:rPr>
        <w:t>Method 3</w:t>
      </w:r>
      <w:r>
        <w:rPr>
          <w:lang w:eastAsia="en-AU"/>
        </w:rPr>
        <w:t xml:space="preserve"> requires</w:t>
      </w:r>
      <w:r w:rsidRPr="00E9224E">
        <w:t xml:space="preserve"> </w:t>
      </w:r>
      <w:r>
        <w:t xml:space="preserve">sampling and analysis based on </w:t>
      </w:r>
      <w:r w:rsidRPr="00FE3563">
        <w:t xml:space="preserve">Australian or international standards or </w:t>
      </w:r>
      <w:r>
        <w:t xml:space="preserve">their </w:t>
      </w:r>
      <w:r w:rsidRPr="00FE3563">
        <w:t xml:space="preserve">equivalent standards </w:t>
      </w:r>
      <w:r>
        <w:t xml:space="preserve">for </w:t>
      </w:r>
      <w:r w:rsidRPr="00FE3563">
        <w:t>fuels and raw materials</w:t>
      </w:r>
      <w:r>
        <w:t xml:space="preserve">. These methods </w:t>
      </w:r>
      <w:r>
        <w:rPr>
          <w:lang w:eastAsia="en-AU"/>
        </w:rPr>
        <w:t>are</w:t>
      </w:r>
      <w:r w:rsidRPr="000C11CB">
        <w:rPr>
          <w:lang w:eastAsia="en-AU"/>
        </w:rPr>
        <w:t xml:space="preserve"> very similar to </w:t>
      </w:r>
      <w:r w:rsidR="5E6189D2" w:rsidRPr="0CBF3C1E">
        <w:rPr>
          <w:lang w:eastAsia="en-AU"/>
        </w:rPr>
        <w:t>M</w:t>
      </w:r>
      <w:r w:rsidRPr="000C11CB">
        <w:rPr>
          <w:lang w:eastAsia="en-AU"/>
        </w:rPr>
        <w:t xml:space="preserve">ethod 2, except that </w:t>
      </w:r>
      <w:r>
        <w:rPr>
          <w:lang w:eastAsia="en-AU"/>
        </w:rPr>
        <w:t>they</w:t>
      </w:r>
      <w:r w:rsidRPr="000C11CB">
        <w:rPr>
          <w:lang w:eastAsia="en-AU"/>
        </w:rPr>
        <w:t xml:space="preserve"> require</w:t>
      </w:r>
      <w:r>
        <w:rPr>
          <w:lang w:eastAsia="en-AU"/>
        </w:rPr>
        <w:t xml:space="preserve"> r</w:t>
      </w:r>
      <w:r w:rsidRPr="000C11CB">
        <w:rPr>
          <w:lang w:eastAsia="en-AU"/>
        </w:rPr>
        <w:t>eporters to comply with Australian or international documentary standards for sampling (of fuels or raw materials) or equivalent as well as for the analysis of fuels.</w:t>
      </w:r>
    </w:p>
    <w:p w14:paraId="0CC779FF" w14:textId="3CC272AC" w:rsidR="003404D8" w:rsidRPr="000C11CB" w:rsidRDefault="003404D8" w:rsidP="003404D8">
      <w:pPr>
        <w:rPr>
          <w:lang w:eastAsia="en-AU"/>
        </w:rPr>
      </w:pPr>
      <w:r>
        <w:rPr>
          <w:lang w:eastAsia="en-AU"/>
        </w:rPr>
        <w:lastRenderedPageBreak/>
        <w:t>T</w:t>
      </w:r>
      <w:r w:rsidRPr="000C11CB">
        <w:rPr>
          <w:lang w:eastAsia="en-AU"/>
        </w:rPr>
        <w:t xml:space="preserve">here is a substantial body of documented procedures on monitoring practices and state and territory government regulatory experience that provide the principal sources of guidance for the establishment of </w:t>
      </w:r>
      <w:r w:rsidR="5AEB5FD5" w:rsidRPr="0CBF3C1E">
        <w:rPr>
          <w:lang w:eastAsia="en-AU"/>
        </w:rPr>
        <w:t>M</w:t>
      </w:r>
      <w:r>
        <w:rPr>
          <w:lang w:eastAsia="en-AU"/>
        </w:rPr>
        <w:t>ethods 2 and 3</w:t>
      </w:r>
      <w:r w:rsidRPr="000C11CB">
        <w:rPr>
          <w:lang w:eastAsia="en-AU"/>
        </w:rPr>
        <w:t>.</w:t>
      </w:r>
    </w:p>
    <w:p w14:paraId="1E19FA67" w14:textId="3824B03F" w:rsidR="003404D8" w:rsidRDefault="003404D8" w:rsidP="005D6C54">
      <w:pPr>
        <w:pStyle w:val="Heading2"/>
        <w:numPr>
          <w:ilvl w:val="1"/>
          <w:numId w:val="4"/>
        </w:numPr>
        <w:rPr>
          <w:lang w:eastAsia="en-AU"/>
        </w:rPr>
      </w:pPr>
      <w:bookmarkStart w:id="42" w:name="_Toc76042525"/>
      <w:bookmarkStart w:id="43" w:name="_Toc205547706"/>
      <w:r w:rsidRPr="000C11CB">
        <w:rPr>
          <w:lang w:eastAsia="en-AU"/>
        </w:rPr>
        <w:t>Method 4</w:t>
      </w:r>
      <w:bookmarkEnd w:id="42"/>
      <w:bookmarkEnd w:id="43"/>
    </w:p>
    <w:p w14:paraId="65A7F2CB" w14:textId="02C87A13" w:rsidR="003404D8" w:rsidRDefault="003404D8" w:rsidP="006E18BC">
      <w:pPr>
        <w:spacing w:before="240"/>
        <w:rPr>
          <w:lang w:eastAsia="en-AU"/>
        </w:rPr>
      </w:pPr>
      <w:r w:rsidRPr="000C11CB">
        <w:rPr>
          <w:lang w:eastAsia="en-AU"/>
        </w:rPr>
        <w:t>Rather than analysing the chemical properties of inputs (or in some case</w:t>
      </w:r>
      <w:r>
        <w:rPr>
          <w:lang w:eastAsia="en-AU"/>
        </w:rPr>
        <w:t>s</w:t>
      </w:r>
      <w:r w:rsidRPr="000C11CB">
        <w:rPr>
          <w:lang w:eastAsia="en-AU"/>
        </w:rPr>
        <w:t xml:space="preserve">, products), </w:t>
      </w:r>
      <w:r w:rsidR="6B3FE9ED" w:rsidRPr="0CBF3C1E">
        <w:rPr>
          <w:lang w:eastAsia="en-AU"/>
        </w:rPr>
        <w:t>M</w:t>
      </w:r>
      <w:r w:rsidRPr="000C11CB">
        <w:rPr>
          <w:lang w:eastAsia="en-AU"/>
        </w:rPr>
        <w:t>ethod</w:t>
      </w:r>
      <w:r>
        <w:rPr>
          <w:lang w:eastAsia="en-AU"/>
        </w:rPr>
        <w:t xml:space="preserve"> </w:t>
      </w:r>
      <w:r w:rsidRPr="000C11CB">
        <w:rPr>
          <w:lang w:eastAsia="en-AU"/>
        </w:rPr>
        <w:t xml:space="preserve">4 provides approaches </w:t>
      </w:r>
      <w:r>
        <w:rPr>
          <w:lang w:eastAsia="en-AU"/>
        </w:rPr>
        <w:t>based on</w:t>
      </w:r>
      <w:r w:rsidRPr="000C11CB">
        <w:rPr>
          <w:lang w:eastAsia="en-AU"/>
        </w:rPr>
        <w:t xml:space="preserve"> direct monitoring of greenhouse gas emissions arising from an activity. This </w:t>
      </w:r>
      <w:r>
        <w:rPr>
          <w:lang w:eastAsia="en-AU"/>
        </w:rPr>
        <w:t xml:space="preserve">approach </w:t>
      </w:r>
      <w:r w:rsidRPr="000C11CB">
        <w:rPr>
          <w:lang w:eastAsia="en-AU"/>
        </w:rPr>
        <w:t>can provide a higher level of accuracy</w:t>
      </w:r>
      <w:r>
        <w:rPr>
          <w:lang w:eastAsia="en-AU"/>
        </w:rPr>
        <w:t xml:space="preserve"> compared to </w:t>
      </w:r>
      <w:r w:rsidR="11EB4B4E" w:rsidRPr="0CBF3C1E">
        <w:rPr>
          <w:lang w:eastAsia="en-AU"/>
        </w:rPr>
        <w:t>M</w:t>
      </w:r>
      <w:r>
        <w:rPr>
          <w:lang w:eastAsia="en-AU"/>
        </w:rPr>
        <w:t>ethods 1 to 3.</w:t>
      </w:r>
      <w:r w:rsidRPr="000C11CB">
        <w:rPr>
          <w:lang w:eastAsia="en-AU"/>
        </w:rPr>
        <w:t xml:space="preserve"> </w:t>
      </w:r>
      <w:r>
        <w:rPr>
          <w:lang w:eastAsia="en-AU"/>
        </w:rPr>
        <w:t>A</w:t>
      </w:r>
      <w:r w:rsidRPr="000C11CB">
        <w:rPr>
          <w:lang w:eastAsia="en-AU"/>
        </w:rPr>
        <w:t xml:space="preserve">lthough it is more data intensive than other approaches. </w:t>
      </w:r>
      <w:r>
        <w:rPr>
          <w:lang w:eastAsia="en-AU"/>
        </w:rPr>
        <w:t>D</w:t>
      </w:r>
      <w:r w:rsidRPr="000C11CB">
        <w:rPr>
          <w:lang w:eastAsia="en-AU"/>
        </w:rPr>
        <w:t>irect monitoring already occurs, for example, in underground coal mines reflecting the nature of the emission process and the importance of relatively accurate data to support health and safety objectives.</w:t>
      </w:r>
    </w:p>
    <w:p w14:paraId="785AB26B" w14:textId="18035FFA" w:rsidR="009D0757" w:rsidRDefault="009D0757" w:rsidP="003404D8">
      <w:pPr>
        <w:rPr>
          <w:lang w:eastAsia="en-AU"/>
        </w:rPr>
      </w:pPr>
      <w:r w:rsidRPr="000C11CB">
        <w:rPr>
          <w:lang w:eastAsia="en-AU"/>
        </w:rPr>
        <w:t>Method 4</w:t>
      </w:r>
      <w:r>
        <w:rPr>
          <w:lang w:eastAsia="en-AU"/>
        </w:rPr>
        <w:t xml:space="preserve"> requires d</w:t>
      </w:r>
      <w:r w:rsidRPr="00E9224E">
        <w:rPr>
          <w:lang w:eastAsia="en-AU"/>
        </w:rPr>
        <w:t xml:space="preserve">irect monitoring of emission systems </w:t>
      </w:r>
      <w:r>
        <w:rPr>
          <w:lang w:eastAsia="en-AU"/>
        </w:rPr>
        <w:t>on either a continuous or a periodic basis</w:t>
      </w:r>
      <w:r w:rsidR="00C11D87">
        <w:rPr>
          <w:lang w:eastAsia="en-AU"/>
        </w:rPr>
        <w:t>:</w:t>
      </w:r>
    </w:p>
    <w:p w14:paraId="6F36411B" w14:textId="43A5EFD6" w:rsidR="00373131" w:rsidRDefault="0052427F" w:rsidP="00C11D87">
      <w:pPr>
        <w:pStyle w:val="ListParagraph"/>
        <w:numPr>
          <w:ilvl w:val="0"/>
          <w:numId w:val="13"/>
        </w:numPr>
        <w:rPr>
          <w:lang w:eastAsia="en-AU"/>
        </w:rPr>
      </w:pPr>
      <w:r>
        <w:rPr>
          <w:lang w:eastAsia="en-AU"/>
        </w:rPr>
        <w:t>Continuous Emissions Monitoring (</w:t>
      </w:r>
      <w:r w:rsidR="001B54A1">
        <w:rPr>
          <w:lang w:eastAsia="en-AU"/>
        </w:rPr>
        <w:t>CEM</w:t>
      </w:r>
      <w:r>
        <w:rPr>
          <w:lang w:eastAsia="en-AU"/>
        </w:rPr>
        <w:t>)</w:t>
      </w:r>
      <w:r w:rsidR="001B54A1">
        <w:rPr>
          <w:lang w:eastAsia="en-AU"/>
        </w:rPr>
        <w:t xml:space="preserve"> e</w:t>
      </w:r>
      <w:r w:rsidR="00C52BB4">
        <w:rPr>
          <w:lang w:eastAsia="en-AU"/>
        </w:rPr>
        <w:t>quipment must operat</w:t>
      </w:r>
      <w:r w:rsidR="00E81473">
        <w:rPr>
          <w:lang w:eastAsia="en-AU"/>
        </w:rPr>
        <w:t>e</w:t>
      </w:r>
      <w:r w:rsidR="00C52BB4">
        <w:rPr>
          <w:lang w:eastAsia="en-AU"/>
        </w:rPr>
        <w:t xml:space="preserve"> for more than 90% of the </w:t>
      </w:r>
      <w:r w:rsidR="006C3ECC">
        <w:rPr>
          <w:lang w:eastAsia="en-AU"/>
        </w:rPr>
        <w:t xml:space="preserve">period for which it is used </w:t>
      </w:r>
      <w:r w:rsidR="00C52BB4">
        <w:rPr>
          <w:lang w:eastAsia="en-AU"/>
        </w:rPr>
        <w:t xml:space="preserve">to </w:t>
      </w:r>
      <w:r w:rsidR="006C3ECC">
        <w:rPr>
          <w:lang w:eastAsia="en-AU"/>
        </w:rPr>
        <w:t>monitor an emission</w:t>
      </w:r>
      <w:r w:rsidR="00E57C04">
        <w:rPr>
          <w:lang w:eastAsia="en-AU"/>
        </w:rPr>
        <w:t>,</w:t>
      </w:r>
      <w:r w:rsidR="009C3605">
        <w:rPr>
          <w:lang w:eastAsia="en-AU"/>
        </w:rPr>
        <w:t xml:space="preserve"> as per subsection </w:t>
      </w:r>
      <w:r w:rsidR="009C3605" w:rsidRPr="00EC0EE1">
        <w:rPr>
          <w:lang w:eastAsia="en-AU"/>
        </w:rPr>
        <w:t>1.26(4) of the NGER Measurement Determination.</w:t>
      </w:r>
      <w:r w:rsidR="009C3605">
        <w:rPr>
          <w:lang w:eastAsia="en-AU"/>
        </w:rPr>
        <w:t xml:space="preserve"> This does not include downtime for </w:t>
      </w:r>
      <w:r w:rsidR="00E81473">
        <w:rPr>
          <w:lang w:eastAsia="en-AU"/>
        </w:rPr>
        <w:t>equipment calibration</w:t>
      </w:r>
      <w:r w:rsidR="00016C4D">
        <w:rPr>
          <w:lang w:eastAsia="en-AU"/>
        </w:rPr>
        <w:t>.</w:t>
      </w:r>
    </w:p>
    <w:p w14:paraId="36107642" w14:textId="2A3EA6E6" w:rsidR="006650EA" w:rsidRDefault="006772A6" w:rsidP="000D6D13">
      <w:pPr>
        <w:pStyle w:val="ListParagraph"/>
        <w:numPr>
          <w:ilvl w:val="0"/>
          <w:numId w:val="13"/>
        </w:numPr>
        <w:rPr>
          <w:lang w:eastAsia="en-AU"/>
        </w:rPr>
      </w:pPr>
      <w:r>
        <w:rPr>
          <w:lang w:eastAsia="en-AU"/>
        </w:rPr>
        <w:t xml:space="preserve">Periodic </w:t>
      </w:r>
      <w:r w:rsidR="007F079B">
        <w:rPr>
          <w:lang w:eastAsia="en-AU"/>
        </w:rPr>
        <w:t xml:space="preserve">Emissions Monitoring (PEM) </w:t>
      </w:r>
      <w:r w:rsidR="00325CB8">
        <w:rPr>
          <w:lang w:eastAsia="en-AU"/>
        </w:rPr>
        <w:t xml:space="preserve">equipment </w:t>
      </w:r>
      <w:r w:rsidR="00021768">
        <w:rPr>
          <w:lang w:eastAsia="en-AU"/>
        </w:rPr>
        <w:t xml:space="preserve">must comply with </w:t>
      </w:r>
      <w:r w:rsidR="00CF769D">
        <w:rPr>
          <w:lang w:eastAsia="en-AU"/>
        </w:rPr>
        <w:t xml:space="preserve">relevant </w:t>
      </w:r>
      <w:r w:rsidR="00150F9E">
        <w:rPr>
          <w:lang w:eastAsia="en-AU"/>
        </w:rPr>
        <w:t xml:space="preserve">standards and </w:t>
      </w:r>
      <w:r w:rsidR="0078480E">
        <w:rPr>
          <w:lang w:eastAsia="en-AU"/>
        </w:rPr>
        <w:t>produce data that is</w:t>
      </w:r>
      <w:r w:rsidR="00150F9E">
        <w:rPr>
          <w:lang w:eastAsia="en-AU"/>
        </w:rPr>
        <w:t xml:space="preserve"> re</w:t>
      </w:r>
      <w:r w:rsidR="00421EBB">
        <w:rPr>
          <w:lang w:eastAsia="en-AU"/>
        </w:rPr>
        <w:t>presentative</w:t>
      </w:r>
      <w:r w:rsidR="00E91A59">
        <w:rPr>
          <w:lang w:eastAsia="en-AU"/>
        </w:rPr>
        <w:t xml:space="preserve"> of th</w:t>
      </w:r>
      <w:r w:rsidR="0078480E">
        <w:rPr>
          <w:lang w:eastAsia="en-AU"/>
        </w:rPr>
        <w:t xml:space="preserve">e </w:t>
      </w:r>
      <w:r w:rsidR="001D565A">
        <w:rPr>
          <w:lang w:eastAsia="en-AU"/>
        </w:rPr>
        <w:t>full year</w:t>
      </w:r>
      <w:r w:rsidR="00DB38F1">
        <w:rPr>
          <w:lang w:eastAsia="en-AU"/>
        </w:rPr>
        <w:t xml:space="preserve">. Further information </w:t>
      </w:r>
      <w:r w:rsidR="003A2FB5">
        <w:rPr>
          <w:lang w:eastAsia="en-AU"/>
        </w:rPr>
        <w:t xml:space="preserve">on </w:t>
      </w:r>
      <w:r w:rsidR="00FD004A">
        <w:rPr>
          <w:lang w:eastAsia="en-AU"/>
        </w:rPr>
        <w:t>the operation of PE</w:t>
      </w:r>
      <w:r w:rsidR="0048723C">
        <w:rPr>
          <w:lang w:eastAsia="en-AU"/>
        </w:rPr>
        <w:t>M</w:t>
      </w:r>
      <w:r w:rsidR="00827F79">
        <w:rPr>
          <w:lang w:eastAsia="en-AU"/>
        </w:rPr>
        <w:t xml:space="preserve"> can be fo</w:t>
      </w:r>
      <w:r w:rsidR="00D30058">
        <w:rPr>
          <w:lang w:eastAsia="en-AU"/>
        </w:rPr>
        <w:t xml:space="preserve">und under </w:t>
      </w:r>
      <w:r w:rsidR="00EE60E2">
        <w:rPr>
          <w:lang w:eastAsia="en-AU"/>
        </w:rPr>
        <w:t>Division 1.3.3 of the NGER Measurement Determination</w:t>
      </w:r>
      <w:r w:rsidR="00E81473">
        <w:rPr>
          <w:lang w:eastAsia="en-AU"/>
        </w:rPr>
        <w:t>.</w:t>
      </w:r>
    </w:p>
    <w:p w14:paraId="771A4A7B" w14:textId="77777777" w:rsidR="003404D8" w:rsidRPr="000C11CB" w:rsidRDefault="003404D8" w:rsidP="006E18BC">
      <w:pPr>
        <w:pStyle w:val="Heading2"/>
        <w:numPr>
          <w:ilvl w:val="1"/>
          <w:numId w:val="4"/>
        </w:numPr>
        <w:ind w:left="720" w:hanging="720"/>
        <w:rPr>
          <w:lang w:eastAsia="en-AU"/>
        </w:rPr>
      </w:pPr>
      <w:bookmarkStart w:id="44" w:name="_Toc199515078"/>
      <w:bookmarkStart w:id="45" w:name="_Toc423516670"/>
      <w:bookmarkStart w:id="46" w:name="_Toc495652583"/>
      <w:bookmarkStart w:id="47" w:name="_Toc76042526"/>
      <w:bookmarkStart w:id="48" w:name="_Toc205547707"/>
      <w:bookmarkEnd w:id="44"/>
      <w:r>
        <w:rPr>
          <w:lang w:eastAsia="en-AU"/>
        </w:rPr>
        <w:t>Scope</w:t>
      </w:r>
      <w:r w:rsidRPr="000C11CB">
        <w:rPr>
          <w:lang w:eastAsia="en-AU"/>
        </w:rPr>
        <w:t xml:space="preserve"> 2 emissions</w:t>
      </w:r>
      <w:bookmarkEnd w:id="45"/>
      <w:bookmarkEnd w:id="46"/>
      <w:r>
        <w:rPr>
          <w:lang w:eastAsia="en-AU"/>
        </w:rPr>
        <w:t xml:space="preserve"> estimation methods - overview</w:t>
      </w:r>
      <w:bookmarkEnd w:id="47"/>
      <w:bookmarkEnd w:id="48"/>
    </w:p>
    <w:p w14:paraId="46A850BC" w14:textId="77777777" w:rsidR="003404D8" w:rsidRDefault="003404D8" w:rsidP="006E18BC">
      <w:pPr>
        <w:spacing w:before="240"/>
        <w:rPr>
          <w:lang w:eastAsia="en-AU"/>
        </w:rPr>
      </w:pPr>
      <w:r w:rsidRPr="000C11CB">
        <w:rPr>
          <w:lang w:eastAsia="en-AU"/>
        </w:rPr>
        <w:t xml:space="preserve">Scope 2 emissions arise </w:t>
      </w:r>
      <w:r>
        <w:rPr>
          <w:lang w:eastAsia="en-AU"/>
        </w:rPr>
        <w:t>from the consumption of an energy commodity which was produced outside of the facility. Scope 2 emission account for the scope 1 emissions which were required to produce the energy commodity.</w:t>
      </w:r>
    </w:p>
    <w:p w14:paraId="43DED8BA" w14:textId="3BA6E0AB" w:rsidR="00E93EC1" w:rsidRDefault="003404D8" w:rsidP="003404D8">
      <w:pPr>
        <w:rPr>
          <w:lang w:eastAsia="en-AU"/>
        </w:rPr>
      </w:pPr>
      <w:r>
        <w:rPr>
          <w:lang w:eastAsia="en-AU"/>
        </w:rPr>
        <w:t>In NGER, scope 2 emissions arise from the consumption of electricity which was produced at another facility. By reporting scope 2 emissions, the electricity consumer is accounting for the scope 1 emissions which were required to produce the electricity.</w:t>
      </w:r>
      <w:r w:rsidR="00DE416F">
        <w:rPr>
          <w:lang w:eastAsia="en-AU"/>
        </w:rPr>
        <w:t xml:space="preserve"> </w:t>
      </w:r>
      <w:r w:rsidRPr="000C11CB">
        <w:rPr>
          <w:lang w:eastAsia="en-AU"/>
        </w:rPr>
        <w:t xml:space="preserve">The </w:t>
      </w:r>
      <w:r w:rsidR="006C3675">
        <w:rPr>
          <w:lang w:eastAsia="en-AU"/>
        </w:rPr>
        <w:t xml:space="preserve">location-based and market-based </w:t>
      </w:r>
      <w:r w:rsidRPr="000C11CB">
        <w:rPr>
          <w:lang w:eastAsia="en-AU"/>
        </w:rPr>
        <w:t>method</w:t>
      </w:r>
      <w:r>
        <w:rPr>
          <w:lang w:eastAsia="en-AU"/>
        </w:rPr>
        <w:t>s</w:t>
      </w:r>
      <w:r w:rsidRPr="000C11CB">
        <w:rPr>
          <w:lang w:eastAsia="en-AU"/>
        </w:rPr>
        <w:t xml:space="preserve"> for the estimation of scope 2 emissions </w:t>
      </w:r>
      <w:r>
        <w:rPr>
          <w:lang w:eastAsia="en-AU"/>
        </w:rPr>
        <w:t>are</w:t>
      </w:r>
      <w:r w:rsidRPr="000C11CB">
        <w:rPr>
          <w:lang w:eastAsia="en-AU"/>
        </w:rPr>
        <w:t xml:space="preserve"> given in </w:t>
      </w:r>
      <w:r>
        <w:rPr>
          <w:lang w:eastAsia="en-AU"/>
        </w:rPr>
        <w:t>c</w:t>
      </w:r>
      <w:r w:rsidRPr="000C11CB">
        <w:rPr>
          <w:lang w:eastAsia="en-AU"/>
        </w:rPr>
        <w:t>hapter 7</w:t>
      </w:r>
      <w:r>
        <w:rPr>
          <w:lang w:eastAsia="en-AU"/>
        </w:rPr>
        <w:t xml:space="preserve"> of the NGER Measurement Determination</w:t>
      </w:r>
      <w:r w:rsidRPr="000C11CB">
        <w:rPr>
          <w:lang w:eastAsia="en-AU"/>
        </w:rPr>
        <w:t xml:space="preserve">. </w:t>
      </w:r>
    </w:p>
    <w:p w14:paraId="0BDE1085" w14:textId="78E43BB0" w:rsidR="006C3675" w:rsidRPr="00416E4A" w:rsidRDefault="00661B45" w:rsidP="00070740">
      <w:pPr>
        <w:pStyle w:val="Heading3"/>
        <w:rPr>
          <w:lang w:eastAsia="en-AU"/>
        </w:rPr>
      </w:pPr>
      <w:bookmarkStart w:id="49" w:name="_Toc205547708"/>
      <w:r>
        <w:rPr>
          <w:lang w:eastAsia="en-AU"/>
        </w:rPr>
        <w:t xml:space="preserve">Mandatory </w:t>
      </w:r>
      <w:r w:rsidR="006C3675">
        <w:rPr>
          <w:lang w:eastAsia="en-AU"/>
        </w:rPr>
        <w:t>location-based methods for estimating scope 2 emissions</w:t>
      </w:r>
      <w:bookmarkEnd w:id="49"/>
      <w:r w:rsidR="006C3675">
        <w:rPr>
          <w:lang w:eastAsia="en-AU"/>
        </w:rPr>
        <w:t xml:space="preserve"> </w:t>
      </w:r>
    </w:p>
    <w:p w14:paraId="55849894" w14:textId="02998F66" w:rsidR="006D6870" w:rsidRDefault="006D6870" w:rsidP="006E18BC">
      <w:pPr>
        <w:spacing w:before="240"/>
        <w:rPr>
          <w:lang w:eastAsia="en-AU"/>
        </w:rPr>
      </w:pPr>
      <w:r>
        <w:rPr>
          <w:lang w:eastAsia="en-AU"/>
        </w:rPr>
        <w:t>Location-based scope 2 emissions must be reported as per section 7.2 and 7.3 of the NGER Measurement Determination</w:t>
      </w:r>
      <w:r w:rsidR="003F74DA">
        <w:rPr>
          <w:lang w:eastAsia="en-AU"/>
        </w:rPr>
        <w:t>, provided facilities meet the relevant thresholds</w:t>
      </w:r>
      <w:r>
        <w:rPr>
          <w:lang w:eastAsia="en-AU"/>
        </w:rPr>
        <w:t xml:space="preserve">.  </w:t>
      </w:r>
    </w:p>
    <w:p w14:paraId="7F86B231" w14:textId="17877D4E" w:rsidR="003404D8" w:rsidRDefault="003404D8" w:rsidP="003404D8">
      <w:pPr>
        <w:rPr>
          <w:lang w:eastAsia="en-AU"/>
        </w:rPr>
      </w:pPr>
      <w:r>
        <w:rPr>
          <w:lang w:eastAsia="en-AU"/>
        </w:rPr>
        <w:t xml:space="preserve">These methods employ an emission factor of tonnes of scope 1 emissions per kilowatt hour of electricity consumed. </w:t>
      </w:r>
      <w:r w:rsidRPr="000C11CB">
        <w:rPr>
          <w:lang w:eastAsia="en-AU"/>
        </w:rPr>
        <w:t xml:space="preserve">Scope 2 emission factors for the consumption of purchased electricity from Australia’s major electricity grids are updated annually to reflect the latest data on the mix of electricity generation sources, which is a major determinant of the </w:t>
      </w:r>
      <w:r>
        <w:rPr>
          <w:lang w:eastAsia="en-AU"/>
        </w:rPr>
        <w:t xml:space="preserve">emission </w:t>
      </w:r>
      <w:r w:rsidRPr="000C11CB">
        <w:rPr>
          <w:lang w:eastAsia="en-AU"/>
        </w:rPr>
        <w:t>factors.</w:t>
      </w:r>
      <w:r>
        <w:rPr>
          <w:lang w:eastAsia="en-AU"/>
        </w:rPr>
        <w:t xml:space="preserve"> Chapter 7 of the NGER Measurement Determination also covers how to estimate scope 2 emissions from the purchase and loss of other sources (sources other than the purchase and loss of electricity from a State or Territory’s main electricity grid).</w:t>
      </w:r>
    </w:p>
    <w:p w14:paraId="5E006D80" w14:textId="768F22AE" w:rsidR="00110B4C" w:rsidRDefault="00110B4C" w:rsidP="00070740">
      <w:pPr>
        <w:pStyle w:val="Heading3"/>
        <w:rPr>
          <w:lang w:eastAsia="en-AU"/>
        </w:rPr>
      </w:pPr>
      <w:bookmarkStart w:id="50" w:name="_Toc205547709"/>
      <w:r>
        <w:rPr>
          <w:lang w:eastAsia="en-AU"/>
        </w:rPr>
        <w:t>Voluntary market-based method for estimating scope 2 emissions</w:t>
      </w:r>
      <w:bookmarkEnd w:id="50"/>
      <w:r>
        <w:rPr>
          <w:lang w:eastAsia="en-AU"/>
        </w:rPr>
        <w:t xml:space="preserve"> </w:t>
      </w:r>
    </w:p>
    <w:p w14:paraId="37631D89" w14:textId="299073D7" w:rsidR="00164917" w:rsidRDefault="00A15381" w:rsidP="006E18BC">
      <w:pPr>
        <w:spacing w:before="240"/>
      </w:pPr>
      <w:r>
        <w:t xml:space="preserve">NGER reporters </w:t>
      </w:r>
      <w:r w:rsidR="00E0117D">
        <w:t>may choose to</w:t>
      </w:r>
      <w:r>
        <w:rPr>
          <w:b/>
          <w:bCs/>
        </w:rPr>
        <w:t xml:space="preserve"> additionally </w:t>
      </w:r>
      <w:r>
        <w:t>report market-based scope 2 emissions</w:t>
      </w:r>
      <w:r w:rsidR="00347ACF">
        <w:t xml:space="preserve"> </w:t>
      </w:r>
      <w:r w:rsidR="00D95E95">
        <w:t>as per section 7.4</w:t>
      </w:r>
      <w:r w:rsidR="00347ACF">
        <w:t xml:space="preserve"> of the NGER Measurement Determination</w:t>
      </w:r>
      <w:r w:rsidR="00343D19">
        <w:t xml:space="preserve">. </w:t>
      </w:r>
      <w:r w:rsidR="00D95E95">
        <w:t xml:space="preserve">This </w:t>
      </w:r>
      <w:r w:rsidR="006E76E4">
        <w:t>method</w:t>
      </w:r>
      <w:r w:rsidR="00343D19">
        <w:t xml:space="preserve"> </w:t>
      </w:r>
      <w:r>
        <w:t>allow</w:t>
      </w:r>
      <w:r w:rsidR="00343D19">
        <w:t>s</w:t>
      </w:r>
      <w:r>
        <w:t xml:space="preserve"> NGER reporters to reflect </w:t>
      </w:r>
      <w:r w:rsidR="00131CC3">
        <w:t>actions they take</w:t>
      </w:r>
      <w:r w:rsidR="00D55F36">
        <w:t xml:space="preserve"> </w:t>
      </w:r>
      <w:r w:rsidR="0064301E">
        <w:t xml:space="preserve">that incentivise renewable electricity generation. These actions include </w:t>
      </w:r>
      <w:r w:rsidR="00553A50">
        <w:t xml:space="preserve">voluntary surrenders of </w:t>
      </w:r>
      <w:r w:rsidR="00626FF9">
        <w:t xml:space="preserve">large-scale </w:t>
      </w:r>
      <w:r w:rsidR="00626FF9">
        <w:lastRenderedPageBreak/>
        <w:t>generation certificates (L</w:t>
      </w:r>
      <w:r w:rsidR="00553A50">
        <w:t>GCs</w:t>
      </w:r>
      <w:r w:rsidR="00626FF9">
        <w:t>)</w:t>
      </w:r>
      <w:r w:rsidR="006E76E4">
        <w:t xml:space="preserve"> and purchases of GreenPower electricity</w:t>
      </w:r>
      <w:r w:rsidR="001E1C58">
        <w:t>.</w:t>
      </w:r>
      <w:r w:rsidR="00D33595">
        <w:t xml:space="preserve"> </w:t>
      </w:r>
      <w:r w:rsidR="002876A6">
        <w:t xml:space="preserve">Read more </w:t>
      </w:r>
      <w:r w:rsidR="00116745">
        <w:t xml:space="preserve">in the </w:t>
      </w:r>
      <w:hyperlink r:id="rId32" w:history="1">
        <w:r w:rsidR="00993721">
          <w:rPr>
            <w:rStyle w:val="Hyperlink"/>
            <w:rFonts w:asciiTheme="minorHAnsi" w:hAnsiTheme="minorHAnsi"/>
          </w:rPr>
          <w:t>Voluntary market-based scope 2 emissions guideline</w:t>
        </w:r>
      </w:hyperlink>
      <w:r w:rsidR="00B328FD">
        <w:rPr>
          <w:rStyle w:val="FootnoteReference"/>
          <w:szCs w:val="22"/>
        </w:rPr>
        <w:footnoteReference w:id="12"/>
      </w:r>
      <w:r w:rsidR="00116745">
        <w:t xml:space="preserve">. </w:t>
      </w:r>
    </w:p>
    <w:p w14:paraId="1FA3D8C5" w14:textId="77777777" w:rsidR="00503649" w:rsidRPr="00366050" w:rsidRDefault="00503649" w:rsidP="00503649">
      <w:pPr>
        <w:rPr>
          <w:lang w:eastAsia="en-AU"/>
        </w:rPr>
      </w:pPr>
    </w:p>
    <w:p w14:paraId="6D6EF184" w14:textId="33D209C4" w:rsidR="003404D8" w:rsidRPr="000C11CB" w:rsidRDefault="003404D8" w:rsidP="006E18BC">
      <w:pPr>
        <w:pStyle w:val="Heading2"/>
        <w:numPr>
          <w:ilvl w:val="1"/>
          <w:numId w:val="4"/>
        </w:numPr>
        <w:ind w:left="720" w:hanging="720"/>
        <w:rPr>
          <w:lang w:eastAsia="en-AU"/>
        </w:rPr>
      </w:pPr>
      <w:bookmarkStart w:id="51" w:name="_Toc76042527"/>
      <w:bookmarkStart w:id="52" w:name="_Toc205547710"/>
      <w:r>
        <w:rPr>
          <w:lang w:eastAsia="en-AU"/>
        </w:rPr>
        <w:t xml:space="preserve">Energy estimation methods </w:t>
      </w:r>
      <w:r w:rsidR="00F37C90">
        <w:rPr>
          <w:lang w:eastAsia="en-AU"/>
        </w:rPr>
        <w:t>–</w:t>
      </w:r>
      <w:r>
        <w:rPr>
          <w:lang w:eastAsia="en-AU"/>
        </w:rPr>
        <w:t xml:space="preserve"> overview</w:t>
      </w:r>
      <w:bookmarkEnd w:id="51"/>
      <w:bookmarkEnd w:id="52"/>
    </w:p>
    <w:p w14:paraId="54344E90" w14:textId="23323D81" w:rsidR="003404D8" w:rsidRDefault="003404D8" w:rsidP="006E18BC">
      <w:pPr>
        <w:spacing w:before="240"/>
        <w:rPr>
          <w:lang w:eastAsia="en-AU"/>
        </w:rPr>
      </w:pPr>
      <w:r w:rsidRPr="000C11CB">
        <w:rPr>
          <w:lang w:eastAsia="en-AU"/>
        </w:rPr>
        <w:t xml:space="preserve">Methods for the estimation of the energy content of fuels produced and fuels consumed are </w:t>
      </w:r>
      <w:r>
        <w:rPr>
          <w:lang w:eastAsia="en-AU"/>
        </w:rPr>
        <w:t>set out</w:t>
      </w:r>
      <w:r w:rsidRPr="000C11CB">
        <w:rPr>
          <w:lang w:eastAsia="en-AU"/>
        </w:rPr>
        <w:t xml:space="preserve"> in </w:t>
      </w:r>
      <w:r>
        <w:rPr>
          <w:lang w:eastAsia="en-AU"/>
        </w:rPr>
        <w:t>c</w:t>
      </w:r>
      <w:r w:rsidRPr="000C11CB">
        <w:rPr>
          <w:lang w:eastAsia="en-AU"/>
        </w:rPr>
        <w:t>hapter 6</w:t>
      </w:r>
      <w:r>
        <w:rPr>
          <w:lang w:eastAsia="en-AU"/>
        </w:rPr>
        <w:t xml:space="preserve"> of the NGER Measurement Determination</w:t>
      </w:r>
      <w:r w:rsidRPr="000C11CB">
        <w:rPr>
          <w:lang w:eastAsia="en-AU"/>
        </w:rPr>
        <w:t xml:space="preserve">.  </w:t>
      </w:r>
    </w:p>
    <w:p w14:paraId="75B6BCA8" w14:textId="001FF46E" w:rsidR="003404D8" w:rsidRDefault="00013EBD" w:rsidP="003404D8">
      <w:pPr>
        <w:rPr>
          <w:lang w:eastAsia="en-AU"/>
        </w:rPr>
      </w:pPr>
      <w:r>
        <w:rPr>
          <w:lang w:eastAsia="en-AU"/>
        </w:rPr>
        <w:t>Information</w:t>
      </w:r>
      <w:r w:rsidRPr="000C11CB">
        <w:rPr>
          <w:lang w:eastAsia="en-AU"/>
        </w:rPr>
        <w:t xml:space="preserve"> </w:t>
      </w:r>
      <w:r>
        <w:rPr>
          <w:lang w:eastAsia="en-AU"/>
        </w:rPr>
        <w:t>used</w:t>
      </w:r>
      <w:r w:rsidRPr="000C11CB">
        <w:rPr>
          <w:lang w:eastAsia="en-AU"/>
        </w:rPr>
        <w:t xml:space="preserve"> </w:t>
      </w:r>
      <w:r w:rsidR="003404D8" w:rsidRPr="000C11CB">
        <w:rPr>
          <w:lang w:eastAsia="en-AU"/>
        </w:rPr>
        <w:t xml:space="preserve">for the estimation of emissions from fuel combustion as set out in </w:t>
      </w:r>
      <w:r w:rsidR="003404D8">
        <w:rPr>
          <w:lang w:eastAsia="en-AU"/>
        </w:rPr>
        <w:t>c</w:t>
      </w:r>
      <w:r w:rsidR="003404D8" w:rsidRPr="000C11CB">
        <w:rPr>
          <w:lang w:eastAsia="en-AU"/>
        </w:rPr>
        <w:t>hapter 2</w:t>
      </w:r>
      <w:r w:rsidR="003404D8">
        <w:rPr>
          <w:lang w:eastAsia="en-AU"/>
        </w:rPr>
        <w:t xml:space="preserve"> of the NGER Measurement Determination</w:t>
      </w:r>
      <w:r w:rsidR="003404D8" w:rsidRPr="000C11CB">
        <w:rPr>
          <w:lang w:eastAsia="en-AU"/>
        </w:rPr>
        <w:t xml:space="preserve"> will </w:t>
      </w:r>
      <w:r w:rsidR="003404D8">
        <w:rPr>
          <w:lang w:eastAsia="en-AU"/>
        </w:rPr>
        <w:t>also be used</w:t>
      </w:r>
      <w:r w:rsidR="003404D8" w:rsidRPr="000C11CB">
        <w:rPr>
          <w:lang w:eastAsia="en-AU"/>
        </w:rPr>
        <w:t xml:space="preserve"> as the data for </w:t>
      </w:r>
      <w:r w:rsidR="003404D8">
        <w:rPr>
          <w:lang w:eastAsia="en-AU"/>
        </w:rPr>
        <w:t xml:space="preserve">estimating </w:t>
      </w:r>
      <w:r w:rsidR="006D2899">
        <w:rPr>
          <w:lang w:eastAsia="en-AU"/>
        </w:rPr>
        <w:t xml:space="preserve">energy </w:t>
      </w:r>
      <w:r w:rsidR="003404D8">
        <w:rPr>
          <w:lang w:eastAsia="en-AU"/>
        </w:rPr>
        <w:t xml:space="preserve">from </w:t>
      </w:r>
      <w:r w:rsidR="003404D8" w:rsidRPr="000C11CB">
        <w:rPr>
          <w:lang w:eastAsia="en-AU"/>
        </w:rPr>
        <w:t xml:space="preserve">the consumption of </w:t>
      </w:r>
      <w:r w:rsidR="006D2899">
        <w:rPr>
          <w:lang w:eastAsia="en-AU"/>
        </w:rPr>
        <w:t>fuels</w:t>
      </w:r>
      <w:r w:rsidR="003404D8" w:rsidRPr="000C11CB">
        <w:rPr>
          <w:lang w:eastAsia="en-AU"/>
        </w:rPr>
        <w:t xml:space="preserve">. Separate </w:t>
      </w:r>
      <w:r w:rsidR="003404D8">
        <w:rPr>
          <w:lang w:eastAsia="en-AU"/>
        </w:rPr>
        <w:t>collection of data is</w:t>
      </w:r>
      <w:r w:rsidR="003404D8" w:rsidRPr="000C11CB">
        <w:rPr>
          <w:lang w:eastAsia="en-AU"/>
        </w:rPr>
        <w:t xml:space="preserve"> required for the quantities of </w:t>
      </w:r>
      <w:r w:rsidR="003404D8">
        <w:rPr>
          <w:lang w:eastAsia="en-AU"/>
        </w:rPr>
        <w:t xml:space="preserve">energy </w:t>
      </w:r>
      <w:r w:rsidR="003404D8" w:rsidRPr="000C11CB">
        <w:rPr>
          <w:lang w:eastAsia="en-AU"/>
        </w:rPr>
        <w:t>produc</w:t>
      </w:r>
      <w:r w:rsidR="003404D8">
        <w:rPr>
          <w:lang w:eastAsia="en-AU"/>
        </w:rPr>
        <w:t>ed</w:t>
      </w:r>
      <w:r w:rsidR="003404D8" w:rsidRPr="000C11CB">
        <w:rPr>
          <w:lang w:eastAsia="en-AU"/>
        </w:rPr>
        <w:t xml:space="preserve"> </w:t>
      </w:r>
      <w:proofErr w:type="gramStart"/>
      <w:r w:rsidR="003404D8">
        <w:rPr>
          <w:lang w:eastAsia="en-AU"/>
        </w:rPr>
        <w:t xml:space="preserve">and </w:t>
      </w:r>
      <w:r w:rsidR="00757793">
        <w:rPr>
          <w:lang w:eastAsia="en-AU"/>
        </w:rPr>
        <w:t xml:space="preserve">in </w:t>
      </w:r>
      <w:r w:rsidR="0002741D">
        <w:rPr>
          <w:lang w:eastAsia="en-AU"/>
        </w:rPr>
        <w:t>some cases</w:t>
      </w:r>
      <w:proofErr w:type="gramEnd"/>
      <w:r w:rsidR="0002741D">
        <w:rPr>
          <w:lang w:eastAsia="en-AU"/>
        </w:rPr>
        <w:t xml:space="preserve"> where</w:t>
      </w:r>
      <w:r w:rsidR="003404D8">
        <w:rPr>
          <w:lang w:eastAsia="en-AU"/>
        </w:rPr>
        <w:t xml:space="preserve"> energy is consumed and not combusted.</w:t>
      </w:r>
    </w:p>
    <w:p w14:paraId="7E706AC5" w14:textId="77777777" w:rsidR="003404D8" w:rsidRPr="004B7465" w:rsidRDefault="003404D8" w:rsidP="006E18BC">
      <w:pPr>
        <w:pStyle w:val="Heading2"/>
        <w:numPr>
          <w:ilvl w:val="1"/>
          <w:numId w:val="4"/>
        </w:numPr>
        <w:ind w:left="720" w:hanging="720"/>
        <w:rPr>
          <w:lang w:eastAsia="en-AU"/>
        </w:rPr>
      </w:pPr>
      <w:bookmarkStart w:id="53" w:name="_Toc43305774"/>
      <w:bookmarkStart w:id="54" w:name="_Toc76042528"/>
      <w:bookmarkStart w:id="55" w:name="_Toc205547711"/>
      <w:r w:rsidRPr="004B7465">
        <w:rPr>
          <w:lang w:eastAsia="en-AU"/>
        </w:rPr>
        <w:t>Temporary unavailability of Method</w:t>
      </w:r>
      <w:bookmarkEnd w:id="53"/>
      <w:bookmarkEnd w:id="54"/>
      <w:bookmarkEnd w:id="55"/>
    </w:p>
    <w:p w14:paraId="39BCFD94" w14:textId="1AB0F454" w:rsidR="003404D8" w:rsidRDefault="003404D8" w:rsidP="006E18BC">
      <w:pPr>
        <w:spacing w:before="240"/>
        <w:rPr>
          <w:lang w:val="en-GB"/>
        </w:rPr>
      </w:pPr>
      <w:r w:rsidRPr="0041597E">
        <w:rPr>
          <w:lang w:val="en-GB"/>
        </w:rPr>
        <w:t xml:space="preserve">Reporters </w:t>
      </w:r>
      <w:r w:rsidR="00DA0257">
        <w:rPr>
          <w:lang w:val="en-GB"/>
        </w:rPr>
        <w:t>must</w:t>
      </w:r>
      <w:r w:rsidR="00DA0257" w:rsidRPr="0041597E">
        <w:rPr>
          <w:lang w:val="en-GB"/>
        </w:rPr>
        <w:t xml:space="preserve"> </w:t>
      </w:r>
      <w:r w:rsidRPr="0041597E">
        <w:rPr>
          <w:lang w:val="en-GB"/>
        </w:rPr>
        <w:t xml:space="preserve">observe the requirements in section 1.19 of the NGER </w:t>
      </w:r>
      <w:r>
        <w:rPr>
          <w:lang w:val="en-GB"/>
        </w:rPr>
        <w:t xml:space="preserve">Measurement </w:t>
      </w:r>
      <w:r w:rsidRPr="0041597E">
        <w:rPr>
          <w:lang w:val="en-GB"/>
        </w:rPr>
        <w:t xml:space="preserve">Determination </w:t>
      </w:r>
      <w:r>
        <w:rPr>
          <w:lang w:val="en-GB"/>
        </w:rPr>
        <w:t>relating to</w:t>
      </w:r>
      <w:r w:rsidRPr="0041597E">
        <w:rPr>
          <w:lang w:val="en-GB"/>
        </w:rPr>
        <w:t xml:space="preserve"> </w:t>
      </w:r>
      <w:r w:rsidR="00D907D5">
        <w:rPr>
          <w:lang w:val="en-GB"/>
        </w:rPr>
        <w:t>‘</w:t>
      </w:r>
      <w:r w:rsidRPr="0041597E">
        <w:rPr>
          <w:lang w:val="en-GB"/>
        </w:rPr>
        <w:t>down time</w:t>
      </w:r>
      <w:r w:rsidR="00D907D5">
        <w:rPr>
          <w:lang w:val="en-GB"/>
        </w:rPr>
        <w:t>’</w:t>
      </w:r>
      <w:r w:rsidRPr="0041597E">
        <w:rPr>
          <w:lang w:val="en-GB"/>
        </w:rPr>
        <w:t xml:space="preserve"> of equipment</w:t>
      </w:r>
      <w:r>
        <w:rPr>
          <w:lang w:val="en-GB"/>
        </w:rPr>
        <w:t xml:space="preserve"> or measurement systems </w:t>
      </w:r>
      <w:r w:rsidRPr="0041597E">
        <w:rPr>
          <w:lang w:val="en-GB"/>
        </w:rPr>
        <w:t>to monitor emissions:</w:t>
      </w:r>
    </w:p>
    <w:p w14:paraId="7A739D2A" w14:textId="6055B62B" w:rsidR="00A61A0D" w:rsidRDefault="00A61A0D" w:rsidP="003404D8">
      <w:pPr>
        <w:rPr>
          <w:lang w:val="en-GB"/>
        </w:rPr>
      </w:pPr>
      <w:r>
        <w:rPr>
          <w:lang w:val="en-GB"/>
        </w:rPr>
        <w:t>Down time is</w:t>
      </w:r>
      <w:r w:rsidR="00617BE9">
        <w:rPr>
          <w:lang w:val="en-GB"/>
        </w:rPr>
        <w:t xml:space="preserve"> the </w:t>
      </w:r>
      <w:r w:rsidR="00C42637">
        <w:rPr>
          <w:lang w:val="en-GB"/>
        </w:rPr>
        <w:t>period during which</w:t>
      </w:r>
      <w:r w:rsidR="00DD353F">
        <w:rPr>
          <w:lang w:val="en-GB"/>
        </w:rPr>
        <w:t xml:space="preserve"> a mechanical or technical failure of equipment </w:t>
      </w:r>
      <w:r w:rsidR="001143E9">
        <w:rPr>
          <w:lang w:val="en-GB"/>
        </w:rPr>
        <w:t>or a failure of measurement systems</w:t>
      </w:r>
      <w:r w:rsidR="00DD353F">
        <w:rPr>
          <w:lang w:val="en-GB"/>
        </w:rPr>
        <w:t xml:space="preserve"> </w:t>
      </w:r>
      <w:r w:rsidR="00DC7F72">
        <w:rPr>
          <w:lang w:val="en-GB"/>
        </w:rPr>
        <w:t>prevents</w:t>
      </w:r>
      <w:r w:rsidR="00B57BA9">
        <w:rPr>
          <w:lang w:val="en-GB"/>
        </w:rPr>
        <w:t xml:space="preserve"> fulfilment of a method’s</w:t>
      </w:r>
      <w:r w:rsidR="009C796F">
        <w:rPr>
          <w:lang w:val="en-GB"/>
        </w:rPr>
        <w:t xml:space="preserve"> </w:t>
      </w:r>
      <w:r w:rsidR="00EA3CA3">
        <w:rPr>
          <w:lang w:val="en-GB"/>
        </w:rPr>
        <w:t xml:space="preserve">measurement </w:t>
      </w:r>
      <w:r w:rsidR="00D8180B">
        <w:rPr>
          <w:lang w:val="en-GB"/>
        </w:rPr>
        <w:t>requirements</w:t>
      </w:r>
      <w:r w:rsidR="007B0D03">
        <w:rPr>
          <w:lang w:val="en-GB"/>
        </w:rPr>
        <w:t>.</w:t>
      </w:r>
      <w:r w:rsidR="00565ECD">
        <w:rPr>
          <w:lang w:val="en-GB"/>
        </w:rPr>
        <w:t xml:space="preserve"> </w:t>
      </w:r>
      <w:r w:rsidR="00CC7C3B">
        <w:rPr>
          <w:lang w:val="en-GB"/>
        </w:rPr>
        <w:t>Down time accumulat</w:t>
      </w:r>
      <w:r w:rsidR="00C845C8">
        <w:rPr>
          <w:lang w:val="en-GB"/>
        </w:rPr>
        <w:t>es</w:t>
      </w:r>
      <w:r w:rsidR="00CC7C3B">
        <w:rPr>
          <w:lang w:val="en-GB"/>
        </w:rPr>
        <w:t xml:space="preserve"> over </w:t>
      </w:r>
      <w:r w:rsidR="00C845C8">
        <w:rPr>
          <w:lang w:val="en-GB"/>
        </w:rPr>
        <w:t xml:space="preserve">the reporting period </w:t>
      </w:r>
      <w:r w:rsidR="00025B86">
        <w:rPr>
          <w:lang w:val="en-GB"/>
        </w:rPr>
        <w:t>but</w:t>
      </w:r>
      <w:r w:rsidR="00CC7C3B">
        <w:rPr>
          <w:lang w:val="en-GB"/>
        </w:rPr>
        <w:t xml:space="preserve"> </w:t>
      </w:r>
      <w:r w:rsidR="00565ECD">
        <w:rPr>
          <w:lang w:val="en-GB"/>
        </w:rPr>
        <w:t xml:space="preserve">does not include </w:t>
      </w:r>
      <w:r w:rsidR="00782177">
        <w:rPr>
          <w:lang w:val="en-GB"/>
        </w:rPr>
        <w:t>time taken for calibration of equipment.</w:t>
      </w:r>
    </w:p>
    <w:p w14:paraId="0AB419F1" w14:textId="7BCFEE84" w:rsidR="005433D3" w:rsidRDefault="005433D3" w:rsidP="003404D8">
      <w:pPr>
        <w:rPr>
          <w:lang w:val="en-GB"/>
        </w:rPr>
      </w:pPr>
      <w:r>
        <w:rPr>
          <w:lang w:val="en-GB"/>
        </w:rPr>
        <w:t xml:space="preserve">Emissions for </w:t>
      </w:r>
      <w:r w:rsidR="003849D9">
        <w:rPr>
          <w:lang w:val="en-GB"/>
        </w:rPr>
        <w:t xml:space="preserve">a </w:t>
      </w:r>
      <w:r>
        <w:rPr>
          <w:lang w:val="en-GB"/>
        </w:rPr>
        <w:t xml:space="preserve">period </w:t>
      </w:r>
      <w:r w:rsidRPr="0041597E">
        <w:rPr>
          <w:lang w:val="en-GB"/>
        </w:rPr>
        <w:t xml:space="preserve">of down time </w:t>
      </w:r>
      <w:r>
        <w:rPr>
          <w:lang w:val="en-GB"/>
        </w:rPr>
        <w:t>must</w:t>
      </w:r>
      <w:r w:rsidRPr="0041597E">
        <w:rPr>
          <w:lang w:val="en-GB"/>
        </w:rPr>
        <w:t xml:space="preserve"> be estimated consistently with the </w:t>
      </w:r>
      <w:r>
        <w:rPr>
          <w:lang w:val="en-GB"/>
        </w:rPr>
        <w:t xml:space="preserve">general </w:t>
      </w:r>
      <w:r w:rsidRPr="0041597E">
        <w:rPr>
          <w:lang w:val="en-GB"/>
        </w:rPr>
        <w:t xml:space="preserve">principles </w:t>
      </w:r>
      <w:r>
        <w:rPr>
          <w:lang w:val="en-GB"/>
        </w:rPr>
        <w:t xml:space="preserve">in </w:t>
      </w:r>
      <w:r w:rsidRPr="0041597E">
        <w:rPr>
          <w:lang w:val="en-GB"/>
        </w:rPr>
        <w:t xml:space="preserve">section 1.13 of the NGER </w:t>
      </w:r>
      <w:r>
        <w:rPr>
          <w:lang w:val="en-GB"/>
        </w:rPr>
        <w:t xml:space="preserve">Measurement </w:t>
      </w:r>
      <w:r w:rsidRPr="0041597E">
        <w:rPr>
          <w:lang w:val="en-GB"/>
        </w:rPr>
        <w:t>Determination.</w:t>
      </w:r>
      <w:r w:rsidR="006B5D10">
        <w:rPr>
          <w:lang w:val="en-GB"/>
        </w:rPr>
        <w:t xml:space="preserve"> R</w:t>
      </w:r>
      <w:r w:rsidR="006B5D10" w:rsidRPr="006B5D10">
        <w:rPr>
          <w:lang w:val="en-GB"/>
        </w:rPr>
        <w:t>ecords documenting the method of estimation used, including justification of its consistency with the general principles, must be retained in accordance with section 22 of the NGER Act.</w:t>
      </w:r>
    </w:p>
    <w:p w14:paraId="5F17907C" w14:textId="53F9C6E1" w:rsidR="00F1783A" w:rsidRPr="0041597E" w:rsidRDefault="003404D8" w:rsidP="003849D9">
      <w:pPr>
        <w:numPr>
          <w:ilvl w:val="0"/>
          <w:numId w:val="1"/>
        </w:numPr>
        <w:spacing w:before="120" w:after="120"/>
        <w:rPr>
          <w:lang w:val="en-GB"/>
        </w:rPr>
      </w:pPr>
      <w:r w:rsidRPr="0041597E">
        <w:rPr>
          <w:lang w:val="en-GB"/>
        </w:rPr>
        <w:t xml:space="preserve">If the down time in a </w:t>
      </w:r>
      <w:r w:rsidR="00724300">
        <w:rPr>
          <w:lang w:val="en-GB"/>
        </w:rPr>
        <w:t>reporting period</w:t>
      </w:r>
      <w:r w:rsidR="00724300" w:rsidRPr="0041597E">
        <w:rPr>
          <w:lang w:val="en-GB"/>
        </w:rPr>
        <w:t xml:space="preserve"> </w:t>
      </w:r>
      <w:r w:rsidRPr="0041597E">
        <w:rPr>
          <w:lang w:val="en-GB"/>
        </w:rPr>
        <w:t xml:space="preserve">is </w:t>
      </w:r>
      <w:r w:rsidR="00CD51DF">
        <w:rPr>
          <w:lang w:val="en-GB"/>
        </w:rPr>
        <w:t>6</w:t>
      </w:r>
      <w:r w:rsidR="00CD51DF" w:rsidRPr="0041597E">
        <w:rPr>
          <w:lang w:val="en-GB"/>
        </w:rPr>
        <w:t xml:space="preserve"> </w:t>
      </w:r>
      <w:r w:rsidRPr="0041597E">
        <w:rPr>
          <w:lang w:val="en-GB"/>
        </w:rPr>
        <w:t xml:space="preserve">weeks (42 days) or less, </w:t>
      </w:r>
      <w:r w:rsidR="00D52F29" w:rsidRPr="003849D9">
        <w:rPr>
          <w:lang w:val="en-GB"/>
        </w:rPr>
        <w:t xml:space="preserve">it is not necessary to notify the </w:t>
      </w:r>
      <w:r w:rsidR="00B0315E" w:rsidRPr="003849D9">
        <w:rPr>
          <w:lang w:val="en-GB"/>
        </w:rPr>
        <w:t>CER</w:t>
      </w:r>
      <w:r w:rsidR="00025252" w:rsidRPr="003849D9">
        <w:rPr>
          <w:lang w:val="en-GB"/>
        </w:rPr>
        <w:t xml:space="preserve">, but </w:t>
      </w:r>
      <w:r w:rsidR="0061067B">
        <w:rPr>
          <w:lang w:val="en-GB"/>
        </w:rPr>
        <w:t xml:space="preserve">you must still estimate emissions </w:t>
      </w:r>
      <w:r w:rsidR="00FD71EB">
        <w:rPr>
          <w:lang w:val="en-GB"/>
        </w:rPr>
        <w:t xml:space="preserve">compliantly </w:t>
      </w:r>
      <w:r w:rsidR="0061067B">
        <w:rPr>
          <w:lang w:val="en-GB"/>
        </w:rPr>
        <w:t>and maintain records as above.</w:t>
      </w:r>
    </w:p>
    <w:p w14:paraId="760B18C2" w14:textId="0380EF1F" w:rsidR="003404D8" w:rsidRPr="0041597E" w:rsidRDefault="003404D8" w:rsidP="006C3C5D">
      <w:pPr>
        <w:numPr>
          <w:ilvl w:val="0"/>
          <w:numId w:val="1"/>
        </w:numPr>
        <w:spacing w:before="120" w:after="120"/>
        <w:rPr>
          <w:lang w:val="en-GB"/>
        </w:rPr>
      </w:pPr>
      <w:r w:rsidRPr="0041597E">
        <w:rPr>
          <w:lang w:val="en-GB"/>
        </w:rPr>
        <w:t xml:space="preserve">If the down time exceeds </w:t>
      </w:r>
      <w:r w:rsidR="00CD51DF">
        <w:rPr>
          <w:lang w:val="en-GB"/>
        </w:rPr>
        <w:t>6</w:t>
      </w:r>
      <w:r w:rsidR="00CD51DF" w:rsidRPr="0041597E">
        <w:rPr>
          <w:lang w:val="en-GB"/>
        </w:rPr>
        <w:t xml:space="preserve"> </w:t>
      </w:r>
      <w:r w:rsidRPr="0041597E">
        <w:rPr>
          <w:lang w:val="en-GB"/>
        </w:rPr>
        <w:t>weeks in a</w:t>
      </w:r>
      <w:r>
        <w:rPr>
          <w:lang w:val="en-GB"/>
        </w:rPr>
        <w:t xml:space="preserve"> reporting period</w:t>
      </w:r>
      <w:r w:rsidRPr="0041597E">
        <w:rPr>
          <w:lang w:val="en-GB"/>
        </w:rPr>
        <w:t xml:space="preserve">, within </w:t>
      </w:r>
      <w:r w:rsidR="00CD51DF" w:rsidRPr="1E4CDFCF">
        <w:rPr>
          <w:lang w:val="en-GB"/>
        </w:rPr>
        <w:t xml:space="preserve">6 </w:t>
      </w:r>
      <w:r w:rsidRPr="1E4CDFCF">
        <w:rPr>
          <w:lang w:val="en-GB"/>
        </w:rPr>
        <w:t xml:space="preserve">weeks after the day when down time first exceeds </w:t>
      </w:r>
      <w:r w:rsidR="00CD51DF" w:rsidRPr="1E4CDFCF">
        <w:rPr>
          <w:lang w:val="en-GB"/>
        </w:rPr>
        <w:t xml:space="preserve">6 </w:t>
      </w:r>
      <w:r w:rsidRPr="1E4CDFCF">
        <w:rPr>
          <w:lang w:val="en-GB"/>
        </w:rPr>
        <w:t xml:space="preserve">weeks, </w:t>
      </w:r>
      <w:r w:rsidRPr="0041597E">
        <w:rPr>
          <w:lang w:val="en-GB"/>
        </w:rPr>
        <w:t xml:space="preserve">the registered controlling corporation or responsible emitter must inform </w:t>
      </w:r>
      <w:r w:rsidR="3D51BE6A" w:rsidRPr="1E4CDFCF">
        <w:rPr>
          <w:lang w:val="en-GB"/>
        </w:rPr>
        <w:t>CER</w:t>
      </w:r>
      <w:r w:rsidRPr="0041597E">
        <w:rPr>
          <w:lang w:val="en-GB"/>
        </w:rPr>
        <w:t xml:space="preserve"> in writing of the following: </w:t>
      </w:r>
    </w:p>
    <w:p w14:paraId="22C1CF8D" w14:textId="77777777" w:rsidR="003404D8" w:rsidRPr="0041597E" w:rsidRDefault="003404D8" w:rsidP="00F64568">
      <w:pPr>
        <w:pStyle w:val="CERbullets"/>
        <w:numPr>
          <w:ilvl w:val="1"/>
          <w:numId w:val="12"/>
        </w:numPr>
        <w:rPr>
          <w:lang w:val="en-GB"/>
        </w:rPr>
      </w:pPr>
      <w:r w:rsidRPr="0041597E">
        <w:rPr>
          <w:lang w:val="en-GB"/>
        </w:rPr>
        <w:t xml:space="preserve">the reason why down time is more than </w:t>
      </w:r>
      <w:r>
        <w:rPr>
          <w:lang w:val="en-GB"/>
        </w:rPr>
        <w:t>6</w:t>
      </w:r>
      <w:r w:rsidRPr="0041597E">
        <w:rPr>
          <w:lang w:val="en-GB"/>
        </w:rPr>
        <w:t xml:space="preserve"> weeks</w:t>
      </w:r>
    </w:p>
    <w:p w14:paraId="00441E7B" w14:textId="77777777" w:rsidR="003404D8" w:rsidRPr="0041597E" w:rsidRDefault="003404D8" w:rsidP="00F64568">
      <w:pPr>
        <w:pStyle w:val="CERbullets"/>
        <w:numPr>
          <w:ilvl w:val="1"/>
          <w:numId w:val="12"/>
        </w:numPr>
        <w:rPr>
          <w:lang w:val="en-GB"/>
        </w:rPr>
      </w:pPr>
      <w:r w:rsidRPr="0041597E">
        <w:rPr>
          <w:lang w:val="en-GB"/>
        </w:rPr>
        <w:t>how the reporter plans to minimise down time</w:t>
      </w:r>
    </w:p>
    <w:p w14:paraId="50520862" w14:textId="77777777" w:rsidR="003404D8" w:rsidRPr="0041597E" w:rsidRDefault="003404D8" w:rsidP="00F64568">
      <w:pPr>
        <w:pStyle w:val="CERbullets"/>
        <w:numPr>
          <w:ilvl w:val="1"/>
          <w:numId w:val="12"/>
        </w:numPr>
        <w:rPr>
          <w:lang w:val="en-GB"/>
        </w:rPr>
      </w:pPr>
      <w:r w:rsidRPr="0041597E">
        <w:rPr>
          <w:lang w:val="en-GB"/>
        </w:rPr>
        <w:t>how emissions have been estimated during the down time.</w:t>
      </w:r>
    </w:p>
    <w:p w14:paraId="76187E2D" w14:textId="7F7321CB" w:rsidR="003404D8" w:rsidRDefault="005F54FD" w:rsidP="00BD643F">
      <w:pPr>
        <w:spacing w:before="120" w:after="120"/>
        <w:rPr>
          <w:lang w:val="en-GB"/>
        </w:rPr>
      </w:pPr>
      <w:r>
        <w:rPr>
          <w:lang w:val="en-GB"/>
        </w:rPr>
        <w:t>I</w:t>
      </w:r>
      <w:r w:rsidRPr="0041597E">
        <w:rPr>
          <w:lang w:val="en-GB"/>
        </w:rPr>
        <w:t>n practice</w:t>
      </w:r>
      <w:r w:rsidR="0079129A">
        <w:rPr>
          <w:lang w:val="en-GB"/>
        </w:rPr>
        <w:t>,</w:t>
      </w:r>
      <w:r w:rsidRPr="0041597E">
        <w:rPr>
          <w:lang w:val="en-GB"/>
        </w:rPr>
        <w:t xml:space="preserve"> </w:t>
      </w:r>
      <w:r w:rsidR="0079129A">
        <w:rPr>
          <w:lang w:val="en-GB"/>
        </w:rPr>
        <w:t xml:space="preserve">the </w:t>
      </w:r>
      <w:r w:rsidR="0079129A" w:rsidRPr="0041597E">
        <w:rPr>
          <w:lang w:val="en-GB"/>
        </w:rPr>
        <w:t>requirement</w:t>
      </w:r>
      <w:r w:rsidR="0079129A">
        <w:rPr>
          <w:lang w:val="en-GB"/>
        </w:rPr>
        <w:t>s</w:t>
      </w:r>
      <w:r w:rsidR="003404D8" w:rsidRPr="0041597E">
        <w:rPr>
          <w:lang w:val="en-GB"/>
        </w:rPr>
        <w:t xml:space="preserve"> </w:t>
      </w:r>
      <w:r w:rsidR="0079129A">
        <w:rPr>
          <w:lang w:val="en-GB"/>
        </w:rPr>
        <w:t xml:space="preserve">relating to </w:t>
      </w:r>
      <w:r w:rsidR="003404D8" w:rsidRPr="0041597E">
        <w:rPr>
          <w:lang w:val="en-GB"/>
        </w:rPr>
        <w:t>down time</w:t>
      </w:r>
      <w:r w:rsidR="00EB5050">
        <w:rPr>
          <w:lang w:val="en-GB"/>
        </w:rPr>
        <w:t xml:space="preserve"> are</w:t>
      </w:r>
      <w:r w:rsidR="003404D8" w:rsidRPr="0041597E">
        <w:rPr>
          <w:lang w:val="en-GB"/>
        </w:rPr>
        <w:t xml:space="preserve"> of most relevance for CEM using </w:t>
      </w:r>
      <w:r w:rsidR="36CCEEC2" w:rsidRPr="0CBF3C1E">
        <w:rPr>
          <w:lang w:val="en-GB"/>
        </w:rPr>
        <w:t>M</w:t>
      </w:r>
      <w:r w:rsidR="003404D8" w:rsidRPr="0041597E">
        <w:rPr>
          <w:lang w:val="en-GB"/>
        </w:rPr>
        <w:t>ethod 4</w:t>
      </w:r>
      <w:r w:rsidR="00152A59">
        <w:rPr>
          <w:lang w:val="en-GB"/>
        </w:rPr>
        <w:t>.</w:t>
      </w:r>
      <w:r w:rsidR="003404D8" w:rsidRPr="0041597E">
        <w:rPr>
          <w:lang w:val="en-GB"/>
        </w:rPr>
        <w:t xml:space="preserve"> </w:t>
      </w:r>
      <w:r w:rsidR="00152A59">
        <w:rPr>
          <w:lang w:val="en-GB"/>
        </w:rPr>
        <w:t>H</w:t>
      </w:r>
      <w:r w:rsidR="00EB5050">
        <w:rPr>
          <w:lang w:val="en-GB"/>
        </w:rPr>
        <w:t>owever</w:t>
      </w:r>
      <w:r w:rsidR="00152A59">
        <w:rPr>
          <w:lang w:val="en-GB"/>
        </w:rPr>
        <w:t>,</w:t>
      </w:r>
      <w:r w:rsidR="00EB5050">
        <w:rPr>
          <w:lang w:val="en-GB"/>
        </w:rPr>
        <w:t xml:space="preserve"> </w:t>
      </w:r>
      <w:r w:rsidR="00152A59">
        <w:rPr>
          <w:lang w:val="en-GB"/>
        </w:rPr>
        <w:t>the</w:t>
      </w:r>
      <w:r w:rsidR="003404D8" w:rsidRPr="0041597E">
        <w:rPr>
          <w:lang w:val="en-GB"/>
        </w:rPr>
        <w:t xml:space="preserve"> </w:t>
      </w:r>
      <w:r w:rsidR="00152A59">
        <w:rPr>
          <w:lang w:val="en-GB"/>
        </w:rPr>
        <w:t xml:space="preserve">down time </w:t>
      </w:r>
      <w:r w:rsidR="003404D8" w:rsidRPr="0041597E">
        <w:rPr>
          <w:lang w:val="en-GB"/>
        </w:rPr>
        <w:t>requirement</w:t>
      </w:r>
      <w:r w:rsidR="00152A59">
        <w:rPr>
          <w:lang w:val="en-GB"/>
        </w:rPr>
        <w:t>s</w:t>
      </w:r>
      <w:r w:rsidR="003404D8" w:rsidRPr="0041597E">
        <w:rPr>
          <w:lang w:val="en-GB"/>
        </w:rPr>
        <w:t xml:space="preserve"> </w:t>
      </w:r>
      <w:r w:rsidR="00152A59">
        <w:rPr>
          <w:lang w:val="en-GB"/>
        </w:rPr>
        <w:t>apply to</w:t>
      </w:r>
      <w:r w:rsidR="00152A59" w:rsidRPr="0041597E">
        <w:rPr>
          <w:lang w:val="en-GB"/>
        </w:rPr>
        <w:t xml:space="preserve"> </w:t>
      </w:r>
      <w:r w:rsidR="003404D8" w:rsidRPr="0041597E">
        <w:rPr>
          <w:lang w:val="en-GB"/>
        </w:rPr>
        <w:t xml:space="preserve">all </w:t>
      </w:r>
      <w:r w:rsidR="003404D8">
        <w:rPr>
          <w:lang w:val="en-GB"/>
        </w:rPr>
        <w:t xml:space="preserve">methods for all </w:t>
      </w:r>
      <w:r w:rsidR="003404D8" w:rsidRPr="0041597E">
        <w:rPr>
          <w:lang w:val="en-GB"/>
        </w:rPr>
        <w:t xml:space="preserve">emissions sources. PEM using </w:t>
      </w:r>
      <w:r w:rsidR="386B6EBF" w:rsidRPr="0CBF3C1E">
        <w:rPr>
          <w:lang w:val="en-GB"/>
        </w:rPr>
        <w:t>M</w:t>
      </w:r>
      <w:r w:rsidR="003404D8" w:rsidRPr="0041597E">
        <w:rPr>
          <w:lang w:val="en-GB"/>
        </w:rPr>
        <w:t>ethod 4 can also be affected, noting that if monthly emissions monitoring is applied, only one measurement period can be missed</w:t>
      </w:r>
      <w:r w:rsidR="004859AE">
        <w:rPr>
          <w:lang w:val="en-GB"/>
        </w:rPr>
        <w:t xml:space="preserve"> before you are required to notify the CER</w:t>
      </w:r>
      <w:r w:rsidR="003404D8" w:rsidRPr="0041597E">
        <w:rPr>
          <w:lang w:val="en-GB"/>
        </w:rPr>
        <w:t>. It also applies to all other emissions sources</w:t>
      </w:r>
      <w:r w:rsidR="003404D8">
        <w:rPr>
          <w:lang w:val="en-GB"/>
        </w:rPr>
        <w:t xml:space="preserve"> – for example,</w:t>
      </w:r>
      <w:r w:rsidR="003404D8" w:rsidRPr="0041597E">
        <w:rPr>
          <w:lang w:val="en-GB"/>
        </w:rPr>
        <w:t xml:space="preserve"> failure of a meter to measure flow of gas to a combustion source, even when using </w:t>
      </w:r>
      <w:r w:rsidR="6BDAEB22" w:rsidRPr="0CBF3C1E">
        <w:rPr>
          <w:lang w:val="en-GB"/>
        </w:rPr>
        <w:t>M</w:t>
      </w:r>
      <w:r w:rsidR="003404D8" w:rsidRPr="0041597E">
        <w:rPr>
          <w:lang w:val="en-GB"/>
        </w:rPr>
        <w:t>ethod 1, 2 or 3.</w:t>
      </w:r>
    </w:p>
    <w:p w14:paraId="57CF2734" w14:textId="0079E347" w:rsidR="00BB26DF" w:rsidRDefault="00A63F68" w:rsidP="003404D8">
      <w:r>
        <w:lastRenderedPageBreak/>
        <w:t xml:space="preserve">The </w:t>
      </w:r>
      <w:r w:rsidR="5FD3B76C">
        <w:t>CER</w:t>
      </w:r>
      <w:r w:rsidR="003404D8">
        <w:t xml:space="preserve"> may direct </w:t>
      </w:r>
      <w:r w:rsidR="3EE14B70">
        <w:t>M</w:t>
      </w:r>
      <w:r w:rsidR="003404D8">
        <w:t xml:space="preserve">ethod 1 be used to estimate emissions during the down time if </w:t>
      </w:r>
      <w:r w:rsidR="046E9A38">
        <w:t>M</w:t>
      </w:r>
      <w:r w:rsidR="003404D8">
        <w:t xml:space="preserve">ethod 2, 3 or 4 has been used to estimate emissions for the source and if the down time exceeds </w:t>
      </w:r>
      <w:r w:rsidR="00CD51DF">
        <w:t xml:space="preserve">6 </w:t>
      </w:r>
      <w:r w:rsidR="003404D8">
        <w:t>weeks in a reporting period.</w:t>
      </w:r>
    </w:p>
    <w:p w14:paraId="05B3E12B" w14:textId="379968AB" w:rsidR="00E66245" w:rsidRPr="00785672" w:rsidRDefault="005E562D" w:rsidP="003404D8">
      <w:r>
        <w:t>If</w:t>
      </w:r>
      <w:r w:rsidR="0058283F">
        <w:t xml:space="preserve"> you are unsure whether an instance of technical or mechanical failure of equipment or measurement systems constitutes a temporary unavailability of method, please </w:t>
      </w:r>
      <w:r w:rsidR="000B596F">
        <w:t xml:space="preserve">contact us at </w:t>
      </w:r>
      <w:hyperlink r:id="rId33" w:history="1">
        <w:r w:rsidR="000B596F" w:rsidRPr="00AA494F">
          <w:rPr>
            <w:rStyle w:val="Hyperlink"/>
            <w:rFonts w:asciiTheme="minorHAnsi" w:hAnsiTheme="minorHAnsi"/>
          </w:rPr>
          <w:t>cer-nger-reporting@cer.gov.au</w:t>
        </w:r>
      </w:hyperlink>
      <w:r w:rsidR="0058283F">
        <w:t xml:space="preserve"> to </w:t>
      </w:r>
      <w:r w:rsidR="002400F8">
        <w:t>clarify.</w:t>
      </w:r>
    </w:p>
    <w:tbl>
      <w:tblPr>
        <w:tblStyle w:val="CERCallout"/>
        <w:tblW w:w="10035" w:type="dxa"/>
        <w:tblLook w:val="0600" w:firstRow="0" w:lastRow="0" w:firstColumn="0" w:lastColumn="0" w:noHBand="1" w:noVBand="1"/>
      </w:tblPr>
      <w:tblGrid>
        <w:gridCol w:w="10035"/>
      </w:tblGrid>
      <w:tr w:rsidR="009F3450" w:rsidRPr="002C556E" w14:paraId="473BAF74" w14:textId="77777777" w:rsidTr="00785672">
        <w:tc>
          <w:tcPr>
            <w:tcW w:w="10035" w:type="dxa"/>
          </w:tcPr>
          <w:p w14:paraId="1293A395" w14:textId="1AA3894A" w:rsidR="002F0AB1" w:rsidRPr="00785672" w:rsidRDefault="002F0AB1">
            <w:pPr>
              <w:spacing w:before="120" w:after="120"/>
              <w:rPr>
                <w:b/>
                <w:bCs/>
              </w:rPr>
            </w:pPr>
            <w:r w:rsidRPr="00785672">
              <w:rPr>
                <w:rFonts w:asciiTheme="majorHAnsi" w:eastAsia="Times New Roman" w:hAnsiTheme="majorHAnsi" w:cstheme="majorHAnsi"/>
                <w:b/>
                <w:bCs/>
                <w:sz w:val="27"/>
                <w:szCs w:val="27"/>
              </w:rPr>
              <w:t>Example 1 – temporary unavailability</w:t>
            </w:r>
            <w:r w:rsidRPr="00785672">
              <w:rPr>
                <w:b/>
                <w:bCs/>
                <w:sz w:val="27"/>
                <w:szCs w:val="27"/>
              </w:rPr>
              <w:t xml:space="preserve"> of method under 6 weeks</w:t>
            </w:r>
            <w:r w:rsidRPr="00785672">
              <w:rPr>
                <w:b/>
                <w:bCs/>
              </w:rPr>
              <w:t xml:space="preserve"> </w:t>
            </w:r>
          </w:p>
          <w:p w14:paraId="44F73B9C" w14:textId="1164B193" w:rsidR="002F0AB1" w:rsidRPr="006E468B" w:rsidRDefault="002F0AB1" w:rsidP="002F0AB1">
            <w:pPr>
              <w:rPr>
                <w:bCs/>
              </w:rPr>
            </w:pPr>
            <w:r w:rsidRPr="00EB5DD8">
              <w:rPr>
                <w:bCs/>
              </w:rPr>
              <w:t xml:space="preserve">In this example, a flow meter continuously measuring natural gas at point of combustion (criterion AAA) at a generator experienced a technical fault whereby </w:t>
            </w:r>
            <w:r w:rsidR="00DB652D">
              <w:rPr>
                <w:bCs/>
              </w:rPr>
              <w:t xml:space="preserve">the </w:t>
            </w:r>
            <w:r w:rsidRPr="00EB5DD8">
              <w:rPr>
                <w:bCs/>
              </w:rPr>
              <w:t>quantity of fuel combusted was not measured for one day of operation.</w:t>
            </w:r>
          </w:p>
          <w:p w14:paraId="5BB69727" w14:textId="64E19B07" w:rsidR="002F0AB1" w:rsidRPr="006E468B" w:rsidRDefault="002F0AB1" w:rsidP="002F0AB1">
            <w:pPr>
              <w:rPr>
                <w:bCs/>
              </w:rPr>
            </w:pPr>
            <w:r w:rsidRPr="00EB5DD8">
              <w:rPr>
                <w:bCs/>
              </w:rPr>
              <w:t xml:space="preserve">As the quantity of fuel combusted was unable to be compliantly measured under criterion AAA, the reporter estimated emissions for the </w:t>
            </w:r>
            <w:r w:rsidR="00C042F2">
              <w:rPr>
                <w:bCs/>
              </w:rPr>
              <w:t xml:space="preserve">down </w:t>
            </w:r>
            <w:proofErr w:type="gramStart"/>
            <w:r w:rsidR="00C042F2">
              <w:rPr>
                <w:bCs/>
              </w:rPr>
              <w:t xml:space="preserve">time </w:t>
            </w:r>
            <w:r w:rsidRPr="00EB5DD8">
              <w:rPr>
                <w:bCs/>
              </w:rPr>
              <w:t>period</w:t>
            </w:r>
            <w:proofErr w:type="gramEnd"/>
            <w:r w:rsidRPr="00EB5DD8">
              <w:rPr>
                <w:bCs/>
              </w:rPr>
              <w:t xml:space="preserve"> </w:t>
            </w:r>
            <w:r w:rsidR="00C042F2">
              <w:rPr>
                <w:bCs/>
              </w:rPr>
              <w:t xml:space="preserve">of </w:t>
            </w:r>
            <w:r w:rsidRPr="00EB5DD8">
              <w:rPr>
                <w:bCs/>
              </w:rPr>
              <w:t>the meter in a manner consistent with the general principles in section 1.13 of the NGER Measurement Determination.</w:t>
            </w:r>
          </w:p>
          <w:p w14:paraId="50922B4A" w14:textId="30228152" w:rsidR="002F0AB1" w:rsidRPr="00993013" w:rsidRDefault="002F0AB1">
            <w:pPr>
              <w:spacing w:before="120" w:after="120"/>
              <w:rPr>
                <w:rFonts w:asciiTheme="majorHAnsi" w:eastAsia="Times New Roman" w:hAnsiTheme="majorHAnsi" w:cstheme="majorHAnsi"/>
                <w:sz w:val="27"/>
                <w:szCs w:val="27"/>
              </w:rPr>
            </w:pPr>
            <w:r w:rsidRPr="00EB5DD8">
              <w:rPr>
                <w:bCs/>
              </w:rPr>
              <w:t>This was done by comparing historical records of fuel combustion against records of electricity production at the generator. The reporter also considered the generator’s efficiency as stated by the manufacturer and was able to produce an estimate of emissions for the day.</w:t>
            </w:r>
            <w:r w:rsidR="00F37C90">
              <w:rPr>
                <w:bCs/>
              </w:rPr>
              <w:t xml:space="preserve"> </w:t>
            </w:r>
            <w:r w:rsidRPr="00F37C90">
              <w:rPr>
                <w:bCs/>
              </w:rPr>
              <w:t>Details of this method of estimation and the decision-making process were recorded in line with the record keeping requirements of section 22 of the NGER Act.</w:t>
            </w:r>
            <w:r w:rsidR="00F37C90">
              <w:rPr>
                <w:bCs/>
              </w:rPr>
              <w:t xml:space="preserve"> </w:t>
            </w:r>
            <w:r w:rsidRPr="00EB5DD8">
              <w:rPr>
                <w:bCs/>
              </w:rPr>
              <w:t>There were two other days during the reporting period where the flow meter experienced similar failures and a similar procedure for estimating emissions was followed, but as the cumulative down time was below 6 weeks, it was not necessary to notify the CER.</w:t>
            </w:r>
          </w:p>
        </w:tc>
      </w:tr>
    </w:tbl>
    <w:p w14:paraId="77EA6084" w14:textId="77777777" w:rsidR="002F0AB1" w:rsidRDefault="002F0AB1" w:rsidP="00C171DB">
      <w:pPr>
        <w:rPr>
          <w:b/>
          <w:bCs/>
          <w:sz w:val="27"/>
          <w:szCs w:val="27"/>
        </w:rPr>
      </w:pPr>
    </w:p>
    <w:tbl>
      <w:tblPr>
        <w:tblStyle w:val="CERCallout"/>
        <w:tblW w:w="9751" w:type="dxa"/>
        <w:tblLook w:val="0600" w:firstRow="0" w:lastRow="0" w:firstColumn="0" w:lastColumn="0" w:noHBand="1" w:noVBand="1"/>
      </w:tblPr>
      <w:tblGrid>
        <w:gridCol w:w="9751"/>
      </w:tblGrid>
      <w:tr w:rsidR="00B5787E" w14:paraId="12DE9FEC" w14:textId="77777777" w:rsidTr="0010257A">
        <w:tc>
          <w:tcPr>
            <w:tcW w:w="9751" w:type="dxa"/>
          </w:tcPr>
          <w:p w14:paraId="351DA1D4" w14:textId="77777777" w:rsidR="002F0AB1" w:rsidRPr="005D6C54" w:rsidRDefault="002F0AB1" w:rsidP="002F0AB1">
            <w:pPr>
              <w:rPr>
                <w:b/>
                <w:bCs/>
                <w:sz w:val="27"/>
                <w:szCs w:val="27"/>
              </w:rPr>
            </w:pPr>
            <w:r w:rsidRPr="0010257A">
              <w:rPr>
                <w:b/>
                <w:bCs/>
                <w:sz w:val="27"/>
                <w:szCs w:val="27"/>
              </w:rPr>
              <w:lastRenderedPageBreak/>
              <w:t xml:space="preserve">Example 2 </w:t>
            </w:r>
            <w:r w:rsidRPr="005D6C54">
              <w:rPr>
                <w:b/>
                <w:bCs/>
                <w:sz w:val="27"/>
                <w:szCs w:val="27"/>
              </w:rPr>
              <w:t>– temporary unavailability of method over 6 weeks</w:t>
            </w:r>
          </w:p>
          <w:p w14:paraId="62D5B1CF" w14:textId="062335F0" w:rsidR="002C6C9E" w:rsidRPr="00F37C90" w:rsidRDefault="002F0AB1" w:rsidP="002C6C9E">
            <w:pPr>
              <w:rPr>
                <w:b/>
                <w:bCs/>
              </w:rPr>
            </w:pPr>
            <w:r w:rsidRPr="00EB5DD8">
              <w:rPr>
                <w:bCs/>
              </w:rPr>
              <w:t xml:space="preserve">In this example, a gas chromatograph </w:t>
            </w:r>
            <w:r w:rsidR="00522D31" w:rsidRPr="00EB5DD8">
              <w:rPr>
                <w:bCs/>
              </w:rPr>
              <w:t xml:space="preserve">measuring </w:t>
            </w:r>
            <w:r w:rsidR="0024264C">
              <w:rPr>
                <w:bCs/>
              </w:rPr>
              <w:t xml:space="preserve">the </w:t>
            </w:r>
            <w:r w:rsidR="00522D31" w:rsidRPr="00EB5DD8">
              <w:rPr>
                <w:bCs/>
              </w:rPr>
              <w:t xml:space="preserve">quantity of hydrocarbons in a gas stream being sent to a flare </w:t>
            </w:r>
            <w:r w:rsidR="00D67886" w:rsidRPr="00EB5DD8">
              <w:rPr>
                <w:bCs/>
              </w:rPr>
              <w:t xml:space="preserve">sustained damage </w:t>
            </w:r>
            <w:r w:rsidR="00D80481" w:rsidRPr="00EB5DD8">
              <w:rPr>
                <w:bCs/>
              </w:rPr>
              <w:t xml:space="preserve">and </w:t>
            </w:r>
            <w:r w:rsidR="003627BC" w:rsidRPr="00EB5DD8">
              <w:rPr>
                <w:bCs/>
              </w:rPr>
              <w:t xml:space="preserve">was </w:t>
            </w:r>
            <w:r w:rsidR="005D2E09" w:rsidRPr="00EB5DD8">
              <w:rPr>
                <w:bCs/>
              </w:rPr>
              <w:t xml:space="preserve">no longer </w:t>
            </w:r>
            <w:r w:rsidR="00742D73" w:rsidRPr="00EB5DD8">
              <w:rPr>
                <w:bCs/>
              </w:rPr>
              <w:t xml:space="preserve">accurately </w:t>
            </w:r>
            <w:r w:rsidR="005D2E09" w:rsidRPr="00EB5DD8">
              <w:rPr>
                <w:bCs/>
              </w:rPr>
              <w:t>measur</w:t>
            </w:r>
            <w:r w:rsidR="00742D73" w:rsidRPr="00EB5DD8">
              <w:rPr>
                <w:bCs/>
              </w:rPr>
              <w:t>ing the gas stream.</w:t>
            </w:r>
            <w:r w:rsidRPr="00EB5DD8">
              <w:rPr>
                <w:bCs/>
              </w:rPr>
              <w:t xml:space="preserve"> </w:t>
            </w:r>
            <w:r w:rsidR="002C6C9E" w:rsidRPr="00EB5DD8">
              <w:rPr>
                <w:bCs/>
              </w:rPr>
              <w:t>Emissions from the flare were estimated under Method 2 which requires measurement of the hydrocarbon</w:t>
            </w:r>
            <w:r w:rsidR="005D7AC2" w:rsidRPr="00EB5DD8">
              <w:rPr>
                <w:bCs/>
              </w:rPr>
              <w:t xml:space="preserve"> quantities</w:t>
            </w:r>
            <w:r w:rsidR="002C6C9E" w:rsidRPr="00EB5DD8">
              <w:rPr>
                <w:bCs/>
              </w:rPr>
              <w:t xml:space="preserve">. </w:t>
            </w:r>
          </w:p>
          <w:p w14:paraId="4E1F84E9" w14:textId="207F44A1" w:rsidR="002F0AB1" w:rsidRPr="006E468B" w:rsidRDefault="002F0AB1" w:rsidP="002F0AB1">
            <w:pPr>
              <w:rPr>
                <w:bCs/>
              </w:rPr>
            </w:pPr>
            <w:r w:rsidRPr="00EB5DD8">
              <w:rPr>
                <w:bCs/>
              </w:rPr>
              <w:t xml:space="preserve">The defect was identified one week after its occurrence, and a replacement </w:t>
            </w:r>
            <w:r w:rsidR="00742D73" w:rsidRPr="00EB5DD8">
              <w:rPr>
                <w:bCs/>
              </w:rPr>
              <w:t>part</w:t>
            </w:r>
            <w:r w:rsidRPr="00EB5DD8">
              <w:rPr>
                <w:bCs/>
              </w:rPr>
              <w:t xml:space="preserve"> was ordered.</w:t>
            </w:r>
            <w:r w:rsidR="005D7AC2" w:rsidRPr="00EB5DD8">
              <w:rPr>
                <w:bCs/>
              </w:rPr>
              <w:t xml:space="preserve"> </w:t>
            </w:r>
            <w:r w:rsidRPr="00EB5DD8">
              <w:rPr>
                <w:bCs/>
              </w:rPr>
              <w:t>In the meantime, emissions from the source were estimated based on historical data of gas stream composition and records of the estimation method were retained.</w:t>
            </w:r>
          </w:p>
          <w:p w14:paraId="2A3AB590" w14:textId="20A17D84" w:rsidR="002F0AB1" w:rsidRPr="006E468B" w:rsidRDefault="002F0AB1" w:rsidP="002F0AB1">
            <w:pPr>
              <w:rPr>
                <w:bCs/>
              </w:rPr>
            </w:pPr>
            <w:r w:rsidRPr="00EB5DD8">
              <w:rPr>
                <w:bCs/>
              </w:rPr>
              <w:t xml:space="preserve">Delivery of the replacement component was </w:t>
            </w:r>
            <w:r w:rsidR="00823D48" w:rsidRPr="00EB5DD8">
              <w:rPr>
                <w:bCs/>
              </w:rPr>
              <w:t xml:space="preserve">then </w:t>
            </w:r>
            <w:r w:rsidRPr="00EB5DD8">
              <w:rPr>
                <w:bCs/>
              </w:rPr>
              <w:t xml:space="preserve">delayed </w:t>
            </w:r>
            <w:r w:rsidR="00823D48" w:rsidRPr="00EB5DD8">
              <w:rPr>
                <w:bCs/>
              </w:rPr>
              <w:t xml:space="preserve">by </w:t>
            </w:r>
            <w:r w:rsidRPr="00EB5DD8">
              <w:rPr>
                <w:bCs/>
              </w:rPr>
              <w:t xml:space="preserve">7 weeks. As the reporter became aware that the expected duration of down time was going to exceed 6 weeks, they notified the CER </w:t>
            </w:r>
            <w:r w:rsidR="003213D4" w:rsidRPr="00EB5DD8">
              <w:rPr>
                <w:bCs/>
              </w:rPr>
              <w:t xml:space="preserve">in writing </w:t>
            </w:r>
            <w:r w:rsidRPr="00EB5DD8">
              <w:rPr>
                <w:bCs/>
              </w:rPr>
              <w:t>of:</w:t>
            </w:r>
          </w:p>
          <w:p w14:paraId="295423C4" w14:textId="4F380B91" w:rsidR="002F0AB1" w:rsidRPr="006E468B" w:rsidRDefault="002F0AB1" w:rsidP="002F0AB1">
            <w:pPr>
              <w:pStyle w:val="ListParagraph"/>
              <w:numPr>
                <w:ilvl w:val="0"/>
                <w:numId w:val="12"/>
              </w:numPr>
              <w:rPr>
                <w:bCs/>
              </w:rPr>
            </w:pPr>
            <w:r w:rsidRPr="00EB5DD8">
              <w:rPr>
                <w:bCs/>
              </w:rPr>
              <w:t xml:space="preserve">the nature of the failure of the </w:t>
            </w:r>
            <w:r w:rsidR="003213D4" w:rsidRPr="00EB5DD8">
              <w:rPr>
                <w:bCs/>
              </w:rPr>
              <w:t>equipment</w:t>
            </w:r>
            <w:r w:rsidR="00946D67" w:rsidRPr="00EB5DD8">
              <w:rPr>
                <w:bCs/>
              </w:rPr>
              <w:t xml:space="preserve"> (the gas chromatograph)</w:t>
            </w:r>
          </w:p>
          <w:p w14:paraId="1BECD080" w14:textId="716E3AFE" w:rsidR="002F0AB1" w:rsidRPr="006E468B" w:rsidRDefault="002F0AB1" w:rsidP="002F0AB1">
            <w:pPr>
              <w:pStyle w:val="ListParagraph"/>
              <w:numPr>
                <w:ilvl w:val="0"/>
                <w:numId w:val="12"/>
              </w:numPr>
              <w:rPr>
                <w:bCs/>
              </w:rPr>
            </w:pPr>
            <w:r w:rsidRPr="00EB5DD8">
              <w:rPr>
                <w:bCs/>
              </w:rPr>
              <w:t xml:space="preserve">the </w:t>
            </w:r>
            <w:r w:rsidR="00697B54" w:rsidRPr="00EB5DD8">
              <w:rPr>
                <w:bCs/>
              </w:rPr>
              <w:t xml:space="preserve">reason the down time </w:t>
            </w:r>
            <w:r w:rsidR="00946D67" w:rsidRPr="00EB5DD8">
              <w:rPr>
                <w:bCs/>
              </w:rPr>
              <w:t>will exceed 6 weeks (</w:t>
            </w:r>
            <w:r w:rsidR="000C0966" w:rsidRPr="00EB5DD8">
              <w:rPr>
                <w:bCs/>
              </w:rPr>
              <w:t>delay in replacement delivery)</w:t>
            </w:r>
          </w:p>
          <w:p w14:paraId="67077E1D" w14:textId="034BBE6A" w:rsidR="002F0AB1" w:rsidRPr="006E468B" w:rsidRDefault="002F0AB1" w:rsidP="002F0AB1">
            <w:pPr>
              <w:pStyle w:val="ListParagraph"/>
              <w:numPr>
                <w:ilvl w:val="0"/>
                <w:numId w:val="12"/>
              </w:numPr>
              <w:rPr>
                <w:bCs/>
              </w:rPr>
            </w:pPr>
            <w:r w:rsidRPr="00EB5DD8">
              <w:rPr>
                <w:bCs/>
              </w:rPr>
              <w:t>details on how emissions have been estimated during the down time</w:t>
            </w:r>
          </w:p>
          <w:p w14:paraId="257E008B" w14:textId="77777777" w:rsidR="002F0AB1" w:rsidRPr="006E468B" w:rsidRDefault="002F0AB1" w:rsidP="002F0AB1">
            <w:pPr>
              <w:pStyle w:val="ListParagraph"/>
              <w:numPr>
                <w:ilvl w:val="0"/>
                <w:numId w:val="12"/>
              </w:numPr>
              <w:rPr>
                <w:bCs/>
              </w:rPr>
            </w:pPr>
            <w:r w:rsidRPr="00EB5DD8">
              <w:rPr>
                <w:bCs/>
              </w:rPr>
              <w:t>plans for minimising down time where possible.</w:t>
            </w:r>
          </w:p>
          <w:p w14:paraId="1C27DF34" w14:textId="3BA323F6" w:rsidR="002F0AB1" w:rsidRPr="00D27872" w:rsidRDefault="002F0AB1" w:rsidP="002F0AB1">
            <w:pPr>
              <w:rPr>
                <w:b/>
                <w:bCs/>
              </w:rPr>
            </w:pPr>
            <w:r w:rsidRPr="00EB5DD8">
              <w:rPr>
                <w:bCs/>
              </w:rPr>
              <w:t xml:space="preserve">Upon receiving the notification, </w:t>
            </w:r>
            <w:r w:rsidR="007D7E99">
              <w:rPr>
                <w:bCs/>
              </w:rPr>
              <w:t xml:space="preserve">the </w:t>
            </w:r>
            <w:r w:rsidRPr="00EB5DD8">
              <w:rPr>
                <w:bCs/>
              </w:rPr>
              <w:t>CER consider</w:t>
            </w:r>
            <w:r w:rsidR="007D7E99">
              <w:rPr>
                <w:bCs/>
              </w:rPr>
              <w:t>ed</w:t>
            </w:r>
            <w:r w:rsidRPr="00EB5DD8">
              <w:rPr>
                <w:bCs/>
              </w:rPr>
              <w:t xml:space="preserve"> whether to require Method 1 be used </w:t>
            </w:r>
            <w:r w:rsidR="00366F7E" w:rsidRPr="00EB5DD8">
              <w:rPr>
                <w:bCs/>
              </w:rPr>
              <w:t xml:space="preserve">to estimate emissions from the source </w:t>
            </w:r>
            <w:r w:rsidRPr="00EB5DD8">
              <w:rPr>
                <w:bCs/>
              </w:rPr>
              <w:t>for the reporting period</w:t>
            </w:r>
            <w:r w:rsidR="002E49D5" w:rsidRPr="00EB5DD8">
              <w:rPr>
                <w:bCs/>
              </w:rPr>
              <w:t>,</w:t>
            </w:r>
            <w:r w:rsidRPr="00EB5DD8">
              <w:rPr>
                <w:bCs/>
              </w:rPr>
              <w:t xml:space="preserve"> instead of Method</w:t>
            </w:r>
            <w:r w:rsidR="00665E43" w:rsidRPr="00EB5DD8">
              <w:rPr>
                <w:bCs/>
              </w:rPr>
              <w:t xml:space="preserve"> 2</w:t>
            </w:r>
            <w:r w:rsidRPr="00EB5DD8">
              <w:rPr>
                <w:bCs/>
              </w:rPr>
              <w:t>.</w:t>
            </w:r>
          </w:p>
        </w:tc>
      </w:tr>
    </w:tbl>
    <w:p w14:paraId="0095AB54" w14:textId="77777777" w:rsidR="002F0AB1" w:rsidRDefault="002F0AB1" w:rsidP="00C171DB">
      <w:pPr>
        <w:rPr>
          <w:b/>
          <w:bCs/>
          <w:sz w:val="27"/>
          <w:szCs w:val="27"/>
        </w:rPr>
      </w:pPr>
    </w:p>
    <w:p w14:paraId="2FFF442E" w14:textId="1769D972" w:rsidR="003404D8" w:rsidRDefault="0A32059C" w:rsidP="00D27872">
      <w:pPr>
        <w:pStyle w:val="Heading2"/>
        <w:numPr>
          <w:ilvl w:val="1"/>
          <w:numId w:val="4"/>
        </w:numPr>
        <w:ind w:left="720" w:hanging="720"/>
        <w:rPr>
          <w:lang w:eastAsia="en-AU"/>
        </w:rPr>
      </w:pPr>
      <w:bookmarkStart w:id="56" w:name="_Toc199515084"/>
      <w:bookmarkStart w:id="57" w:name="_Toc76042529"/>
      <w:bookmarkStart w:id="58" w:name="_Toc205547712"/>
      <w:bookmarkEnd w:id="56"/>
      <w:r w:rsidRPr="2C658374">
        <w:rPr>
          <w:lang w:eastAsia="en-AU"/>
        </w:rPr>
        <w:t>Constraints on Methods</w:t>
      </w:r>
      <w:bookmarkEnd w:id="57"/>
      <w:bookmarkEnd w:id="58"/>
    </w:p>
    <w:p w14:paraId="6EE76848" w14:textId="558151C5" w:rsidR="003404D8" w:rsidRDefault="003404D8" w:rsidP="003404D8">
      <w:pPr>
        <w:spacing w:before="120" w:after="120"/>
        <w:rPr>
          <w:lang w:eastAsia="en-AU"/>
        </w:rPr>
      </w:pPr>
      <w:r w:rsidRPr="00291F2E">
        <w:rPr>
          <w:lang w:eastAsia="en-AU"/>
        </w:rPr>
        <w:t xml:space="preserve">The consistent use of reporting methods over multiple reporting periods is an important principle for measuring emissions and energy. </w:t>
      </w:r>
      <w:r w:rsidR="005D3AB2" w:rsidRPr="00291F2E">
        <w:rPr>
          <w:lang w:eastAsia="en-AU"/>
        </w:rPr>
        <w:t>To</w:t>
      </w:r>
      <w:r w:rsidRPr="00291F2E">
        <w:rPr>
          <w:lang w:eastAsia="en-AU"/>
        </w:rPr>
        <w:t xml:space="preserve"> promote consistency, restrictions have been placed on w</w:t>
      </w:r>
      <w:r>
        <w:rPr>
          <w:lang w:eastAsia="en-AU"/>
        </w:rPr>
        <w:t>hen</w:t>
      </w:r>
      <w:r w:rsidRPr="00291F2E">
        <w:rPr>
          <w:lang w:eastAsia="en-AU"/>
        </w:rPr>
        <w:t xml:space="preserve"> methods</w:t>
      </w:r>
      <w:r>
        <w:rPr>
          <w:lang w:eastAsia="en-AU"/>
        </w:rPr>
        <w:t xml:space="preserve"> may be applied</w:t>
      </w:r>
      <w:r w:rsidRPr="00291F2E">
        <w:rPr>
          <w:lang w:eastAsia="en-AU"/>
        </w:rPr>
        <w:t>. Method restrictions for a source of emissions are provided in Division 1.2.2</w:t>
      </w:r>
      <w:r>
        <w:rPr>
          <w:lang w:eastAsia="en-AU"/>
        </w:rPr>
        <w:t xml:space="preserve"> of the NGER Measurement Determination</w:t>
      </w:r>
      <w:r w:rsidRPr="00291F2E">
        <w:rPr>
          <w:lang w:eastAsia="en-AU"/>
        </w:rPr>
        <w:t xml:space="preserve">. </w:t>
      </w:r>
      <w:r>
        <w:t xml:space="preserve">With respect to any separate occurrence of a source, a reporter must continue to use the same estimation method for at least </w:t>
      </w:r>
      <w:r w:rsidR="00381DFC">
        <w:t xml:space="preserve">4 </w:t>
      </w:r>
      <w:r>
        <w:t xml:space="preserve">consecutive reporting years. A reporter may switch to a higher method at any time but must use the higher method for at least </w:t>
      </w:r>
      <w:r w:rsidR="00381DFC">
        <w:t xml:space="preserve">4 </w:t>
      </w:r>
      <w:r>
        <w:t>years before changing to a lower method.</w:t>
      </w:r>
    </w:p>
    <w:p w14:paraId="3E988E9D" w14:textId="7AC58C16" w:rsidR="003404D8" w:rsidRDefault="003404D8" w:rsidP="003404D8">
      <w:pPr>
        <w:rPr>
          <w:lang w:eastAsia="en-AU"/>
        </w:rPr>
      </w:pPr>
      <w:r w:rsidRPr="00291F2E">
        <w:rPr>
          <w:lang w:eastAsia="en-AU"/>
        </w:rPr>
        <w:t>Th</w:t>
      </w:r>
      <w:r>
        <w:rPr>
          <w:lang w:eastAsia="en-AU"/>
        </w:rPr>
        <w:t>is</w:t>
      </w:r>
      <w:r w:rsidRPr="00291F2E">
        <w:rPr>
          <w:lang w:eastAsia="en-AU"/>
        </w:rPr>
        <w:t xml:space="preserve"> principle </w:t>
      </w:r>
      <w:r>
        <w:rPr>
          <w:lang w:eastAsia="en-AU"/>
        </w:rPr>
        <w:t>is</w:t>
      </w:r>
      <w:r w:rsidRPr="00291F2E">
        <w:rPr>
          <w:lang w:eastAsia="en-AU"/>
        </w:rPr>
        <w:t xml:space="preserve"> </w:t>
      </w:r>
      <w:r>
        <w:rPr>
          <w:lang w:eastAsia="en-AU"/>
        </w:rPr>
        <w:t>consistent with the approach</w:t>
      </w:r>
      <w:r w:rsidRPr="00291F2E">
        <w:rPr>
          <w:lang w:eastAsia="en-AU"/>
        </w:rPr>
        <w:t xml:space="preserve"> that appl</w:t>
      </w:r>
      <w:r>
        <w:rPr>
          <w:lang w:eastAsia="en-AU"/>
        </w:rPr>
        <w:t>ies</w:t>
      </w:r>
      <w:r w:rsidRPr="00291F2E">
        <w:rPr>
          <w:lang w:eastAsia="en-AU"/>
        </w:rPr>
        <w:t xml:space="preserve"> to the preparation of national inventories. Chapter 5 of Volume 1 of the </w:t>
      </w:r>
      <w:hyperlink r:id="rId34" w:tooltip="A link to the guidelines on the 2006 Intergovernmental Panel on Climate Change webpage" w:history="1">
        <w:r w:rsidRPr="0018183E">
          <w:rPr>
            <w:rStyle w:val="Hyperlink"/>
            <w:rFonts w:asciiTheme="minorHAnsi" w:hAnsiTheme="minorHAnsi"/>
            <w:lang w:eastAsia="en-AU"/>
          </w:rPr>
          <w:t xml:space="preserve">2006 </w:t>
        </w:r>
        <w:r>
          <w:rPr>
            <w:rStyle w:val="Hyperlink"/>
            <w:rFonts w:asciiTheme="minorHAnsi" w:hAnsiTheme="minorHAnsi"/>
            <w:lang w:eastAsia="en-AU"/>
          </w:rPr>
          <w:t>Intergovernmental Panel on Climate Change (</w:t>
        </w:r>
        <w:r w:rsidRPr="0018183E">
          <w:rPr>
            <w:rStyle w:val="Hyperlink"/>
            <w:rFonts w:asciiTheme="minorHAnsi" w:hAnsiTheme="minorHAnsi"/>
            <w:lang w:eastAsia="en-AU"/>
          </w:rPr>
          <w:t>IPCC</w:t>
        </w:r>
        <w:r>
          <w:rPr>
            <w:rStyle w:val="Hyperlink"/>
            <w:rFonts w:asciiTheme="minorHAnsi" w:hAnsiTheme="minorHAnsi"/>
            <w:lang w:eastAsia="en-AU"/>
          </w:rPr>
          <w:t>)</w:t>
        </w:r>
        <w:r w:rsidRPr="0018183E">
          <w:rPr>
            <w:rStyle w:val="Hyperlink"/>
            <w:rFonts w:asciiTheme="minorHAnsi" w:hAnsiTheme="minorHAnsi"/>
            <w:lang w:eastAsia="en-AU"/>
          </w:rPr>
          <w:t xml:space="preserve"> Guidelines</w:t>
        </w:r>
      </w:hyperlink>
      <w:r w:rsidRPr="00291F2E">
        <w:rPr>
          <w:vertAlign w:val="superscript"/>
          <w:lang w:eastAsia="en-AU"/>
        </w:rPr>
        <w:footnoteReference w:id="13"/>
      </w:r>
      <w:r w:rsidRPr="00291F2E">
        <w:rPr>
          <w:lang w:eastAsia="en-AU"/>
        </w:rPr>
        <w:t xml:space="preserve"> for National Greenhouse Gas Inventories provides a detailed discussion of the issue.</w:t>
      </w:r>
    </w:p>
    <w:p w14:paraId="19308909" w14:textId="5AF28E11" w:rsidR="00611537" w:rsidRDefault="005C7D4C" w:rsidP="003404D8">
      <w:r>
        <w:t>Commencing</w:t>
      </w:r>
      <w:r w:rsidR="00474FC8">
        <w:t xml:space="preserve"> in the </w:t>
      </w:r>
      <w:r>
        <w:t xml:space="preserve">2021–22 reporting </w:t>
      </w:r>
      <w:r w:rsidR="00474FC8">
        <w:t>year, constraints were also applied</w:t>
      </w:r>
      <w:r w:rsidR="007E2239">
        <w:t xml:space="preserve"> </w:t>
      </w:r>
      <w:r w:rsidR="00037F26">
        <w:t xml:space="preserve">when estimating </w:t>
      </w:r>
      <w:r w:rsidR="00302E6E">
        <w:t xml:space="preserve">fugitive </w:t>
      </w:r>
      <w:r w:rsidR="00037F26">
        <w:t>emissions from</w:t>
      </w:r>
      <w:r w:rsidR="00302E6E">
        <w:t xml:space="preserve"> </w:t>
      </w:r>
      <w:r w:rsidR="0074721B">
        <w:t xml:space="preserve">the following </w:t>
      </w:r>
      <w:r w:rsidR="00C619C3">
        <w:t xml:space="preserve">natural gas </w:t>
      </w:r>
      <w:r w:rsidR="0074721B">
        <w:t>sources</w:t>
      </w:r>
      <w:r w:rsidR="000217AD">
        <w:t>:</w:t>
      </w:r>
    </w:p>
    <w:p w14:paraId="38B8EB12" w14:textId="7A6FEC87" w:rsidR="00611537" w:rsidRDefault="00ED5BBF" w:rsidP="00386276">
      <w:pPr>
        <w:numPr>
          <w:ilvl w:val="0"/>
          <w:numId w:val="7"/>
        </w:numPr>
        <w:spacing w:before="120" w:after="120"/>
        <w:rPr>
          <w:lang w:val="en-GB"/>
        </w:rPr>
      </w:pPr>
      <w:bookmarkStart w:id="59" w:name="_Toc107314314"/>
      <w:r w:rsidRPr="00386276">
        <w:rPr>
          <w:lang w:val="en-GB"/>
        </w:rPr>
        <w:t>Subdivision 3.3.6A.1—Onshore natural gas production, other than emissions that are vented or flared—wellheads</w:t>
      </w:r>
      <w:bookmarkEnd w:id="59"/>
      <w:r w:rsidR="0074721B" w:rsidRPr="00386276">
        <w:rPr>
          <w:lang w:val="en-GB"/>
        </w:rPr>
        <w:t xml:space="preserve"> </w:t>
      </w:r>
      <w:bookmarkStart w:id="60" w:name="_Toc107314319"/>
    </w:p>
    <w:p w14:paraId="02A7E916" w14:textId="25197CC0" w:rsidR="00611537" w:rsidRDefault="00733761" w:rsidP="00386276">
      <w:pPr>
        <w:numPr>
          <w:ilvl w:val="0"/>
          <w:numId w:val="7"/>
        </w:numPr>
        <w:spacing w:before="120" w:after="120"/>
        <w:rPr>
          <w:lang w:val="en-GB"/>
        </w:rPr>
      </w:pPr>
      <w:r w:rsidRPr="00386276">
        <w:rPr>
          <w:lang w:val="en-GB"/>
        </w:rPr>
        <w:lastRenderedPageBreak/>
        <w:t>Subdivision 3.3.6B.1—Offshore natural gas production, other than emissions that are vented or flared—offshore platforms</w:t>
      </w:r>
      <w:bookmarkStart w:id="61" w:name="_Toc69480123"/>
      <w:bookmarkEnd w:id="60"/>
      <w:r w:rsidR="0074721B" w:rsidRPr="00386276">
        <w:rPr>
          <w:lang w:val="en-GB"/>
        </w:rPr>
        <w:t xml:space="preserve"> </w:t>
      </w:r>
    </w:p>
    <w:p w14:paraId="028DE984" w14:textId="2E68B4F8" w:rsidR="00581DD7" w:rsidRPr="00386276" w:rsidRDefault="00581DD7" w:rsidP="00386276">
      <w:pPr>
        <w:numPr>
          <w:ilvl w:val="0"/>
          <w:numId w:val="7"/>
        </w:numPr>
        <w:spacing w:before="120" w:after="120"/>
        <w:rPr>
          <w:lang w:val="en-GB"/>
        </w:rPr>
      </w:pPr>
      <w:r w:rsidRPr="00386276">
        <w:rPr>
          <w:lang w:val="en-GB"/>
        </w:rPr>
        <w:t>Division 3.3.6C—Natural gas gathering and boosting (other than emissions that are vented or flared</w:t>
      </w:r>
      <w:bookmarkEnd w:id="61"/>
      <w:r w:rsidRPr="00386276">
        <w:rPr>
          <w:lang w:val="en-GB"/>
        </w:rPr>
        <w:t>)</w:t>
      </w:r>
    </w:p>
    <w:p w14:paraId="63AE3125" w14:textId="4EAE30CB" w:rsidR="00731B08" w:rsidRPr="00386276" w:rsidRDefault="00731B08" w:rsidP="00386276">
      <w:pPr>
        <w:numPr>
          <w:ilvl w:val="0"/>
          <w:numId w:val="7"/>
        </w:numPr>
        <w:spacing w:before="120" w:after="120"/>
        <w:rPr>
          <w:lang w:val="en-GB"/>
        </w:rPr>
      </w:pPr>
      <w:bookmarkStart w:id="62" w:name="_Toc69480125"/>
      <w:r w:rsidRPr="00386276">
        <w:rPr>
          <w:lang w:val="en-GB"/>
        </w:rPr>
        <w:t>Division 3.3.6E—Natural gas processing (other than emissions that are vented or flared</w:t>
      </w:r>
      <w:bookmarkEnd w:id="62"/>
      <w:r w:rsidRPr="00386276">
        <w:rPr>
          <w:lang w:val="en-GB"/>
        </w:rPr>
        <w:t>)</w:t>
      </w:r>
    </w:p>
    <w:p w14:paraId="550CDDEA" w14:textId="29D4AD26" w:rsidR="00731B08" w:rsidRPr="00386276" w:rsidRDefault="001959BC" w:rsidP="00386276">
      <w:pPr>
        <w:numPr>
          <w:ilvl w:val="0"/>
          <w:numId w:val="7"/>
        </w:numPr>
        <w:spacing w:before="120" w:after="120"/>
        <w:rPr>
          <w:lang w:val="en-GB"/>
        </w:rPr>
      </w:pPr>
      <w:bookmarkStart w:id="63" w:name="_Toc69480127"/>
      <w:r w:rsidRPr="00386276">
        <w:rPr>
          <w:lang w:val="en-GB"/>
        </w:rPr>
        <w:t>Division 3.3.7A—Natural gas storage (other than emissions that are vented or flared)</w:t>
      </w:r>
      <w:bookmarkEnd w:id="63"/>
    </w:p>
    <w:p w14:paraId="5A695739" w14:textId="0888ADA4" w:rsidR="001959BC" w:rsidRPr="00386276" w:rsidRDefault="001959BC" w:rsidP="00386276">
      <w:pPr>
        <w:numPr>
          <w:ilvl w:val="0"/>
          <w:numId w:val="7"/>
        </w:numPr>
        <w:spacing w:before="120" w:after="120"/>
        <w:rPr>
          <w:lang w:val="en-GB"/>
        </w:rPr>
      </w:pPr>
      <w:bookmarkStart w:id="64" w:name="_Toc69480128"/>
      <w:r w:rsidRPr="00386276">
        <w:rPr>
          <w:lang w:val="en-GB"/>
        </w:rPr>
        <w:t>Division 3.3.7B—Natural gas liquefaction, storage and transfer (other than emissions that are vented or flared)</w:t>
      </w:r>
      <w:bookmarkEnd w:id="64"/>
      <w:r w:rsidR="00611537">
        <w:rPr>
          <w:lang w:val="en-GB"/>
        </w:rPr>
        <w:t>.</w:t>
      </w:r>
    </w:p>
    <w:p w14:paraId="509B3F7A" w14:textId="18E447E9" w:rsidR="00962B00" w:rsidRPr="00291F2E" w:rsidRDefault="00D74152" w:rsidP="003404D8">
      <w:pPr>
        <w:rPr>
          <w:lang w:eastAsia="en-AU"/>
        </w:rPr>
      </w:pPr>
      <w:r>
        <w:rPr>
          <w:lang w:eastAsia="en-AU"/>
        </w:rPr>
        <w:t xml:space="preserve">For the sources listed above, if </w:t>
      </w:r>
      <w:r w:rsidR="6E5D1D52" w:rsidRPr="0CBF3C1E">
        <w:rPr>
          <w:lang w:eastAsia="en-AU"/>
        </w:rPr>
        <w:t>M</w:t>
      </w:r>
      <w:r w:rsidRPr="0CBF3C1E">
        <w:rPr>
          <w:lang w:eastAsia="en-AU"/>
        </w:rPr>
        <w:t>ethod</w:t>
      </w:r>
      <w:r>
        <w:rPr>
          <w:lang w:eastAsia="en-AU"/>
        </w:rPr>
        <w:t xml:space="preserve"> 2 or 3 is used for a particular source</w:t>
      </w:r>
      <w:r w:rsidR="001C6802">
        <w:rPr>
          <w:lang w:eastAsia="en-AU"/>
        </w:rPr>
        <w:t xml:space="preserve"> then all </w:t>
      </w:r>
      <w:r w:rsidR="00010D2A">
        <w:rPr>
          <w:lang w:eastAsia="en-AU"/>
        </w:rPr>
        <w:t xml:space="preserve">applicable gases and </w:t>
      </w:r>
      <w:r w:rsidR="001C6802">
        <w:rPr>
          <w:lang w:eastAsia="en-AU"/>
        </w:rPr>
        <w:t>other sources that apply to the facility must also</w:t>
      </w:r>
      <w:r w:rsidR="00843192">
        <w:rPr>
          <w:lang w:eastAsia="en-AU"/>
        </w:rPr>
        <w:t xml:space="preserve"> be estimated using the same method. </w:t>
      </w:r>
      <w:r w:rsidR="00962B00">
        <w:rPr>
          <w:lang w:eastAsia="en-AU"/>
        </w:rPr>
        <w:t xml:space="preserve">For example, the use of </w:t>
      </w:r>
      <w:r w:rsidR="384BBD55" w:rsidRPr="0CBF3C1E">
        <w:rPr>
          <w:lang w:eastAsia="en-AU"/>
        </w:rPr>
        <w:t>M</w:t>
      </w:r>
      <w:r w:rsidR="00962B00" w:rsidRPr="0CBF3C1E">
        <w:rPr>
          <w:lang w:eastAsia="en-AU"/>
        </w:rPr>
        <w:t>ethod</w:t>
      </w:r>
      <w:r w:rsidR="00962B00">
        <w:rPr>
          <w:lang w:eastAsia="en-AU"/>
        </w:rPr>
        <w:t xml:space="preserve"> 2 under section 3.73B for a </w:t>
      </w:r>
      <w:r w:rsidR="00F71793">
        <w:rPr>
          <w:lang w:eastAsia="en-AU"/>
        </w:rPr>
        <w:t xml:space="preserve">given </w:t>
      </w:r>
      <w:r w:rsidR="00962B00">
        <w:rPr>
          <w:lang w:eastAsia="en-AU"/>
        </w:rPr>
        <w:t xml:space="preserve">facility, means that all other available </w:t>
      </w:r>
      <w:r w:rsidR="3D338526" w:rsidRPr="0CBF3C1E">
        <w:rPr>
          <w:lang w:eastAsia="en-AU"/>
        </w:rPr>
        <w:t>M</w:t>
      </w:r>
      <w:r w:rsidR="00962B00" w:rsidRPr="0CBF3C1E">
        <w:rPr>
          <w:lang w:eastAsia="en-AU"/>
        </w:rPr>
        <w:t>ethods</w:t>
      </w:r>
      <w:r w:rsidR="00962B00">
        <w:rPr>
          <w:lang w:eastAsia="en-AU"/>
        </w:rPr>
        <w:t xml:space="preserve"> 2 must be used in Divisions 3.3.6B, 3.3.6C, 3.3.6E, 3.3.7A and 3.3.7B </w:t>
      </w:r>
      <w:r w:rsidR="00C65E7E">
        <w:rPr>
          <w:lang w:eastAsia="en-AU"/>
        </w:rPr>
        <w:t xml:space="preserve">of the NGER Measurement Determination </w:t>
      </w:r>
      <w:r w:rsidR="00962B00">
        <w:rPr>
          <w:lang w:eastAsia="en-AU"/>
        </w:rPr>
        <w:t>if those Divisions are applicable to the facility.</w:t>
      </w:r>
    </w:p>
    <w:p w14:paraId="7DA3EBA2" w14:textId="77777777" w:rsidR="003404D8" w:rsidRDefault="003404D8" w:rsidP="00D27872">
      <w:pPr>
        <w:pStyle w:val="Heading1"/>
        <w:keepNext/>
        <w:numPr>
          <w:ilvl w:val="0"/>
          <w:numId w:val="4"/>
        </w:numPr>
        <w:ind w:left="720" w:hanging="720"/>
      </w:pPr>
      <w:bookmarkStart w:id="65" w:name="_Toc76042530"/>
      <w:bookmarkStart w:id="66" w:name="_Toc205547713"/>
      <w:r>
        <w:t>What are measurement criteria?</w:t>
      </w:r>
      <w:bookmarkEnd w:id="65"/>
      <w:bookmarkEnd w:id="66"/>
    </w:p>
    <w:p w14:paraId="14939473" w14:textId="77777777" w:rsidR="003404D8" w:rsidRDefault="003404D8" w:rsidP="00D27872">
      <w:pPr>
        <w:spacing w:before="240"/>
      </w:pPr>
      <w:r w:rsidRPr="00C9786C">
        <w:rPr>
          <w:color w:val="auto"/>
          <w:szCs w:val="22"/>
        </w:rPr>
        <w:t xml:space="preserve">Measurement criteria </w:t>
      </w:r>
      <w:r>
        <w:rPr>
          <w:color w:val="auto"/>
          <w:szCs w:val="22"/>
        </w:rPr>
        <w:t xml:space="preserve">categories indicate the quality of data that is obtained when reporters use different types of information or through application of methods of measurement. </w:t>
      </w:r>
      <w:r>
        <w:t>The measurement criteria set out how the following are to be estimated:</w:t>
      </w:r>
    </w:p>
    <w:p w14:paraId="7CB2B725" w14:textId="77777777" w:rsidR="003404D8" w:rsidRDefault="003404D8" w:rsidP="003404D8">
      <w:pPr>
        <w:pStyle w:val="CERbullets"/>
      </w:pPr>
      <w:r>
        <w:t>the amount of fuel consumed or combusted for a source</w:t>
      </w:r>
      <w:r>
        <w:rPr>
          <w:rStyle w:val="FootnoteReference"/>
        </w:rPr>
        <w:footnoteReference w:id="14"/>
      </w:r>
    </w:p>
    <w:p w14:paraId="6F290F8F" w14:textId="77777777" w:rsidR="003404D8" w:rsidRDefault="003404D8" w:rsidP="003404D8">
      <w:pPr>
        <w:pStyle w:val="CERbullets"/>
      </w:pPr>
      <w:r>
        <w:t>the amount of fuel related to fugitive emissions from the extraction, production, processing and distribution of fossil fuels</w:t>
      </w:r>
    </w:p>
    <w:p w14:paraId="1546CA60" w14:textId="77777777" w:rsidR="003404D8" w:rsidRDefault="003404D8" w:rsidP="003404D8">
      <w:pPr>
        <w:pStyle w:val="CERbullets"/>
      </w:pPr>
      <w:r>
        <w:t xml:space="preserve">the </w:t>
      </w:r>
      <w:proofErr w:type="gramStart"/>
      <w:r>
        <w:t>amount</w:t>
      </w:r>
      <w:proofErr w:type="gramEnd"/>
      <w:r>
        <w:t xml:space="preserve"> of carbonates consumed, synthetic gas emitted, and fuel used as a feedstock or as carbon reductant related to industrial process emissions</w:t>
      </w:r>
    </w:p>
    <w:p w14:paraId="57CE8E3B" w14:textId="77777777" w:rsidR="003404D8" w:rsidRDefault="003404D8" w:rsidP="003404D8">
      <w:pPr>
        <w:pStyle w:val="CERbullets"/>
      </w:pPr>
      <w:r>
        <w:t>the amount of waste for a source.</w:t>
      </w:r>
    </w:p>
    <w:p w14:paraId="2A33409B" w14:textId="77777777" w:rsidR="003404D8" w:rsidRDefault="003404D8" w:rsidP="00D27872">
      <w:pPr>
        <w:pStyle w:val="Heading2"/>
        <w:numPr>
          <w:ilvl w:val="1"/>
          <w:numId w:val="4"/>
        </w:numPr>
        <w:ind w:left="720" w:hanging="720"/>
      </w:pPr>
      <w:bookmarkStart w:id="67" w:name="_Toc76042531"/>
      <w:bookmarkStart w:id="68" w:name="_Toc205547714"/>
      <w:r>
        <w:t>General definitions</w:t>
      </w:r>
      <w:bookmarkEnd w:id="67"/>
      <w:bookmarkEnd w:id="68"/>
    </w:p>
    <w:p w14:paraId="0B42459D" w14:textId="5D2ADA6A" w:rsidR="003404D8" w:rsidRDefault="003404D8" w:rsidP="00D27872">
      <w:pPr>
        <w:spacing w:before="240"/>
      </w:pPr>
      <w:r>
        <w:t xml:space="preserve">There are </w:t>
      </w:r>
      <w:r w:rsidR="00381DFC">
        <w:t xml:space="preserve">4 </w:t>
      </w:r>
      <w:r>
        <w:t>different measurement criteria that can broadly be defined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183"/>
      </w:tblGrid>
      <w:tr w:rsidR="003404D8" w14:paraId="03B3C902" w14:textId="77777777" w:rsidTr="009A1EBF">
        <w:tc>
          <w:tcPr>
            <w:tcW w:w="2547" w:type="dxa"/>
          </w:tcPr>
          <w:p w14:paraId="08756092" w14:textId="77777777" w:rsidR="003404D8" w:rsidRPr="00684C5A" w:rsidRDefault="003404D8" w:rsidP="00E356CA">
            <w:pPr>
              <w:pStyle w:val="CERnumbering"/>
              <w:numPr>
                <w:ilvl w:val="0"/>
                <w:numId w:val="10"/>
              </w:numPr>
              <w:rPr>
                <w:bCs/>
              </w:rPr>
            </w:pPr>
            <w:r w:rsidRPr="00684C5A">
              <w:rPr>
                <w:bCs/>
              </w:rPr>
              <w:t>Criterion A</w:t>
            </w:r>
            <w:r w:rsidRPr="00684C5A">
              <w:rPr>
                <w:bCs/>
              </w:rPr>
              <w:tab/>
            </w:r>
            <w:r w:rsidRPr="00684C5A">
              <w:rPr>
                <w:bCs/>
              </w:rPr>
              <w:tab/>
            </w:r>
            <w:r w:rsidRPr="0068082F">
              <w:rPr>
                <w:bCs/>
              </w:rPr>
              <w:t>-</w:t>
            </w:r>
          </w:p>
        </w:tc>
        <w:tc>
          <w:tcPr>
            <w:tcW w:w="7183" w:type="dxa"/>
          </w:tcPr>
          <w:p w14:paraId="1A066DEC" w14:textId="77777777" w:rsidR="003404D8" w:rsidRDefault="003404D8" w:rsidP="009A1EBF">
            <w:pPr>
              <w:pStyle w:val="CERnumbering"/>
            </w:pPr>
            <w:r>
              <w:t>quantity verified by invoices</w:t>
            </w:r>
            <w:r>
              <w:rPr>
                <w:rStyle w:val="FootnoteReference"/>
              </w:rPr>
              <w:footnoteReference w:id="15"/>
            </w:r>
          </w:p>
        </w:tc>
      </w:tr>
      <w:tr w:rsidR="003404D8" w14:paraId="63B081FD" w14:textId="77777777" w:rsidTr="009A1EBF">
        <w:tc>
          <w:tcPr>
            <w:tcW w:w="2547" w:type="dxa"/>
          </w:tcPr>
          <w:p w14:paraId="23331623" w14:textId="77777777" w:rsidR="003404D8" w:rsidRPr="00684C5A" w:rsidRDefault="003404D8" w:rsidP="00E356CA">
            <w:pPr>
              <w:pStyle w:val="CERnumbering"/>
              <w:numPr>
                <w:ilvl w:val="0"/>
                <w:numId w:val="10"/>
              </w:numPr>
              <w:rPr>
                <w:bCs/>
              </w:rPr>
            </w:pPr>
            <w:r w:rsidRPr="00684C5A">
              <w:rPr>
                <w:bCs/>
              </w:rPr>
              <w:t>Criterion AA</w:t>
            </w:r>
            <w:r w:rsidRPr="00684C5A">
              <w:rPr>
                <w:bCs/>
              </w:rPr>
              <w:tab/>
            </w:r>
            <w:r w:rsidRPr="0068082F">
              <w:rPr>
                <w:bCs/>
              </w:rPr>
              <w:t>-</w:t>
            </w:r>
          </w:p>
        </w:tc>
        <w:tc>
          <w:tcPr>
            <w:tcW w:w="7183" w:type="dxa"/>
          </w:tcPr>
          <w:p w14:paraId="79E51055" w14:textId="77777777" w:rsidR="003404D8" w:rsidRDefault="003404D8" w:rsidP="009A1EBF">
            <w:pPr>
              <w:pStyle w:val="CERnumbering"/>
            </w:pPr>
            <w:r>
              <w:t xml:space="preserve">quantity verified by stockpile change estimation and invoices </w:t>
            </w:r>
          </w:p>
        </w:tc>
      </w:tr>
      <w:tr w:rsidR="003404D8" w14:paraId="014F70E5" w14:textId="77777777" w:rsidTr="009A1EBF">
        <w:tc>
          <w:tcPr>
            <w:tcW w:w="2547" w:type="dxa"/>
          </w:tcPr>
          <w:p w14:paraId="0577C385" w14:textId="77777777" w:rsidR="003404D8" w:rsidRPr="00684C5A" w:rsidRDefault="003404D8" w:rsidP="00E356CA">
            <w:pPr>
              <w:pStyle w:val="CERnumbering"/>
              <w:numPr>
                <w:ilvl w:val="0"/>
                <w:numId w:val="10"/>
              </w:numPr>
              <w:rPr>
                <w:bCs/>
              </w:rPr>
            </w:pPr>
            <w:r w:rsidRPr="00684C5A">
              <w:rPr>
                <w:bCs/>
              </w:rPr>
              <w:t>Criterion AAA</w:t>
            </w:r>
            <w:r w:rsidRPr="00684C5A">
              <w:rPr>
                <w:bCs/>
              </w:rPr>
              <w:tab/>
            </w:r>
            <w:r w:rsidRPr="0068082F">
              <w:rPr>
                <w:bCs/>
              </w:rPr>
              <w:t>-</w:t>
            </w:r>
          </w:p>
        </w:tc>
        <w:tc>
          <w:tcPr>
            <w:tcW w:w="7183" w:type="dxa"/>
          </w:tcPr>
          <w:p w14:paraId="5E947B6A" w14:textId="77777777" w:rsidR="003404D8" w:rsidRDefault="003404D8" w:rsidP="009A1EBF">
            <w:pPr>
              <w:pStyle w:val="CERnumbering"/>
            </w:pPr>
            <w:r>
              <w:t xml:space="preserve">quantity measured at point of sale, consumption or production using measuring equipment calibrated to a measurement requirement as specified </w:t>
            </w:r>
            <w:r w:rsidRPr="003656E3">
              <w:t xml:space="preserve">in </w:t>
            </w:r>
            <w:r w:rsidRPr="00016B68">
              <w:t xml:space="preserve">the </w:t>
            </w:r>
            <w:r>
              <w:t>NGER Measurement Determination</w:t>
            </w:r>
          </w:p>
        </w:tc>
      </w:tr>
      <w:tr w:rsidR="003404D8" w14:paraId="030216D0" w14:textId="77777777" w:rsidTr="009A1EBF">
        <w:tc>
          <w:tcPr>
            <w:tcW w:w="2547" w:type="dxa"/>
          </w:tcPr>
          <w:p w14:paraId="5FAABD6F" w14:textId="77777777" w:rsidR="003404D8" w:rsidRPr="00684C5A" w:rsidRDefault="003404D8" w:rsidP="00E356CA">
            <w:pPr>
              <w:pStyle w:val="CERnumbering"/>
              <w:numPr>
                <w:ilvl w:val="0"/>
                <w:numId w:val="10"/>
              </w:numPr>
              <w:rPr>
                <w:bCs/>
              </w:rPr>
            </w:pPr>
            <w:r w:rsidRPr="00684C5A">
              <w:rPr>
                <w:bCs/>
              </w:rPr>
              <w:lastRenderedPageBreak/>
              <w:t>Criterion BBB</w:t>
            </w:r>
            <w:r w:rsidRPr="00684C5A">
              <w:rPr>
                <w:bCs/>
              </w:rPr>
              <w:tab/>
            </w:r>
            <w:r w:rsidRPr="0068082F">
              <w:rPr>
                <w:bCs/>
              </w:rPr>
              <w:t>-</w:t>
            </w:r>
          </w:p>
        </w:tc>
        <w:tc>
          <w:tcPr>
            <w:tcW w:w="7183" w:type="dxa"/>
          </w:tcPr>
          <w:p w14:paraId="18622356" w14:textId="77777777" w:rsidR="003404D8" w:rsidRDefault="003404D8" w:rsidP="009A1EBF">
            <w:pPr>
              <w:pStyle w:val="CERnumbering"/>
            </w:pPr>
            <w:r>
              <w:t>quantity measured or estimated in accordance with industry practice</w:t>
            </w:r>
            <w:r w:rsidR="00BF5ADD">
              <w:t xml:space="preserve"> if the </w:t>
            </w:r>
            <w:r w:rsidR="00155441">
              <w:t xml:space="preserve">equipment </w:t>
            </w:r>
            <w:r w:rsidR="00CB1E62">
              <w:t>used to measure combustion of the fuel is not calibrated to a measurement requirement</w:t>
            </w:r>
            <w:r w:rsidR="007C54B1">
              <w:t>.</w:t>
            </w:r>
          </w:p>
          <w:p w14:paraId="343226AA" w14:textId="25316942" w:rsidR="007C54B1" w:rsidRDefault="007C54B1" w:rsidP="009A1EBF">
            <w:pPr>
              <w:pStyle w:val="CERnumbering"/>
            </w:pPr>
            <w:r>
              <w:t xml:space="preserve">Note: </w:t>
            </w:r>
            <w:r w:rsidR="0010017C" w:rsidRPr="006224A8">
              <w:t>An estimate obtained using industry practice must be consistent with the principles in section 1.13</w:t>
            </w:r>
          </w:p>
        </w:tc>
      </w:tr>
    </w:tbl>
    <w:p w14:paraId="6419EA89" w14:textId="20BA0B3C" w:rsidR="006B3535" w:rsidRPr="00403BDE" w:rsidRDefault="006B3535" w:rsidP="00386276">
      <w:pPr>
        <w:pStyle w:val="paragraph"/>
        <w:spacing w:before="0" w:beforeAutospacing="0" w:after="0" w:afterAutospacing="0"/>
        <w:textAlignment w:val="baseline"/>
        <w:rPr>
          <w:szCs w:val="22"/>
        </w:rPr>
      </w:pPr>
    </w:p>
    <w:tbl>
      <w:tblPr>
        <w:tblStyle w:val="CERCallout"/>
        <w:tblW w:w="5000" w:type="pct"/>
        <w:tblLook w:val="0480" w:firstRow="0" w:lastRow="0" w:firstColumn="1" w:lastColumn="0" w:noHBand="0" w:noVBand="1"/>
        <w:tblCaption w:val="test"/>
        <w:tblDescription w:val="tesst"/>
      </w:tblPr>
      <w:tblGrid>
        <w:gridCol w:w="9710"/>
      </w:tblGrid>
      <w:tr w:rsidR="005E64BF" w14:paraId="0B2251C6" w14:textId="77777777" w:rsidTr="5424C4F5">
        <w:tc>
          <w:tcPr>
            <w:tcW w:w="5000" w:type="pct"/>
          </w:tcPr>
          <w:p w14:paraId="10718FA4" w14:textId="152169E2" w:rsidR="003640D9" w:rsidRPr="00E92E16" w:rsidRDefault="003640D9" w:rsidP="00E356CA">
            <w:pPr>
              <w:pStyle w:val="CERbullets"/>
              <w:ind w:left="252" w:right="94"/>
            </w:pPr>
            <w:r w:rsidRPr="00E81E90">
              <w:rPr>
                <w:szCs w:val="22"/>
              </w:rPr>
              <w:t xml:space="preserve">If the acquisition involves a commercial transaction, </w:t>
            </w:r>
            <w:r w:rsidR="009D0CA0">
              <w:rPr>
                <w:szCs w:val="22"/>
              </w:rPr>
              <w:t xml:space="preserve">one of </w:t>
            </w:r>
            <w:r w:rsidRPr="00D968FB">
              <w:rPr>
                <w:szCs w:val="22"/>
              </w:rPr>
              <w:t xml:space="preserve">criterion </w:t>
            </w:r>
            <w:r w:rsidRPr="00DA3347">
              <w:rPr>
                <w:b/>
                <w:bCs/>
                <w:szCs w:val="22"/>
              </w:rPr>
              <w:t>A</w:t>
            </w:r>
            <w:r w:rsidRPr="00D968FB">
              <w:rPr>
                <w:szCs w:val="22"/>
              </w:rPr>
              <w:t xml:space="preserve">, </w:t>
            </w:r>
            <w:r w:rsidRPr="00DA3347">
              <w:rPr>
                <w:b/>
                <w:bCs/>
                <w:szCs w:val="22"/>
              </w:rPr>
              <w:t>AA</w:t>
            </w:r>
            <w:r w:rsidRPr="00D968FB">
              <w:rPr>
                <w:szCs w:val="22"/>
              </w:rPr>
              <w:t xml:space="preserve"> </w:t>
            </w:r>
            <w:r w:rsidRPr="00DA3347">
              <w:rPr>
                <w:b/>
                <w:bCs/>
                <w:szCs w:val="22"/>
              </w:rPr>
              <w:t>or</w:t>
            </w:r>
            <w:r w:rsidRPr="00D968FB">
              <w:rPr>
                <w:szCs w:val="22"/>
              </w:rPr>
              <w:t xml:space="preserve"> </w:t>
            </w:r>
            <w:r w:rsidRPr="00DA3347">
              <w:rPr>
                <w:b/>
                <w:bCs/>
                <w:szCs w:val="22"/>
              </w:rPr>
              <w:t>AAA</w:t>
            </w:r>
            <w:r w:rsidRPr="00D968FB">
              <w:rPr>
                <w:szCs w:val="22"/>
              </w:rPr>
              <w:t xml:space="preserve"> </w:t>
            </w:r>
            <w:r>
              <w:rPr>
                <w:szCs w:val="22"/>
              </w:rPr>
              <w:t>may</w:t>
            </w:r>
            <w:r w:rsidRPr="00D968FB">
              <w:rPr>
                <w:szCs w:val="22"/>
              </w:rPr>
              <w:t xml:space="preserve"> be used.</w:t>
            </w:r>
          </w:p>
          <w:p w14:paraId="6FA0375B" w14:textId="328D0B36" w:rsidR="003640D9" w:rsidRPr="00D968FB" w:rsidRDefault="003640D9" w:rsidP="00E356CA">
            <w:pPr>
              <w:pStyle w:val="CERbullets"/>
              <w:ind w:left="252" w:right="94"/>
            </w:pPr>
            <w:r w:rsidRPr="00D968FB">
              <w:t xml:space="preserve">If you </w:t>
            </w:r>
            <w:r w:rsidR="001F67BE">
              <w:t xml:space="preserve">are </w:t>
            </w:r>
            <w:r w:rsidR="00597E3B">
              <w:t>estimat</w:t>
            </w:r>
            <w:r w:rsidR="001F67BE">
              <w:t>ing</w:t>
            </w:r>
            <w:r w:rsidR="00597E3B">
              <w:t xml:space="preserve"> fuels </w:t>
            </w:r>
            <w:r w:rsidR="00567E8D">
              <w:t>using</w:t>
            </w:r>
            <w:r w:rsidRPr="00D968FB">
              <w:t xml:space="preserve"> </w:t>
            </w:r>
            <w:r w:rsidRPr="0002564E">
              <w:rPr>
                <w:u w:val="single"/>
              </w:rPr>
              <w:t>only</w:t>
            </w:r>
            <w:r w:rsidRPr="00D968FB">
              <w:t xml:space="preserve"> invoices</w:t>
            </w:r>
            <w:r w:rsidR="004A20D8">
              <w:t xml:space="preserve"> issued by </w:t>
            </w:r>
            <w:r w:rsidR="009D0CA0">
              <w:t xml:space="preserve">a </w:t>
            </w:r>
            <w:r w:rsidR="004A20D8">
              <w:t>vendor</w:t>
            </w:r>
            <w:r>
              <w:t>,</w:t>
            </w:r>
            <w:r w:rsidRPr="00D968FB">
              <w:t xml:space="preserve"> then you must use Criterion </w:t>
            </w:r>
            <w:r w:rsidRPr="00DA3347">
              <w:rPr>
                <w:b/>
                <w:bCs/>
              </w:rPr>
              <w:t>A</w:t>
            </w:r>
            <w:r w:rsidRPr="00D968FB">
              <w:t>.</w:t>
            </w:r>
          </w:p>
          <w:p w14:paraId="70788169" w14:textId="77777777" w:rsidR="003640D9" w:rsidRDefault="003640D9" w:rsidP="00E356CA">
            <w:pPr>
              <w:pStyle w:val="CERbullets"/>
              <w:ind w:left="252" w:right="94"/>
            </w:pPr>
            <w:r w:rsidRPr="00D968FB">
              <w:rPr>
                <w:szCs w:val="22"/>
              </w:rPr>
              <w:t xml:space="preserve">If the acquisition does not involve a commercial transaction, criterion </w:t>
            </w:r>
            <w:r w:rsidRPr="00DA3347">
              <w:rPr>
                <w:b/>
                <w:bCs/>
                <w:szCs w:val="22"/>
              </w:rPr>
              <w:t>AAA</w:t>
            </w:r>
            <w:r w:rsidRPr="00D968FB">
              <w:rPr>
                <w:szCs w:val="22"/>
              </w:rPr>
              <w:t xml:space="preserve"> </w:t>
            </w:r>
            <w:r w:rsidRPr="00DA3347">
              <w:rPr>
                <w:b/>
                <w:bCs/>
                <w:szCs w:val="22"/>
              </w:rPr>
              <w:t>or</w:t>
            </w:r>
            <w:r w:rsidRPr="00D968FB">
              <w:rPr>
                <w:szCs w:val="22"/>
              </w:rPr>
              <w:t xml:space="preserve"> </w:t>
            </w:r>
            <w:r w:rsidRPr="00DA3347">
              <w:rPr>
                <w:b/>
                <w:bCs/>
                <w:szCs w:val="22"/>
              </w:rPr>
              <w:t>BBB</w:t>
            </w:r>
            <w:r w:rsidRPr="00E81E90">
              <w:rPr>
                <w:szCs w:val="22"/>
              </w:rPr>
              <w:t xml:space="preserve"> must be used. </w:t>
            </w:r>
          </w:p>
          <w:p w14:paraId="5A0993F3" w14:textId="77777777" w:rsidR="003640D9" w:rsidRDefault="003640D9" w:rsidP="00E356CA">
            <w:pPr>
              <w:pStyle w:val="CERbullets"/>
              <w:ind w:left="252" w:right="94"/>
            </w:pPr>
            <w:r w:rsidRPr="00D968FB">
              <w:t>Criterion</w:t>
            </w:r>
            <w:r w:rsidRPr="00DA3347">
              <w:rPr>
                <w:b/>
                <w:bCs/>
              </w:rPr>
              <w:t xml:space="preserve"> AAA</w:t>
            </w:r>
            <w:r>
              <w:t xml:space="preserve"> is only to be used where </w:t>
            </w:r>
            <w:r w:rsidRPr="009D17BD">
              <w:t xml:space="preserve">measuring equipment </w:t>
            </w:r>
            <w:r>
              <w:t xml:space="preserve">is </w:t>
            </w:r>
            <w:r w:rsidRPr="009D17BD">
              <w:t>calibrated to a measurement requirement as specified in the NGER Measurement Determination</w:t>
            </w:r>
            <w:r>
              <w:t>. P</w:t>
            </w:r>
            <w:r w:rsidRPr="00B8281B">
              <w:t xml:space="preserve">oint-of-sale measurement can only be used if </w:t>
            </w:r>
            <w:r>
              <w:t>stockpile requirements are met in accordance with the NGER Measurement Determination.</w:t>
            </w:r>
          </w:p>
          <w:p w14:paraId="3C7DC664" w14:textId="77777777" w:rsidR="003640D9" w:rsidRDefault="003640D9" w:rsidP="00E356CA">
            <w:pPr>
              <w:pStyle w:val="CERbullets"/>
              <w:ind w:left="252" w:right="94"/>
            </w:pPr>
            <w:r w:rsidRPr="00D968FB">
              <w:t>Criterion</w:t>
            </w:r>
            <w:r w:rsidRPr="00DA3347">
              <w:rPr>
                <w:b/>
                <w:bCs/>
              </w:rPr>
              <w:t xml:space="preserve"> BBB</w:t>
            </w:r>
            <w:r w:rsidRPr="00977309">
              <w:t xml:space="preserve"> is </w:t>
            </w:r>
            <w:r w:rsidRPr="00DA3347">
              <w:t>not</w:t>
            </w:r>
            <w:r w:rsidRPr="00977309">
              <w:t xml:space="preserve"> to be used where a commercial transaction has taken place</w:t>
            </w:r>
            <w:r>
              <w:t>, that is, where invoices exist.</w:t>
            </w:r>
          </w:p>
          <w:p w14:paraId="1FCCB401" w14:textId="4030C07F" w:rsidR="00415BE5" w:rsidRPr="0092568B" w:rsidRDefault="7ED75C14" w:rsidP="00E356CA">
            <w:pPr>
              <w:pStyle w:val="CERbullets"/>
              <w:ind w:left="252" w:right="94"/>
            </w:pPr>
            <w:r>
              <w:t xml:space="preserve">Please read </w:t>
            </w:r>
            <w:r w:rsidR="2B2CB4EE">
              <w:t>sections 4</w:t>
            </w:r>
            <w:r w:rsidR="00916160">
              <w:t xml:space="preserve"> </w:t>
            </w:r>
            <w:r w:rsidR="2B2CB4EE">
              <w:t>-</w:t>
            </w:r>
            <w:r w:rsidR="00916160">
              <w:t xml:space="preserve"> </w:t>
            </w:r>
            <w:r w:rsidR="2B2CB4EE">
              <w:t>9 below for further details.</w:t>
            </w:r>
          </w:p>
        </w:tc>
      </w:tr>
    </w:tbl>
    <w:p w14:paraId="0111AFB5" w14:textId="77777777" w:rsidR="00A155EB" w:rsidRDefault="00A155EB" w:rsidP="003404D8"/>
    <w:p w14:paraId="0231CEE2" w14:textId="6263431B" w:rsidR="003404D8" w:rsidRDefault="003404D8" w:rsidP="0007049D">
      <w:r>
        <w:t>Please note that measurement criteria can have different requirements for each source type and some criteria are not available for some types of sources. Moreover, there may be multiple options or sub-criteria to choose from within each criterion. For example, criterion AAA can be applied in several ways depending on whether there is a commercial transaction involved in the acquisition of the fuel.</w:t>
      </w:r>
    </w:p>
    <w:p w14:paraId="4BDA52C0" w14:textId="500A0B45" w:rsidR="003404D8" w:rsidRDefault="003404D8" w:rsidP="003404D8">
      <w:pPr>
        <w:keepNext/>
      </w:pPr>
      <w:r>
        <w:t xml:space="preserve">Table 1 below summarises the measurement criteria that are available for different fuels and emissions sources. The number of check marks in each cell represent the number of sub-criteria within each criterion. For instance, criterion AAA for solid fuels has </w:t>
      </w:r>
      <w:r w:rsidR="00EB1A7F">
        <w:t xml:space="preserve">3 </w:t>
      </w:r>
      <w:r>
        <w:t>check marks because it is comprised of the following sub-criteria:</w:t>
      </w:r>
    </w:p>
    <w:p w14:paraId="11A56564" w14:textId="77777777" w:rsidR="003404D8" w:rsidRDefault="003404D8" w:rsidP="00386276">
      <w:pPr>
        <w:pStyle w:val="CERnumbering"/>
        <w:numPr>
          <w:ilvl w:val="0"/>
          <w:numId w:val="8"/>
        </w:numPr>
      </w:pPr>
      <w:r>
        <w:t>Fuel consumed involves a commercial transaction and is measured at the point of sale</w:t>
      </w:r>
      <w:r>
        <w:rPr>
          <w:rStyle w:val="FootnoteReference"/>
        </w:rPr>
        <w:footnoteReference w:id="16"/>
      </w:r>
    </w:p>
    <w:p w14:paraId="112F70C4" w14:textId="77777777" w:rsidR="003404D8" w:rsidRDefault="003404D8" w:rsidP="00386276">
      <w:pPr>
        <w:pStyle w:val="CERnumbering"/>
        <w:numPr>
          <w:ilvl w:val="0"/>
          <w:numId w:val="8"/>
        </w:numPr>
      </w:pPr>
      <w:r>
        <w:t xml:space="preserve">Fuel </w:t>
      </w:r>
      <w:proofErr w:type="gramStart"/>
      <w:r>
        <w:t>consumed</w:t>
      </w:r>
      <w:proofErr w:type="gramEnd"/>
      <w:r>
        <w:t xml:space="preserve"> involves a commercial transaction and is measured at the point of consumption. If used for a facility during a reporting year, an alternative sub-criterion or criterion cannot be used in subsequent years for that facility.</w:t>
      </w:r>
    </w:p>
    <w:p w14:paraId="6405D4F6" w14:textId="77777777" w:rsidR="003404D8" w:rsidRDefault="003404D8" w:rsidP="00386276">
      <w:pPr>
        <w:pStyle w:val="CERnumbering"/>
        <w:numPr>
          <w:ilvl w:val="0"/>
          <w:numId w:val="8"/>
        </w:numPr>
      </w:pPr>
      <w:r>
        <w:t>Fuel consumed does NOT involve a commercial transaction and is measured at the point of consumption.</w:t>
      </w:r>
    </w:p>
    <w:p w14:paraId="4EC7BF54" w14:textId="72E44F17" w:rsidR="003404D8" w:rsidRPr="004F2A5C" w:rsidRDefault="003404D8" w:rsidP="003404D8">
      <w:pPr>
        <w:pStyle w:val="Caption"/>
      </w:pPr>
      <w:r>
        <w:t>Table 1 – Available measurement criteria</w:t>
      </w:r>
      <w:r w:rsidR="00ED341C">
        <w:t>.</w:t>
      </w:r>
      <w:r>
        <w:t xml:space="preserve"> </w:t>
      </w:r>
    </w:p>
    <w:tbl>
      <w:tblPr>
        <w:tblStyle w:val="CERTable"/>
        <w:tblW w:w="0" w:type="auto"/>
        <w:tblLook w:val="04A0" w:firstRow="1" w:lastRow="0" w:firstColumn="1" w:lastColumn="0" w:noHBand="0" w:noVBand="1"/>
      </w:tblPr>
      <w:tblGrid>
        <w:gridCol w:w="2309"/>
        <w:gridCol w:w="1551"/>
        <w:gridCol w:w="1388"/>
        <w:gridCol w:w="1388"/>
        <w:gridCol w:w="1407"/>
        <w:gridCol w:w="1687"/>
      </w:tblGrid>
      <w:tr w:rsidR="003404D8" w14:paraId="2AF60A87" w14:textId="77777777" w:rsidTr="00C073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9" w:type="dxa"/>
          </w:tcPr>
          <w:p w14:paraId="6003CAD0" w14:textId="77777777" w:rsidR="003404D8" w:rsidRDefault="003404D8" w:rsidP="009A1EBF"/>
        </w:tc>
        <w:tc>
          <w:tcPr>
            <w:tcW w:w="1551" w:type="dxa"/>
          </w:tcPr>
          <w:p w14:paraId="0C886A7A" w14:textId="77777777" w:rsidR="003404D8" w:rsidRDefault="003404D8" w:rsidP="009A1EBF">
            <w:pPr>
              <w:cnfStyle w:val="100000000000" w:firstRow="1" w:lastRow="0" w:firstColumn="0" w:lastColumn="0" w:oddVBand="0" w:evenVBand="0" w:oddHBand="0" w:evenHBand="0" w:firstRowFirstColumn="0" w:firstRowLastColumn="0" w:lastRowFirstColumn="0" w:lastRowLastColumn="0"/>
            </w:pPr>
            <w:r>
              <w:rPr>
                <w:szCs w:val="22"/>
              </w:rPr>
              <w:t>NGER Measurement Determination</w:t>
            </w:r>
          </w:p>
        </w:tc>
        <w:tc>
          <w:tcPr>
            <w:tcW w:w="1388" w:type="dxa"/>
          </w:tcPr>
          <w:p w14:paraId="686986C9" w14:textId="77777777" w:rsidR="003404D8" w:rsidRDefault="003404D8" w:rsidP="009A1EBF">
            <w:pPr>
              <w:cnfStyle w:val="100000000000" w:firstRow="1" w:lastRow="0" w:firstColumn="0" w:lastColumn="0" w:oddVBand="0" w:evenVBand="0" w:oddHBand="0" w:evenHBand="0" w:firstRowFirstColumn="0" w:firstRowLastColumn="0" w:lastRowFirstColumn="0" w:lastRowLastColumn="0"/>
            </w:pPr>
            <w:r>
              <w:t>Criterion A</w:t>
            </w:r>
          </w:p>
        </w:tc>
        <w:tc>
          <w:tcPr>
            <w:tcW w:w="1388" w:type="dxa"/>
          </w:tcPr>
          <w:p w14:paraId="3364BD43" w14:textId="77777777" w:rsidR="003404D8" w:rsidRDefault="003404D8" w:rsidP="009A1EBF">
            <w:pPr>
              <w:cnfStyle w:val="100000000000" w:firstRow="1" w:lastRow="0" w:firstColumn="0" w:lastColumn="0" w:oddVBand="0" w:evenVBand="0" w:oddHBand="0" w:evenHBand="0" w:firstRowFirstColumn="0" w:firstRowLastColumn="0" w:lastRowFirstColumn="0" w:lastRowLastColumn="0"/>
            </w:pPr>
            <w:r>
              <w:t>Criterion AA</w:t>
            </w:r>
          </w:p>
        </w:tc>
        <w:tc>
          <w:tcPr>
            <w:tcW w:w="1407" w:type="dxa"/>
          </w:tcPr>
          <w:p w14:paraId="3ABD90ED" w14:textId="77777777" w:rsidR="003404D8" w:rsidRDefault="003404D8" w:rsidP="009A1EBF">
            <w:pPr>
              <w:cnfStyle w:val="100000000000" w:firstRow="1" w:lastRow="0" w:firstColumn="0" w:lastColumn="0" w:oddVBand="0" w:evenVBand="0" w:oddHBand="0" w:evenHBand="0" w:firstRowFirstColumn="0" w:firstRowLastColumn="0" w:lastRowFirstColumn="0" w:lastRowLastColumn="0"/>
            </w:pPr>
            <w:r>
              <w:t>Criterion AAA</w:t>
            </w:r>
          </w:p>
        </w:tc>
        <w:tc>
          <w:tcPr>
            <w:tcW w:w="1687" w:type="dxa"/>
          </w:tcPr>
          <w:p w14:paraId="156DA8EB" w14:textId="77777777" w:rsidR="003404D8" w:rsidRDefault="003404D8" w:rsidP="009A1EBF">
            <w:pPr>
              <w:cnfStyle w:val="100000000000" w:firstRow="1" w:lastRow="0" w:firstColumn="0" w:lastColumn="0" w:oddVBand="0" w:evenVBand="0" w:oddHBand="0" w:evenHBand="0" w:firstRowFirstColumn="0" w:firstRowLastColumn="0" w:lastRowFirstColumn="0" w:lastRowLastColumn="0"/>
            </w:pPr>
            <w:r>
              <w:t>Criterion BBB</w:t>
            </w:r>
          </w:p>
        </w:tc>
      </w:tr>
      <w:tr w:rsidR="003404D8" w14:paraId="1AED43A7" w14:textId="77777777" w:rsidTr="009A1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3BFE97A3" w14:textId="77777777" w:rsidR="003404D8" w:rsidRDefault="003404D8" w:rsidP="009A1EBF">
            <w:r>
              <w:t>Carbon capture and storage</w:t>
            </w:r>
          </w:p>
        </w:tc>
        <w:tc>
          <w:tcPr>
            <w:tcW w:w="1551" w:type="dxa"/>
          </w:tcPr>
          <w:p w14:paraId="310C23B4" w14:textId="77777777" w:rsidR="003404D8" w:rsidRPr="00A645D0" w:rsidRDefault="003404D8" w:rsidP="009A1EBF">
            <w:pPr>
              <w:cnfStyle w:val="000000100000" w:firstRow="0" w:lastRow="0" w:firstColumn="0" w:lastColumn="0" w:oddVBand="0" w:evenVBand="0" w:oddHBand="1" w:evenHBand="0" w:firstRowFirstColumn="0" w:firstRowLastColumn="0" w:lastRowFirstColumn="0" w:lastRowLastColumn="0"/>
              <w:rPr>
                <w:szCs w:val="22"/>
              </w:rPr>
            </w:pPr>
            <w:r>
              <w:rPr>
                <w:szCs w:val="22"/>
              </w:rPr>
              <w:t>Section 1.19E</w:t>
            </w:r>
          </w:p>
        </w:tc>
        <w:tc>
          <w:tcPr>
            <w:tcW w:w="1388" w:type="dxa"/>
          </w:tcPr>
          <w:p w14:paraId="39C281EA"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sidRPr="0068604E">
              <w:rPr>
                <w:rFonts w:ascii="Wingdings 2" w:hAnsi="Wingdings 2"/>
                <w:sz w:val="28"/>
              </w:rPr>
              <w:t></w:t>
            </w:r>
          </w:p>
        </w:tc>
        <w:tc>
          <w:tcPr>
            <w:tcW w:w="1388" w:type="dxa"/>
          </w:tcPr>
          <w:p w14:paraId="75FEB975" w14:textId="77777777" w:rsidR="003404D8" w:rsidRPr="00885BC4" w:rsidRDefault="003404D8" w:rsidP="009A1EBF">
            <w:pPr>
              <w:jc w:val="center"/>
              <w:cnfStyle w:val="000000100000" w:firstRow="0" w:lastRow="0" w:firstColumn="0" w:lastColumn="0" w:oddVBand="0" w:evenVBand="0" w:oddHBand="1" w:evenHBand="0" w:firstRowFirstColumn="0" w:firstRowLastColumn="0" w:lastRowFirstColumn="0" w:lastRowLastColumn="0"/>
              <w:rPr>
                <w:sz w:val="28"/>
              </w:rPr>
            </w:pPr>
            <w:r w:rsidRPr="00885BC4">
              <w:rPr>
                <w:sz w:val="28"/>
              </w:rPr>
              <w:t>-</w:t>
            </w:r>
          </w:p>
        </w:tc>
        <w:tc>
          <w:tcPr>
            <w:tcW w:w="1407" w:type="dxa"/>
          </w:tcPr>
          <w:p w14:paraId="481DBA56"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sidRPr="0068604E">
              <w:rPr>
                <w:rFonts w:ascii="Wingdings 2" w:hAnsi="Wingdings 2"/>
                <w:sz w:val="28"/>
              </w:rPr>
              <w:t></w:t>
            </w:r>
            <w:r>
              <w:rPr>
                <w:rFonts w:ascii="Wingdings 2" w:hAnsi="Wingdings 2"/>
                <w:sz w:val="28"/>
              </w:rPr>
              <w:t></w:t>
            </w:r>
          </w:p>
        </w:tc>
        <w:tc>
          <w:tcPr>
            <w:tcW w:w="1687" w:type="dxa"/>
          </w:tcPr>
          <w:p w14:paraId="37824065"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sidRPr="0068604E">
              <w:rPr>
                <w:rFonts w:ascii="Wingdings 2" w:hAnsi="Wingdings 2"/>
                <w:sz w:val="28"/>
              </w:rPr>
              <w:t></w:t>
            </w:r>
          </w:p>
        </w:tc>
      </w:tr>
      <w:tr w:rsidR="003404D8" w14:paraId="2BE54842" w14:textId="77777777" w:rsidTr="009A1E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1B4912CB" w14:textId="77777777" w:rsidR="003404D8" w:rsidRDefault="003404D8" w:rsidP="009A1EBF">
            <w:r>
              <w:t>Solid fuels</w:t>
            </w:r>
          </w:p>
        </w:tc>
        <w:tc>
          <w:tcPr>
            <w:tcW w:w="1551" w:type="dxa"/>
          </w:tcPr>
          <w:p w14:paraId="5D62C744" w14:textId="77777777" w:rsidR="003404D8" w:rsidRPr="00A645D0" w:rsidRDefault="003404D8" w:rsidP="009A1EBF">
            <w:pPr>
              <w:cnfStyle w:val="000000010000" w:firstRow="0" w:lastRow="0" w:firstColumn="0" w:lastColumn="0" w:oddVBand="0" w:evenVBand="0" w:oddHBand="0" w:evenHBand="1" w:firstRowFirstColumn="0" w:firstRowLastColumn="0" w:lastRowFirstColumn="0" w:lastRowLastColumn="0"/>
              <w:rPr>
                <w:szCs w:val="22"/>
              </w:rPr>
            </w:pPr>
            <w:r>
              <w:rPr>
                <w:szCs w:val="22"/>
              </w:rPr>
              <w:t>Division 2.2.5</w:t>
            </w:r>
          </w:p>
        </w:tc>
        <w:tc>
          <w:tcPr>
            <w:tcW w:w="1388" w:type="dxa"/>
          </w:tcPr>
          <w:p w14:paraId="31836D85"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c>
          <w:tcPr>
            <w:tcW w:w="1388" w:type="dxa"/>
          </w:tcPr>
          <w:p w14:paraId="1A0D5DC9"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r>
              <w:rPr>
                <w:rFonts w:ascii="Wingdings 2" w:hAnsi="Wingdings 2"/>
                <w:sz w:val="28"/>
              </w:rPr>
              <w:t></w:t>
            </w:r>
          </w:p>
        </w:tc>
        <w:tc>
          <w:tcPr>
            <w:tcW w:w="1407" w:type="dxa"/>
          </w:tcPr>
          <w:p w14:paraId="0DD3B307"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r>
              <w:rPr>
                <w:rFonts w:ascii="Wingdings 2" w:hAnsi="Wingdings 2"/>
                <w:sz w:val="28"/>
              </w:rPr>
              <w:t></w:t>
            </w:r>
            <w:r>
              <w:rPr>
                <w:rFonts w:ascii="Wingdings 2" w:hAnsi="Wingdings 2"/>
                <w:sz w:val="28"/>
              </w:rPr>
              <w:t></w:t>
            </w:r>
          </w:p>
        </w:tc>
        <w:tc>
          <w:tcPr>
            <w:tcW w:w="1687" w:type="dxa"/>
          </w:tcPr>
          <w:p w14:paraId="0D87C034"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r>
      <w:tr w:rsidR="003404D8" w14:paraId="2312770B" w14:textId="77777777" w:rsidTr="009A1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1611DCC1" w14:textId="77777777" w:rsidR="003404D8" w:rsidRDefault="003404D8" w:rsidP="009A1EBF">
            <w:r>
              <w:t>Gaseous fuels</w:t>
            </w:r>
          </w:p>
        </w:tc>
        <w:tc>
          <w:tcPr>
            <w:tcW w:w="1551" w:type="dxa"/>
          </w:tcPr>
          <w:p w14:paraId="464E843F" w14:textId="77777777" w:rsidR="003404D8" w:rsidRPr="00A645D0" w:rsidRDefault="003404D8" w:rsidP="009A1EBF">
            <w:pPr>
              <w:cnfStyle w:val="000000100000" w:firstRow="0" w:lastRow="0" w:firstColumn="0" w:lastColumn="0" w:oddVBand="0" w:evenVBand="0" w:oddHBand="1" w:evenHBand="0" w:firstRowFirstColumn="0" w:firstRowLastColumn="0" w:lastRowFirstColumn="0" w:lastRowLastColumn="0"/>
              <w:rPr>
                <w:szCs w:val="22"/>
              </w:rPr>
            </w:pPr>
            <w:r>
              <w:rPr>
                <w:szCs w:val="22"/>
              </w:rPr>
              <w:t>Division 2.3.6</w:t>
            </w:r>
          </w:p>
        </w:tc>
        <w:tc>
          <w:tcPr>
            <w:tcW w:w="1388" w:type="dxa"/>
          </w:tcPr>
          <w:p w14:paraId="4D343E33"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p>
        </w:tc>
        <w:tc>
          <w:tcPr>
            <w:tcW w:w="1388" w:type="dxa"/>
          </w:tcPr>
          <w:p w14:paraId="68431825"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p>
        </w:tc>
        <w:tc>
          <w:tcPr>
            <w:tcW w:w="1407" w:type="dxa"/>
          </w:tcPr>
          <w:p w14:paraId="710239AD"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r>
              <w:rPr>
                <w:rFonts w:ascii="Wingdings 2" w:hAnsi="Wingdings 2"/>
                <w:sz w:val="28"/>
              </w:rPr>
              <w:t></w:t>
            </w:r>
            <w:r>
              <w:rPr>
                <w:rFonts w:ascii="Wingdings 2" w:hAnsi="Wingdings 2"/>
                <w:sz w:val="28"/>
              </w:rPr>
              <w:t></w:t>
            </w:r>
          </w:p>
        </w:tc>
        <w:tc>
          <w:tcPr>
            <w:tcW w:w="1687" w:type="dxa"/>
          </w:tcPr>
          <w:p w14:paraId="7D6B93CF"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p>
        </w:tc>
      </w:tr>
      <w:tr w:rsidR="003404D8" w14:paraId="3A2D8617" w14:textId="77777777" w:rsidTr="009A1E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166DAACE" w14:textId="77777777" w:rsidR="003404D8" w:rsidRDefault="003404D8" w:rsidP="009A1EBF">
            <w:r>
              <w:t>Liquid fuels</w:t>
            </w:r>
          </w:p>
        </w:tc>
        <w:tc>
          <w:tcPr>
            <w:tcW w:w="1551" w:type="dxa"/>
          </w:tcPr>
          <w:p w14:paraId="083E5118" w14:textId="77777777" w:rsidR="003404D8" w:rsidRPr="00A645D0" w:rsidRDefault="003404D8" w:rsidP="009A1EBF">
            <w:pPr>
              <w:cnfStyle w:val="000000010000" w:firstRow="0" w:lastRow="0" w:firstColumn="0" w:lastColumn="0" w:oddVBand="0" w:evenVBand="0" w:oddHBand="0" w:evenHBand="1" w:firstRowFirstColumn="0" w:firstRowLastColumn="0" w:lastRowFirstColumn="0" w:lastRowLastColumn="0"/>
              <w:rPr>
                <w:szCs w:val="22"/>
              </w:rPr>
            </w:pPr>
            <w:r>
              <w:rPr>
                <w:szCs w:val="22"/>
              </w:rPr>
              <w:t>Division 2.4.6</w:t>
            </w:r>
          </w:p>
        </w:tc>
        <w:tc>
          <w:tcPr>
            <w:tcW w:w="1388" w:type="dxa"/>
          </w:tcPr>
          <w:p w14:paraId="59B9B84B"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c>
          <w:tcPr>
            <w:tcW w:w="1388" w:type="dxa"/>
          </w:tcPr>
          <w:p w14:paraId="44E00663"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c>
          <w:tcPr>
            <w:tcW w:w="1407" w:type="dxa"/>
          </w:tcPr>
          <w:p w14:paraId="6161E871"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r>
              <w:rPr>
                <w:rFonts w:ascii="Wingdings 2" w:hAnsi="Wingdings 2"/>
                <w:sz w:val="28"/>
              </w:rPr>
              <w:t></w:t>
            </w:r>
            <w:r>
              <w:rPr>
                <w:rFonts w:ascii="Wingdings 2" w:hAnsi="Wingdings 2"/>
                <w:sz w:val="28"/>
              </w:rPr>
              <w:t></w:t>
            </w:r>
          </w:p>
        </w:tc>
        <w:tc>
          <w:tcPr>
            <w:tcW w:w="1687" w:type="dxa"/>
          </w:tcPr>
          <w:p w14:paraId="041F2726"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r>
      <w:tr w:rsidR="003404D8" w14:paraId="01803525" w14:textId="77777777" w:rsidTr="009A1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7F7DFD6A" w14:textId="77777777" w:rsidR="003404D8" w:rsidRDefault="003404D8" w:rsidP="009A1EBF">
            <w:r>
              <w:t>Carbonates</w:t>
            </w:r>
          </w:p>
        </w:tc>
        <w:tc>
          <w:tcPr>
            <w:tcW w:w="1551" w:type="dxa"/>
          </w:tcPr>
          <w:p w14:paraId="1F6FBC47" w14:textId="77777777" w:rsidR="003404D8" w:rsidRPr="00A645D0" w:rsidRDefault="003404D8" w:rsidP="009A1EBF">
            <w:pPr>
              <w:cnfStyle w:val="000000100000" w:firstRow="0" w:lastRow="0" w:firstColumn="0" w:lastColumn="0" w:oddVBand="0" w:evenVBand="0" w:oddHBand="1" w:evenHBand="0" w:firstRowFirstColumn="0" w:firstRowLastColumn="0" w:lastRowFirstColumn="0" w:lastRowLastColumn="0"/>
              <w:rPr>
                <w:szCs w:val="22"/>
              </w:rPr>
            </w:pPr>
            <w:r>
              <w:rPr>
                <w:szCs w:val="22"/>
              </w:rPr>
              <w:t>Division 4.2.5</w:t>
            </w:r>
          </w:p>
        </w:tc>
        <w:tc>
          <w:tcPr>
            <w:tcW w:w="1388" w:type="dxa"/>
          </w:tcPr>
          <w:p w14:paraId="1C96B182"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p>
        </w:tc>
        <w:tc>
          <w:tcPr>
            <w:tcW w:w="1388" w:type="dxa"/>
          </w:tcPr>
          <w:p w14:paraId="5C24872A"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p>
        </w:tc>
        <w:tc>
          <w:tcPr>
            <w:tcW w:w="1407" w:type="dxa"/>
          </w:tcPr>
          <w:p w14:paraId="00624648"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r>
              <w:rPr>
                <w:rFonts w:ascii="Wingdings 2" w:hAnsi="Wingdings 2"/>
                <w:sz w:val="28"/>
              </w:rPr>
              <w:t></w:t>
            </w:r>
            <w:r>
              <w:rPr>
                <w:rFonts w:ascii="Wingdings 2" w:hAnsi="Wingdings 2"/>
                <w:sz w:val="28"/>
              </w:rPr>
              <w:t></w:t>
            </w:r>
            <w:r>
              <w:rPr>
                <w:rFonts w:ascii="Wingdings 2" w:hAnsi="Wingdings 2"/>
                <w:sz w:val="28"/>
              </w:rPr>
              <w:t></w:t>
            </w:r>
          </w:p>
        </w:tc>
        <w:tc>
          <w:tcPr>
            <w:tcW w:w="1687" w:type="dxa"/>
          </w:tcPr>
          <w:p w14:paraId="552EDA79" w14:textId="77777777" w:rsidR="003404D8" w:rsidRPr="0068604E" w:rsidRDefault="003404D8" w:rsidP="009A1EBF">
            <w:pPr>
              <w:jc w:val="center"/>
              <w:cnfStyle w:val="000000100000" w:firstRow="0" w:lastRow="0" w:firstColumn="0" w:lastColumn="0" w:oddVBand="0" w:evenVBand="0" w:oddHBand="1" w:evenHBand="0" w:firstRowFirstColumn="0" w:firstRowLastColumn="0" w:lastRowFirstColumn="0" w:lastRowLastColumn="0"/>
              <w:rPr>
                <w:rFonts w:ascii="Wingdings 2" w:hAnsi="Wingdings 2"/>
                <w:sz w:val="28"/>
              </w:rPr>
            </w:pPr>
            <w:r>
              <w:rPr>
                <w:rFonts w:ascii="Wingdings 2" w:hAnsi="Wingdings 2"/>
                <w:sz w:val="28"/>
              </w:rPr>
              <w:t></w:t>
            </w:r>
          </w:p>
        </w:tc>
      </w:tr>
      <w:tr w:rsidR="003404D8" w14:paraId="55BA8B58" w14:textId="77777777" w:rsidTr="009A1E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14:paraId="2E837E7F" w14:textId="77777777" w:rsidR="003404D8" w:rsidRDefault="003404D8" w:rsidP="009A1EBF">
            <w:r>
              <w:t>Solid waste</w:t>
            </w:r>
          </w:p>
        </w:tc>
        <w:tc>
          <w:tcPr>
            <w:tcW w:w="1551" w:type="dxa"/>
          </w:tcPr>
          <w:p w14:paraId="05988E81" w14:textId="77777777" w:rsidR="003404D8" w:rsidRPr="00A645D0" w:rsidRDefault="003404D8" w:rsidP="009A1EBF">
            <w:pPr>
              <w:cnfStyle w:val="000000010000" w:firstRow="0" w:lastRow="0" w:firstColumn="0" w:lastColumn="0" w:oddVBand="0" w:evenVBand="0" w:oddHBand="0" w:evenHBand="1" w:firstRowFirstColumn="0" w:firstRowLastColumn="0" w:lastRowFirstColumn="0" w:lastRowLastColumn="0"/>
              <w:rPr>
                <w:szCs w:val="22"/>
              </w:rPr>
            </w:pPr>
            <w:r>
              <w:rPr>
                <w:szCs w:val="22"/>
              </w:rPr>
              <w:t>Section 5.5</w:t>
            </w:r>
          </w:p>
        </w:tc>
        <w:tc>
          <w:tcPr>
            <w:tcW w:w="1388" w:type="dxa"/>
          </w:tcPr>
          <w:p w14:paraId="489FAAF7"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r>
              <w:rPr>
                <w:rFonts w:ascii="Wingdings 2" w:hAnsi="Wingdings 2"/>
                <w:sz w:val="28"/>
              </w:rPr>
              <w:t></w:t>
            </w:r>
          </w:p>
        </w:tc>
        <w:tc>
          <w:tcPr>
            <w:tcW w:w="1388" w:type="dxa"/>
          </w:tcPr>
          <w:p w14:paraId="306E9B7D"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sidRPr="005E1339">
              <w:rPr>
                <w:sz w:val="28"/>
              </w:rPr>
              <w:t>-</w:t>
            </w:r>
          </w:p>
        </w:tc>
        <w:tc>
          <w:tcPr>
            <w:tcW w:w="1407" w:type="dxa"/>
          </w:tcPr>
          <w:p w14:paraId="1E4FCCCD"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c>
          <w:tcPr>
            <w:tcW w:w="1687" w:type="dxa"/>
          </w:tcPr>
          <w:p w14:paraId="76708566" w14:textId="77777777" w:rsidR="003404D8" w:rsidRPr="0068604E" w:rsidRDefault="003404D8" w:rsidP="009A1EBF">
            <w:pPr>
              <w:jc w:val="center"/>
              <w:cnfStyle w:val="000000010000" w:firstRow="0" w:lastRow="0" w:firstColumn="0" w:lastColumn="0" w:oddVBand="0" w:evenVBand="0" w:oddHBand="0" w:evenHBand="1" w:firstRowFirstColumn="0" w:firstRowLastColumn="0" w:lastRowFirstColumn="0" w:lastRowLastColumn="0"/>
              <w:rPr>
                <w:rFonts w:ascii="Wingdings 2" w:hAnsi="Wingdings 2"/>
                <w:sz w:val="28"/>
              </w:rPr>
            </w:pPr>
            <w:r>
              <w:rPr>
                <w:rFonts w:ascii="Wingdings 2" w:hAnsi="Wingdings 2"/>
                <w:sz w:val="28"/>
              </w:rPr>
              <w:t></w:t>
            </w:r>
          </w:p>
        </w:tc>
      </w:tr>
    </w:tbl>
    <w:p w14:paraId="7080A162" w14:textId="77777777" w:rsidR="003404D8" w:rsidRPr="00A91BD2" w:rsidRDefault="003404D8" w:rsidP="003404D8">
      <w:r>
        <w:t xml:space="preserve">Note: </w:t>
      </w:r>
      <w:r w:rsidRPr="005731D8">
        <w:t>The number of check marks in each cell represent the number of sub-criteria within each criterion.</w:t>
      </w:r>
    </w:p>
    <w:p w14:paraId="11BC1475" w14:textId="77777777" w:rsidR="003404D8" w:rsidRDefault="003404D8" w:rsidP="00D27872">
      <w:pPr>
        <w:pStyle w:val="Heading2"/>
        <w:numPr>
          <w:ilvl w:val="1"/>
          <w:numId w:val="4"/>
        </w:numPr>
        <w:ind w:left="720" w:hanging="720"/>
      </w:pPr>
      <w:bookmarkStart w:id="69" w:name="_Toc76042532"/>
      <w:bookmarkStart w:id="70" w:name="_Toc205547715"/>
      <w:r>
        <w:t>Constraints on measurement criterion</w:t>
      </w:r>
      <w:bookmarkEnd w:id="69"/>
      <w:bookmarkEnd w:id="70"/>
    </w:p>
    <w:p w14:paraId="776976AF" w14:textId="7FCDF189" w:rsidR="003404D8" w:rsidRPr="00A95879" w:rsidRDefault="003404D8" w:rsidP="00D27872">
      <w:pPr>
        <w:spacing w:before="240"/>
        <w:rPr>
          <w:lang w:eastAsia="en-AU"/>
        </w:rPr>
      </w:pPr>
      <w:r w:rsidRPr="00A95879">
        <w:rPr>
          <w:lang w:eastAsia="en-AU"/>
        </w:rPr>
        <w:t xml:space="preserve">The consistent use of criteria for measurement over multiple reporting periods is an important principle for measuring emissions and energy. </w:t>
      </w:r>
      <w:r w:rsidR="44406180" w:rsidRPr="3944F9C2">
        <w:rPr>
          <w:lang w:eastAsia="en-AU"/>
        </w:rPr>
        <w:t xml:space="preserve"> To</w:t>
      </w:r>
      <w:r w:rsidRPr="00A95879">
        <w:rPr>
          <w:lang w:eastAsia="en-AU"/>
        </w:rPr>
        <w:t xml:space="preserve"> promote consistency, restrictions have been placed on the how measurement criteria can be used. Restrictions on criteria for measurement are provided in Part 1.3, and Divisions 2.2.5, 2.3.6, 2.4.6 and 4.2.5</w:t>
      </w:r>
      <w:r w:rsidR="1EE7B7B2" w:rsidRPr="099E69A2">
        <w:rPr>
          <w:lang w:eastAsia="en-AU"/>
        </w:rPr>
        <w:t xml:space="preserve"> of the NGER Measurement Determination</w:t>
      </w:r>
      <w:r w:rsidRPr="00A95879">
        <w:rPr>
          <w:lang w:eastAsia="en-AU"/>
        </w:rPr>
        <w:t xml:space="preserve">. </w:t>
      </w:r>
    </w:p>
    <w:p w14:paraId="23FB21E5" w14:textId="2C5F2C16" w:rsidR="003404D8" w:rsidRPr="00291F2E" w:rsidRDefault="003404D8" w:rsidP="003404D8">
      <w:pPr>
        <w:rPr>
          <w:rFonts w:ascii="Calibri" w:hAnsi="Calibri" w:cs="Times New Roman"/>
          <w:szCs w:val="22"/>
        </w:rPr>
      </w:pPr>
      <w:r>
        <w:t>In general, f</w:t>
      </w:r>
      <w:r w:rsidRPr="00A91BD2">
        <w:t xml:space="preserve">or solid, </w:t>
      </w:r>
      <w:r w:rsidR="00442CB1" w:rsidRPr="00A91BD2">
        <w:t>gaseous,</w:t>
      </w:r>
      <w:r w:rsidRPr="00A91BD2">
        <w:t xml:space="preserve"> and liquid fuel and consumption of carbonates, once criteri</w:t>
      </w:r>
      <w:r>
        <w:t>on</w:t>
      </w:r>
      <w:r w:rsidRPr="00A91BD2">
        <w:t xml:space="preserve"> AA</w:t>
      </w:r>
      <w:r>
        <w:t xml:space="preserve"> is used (and in some circumstances,</w:t>
      </w:r>
      <w:r w:rsidRPr="00A91BD2">
        <w:t xml:space="preserve"> </w:t>
      </w:r>
      <w:r>
        <w:t xml:space="preserve">once </w:t>
      </w:r>
      <w:r w:rsidRPr="00A91BD2">
        <w:t>AAA</w:t>
      </w:r>
      <w:r>
        <w:t xml:space="preserve"> is used)</w:t>
      </w:r>
      <w:r w:rsidRPr="00A91BD2">
        <w:t xml:space="preserve"> to estimate a quantity of fuel during a year, then in each year following, only that criterion is to be used</w:t>
      </w:r>
      <w:r>
        <w:t>.</w:t>
      </w:r>
    </w:p>
    <w:p w14:paraId="74500DA7" w14:textId="49416B5F" w:rsidR="003404D8" w:rsidRDefault="003404D8" w:rsidP="003404D8">
      <w:pPr>
        <w:rPr>
          <w:rFonts w:eastAsia="Times New Roman"/>
          <w:b/>
          <w:bCs/>
          <w:color w:val="005874"/>
          <w:kern w:val="32"/>
          <w:sz w:val="40"/>
        </w:rPr>
      </w:pPr>
      <w:r w:rsidRPr="00291F2E">
        <w:rPr>
          <w:lang w:eastAsia="en-AU"/>
        </w:rPr>
        <w:t>Th</w:t>
      </w:r>
      <w:r>
        <w:rPr>
          <w:lang w:eastAsia="en-AU"/>
        </w:rPr>
        <w:t>is</w:t>
      </w:r>
      <w:r w:rsidRPr="00291F2E">
        <w:rPr>
          <w:lang w:eastAsia="en-AU"/>
        </w:rPr>
        <w:t xml:space="preserve"> principle </w:t>
      </w:r>
      <w:r>
        <w:rPr>
          <w:lang w:eastAsia="en-AU"/>
        </w:rPr>
        <w:t>is</w:t>
      </w:r>
      <w:r w:rsidRPr="00291F2E">
        <w:rPr>
          <w:lang w:eastAsia="en-AU"/>
        </w:rPr>
        <w:t xml:space="preserve"> </w:t>
      </w:r>
      <w:r>
        <w:rPr>
          <w:lang w:eastAsia="en-AU"/>
        </w:rPr>
        <w:t>consistent with the approach</w:t>
      </w:r>
      <w:r w:rsidRPr="00291F2E">
        <w:rPr>
          <w:lang w:eastAsia="en-AU"/>
        </w:rPr>
        <w:t xml:space="preserve"> that appl</w:t>
      </w:r>
      <w:r>
        <w:rPr>
          <w:lang w:eastAsia="en-AU"/>
        </w:rPr>
        <w:t>ies</w:t>
      </w:r>
      <w:r w:rsidRPr="00291F2E">
        <w:rPr>
          <w:lang w:eastAsia="en-AU"/>
        </w:rPr>
        <w:t xml:space="preserve"> to the preparation of national inventories.</w:t>
      </w:r>
      <w:r>
        <w:rPr>
          <w:lang w:eastAsia="en-AU"/>
        </w:rPr>
        <w:t xml:space="preserve"> </w:t>
      </w:r>
      <w:r w:rsidRPr="000D2368">
        <w:rPr>
          <w:lang w:eastAsia="en-AU"/>
        </w:rPr>
        <w:t xml:space="preserve">Chapter 5 of Volume 1 of the </w:t>
      </w:r>
      <w:hyperlink r:id="rId35" w:tooltip="A link to the guidelines on the 2006 Intergovernmental Panel on Climate Change webpage" w:history="1">
        <w:r w:rsidRPr="00451C66">
          <w:rPr>
            <w:rStyle w:val="Hyperlink"/>
            <w:rFonts w:asciiTheme="minorHAnsi" w:hAnsiTheme="minorHAnsi"/>
            <w:lang w:eastAsia="en-AU"/>
          </w:rPr>
          <w:t>2006 IPCC Guidelines</w:t>
        </w:r>
      </w:hyperlink>
      <w:r>
        <w:rPr>
          <w:rStyle w:val="FootnoteReference"/>
          <w:lang w:eastAsia="en-AU"/>
        </w:rPr>
        <w:footnoteReference w:id="17"/>
      </w:r>
      <w:r w:rsidRPr="000D2368">
        <w:rPr>
          <w:lang w:eastAsia="en-AU"/>
        </w:rPr>
        <w:t xml:space="preserve"> for National Greenhouse Gas Inventories provides a detailed discussion of the issue.</w:t>
      </w:r>
    </w:p>
    <w:p w14:paraId="3E28BA1A" w14:textId="77777777" w:rsidR="003404D8" w:rsidRDefault="003404D8" w:rsidP="00D27872">
      <w:pPr>
        <w:pStyle w:val="Heading1"/>
        <w:numPr>
          <w:ilvl w:val="0"/>
          <w:numId w:val="3"/>
        </w:numPr>
        <w:ind w:left="720" w:hanging="720"/>
      </w:pPr>
      <w:bookmarkStart w:id="71" w:name="_Toc76042533"/>
      <w:bookmarkStart w:id="72" w:name="_Toc205547716"/>
      <w:r>
        <w:t>Measurement criteria for carbon capture and storage</w:t>
      </w:r>
      <w:bookmarkEnd w:id="71"/>
      <w:bookmarkEnd w:id="72"/>
    </w:p>
    <w:p w14:paraId="3B7849CB" w14:textId="77777777" w:rsidR="003404D8" w:rsidRDefault="003404D8" w:rsidP="00D27872">
      <w:pPr>
        <w:spacing w:before="240"/>
      </w:pPr>
      <w:r>
        <w:t>The volume of the greenhouse gas stream containing the captured greenhouse gas must be estimated:</w:t>
      </w:r>
    </w:p>
    <w:p w14:paraId="10B3BC21" w14:textId="77777777" w:rsidR="003404D8" w:rsidRDefault="003404D8" w:rsidP="003404D8">
      <w:pPr>
        <w:pStyle w:val="CERbullets"/>
      </w:pPr>
      <w:r>
        <w:t>if the greenhouse gas stream is transferred to a relevant person</w:t>
      </w:r>
      <w:r>
        <w:rPr>
          <w:rStyle w:val="FootnoteReference"/>
        </w:rPr>
        <w:footnoteReference w:id="18"/>
      </w:r>
      <w:r>
        <w:t>,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0F7038EF" w14:textId="77777777" w:rsidTr="009A1EBF">
        <w:tc>
          <w:tcPr>
            <w:tcW w:w="2523" w:type="dxa"/>
          </w:tcPr>
          <w:p w14:paraId="5A44E71F" w14:textId="77777777" w:rsidR="003404D8" w:rsidRDefault="003404D8" w:rsidP="006C3C5D">
            <w:pPr>
              <w:pStyle w:val="CERbullets"/>
              <w:numPr>
                <w:ilvl w:val="1"/>
                <w:numId w:val="1"/>
              </w:numPr>
            </w:pPr>
            <w:r w:rsidRPr="00885BC4">
              <w:rPr>
                <w:bCs/>
              </w:rPr>
              <w:t>criterion A</w:t>
            </w:r>
            <w:r>
              <w:rPr>
                <w:b/>
              </w:rPr>
              <w:tab/>
            </w:r>
            <w:r w:rsidRPr="00C55C55">
              <w:t>-</w:t>
            </w:r>
          </w:p>
          <w:p w14:paraId="206385C0" w14:textId="77777777" w:rsidR="003404D8" w:rsidRDefault="003404D8" w:rsidP="006C3C5D">
            <w:pPr>
              <w:pStyle w:val="CERbullets"/>
              <w:numPr>
                <w:ilvl w:val="1"/>
                <w:numId w:val="1"/>
              </w:numPr>
            </w:pPr>
            <w:r w:rsidRPr="00885BC4">
              <w:rPr>
                <w:bCs/>
              </w:rPr>
              <w:lastRenderedPageBreak/>
              <w:t>criterion AAA</w:t>
            </w:r>
            <w:r>
              <w:rPr>
                <w:b/>
              </w:rPr>
              <w:tab/>
            </w:r>
            <w:r>
              <w:t>-</w:t>
            </w:r>
          </w:p>
        </w:tc>
        <w:tc>
          <w:tcPr>
            <w:tcW w:w="7207" w:type="dxa"/>
          </w:tcPr>
          <w:p w14:paraId="250EE966" w14:textId="77777777" w:rsidR="003404D8" w:rsidRDefault="003404D8" w:rsidP="009A1EBF">
            <w:pPr>
              <w:pStyle w:val="CERbullets"/>
              <w:numPr>
                <w:ilvl w:val="0"/>
                <w:numId w:val="0"/>
              </w:numPr>
            </w:pPr>
            <w:r>
              <w:lastRenderedPageBreak/>
              <w:t>as evidenced by invoices issued by the relevant person</w:t>
            </w:r>
          </w:p>
          <w:p w14:paraId="481CAEF1" w14:textId="77777777" w:rsidR="003404D8" w:rsidRDefault="003404D8" w:rsidP="009A1EBF">
            <w:pPr>
              <w:pStyle w:val="CERbullets"/>
              <w:numPr>
                <w:ilvl w:val="0"/>
                <w:numId w:val="0"/>
              </w:numPr>
            </w:pPr>
            <w:r>
              <w:lastRenderedPageBreak/>
              <w:t>by undertaking volumetric measurement in accordance with sections 1.19H or 1.19I of the NGER Measurement Determination and gas measuring equipment that complies with section 1.19J. The gas measuring equipment must, for a given flow, also comply with transmitter and accuracy requirements detailed in section 1.19G(4).</w:t>
            </w:r>
          </w:p>
        </w:tc>
      </w:tr>
    </w:tbl>
    <w:p w14:paraId="5F44D315" w14:textId="77777777" w:rsidR="003404D8" w:rsidRDefault="003404D8" w:rsidP="003404D8">
      <w:pPr>
        <w:pStyle w:val="CERbullets"/>
      </w:pPr>
      <w:r>
        <w:lastRenderedPageBreak/>
        <w:t>if the greenhouse gas stream is captured by the relevant person and is neither transferred to the relevant person nor transferred by the relevant person to another person,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7EA52293" w14:textId="77777777" w:rsidTr="009A1EBF">
        <w:tc>
          <w:tcPr>
            <w:tcW w:w="2523" w:type="dxa"/>
          </w:tcPr>
          <w:p w14:paraId="6E62B78D" w14:textId="77777777" w:rsidR="003404D8" w:rsidRDefault="003404D8" w:rsidP="006C3C5D">
            <w:pPr>
              <w:pStyle w:val="CERbullets"/>
              <w:numPr>
                <w:ilvl w:val="1"/>
                <w:numId w:val="1"/>
              </w:numPr>
            </w:pPr>
            <w:r w:rsidRPr="00885BC4">
              <w:rPr>
                <w:bCs/>
              </w:rPr>
              <w:t>criterion AAA</w:t>
            </w:r>
            <w:r>
              <w:rPr>
                <w:b/>
              </w:rPr>
              <w:tab/>
            </w:r>
            <w:r w:rsidRPr="00C55C55">
              <w:t>-</w:t>
            </w:r>
          </w:p>
          <w:p w14:paraId="5C287DC7" w14:textId="5F6ED7EF" w:rsidR="003404D8" w:rsidRDefault="003404D8" w:rsidP="006C3C5D">
            <w:pPr>
              <w:pStyle w:val="CERbullets"/>
              <w:numPr>
                <w:ilvl w:val="1"/>
                <w:numId w:val="1"/>
              </w:numPr>
            </w:pPr>
            <w:r w:rsidRPr="00885BC4">
              <w:rPr>
                <w:bCs/>
              </w:rPr>
              <w:t>criterion BBB</w:t>
            </w:r>
            <w:r>
              <w:rPr>
                <w:b/>
              </w:rPr>
              <w:tab/>
            </w:r>
            <w:r>
              <w:t>-</w:t>
            </w:r>
          </w:p>
        </w:tc>
        <w:tc>
          <w:tcPr>
            <w:tcW w:w="7207" w:type="dxa"/>
          </w:tcPr>
          <w:p w14:paraId="186E2851" w14:textId="77777777" w:rsidR="003404D8" w:rsidRDefault="003404D8" w:rsidP="009A1EBF">
            <w:pPr>
              <w:pStyle w:val="CERbullets"/>
              <w:numPr>
                <w:ilvl w:val="0"/>
                <w:numId w:val="0"/>
              </w:numPr>
            </w:pPr>
            <w:r>
              <w:t>a</w:t>
            </w:r>
            <w:r w:rsidRPr="0004383D">
              <w:t xml:space="preserve">s detailed in </w:t>
            </w:r>
            <w:r>
              <w:t xml:space="preserve">the </w:t>
            </w:r>
            <w:r w:rsidRPr="0004383D">
              <w:t xml:space="preserve">previous </w:t>
            </w:r>
            <w:r>
              <w:t>point</w:t>
            </w:r>
          </w:p>
          <w:p w14:paraId="550D69EA" w14:textId="77777777" w:rsidR="003404D8" w:rsidRDefault="003404D8" w:rsidP="009A1EBF">
            <w:pPr>
              <w:pStyle w:val="CERbullets"/>
              <w:numPr>
                <w:ilvl w:val="0"/>
                <w:numId w:val="0"/>
              </w:numPr>
            </w:pPr>
            <w:r>
              <w:t>by undertaking volumetric measurement in accordance with industry practice, providing the measuring equipment does not meet the requirements of criterion AAA.</w:t>
            </w:r>
          </w:p>
        </w:tc>
      </w:tr>
    </w:tbl>
    <w:p w14:paraId="202C692D" w14:textId="77777777" w:rsidR="003404D8" w:rsidRDefault="003404D8" w:rsidP="00D27872">
      <w:pPr>
        <w:pStyle w:val="Heading1"/>
        <w:numPr>
          <w:ilvl w:val="0"/>
          <w:numId w:val="3"/>
        </w:numPr>
        <w:ind w:left="720" w:hanging="720"/>
      </w:pPr>
      <w:bookmarkStart w:id="73" w:name="_Toc76042534"/>
      <w:bookmarkStart w:id="74" w:name="_Toc205547717"/>
      <w:r>
        <w:t>Measurement criteria for solid fuels</w:t>
      </w:r>
      <w:bookmarkEnd w:id="73"/>
      <w:bookmarkEnd w:id="74"/>
    </w:p>
    <w:p w14:paraId="62CB9BEB" w14:textId="77777777" w:rsidR="003404D8" w:rsidRDefault="003404D8" w:rsidP="00D27872">
      <w:pPr>
        <w:spacing w:before="240"/>
      </w:pPr>
      <w:r>
        <w:t>The quantity of solid fuel consumed must be estimated:</w:t>
      </w:r>
    </w:p>
    <w:p w14:paraId="38296588" w14:textId="77777777" w:rsidR="003404D8" w:rsidRDefault="003404D8" w:rsidP="003404D8">
      <w:pPr>
        <w:pStyle w:val="CERbullets"/>
      </w:pPr>
      <w:r>
        <w:t>if the solid fuel acquired involves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00D28B0E" w14:textId="77777777" w:rsidTr="009A1EBF">
        <w:tc>
          <w:tcPr>
            <w:tcW w:w="2523" w:type="dxa"/>
          </w:tcPr>
          <w:p w14:paraId="2728E01C" w14:textId="77777777" w:rsidR="003404D8" w:rsidRDefault="003404D8" w:rsidP="006C3C5D">
            <w:pPr>
              <w:pStyle w:val="CERbullets"/>
              <w:numPr>
                <w:ilvl w:val="1"/>
                <w:numId w:val="1"/>
              </w:numPr>
            </w:pPr>
            <w:r w:rsidRPr="00885BC4">
              <w:rPr>
                <w:bCs/>
              </w:rPr>
              <w:t>criterion A</w:t>
            </w:r>
            <w:r>
              <w:rPr>
                <w:b/>
              </w:rPr>
              <w:tab/>
            </w:r>
            <w:r w:rsidRPr="00C55C55">
              <w:t>-</w:t>
            </w:r>
          </w:p>
        </w:tc>
        <w:tc>
          <w:tcPr>
            <w:tcW w:w="7207" w:type="dxa"/>
          </w:tcPr>
          <w:p w14:paraId="662A5382" w14:textId="77777777" w:rsidR="003404D8" w:rsidRDefault="003404D8" w:rsidP="009A1EBF">
            <w:pPr>
              <w:pStyle w:val="CERbullets"/>
              <w:numPr>
                <w:ilvl w:val="0"/>
                <w:numId w:val="0"/>
              </w:numPr>
              <w:ind w:left="360" w:hanging="360"/>
            </w:pPr>
            <w:r>
              <w:t>as evidenced by invoices issued by the vendor of the fuel.</w:t>
            </w:r>
          </w:p>
        </w:tc>
      </w:tr>
      <w:tr w:rsidR="00FD004A" w14:paraId="6E9A678D" w14:textId="77777777" w:rsidTr="009A1EBF">
        <w:tc>
          <w:tcPr>
            <w:tcW w:w="2523" w:type="dxa"/>
          </w:tcPr>
          <w:p w14:paraId="282D4FFC" w14:textId="77777777" w:rsidR="003404D8" w:rsidRDefault="003404D8" w:rsidP="006C3C5D">
            <w:pPr>
              <w:pStyle w:val="CERbullets"/>
              <w:numPr>
                <w:ilvl w:val="1"/>
                <w:numId w:val="1"/>
              </w:numPr>
            </w:pPr>
            <w:r w:rsidRPr="00885BC4">
              <w:rPr>
                <w:bCs/>
              </w:rPr>
              <w:t>criterion AA</w:t>
            </w:r>
            <w:r>
              <w:rPr>
                <w:b/>
              </w:rPr>
              <w:tab/>
            </w:r>
            <w:r>
              <w:t>-</w:t>
            </w:r>
          </w:p>
          <w:p w14:paraId="6D623D5A" w14:textId="77777777" w:rsidR="003404D8" w:rsidRPr="0004383D" w:rsidRDefault="003404D8" w:rsidP="009A1EBF">
            <w:pPr>
              <w:pStyle w:val="CERbullets"/>
              <w:numPr>
                <w:ilvl w:val="0"/>
                <w:numId w:val="0"/>
              </w:numPr>
              <w:ind w:left="720"/>
              <w:rPr>
                <w:b/>
              </w:rPr>
            </w:pPr>
          </w:p>
        </w:tc>
        <w:tc>
          <w:tcPr>
            <w:tcW w:w="7207" w:type="dxa"/>
          </w:tcPr>
          <w:p w14:paraId="6CD8A3FC" w14:textId="77777777" w:rsidR="003404D8" w:rsidRDefault="003404D8" w:rsidP="009A1EBF">
            <w:pPr>
              <w:pStyle w:val="CERbullets"/>
              <w:numPr>
                <w:ilvl w:val="0"/>
                <w:numId w:val="0"/>
              </w:numPr>
              <w:ind w:left="35"/>
            </w:pPr>
            <w:r>
              <w:t xml:space="preserve">by estimating the change in the quantity of the stockpile of the fuel using the </w:t>
            </w:r>
            <w:r w:rsidRPr="00885BC4">
              <w:rPr>
                <w:bCs/>
              </w:rPr>
              <w:t>survey approach</w:t>
            </w:r>
            <w:r w:rsidRPr="0041504E">
              <w:rPr>
                <w:b/>
              </w:rPr>
              <w:t xml:space="preserve"> </w:t>
            </w:r>
            <w:r>
              <w:t xml:space="preserve">(subsection 2.15(2C) of the NGER Measurement Determination) or </w:t>
            </w:r>
            <w:r w:rsidRPr="005B79F0">
              <w:t xml:space="preserve">the </w:t>
            </w:r>
            <w:r w:rsidRPr="00885BC4">
              <w:t>error allowance approach</w:t>
            </w:r>
            <w:r>
              <w:t xml:space="preserve"> (subsection 2.15(2D)).</w:t>
            </w:r>
          </w:p>
          <w:p w14:paraId="4E17ED90" w14:textId="77777777" w:rsidR="003404D8" w:rsidRDefault="003404D8" w:rsidP="009A1EBF">
            <w:pPr>
              <w:pStyle w:val="CERbullets"/>
              <w:numPr>
                <w:ilvl w:val="0"/>
                <w:numId w:val="0"/>
              </w:numPr>
              <w:ind w:left="35"/>
            </w:pPr>
            <w:r>
              <w:t xml:space="preserve">Once an approach has been selected for a facility for a reporting year, that </w:t>
            </w:r>
            <w:r w:rsidRPr="00885BC4">
              <w:rPr>
                <w:bCs/>
              </w:rPr>
              <w:t>same approach must be used for each subsequent year</w:t>
            </w:r>
            <w:r>
              <w:t xml:space="preserve"> unless there is a significant change in stockpile management, and this results in the current approach being less accurate than the alternative approach.</w:t>
            </w:r>
          </w:p>
          <w:p w14:paraId="07018043" w14:textId="77777777" w:rsidR="003404D8" w:rsidRDefault="003404D8" w:rsidP="009A1EBF">
            <w:pPr>
              <w:pStyle w:val="CERbullets"/>
              <w:numPr>
                <w:ilvl w:val="0"/>
                <w:numId w:val="0"/>
              </w:numPr>
              <w:ind w:left="35"/>
            </w:pPr>
            <w:r>
              <w:t>The quantity of fuel added to the fuel stockpile must be evidenced by invoices issued by the vendor of the fuel.</w:t>
            </w:r>
          </w:p>
          <w:p w14:paraId="5FA240BC" w14:textId="77777777" w:rsidR="003404D8" w:rsidRDefault="003404D8" w:rsidP="009A1EBF">
            <w:pPr>
              <w:pStyle w:val="CERbullets"/>
              <w:numPr>
                <w:ilvl w:val="0"/>
                <w:numId w:val="0"/>
              </w:numPr>
              <w:ind w:left="35"/>
            </w:pPr>
            <w:r>
              <w:t xml:space="preserve">If criterion AA is used for a facility in a year, then, </w:t>
            </w:r>
            <w:r w:rsidRPr="00996ED4">
              <w:rPr>
                <w:bCs/>
              </w:rPr>
              <w:t xml:space="preserve">in each subsequent year, only criterion AA can be used </w:t>
            </w:r>
            <w:r w:rsidRPr="005B79F0">
              <w:rPr>
                <w:bCs/>
              </w:rPr>
              <w:t>f</w:t>
            </w:r>
            <w:r w:rsidRPr="0025478A">
              <w:t>or that facility</w:t>
            </w:r>
            <w:r>
              <w:t>.</w:t>
            </w:r>
          </w:p>
        </w:tc>
      </w:tr>
      <w:tr w:rsidR="00FD004A" w14:paraId="3EA327AE" w14:textId="77777777" w:rsidTr="009A1EBF">
        <w:tc>
          <w:tcPr>
            <w:tcW w:w="2523" w:type="dxa"/>
          </w:tcPr>
          <w:p w14:paraId="348384B5" w14:textId="77777777" w:rsidR="003404D8" w:rsidRPr="00803F20" w:rsidRDefault="003404D8" w:rsidP="006C3C5D">
            <w:pPr>
              <w:pStyle w:val="CERbullets"/>
              <w:numPr>
                <w:ilvl w:val="1"/>
                <w:numId w:val="1"/>
              </w:numPr>
            </w:pPr>
            <w:r w:rsidRPr="00996ED4">
              <w:rPr>
                <w:bCs/>
              </w:rPr>
              <w:t>criterion AAA</w:t>
            </w:r>
            <w:r>
              <w:rPr>
                <w:b/>
              </w:rPr>
              <w:tab/>
            </w:r>
            <w:r>
              <w:t>-</w:t>
            </w:r>
          </w:p>
        </w:tc>
        <w:tc>
          <w:tcPr>
            <w:tcW w:w="7207" w:type="dxa"/>
          </w:tcPr>
          <w:p w14:paraId="3486F097" w14:textId="77777777" w:rsidR="003404D8" w:rsidRDefault="003404D8" w:rsidP="009A1EBF">
            <w:pPr>
              <w:pStyle w:val="CERbullets"/>
              <w:numPr>
                <w:ilvl w:val="0"/>
                <w:numId w:val="0"/>
              </w:numPr>
              <w:ind w:left="35"/>
            </w:pPr>
            <w:r>
              <w:t>by measuring at the point of consumption or at the point of sale using measuring equipment calibrated to a measurement requirement.</w:t>
            </w:r>
          </w:p>
          <w:p w14:paraId="37C8ACB8" w14:textId="5A2B0F8C" w:rsidR="003404D8" w:rsidRDefault="003404D8" w:rsidP="009A1EBF">
            <w:pPr>
              <w:pStyle w:val="CERbullets"/>
              <w:numPr>
                <w:ilvl w:val="0"/>
                <w:numId w:val="0"/>
              </w:numPr>
              <w:ind w:left="35"/>
            </w:pPr>
            <w:r>
              <w:t xml:space="preserve">The </w:t>
            </w:r>
            <w:r w:rsidR="00442CB1">
              <w:t>point-of-sale</w:t>
            </w:r>
            <w:r>
              <w:t xml:space="preserve"> measurement can only be used if the change in stockpile of the fuel is </w:t>
            </w:r>
            <w:r w:rsidRPr="00996ED4">
              <w:rPr>
                <w:bCs/>
              </w:rPr>
              <w:t>less than 1% of the total average combustion or consumption</w:t>
            </w:r>
            <w:r>
              <w:t xml:space="preserve"> for the year and, at the beginning of the year, the stockpile quantity is </w:t>
            </w:r>
            <w:r w:rsidRPr="00996ED4">
              <w:rPr>
                <w:bCs/>
              </w:rPr>
              <w:t>less than 5% of total combustion or consumption</w:t>
            </w:r>
            <w:r>
              <w:t xml:space="preserve"> for the year.</w:t>
            </w:r>
          </w:p>
          <w:p w14:paraId="2896DCD9" w14:textId="77777777" w:rsidR="003404D8" w:rsidRDefault="003404D8" w:rsidP="009A1EBF">
            <w:pPr>
              <w:pStyle w:val="CERbullets"/>
              <w:numPr>
                <w:ilvl w:val="0"/>
                <w:numId w:val="0"/>
              </w:numPr>
              <w:ind w:left="35"/>
            </w:pPr>
            <w:r>
              <w:t>If criterion AAA’s point of combustion or consumption measurement is used for a facility in a year, then</w:t>
            </w:r>
            <w:r w:rsidRPr="00B45124">
              <w:t xml:space="preserve">, </w:t>
            </w:r>
            <w:r w:rsidRPr="00996ED4">
              <w:rPr>
                <w:bCs/>
              </w:rPr>
              <w:t>in each subsequent year, only this point of combustion or consumption measurement can be used</w:t>
            </w:r>
            <w:r>
              <w:rPr>
                <w:b/>
              </w:rPr>
              <w:t xml:space="preserve"> </w:t>
            </w:r>
            <w:r>
              <w:t>for the facility.</w:t>
            </w:r>
          </w:p>
        </w:tc>
      </w:tr>
    </w:tbl>
    <w:p w14:paraId="1436168E" w14:textId="77777777" w:rsidR="003404D8" w:rsidRDefault="003404D8" w:rsidP="003404D8">
      <w:pPr>
        <w:pStyle w:val="CERbullets"/>
      </w:pPr>
      <w:r>
        <w:t xml:space="preserve">if the solid fuel acquired does </w:t>
      </w:r>
      <w:r w:rsidRPr="00996ED4">
        <w:rPr>
          <w:bCs/>
        </w:rPr>
        <w:t>not</w:t>
      </w:r>
      <w:r>
        <w:t xml:space="preserve"> involve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1FBD38CE" w14:textId="77777777" w:rsidTr="009A1EBF">
        <w:tc>
          <w:tcPr>
            <w:tcW w:w="2523" w:type="dxa"/>
          </w:tcPr>
          <w:p w14:paraId="7A0BFEFA" w14:textId="77777777" w:rsidR="003404D8" w:rsidRPr="00803F20" w:rsidRDefault="003404D8" w:rsidP="006C3C5D">
            <w:pPr>
              <w:pStyle w:val="CERbullets"/>
              <w:numPr>
                <w:ilvl w:val="1"/>
                <w:numId w:val="1"/>
              </w:numPr>
            </w:pPr>
            <w:r w:rsidRPr="00996ED4">
              <w:rPr>
                <w:bCs/>
              </w:rPr>
              <w:t>criterion AAA</w:t>
            </w:r>
            <w:r>
              <w:rPr>
                <w:b/>
              </w:rPr>
              <w:tab/>
            </w:r>
            <w:r>
              <w:t>-</w:t>
            </w:r>
          </w:p>
        </w:tc>
        <w:tc>
          <w:tcPr>
            <w:tcW w:w="7207" w:type="dxa"/>
          </w:tcPr>
          <w:p w14:paraId="3941C245" w14:textId="77777777" w:rsidR="003404D8" w:rsidRPr="00CB3787" w:rsidRDefault="003404D8" w:rsidP="009A1EBF">
            <w:pPr>
              <w:pStyle w:val="CERbullets"/>
              <w:numPr>
                <w:ilvl w:val="0"/>
                <w:numId w:val="0"/>
              </w:numPr>
              <w:ind w:left="35"/>
            </w:pPr>
            <w:r w:rsidRPr="00CB3787">
              <w:t>by measuring at the point of combustion</w:t>
            </w:r>
            <w:r>
              <w:t xml:space="preserve"> or consumption</w:t>
            </w:r>
            <w:r w:rsidRPr="00CB3787">
              <w:t xml:space="preserve"> using measuring equipment calibrated to a measurement requirement</w:t>
            </w:r>
            <w:r>
              <w:t>.</w:t>
            </w:r>
          </w:p>
          <w:p w14:paraId="2AC697E0" w14:textId="77777777" w:rsidR="003404D8" w:rsidRPr="00CB3787" w:rsidRDefault="003404D8" w:rsidP="009A1EBF">
            <w:pPr>
              <w:pStyle w:val="CERbullets"/>
              <w:numPr>
                <w:ilvl w:val="0"/>
                <w:numId w:val="0"/>
              </w:numPr>
              <w:ind w:left="35"/>
            </w:pPr>
            <w:r w:rsidRPr="00CB3787">
              <w:lastRenderedPageBreak/>
              <w:t>Note that a different criterion can still be used in subsequent years</w:t>
            </w:r>
            <w:r>
              <w:t>.</w:t>
            </w:r>
          </w:p>
        </w:tc>
      </w:tr>
      <w:tr w:rsidR="00FD004A" w14:paraId="78B37E60" w14:textId="77777777" w:rsidTr="009A1EBF">
        <w:tc>
          <w:tcPr>
            <w:tcW w:w="2523" w:type="dxa"/>
          </w:tcPr>
          <w:p w14:paraId="3938F4CD" w14:textId="77777777" w:rsidR="003404D8" w:rsidRDefault="003404D8" w:rsidP="006C3C5D">
            <w:pPr>
              <w:pStyle w:val="CERbullets"/>
              <w:numPr>
                <w:ilvl w:val="1"/>
                <w:numId w:val="1"/>
              </w:numPr>
              <w:rPr>
                <w:b/>
              </w:rPr>
            </w:pPr>
            <w:r w:rsidRPr="00996ED4">
              <w:rPr>
                <w:bCs/>
              </w:rPr>
              <w:lastRenderedPageBreak/>
              <w:t>criterion BBB</w:t>
            </w:r>
            <w:r>
              <w:rPr>
                <w:b/>
              </w:rPr>
              <w:tab/>
            </w:r>
            <w:r w:rsidRPr="00975F8E">
              <w:rPr>
                <w:b/>
              </w:rPr>
              <w:t>-</w:t>
            </w:r>
          </w:p>
        </w:tc>
        <w:tc>
          <w:tcPr>
            <w:tcW w:w="7207" w:type="dxa"/>
          </w:tcPr>
          <w:p w14:paraId="59143EA1" w14:textId="77777777" w:rsidR="003404D8" w:rsidRDefault="003404D8" w:rsidP="009A1EBF">
            <w:pPr>
              <w:pStyle w:val="CERbullets"/>
              <w:numPr>
                <w:ilvl w:val="0"/>
                <w:numId w:val="0"/>
              </w:numPr>
            </w:pPr>
            <w:r>
              <w:t>by measuring combustion/consumption in accordance with industry practice providing measurement equipment is not calibrated to a measurement requirement.</w:t>
            </w:r>
          </w:p>
        </w:tc>
      </w:tr>
    </w:tbl>
    <w:p w14:paraId="19042B8D" w14:textId="77777777" w:rsidR="003404D8" w:rsidRDefault="003404D8" w:rsidP="00D27872">
      <w:pPr>
        <w:pStyle w:val="Heading1"/>
        <w:numPr>
          <w:ilvl w:val="0"/>
          <w:numId w:val="3"/>
        </w:numPr>
        <w:ind w:left="720" w:hanging="720"/>
      </w:pPr>
      <w:bookmarkStart w:id="75" w:name="_Toc76042535"/>
      <w:bookmarkStart w:id="76" w:name="_Toc76042536"/>
      <w:bookmarkStart w:id="77" w:name="_Toc205547718"/>
      <w:bookmarkEnd w:id="75"/>
      <w:r>
        <w:t>Measurement criteria for gaseous fuels</w:t>
      </w:r>
      <w:bookmarkEnd w:id="76"/>
      <w:bookmarkEnd w:id="77"/>
    </w:p>
    <w:p w14:paraId="500791AB" w14:textId="77777777" w:rsidR="003404D8" w:rsidRDefault="003404D8" w:rsidP="00D27872">
      <w:pPr>
        <w:spacing w:before="240"/>
      </w:pPr>
      <w:r>
        <w:t>The quantity of gaseous fuel combusted or consumed must be estimated:</w:t>
      </w:r>
    </w:p>
    <w:p w14:paraId="4D6C37F8" w14:textId="77777777" w:rsidR="003404D8" w:rsidRDefault="003404D8" w:rsidP="003404D8">
      <w:pPr>
        <w:pStyle w:val="CERbullets"/>
      </w:pPr>
      <w:r>
        <w:t>if the gaseous fuel acquired involves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69274C6E" w14:textId="77777777" w:rsidTr="009A1EBF">
        <w:tc>
          <w:tcPr>
            <w:tcW w:w="2523" w:type="dxa"/>
          </w:tcPr>
          <w:p w14:paraId="4BABFFAF" w14:textId="77777777" w:rsidR="003404D8" w:rsidRDefault="003404D8" w:rsidP="006C3C5D">
            <w:pPr>
              <w:pStyle w:val="CERbullets"/>
              <w:numPr>
                <w:ilvl w:val="1"/>
                <w:numId w:val="1"/>
              </w:numPr>
            </w:pPr>
            <w:r w:rsidRPr="00996ED4">
              <w:rPr>
                <w:bCs/>
              </w:rPr>
              <w:t>criterion A</w:t>
            </w:r>
            <w:r>
              <w:rPr>
                <w:b/>
              </w:rPr>
              <w:tab/>
            </w:r>
            <w:r w:rsidRPr="00C55C55">
              <w:t>-</w:t>
            </w:r>
          </w:p>
        </w:tc>
        <w:tc>
          <w:tcPr>
            <w:tcW w:w="7207" w:type="dxa"/>
          </w:tcPr>
          <w:p w14:paraId="207CA734" w14:textId="77777777" w:rsidR="003404D8" w:rsidRDefault="003404D8" w:rsidP="009A1EBF">
            <w:pPr>
              <w:pStyle w:val="CERbullets"/>
              <w:numPr>
                <w:ilvl w:val="0"/>
                <w:numId w:val="0"/>
              </w:numPr>
              <w:ind w:left="360" w:hanging="360"/>
            </w:pPr>
            <w:r>
              <w:t>as evidenced by invoices issued by the vendor of the fuel.</w:t>
            </w:r>
          </w:p>
        </w:tc>
      </w:tr>
      <w:tr w:rsidR="00FD004A" w14:paraId="4FD4993E" w14:textId="77777777" w:rsidTr="009A1EBF">
        <w:tc>
          <w:tcPr>
            <w:tcW w:w="2523" w:type="dxa"/>
          </w:tcPr>
          <w:p w14:paraId="23AC104C" w14:textId="77777777" w:rsidR="003404D8" w:rsidRDefault="003404D8" w:rsidP="006C3C5D">
            <w:pPr>
              <w:pStyle w:val="CERbullets"/>
              <w:numPr>
                <w:ilvl w:val="1"/>
                <w:numId w:val="1"/>
              </w:numPr>
            </w:pPr>
            <w:r w:rsidRPr="00996ED4">
              <w:rPr>
                <w:bCs/>
              </w:rPr>
              <w:t>criterion AA</w:t>
            </w:r>
            <w:r>
              <w:rPr>
                <w:b/>
              </w:rPr>
              <w:tab/>
            </w:r>
            <w:r>
              <w:t>-</w:t>
            </w:r>
          </w:p>
          <w:p w14:paraId="1AFA0283" w14:textId="77777777" w:rsidR="003404D8" w:rsidRPr="0004383D" w:rsidRDefault="003404D8" w:rsidP="009A1EBF">
            <w:pPr>
              <w:pStyle w:val="CERbullets"/>
              <w:numPr>
                <w:ilvl w:val="0"/>
                <w:numId w:val="0"/>
              </w:numPr>
              <w:ind w:left="720"/>
              <w:rPr>
                <w:b/>
              </w:rPr>
            </w:pPr>
          </w:p>
        </w:tc>
        <w:tc>
          <w:tcPr>
            <w:tcW w:w="7207" w:type="dxa"/>
          </w:tcPr>
          <w:p w14:paraId="043F1956" w14:textId="77777777" w:rsidR="003404D8" w:rsidRDefault="003404D8" w:rsidP="009A1EBF">
            <w:pPr>
              <w:pStyle w:val="CERbullets"/>
              <w:numPr>
                <w:ilvl w:val="0"/>
                <w:numId w:val="0"/>
              </w:numPr>
              <w:ind w:left="35"/>
            </w:pPr>
            <w:r>
              <w:t>by estimating the change in the quantity of the stockpile of the fuel as evidenced by invoices issued by the vendor of the fuel.</w:t>
            </w:r>
          </w:p>
          <w:p w14:paraId="03BB9F22" w14:textId="77777777" w:rsidR="003404D8" w:rsidRDefault="003404D8" w:rsidP="009A1EBF">
            <w:pPr>
              <w:pStyle w:val="CERbullets"/>
              <w:numPr>
                <w:ilvl w:val="0"/>
                <w:numId w:val="0"/>
              </w:numPr>
              <w:ind w:left="35"/>
            </w:pPr>
            <w:r>
              <w:t xml:space="preserve">If criterion AA is used for a facility in a year, then, </w:t>
            </w:r>
            <w:r w:rsidRPr="00670707">
              <w:rPr>
                <w:bCs/>
              </w:rPr>
              <w:t xml:space="preserve">in each subsequent year, only criterion AA can be used </w:t>
            </w:r>
            <w:r w:rsidRPr="0025478A">
              <w:t>for that facility</w:t>
            </w:r>
            <w:r>
              <w:t>.</w:t>
            </w:r>
          </w:p>
        </w:tc>
      </w:tr>
      <w:tr w:rsidR="00FD004A" w14:paraId="15A63345" w14:textId="77777777" w:rsidTr="009A1EBF">
        <w:tc>
          <w:tcPr>
            <w:tcW w:w="2523" w:type="dxa"/>
          </w:tcPr>
          <w:p w14:paraId="2A07BAB6" w14:textId="77777777" w:rsidR="003404D8" w:rsidRPr="00803F20" w:rsidRDefault="003404D8" w:rsidP="006C3C5D">
            <w:pPr>
              <w:pStyle w:val="CERbullets"/>
              <w:numPr>
                <w:ilvl w:val="1"/>
                <w:numId w:val="1"/>
              </w:numPr>
            </w:pPr>
            <w:r w:rsidRPr="00996ED4">
              <w:rPr>
                <w:bCs/>
              </w:rPr>
              <w:t>criterion AAA</w:t>
            </w:r>
            <w:r>
              <w:rPr>
                <w:b/>
              </w:rPr>
              <w:tab/>
            </w:r>
            <w:r>
              <w:t>-</w:t>
            </w:r>
          </w:p>
        </w:tc>
        <w:tc>
          <w:tcPr>
            <w:tcW w:w="7207" w:type="dxa"/>
          </w:tcPr>
          <w:p w14:paraId="0592B422" w14:textId="77777777" w:rsidR="003404D8" w:rsidRDefault="003404D8" w:rsidP="009A1EBF">
            <w:pPr>
              <w:pStyle w:val="CERbullets"/>
              <w:numPr>
                <w:ilvl w:val="0"/>
                <w:numId w:val="0"/>
              </w:numPr>
              <w:ind w:left="35"/>
            </w:pPr>
            <w:r>
              <w:t>by measuring at the point of combustion/consumption or the point of sale in accordance with sections 2.32 or 2.33 of the NGER Measurement Determination using gas measuring equipment that complies with section 2.34. The gas measuring equipment must, for a given flow, also comply with transmitter and accuracy requirements detailed in section 2.31(4).</w:t>
            </w:r>
          </w:p>
          <w:p w14:paraId="681531EC" w14:textId="457A70CA" w:rsidR="003404D8" w:rsidRPr="005B79F0" w:rsidRDefault="003404D8" w:rsidP="009A1EBF">
            <w:pPr>
              <w:pStyle w:val="CERbullets"/>
              <w:numPr>
                <w:ilvl w:val="0"/>
                <w:numId w:val="0"/>
              </w:numPr>
              <w:ind w:left="35"/>
            </w:pPr>
            <w:r>
              <w:t xml:space="preserve">The </w:t>
            </w:r>
            <w:r w:rsidR="00442CB1">
              <w:t>point-of-sale</w:t>
            </w:r>
            <w:r>
              <w:t xml:space="preserve"> measurement can only be used if the change in stockpile of the fuel </w:t>
            </w:r>
            <w:r w:rsidRPr="005B79F0">
              <w:t xml:space="preserve">is </w:t>
            </w:r>
            <w:r w:rsidRPr="00670707">
              <w:t>less than 1% of the total average combustion/consumption</w:t>
            </w:r>
            <w:r w:rsidRPr="005B79F0">
              <w:t xml:space="preserve"> for the year and, at the beginning of the year, the stockpile quantity is </w:t>
            </w:r>
            <w:r w:rsidRPr="00670707">
              <w:t>less than 5% of total combustion/consumption</w:t>
            </w:r>
            <w:r w:rsidRPr="005B79F0">
              <w:t xml:space="preserve"> for the year.</w:t>
            </w:r>
          </w:p>
          <w:p w14:paraId="10292612" w14:textId="77777777" w:rsidR="003404D8" w:rsidRDefault="003404D8" w:rsidP="009A1EBF">
            <w:pPr>
              <w:pStyle w:val="CERbullets"/>
              <w:numPr>
                <w:ilvl w:val="0"/>
                <w:numId w:val="0"/>
              </w:numPr>
              <w:ind w:left="35"/>
            </w:pPr>
            <w:r w:rsidRPr="005B79F0">
              <w:t xml:space="preserve">If criterion AAA's point of combustion or consumption measurement is used for a facility in a year, then, </w:t>
            </w:r>
            <w:r w:rsidRPr="00670707">
              <w:t xml:space="preserve">in each subsequent year, only this point of combustion or consumption measurement can be used </w:t>
            </w:r>
            <w:r w:rsidRPr="005B79F0">
              <w:t>for</w:t>
            </w:r>
            <w:r>
              <w:t xml:space="preserve"> the facility.</w:t>
            </w:r>
          </w:p>
        </w:tc>
      </w:tr>
    </w:tbl>
    <w:p w14:paraId="2409906C" w14:textId="77777777" w:rsidR="003404D8" w:rsidRDefault="003404D8" w:rsidP="003404D8">
      <w:pPr>
        <w:pStyle w:val="CERbullets"/>
      </w:pPr>
      <w:r>
        <w:t xml:space="preserve">if the gaseous fuel acquired does </w:t>
      </w:r>
      <w:r w:rsidRPr="00670707">
        <w:rPr>
          <w:bCs/>
        </w:rPr>
        <w:t>not</w:t>
      </w:r>
      <w:r>
        <w:t xml:space="preserve"> involve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01266FA6" w14:textId="77777777" w:rsidTr="009A1EBF">
        <w:tc>
          <w:tcPr>
            <w:tcW w:w="2523" w:type="dxa"/>
          </w:tcPr>
          <w:p w14:paraId="1DF6351C" w14:textId="77777777" w:rsidR="003404D8" w:rsidRPr="00803F20" w:rsidRDefault="003404D8" w:rsidP="006C3C5D">
            <w:pPr>
              <w:pStyle w:val="CERbullets"/>
              <w:numPr>
                <w:ilvl w:val="1"/>
                <w:numId w:val="1"/>
              </w:numPr>
            </w:pPr>
            <w:r w:rsidRPr="00670707">
              <w:rPr>
                <w:bCs/>
              </w:rPr>
              <w:t>criterion AAA</w:t>
            </w:r>
            <w:r>
              <w:rPr>
                <w:b/>
              </w:rPr>
              <w:tab/>
            </w:r>
            <w:r>
              <w:t>-</w:t>
            </w:r>
          </w:p>
        </w:tc>
        <w:tc>
          <w:tcPr>
            <w:tcW w:w="7207" w:type="dxa"/>
          </w:tcPr>
          <w:p w14:paraId="09603DA7" w14:textId="77777777" w:rsidR="003404D8" w:rsidRPr="00CB3787" w:rsidRDefault="003404D8" w:rsidP="009A1EBF">
            <w:pPr>
              <w:pStyle w:val="CERbullets"/>
              <w:numPr>
                <w:ilvl w:val="0"/>
                <w:numId w:val="0"/>
              </w:numPr>
              <w:ind w:left="35"/>
            </w:pPr>
            <w:r w:rsidRPr="00CB3787">
              <w:t>by measuring at the point of combustion</w:t>
            </w:r>
            <w:r>
              <w:t xml:space="preserve"> or consumption</w:t>
            </w:r>
            <w:r w:rsidRPr="00CB3787">
              <w:t xml:space="preserve"> using measuring equipment calibrated to a measurement requirement</w:t>
            </w:r>
            <w:r>
              <w:t>.</w:t>
            </w:r>
          </w:p>
          <w:p w14:paraId="4C29F846" w14:textId="77777777" w:rsidR="003404D8" w:rsidRPr="00CB3787" w:rsidRDefault="003404D8" w:rsidP="009A1EBF">
            <w:pPr>
              <w:pStyle w:val="CERbullets"/>
              <w:numPr>
                <w:ilvl w:val="0"/>
                <w:numId w:val="0"/>
              </w:numPr>
              <w:ind w:left="35"/>
            </w:pPr>
            <w:r w:rsidRPr="00CB3787">
              <w:t>Note that a different criterion can still be used in subsequent years</w:t>
            </w:r>
            <w:r>
              <w:t>.</w:t>
            </w:r>
          </w:p>
        </w:tc>
      </w:tr>
      <w:tr w:rsidR="00FD004A" w14:paraId="2D75EA17" w14:textId="77777777" w:rsidTr="009A1EBF">
        <w:tc>
          <w:tcPr>
            <w:tcW w:w="2523" w:type="dxa"/>
          </w:tcPr>
          <w:p w14:paraId="3A95DB18" w14:textId="77777777" w:rsidR="003404D8" w:rsidRDefault="003404D8" w:rsidP="006C3C5D">
            <w:pPr>
              <w:pStyle w:val="CERbullets"/>
              <w:numPr>
                <w:ilvl w:val="1"/>
                <w:numId w:val="1"/>
              </w:numPr>
              <w:rPr>
                <w:b/>
              </w:rPr>
            </w:pPr>
            <w:r w:rsidRPr="00670707">
              <w:rPr>
                <w:bCs/>
              </w:rPr>
              <w:t>criterion BBB</w:t>
            </w:r>
            <w:r>
              <w:rPr>
                <w:b/>
              </w:rPr>
              <w:tab/>
            </w:r>
            <w:r>
              <w:t>-</w:t>
            </w:r>
          </w:p>
        </w:tc>
        <w:tc>
          <w:tcPr>
            <w:tcW w:w="7207" w:type="dxa"/>
          </w:tcPr>
          <w:p w14:paraId="2202EC82" w14:textId="77777777" w:rsidR="003404D8" w:rsidRDefault="003404D8" w:rsidP="009A1EBF">
            <w:pPr>
              <w:pStyle w:val="CERbullets"/>
              <w:numPr>
                <w:ilvl w:val="0"/>
                <w:numId w:val="0"/>
              </w:numPr>
            </w:pPr>
            <w:r>
              <w:t>by measuring combustion or consumption in accordance with industry practice providing measurement equipment does not meet the requirements of criterion AAA.</w:t>
            </w:r>
          </w:p>
          <w:p w14:paraId="6537EC6C" w14:textId="77777777" w:rsidR="003404D8" w:rsidRDefault="003404D8" w:rsidP="009A1EBF">
            <w:pPr>
              <w:pStyle w:val="CERbullets"/>
              <w:numPr>
                <w:ilvl w:val="0"/>
                <w:numId w:val="0"/>
              </w:numPr>
            </w:pPr>
            <w:r>
              <w:t>For sources of landfill gas captured for production of electricity, the energy content may be estimated using the electrical efficiency factor specified by the manufacturer of the internal combustion engine used to generate electricity. If no electrical efficiency factor is specified, then a 36% fuel to electricity conversion factor is to be used.</w:t>
            </w:r>
          </w:p>
        </w:tc>
      </w:tr>
    </w:tbl>
    <w:p w14:paraId="1FA23BB1" w14:textId="77777777" w:rsidR="003404D8" w:rsidRDefault="003404D8" w:rsidP="00D27872">
      <w:pPr>
        <w:pStyle w:val="Heading1"/>
        <w:numPr>
          <w:ilvl w:val="0"/>
          <w:numId w:val="3"/>
        </w:numPr>
        <w:ind w:left="720" w:hanging="720"/>
      </w:pPr>
      <w:bookmarkStart w:id="78" w:name="_Toc76042537"/>
      <w:bookmarkStart w:id="79" w:name="_Toc76042538"/>
      <w:bookmarkStart w:id="80" w:name="_Toc205547719"/>
      <w:bookmarkEnd w:id="78"/>
      <w:r>
        <w:lastRenderedPageBreak/>
        <w:t>Measurement criteria for liquid fuels</w:t>
      </w:r>
      <w:bookmarkEnd w:id="79"/>
      <w:bookmarkEnd w:id="80"/>
    </w:p>
    <w:p w14:paraId="2DD8A5C8" w14:textId="77777777" w:rsidR="003404D8" w:rsidRDefault="003404D8" w:rsidP="00D27872">
      <w:pPr>
        <w:spacing w:before="240"/>
      </w:pPr>
      <w:r>
        <w:t>The quantity of liquid fuel combusted or consumed must be estimated:</w:t>
      </w:r>
    </w:p>
    <w:p w14:paraId="6B5CB123" w14:textId="77777777" w:rsidR="003404D8" w:rsidRDefault="003404D8" w:rsidP="003404D8">
      <w:pPr>
        <w:pStyle w:val="CERbullets"/>
      </w:pPr>
      <w:r>
        <w:t>if the liquid fuel acquired involves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E048A" w:rsidRPr="005B79F0" w14:paraId="555F6346" w14:textId="77777777" w:rsidTr="009A1EBF">
        <w:tc>
          <w:tcPr>
            <w:tcW w:w="2523" w:type="dxa"/>
          </w:tcPr>
          <w:p w14:paraId="5E04707E" w14:textId="77777777" w:rsidR="003404D8" w:rsidRPr="005B79F0" w:rsidRDefault="003404D8" w:rsidP="006C3C5D">
            <w:pPr>
              <w:pStyle w:val="CERbullets"/>
              <w:numPr>
                <w:ilvl w:val="1"/>
                <w:numId w:val="1"/>
              </w:numPr>
              <w:rPr>
                <w:bCs/>
              </w:rPr>
            </w:pPr>
            <w:r w:rsidRPr="00670707">
              <w:rPr>
                <w:bCs/>
              </w:rPr>
              <w:t>criterion A</w:t>
            </w:r>
            <w:r w:rsidRPr="00670707">
              <w:rPr>
                <w:bCs/>
              </w:rPr>
              <w:tab/>
            </w:r>
            <w:r w:rsidRPr="005B79F0">
              <w:rPr>
                <w:bCs/>
              </w:rPr>
              <w:t>-</w:t>
            </w:r>
          </w:p>
        </w:tc>
        <w:tc>
          <w:tcPr>
            <w:tcW w:w="7207" w:type="dxa"/>
          </w:tcPr>
          <w:p w14:paraId="6B5C7773" w14:textId="77777777" w:rsidR="003404D8" w:rsidRPr="00996ED4" w:rsidRDefault="003404D8" w:rsidP="009A1EBF">
            <w:pPr>
              <w:pStyle w:val="CERbullets"/>
              <w:numPr>
                <w:ilvl w:val="0"/>
                <w:numId w:val="0"/>
              </w:numPr>
              <w:ind w:left="360" w:hanging="360"/>
              <w:rPr>
                <w:bCs/>
              </w:rPr>
            </w:pPr>
            <w:r w:rsidRPr="0035587F">
              <w:rPr>
                <w:bCs/>
              </w:rPr>
              <w:t>as evidenced by invoices issued by the vendor of the fuel</w:t>
            </w:r>
            <w:r w:rsidRPr="00885BC4">
              <w:rPr>
                <w:bCs/>
              </w:rPr>
              <w:t>.</w:t>
            </w:r>
          </w:p>
        </w:tc>
      </w:tr>
      <w:tr w:rsidR="00FE048A" w:rsidRPr="005B79F0" w14:paraId="3AA8B2FC" w14:textId="77777777" w:rsidTr="009A1EBF">
        <w:tc>
          <w:tcPr>
            <w:tcW w:w="2523" w:type="dxa"/>
          </w:tcPr>
          <w:p w14:paraId="47704EDE" w14:textId="77777777" w:rsidR="003404D8" w:rsidRPr="005B79F0" w:rsidRDefault="003404D8" w:rsidP="006C3C5D">
            <w:pPr>
              <w:pStyle w:val="CERbullets"/>
              <w:numPr>
                <w:ilvl w:val="1"/>
                <w:numId w:val="1"/>
              </w:numPr>
              <w:rPr>
                <w:bCs/>
              </w:rPr>
            </w:pPr>
            <w:r w:rsidRPr="00670707">
              <w:rPr>
                <w:bCs/>
              </w:rPr>
              <w:t>criterion AA</w:t>
            </w:r>
            <w:r w:rsidRPr="00670707">
              <w:rPr>
                <w:bCs/>
              </w:rPr>
              <w:tab/>
            </w:r>
            <w:r w:rsidRPr="005B79F0">
              <w:rPr>
                <w:bCs/>
              </w:rPr>
              <w:t>-</w:t>
            </w:r>
          </w:p>
          <w:p w14:paraId="3A8E7DB4" w14:textId="77777777" w:rsidR="003404D8" w:rsidRPr="00814DD8" w:rsidRDefault="003404D8" w:rsidP="009A1EBF">
            <w:pPr>
              <w:pStyle w:val="CERbullets"/>
              <w:numPr>
                <w:ilvl w:val="0"/>
                <w:numId w:val="0"/>
              </w:numPr>
              <w:ind w:left="720"/>
              <w:rPr>
                <w:bCs/>
              </w:rPr>
            </w:pPr>
          </w:p>
        </w:tc>
        <w:tc>
          <w:tcPr>
            <w:tcW w:w="7207" w:type="dxa"/>
          </w:tcPr>
          <w:p w14:paraId="0779412E" w14:textId="77777777" w:rsidR="003404D8" w:rsidRPr="00996ED4" w:rsidRDefault="003404D8" w:rsidP="009A1EBF">
            <w:pPr>
              <w:pStyle w:val="CERbullets"/>
              <w:numPr>
                <w:ilvl w:val="0"/>
                <w:numId w:val="0"/>
              </w:numPr>
              <w:ind w:left="35"/>
              <w:rPr>
                <w:bCs/>
              </w:rPr>
            </w:pPr>
            <w:r w:rsidRPr="005B79F0">
              <w:rPr>
                <w:bCs/>
              </w:rPr>
              <w:t xml:space="preserve">by estimating the change in the quantity of the stockpile of the fuel as evidenced by invoices issued by </w:t>
            </w:r>
            <w:r w:rsidRPr="0035587F">
              <w:rPr>
                <w:bCs/>
              </w:rPr>
              <w:t>the vendor of the fuel</w:t>
            </w:r>
            <w:r w:rsidRPr="00885BC4">
              <w:rPr>
                <w:bCs/>
              </w:rPr>
              <w:t>.</w:t>
            </w:r>
          </w:p>
          <w:p w14:paraId="6ABFB481" w14:textId="77777777" w:rsidR="00D76177" w:rsidRDefault="003404D8" w:rsidP="00DD7B74">
            <w:pPr>
              <w:pStyle w:val="CERbullets"/>
              <w:numPr>
                <w:ilvl w:val="0"/>
                <w:numId w:val="0"/>
              </w:numPr>
              <w:ind w:left="35"/>
              <w:rPr>
                <w:bCs/>
              </w:rPr>
            </w:pPr>
            <w:r w:rsidRPr="00996ED4">
              <w:rPr>
                <w:bCs/>
              </w:rPr>
              <w:t xml:space="preserve">If criterion AA is used for a facility in a year, then, </w:t>
            </w:r>
            <w:r w:rsidRPr="00670707">
              <w:rPr>
                <w:bCs/>
              </w:rPr>
              <w:t xml:space="preserve">in each subsequent year, only criterion AA can be used </w:t>
            </w:r>
            <w:r w:rsidRPr="005B79F0">
              <w:rPr>
                <w:bCs/>
              </w:rPr>
              <w:t>for that facility.</w:t>
            </w:r>
          </w:p>
          <w:p w14:paraId="660AEDAE" w14:textId="22863DA1" w:rsidR="00E8337B" w:rsidRDefault="00B6156B" w:rsidP="00DD7B74">
            <w:pPr>
              <w:pStyle w:val="CERbullets"/>
              <w:numPr>
                <w:ilvl w:val="0"/>
                <w:numId w:val="0"/>
              </w:numPr>
              <w:ind w:left="35"/>
              <w:rPr>
                <w:bCs/>
              </w:rPr>
            </w:pPr>
            <w:r>
              <w:rPr>
                <w:bCs/>
              </w:rPr>
              <w:t xml:space="preserve">Criterion A or AA are suitable </w:t>
            </w:r>
            <w:r w:rsidR="00BC1F0A">
              <w:rPr>
                <w:bCs/>
              </w:rPr>
              <w:t xml:space="preserve">for use </w:t>
            </w:r>
            <w:r>
              <w:rPr>
                <w:bCs/>
              </w:rPr>
              <w:t>whe</w:t>
            </w:r>
            <w:r w:rsidR="009839E2">
              <w:rPr>
                <w:bCs/>
              </w:rPr>
              <w:t>n</w:t>
            </w:r>
            <w:r>
              <w:rPr>
                <w:bCs/>
              </w:rPr>
              <w:t xml:space="preserve"> fuel quantit</w:t>
            </w:r>
            <w:r w:rsidR="00C90880">
              <w:rPr>
                <w:bCs/>
              </w:rPr>
              <w:t>ies</w:t>
            </w:r>
            <w:r>
              <w:rPr>
                <w:bCs/>
              </w:rPr>
              <w:t xml:space="preserve"> </w:t>
            </w:r>
            <w:r w:rsidR="00C90880">
              <w:rPr>
                <w:bCs/>
              </w:rPr>
              <w:t xml:space="preserve">are </w:t>
            </w:r>
            <w:r>
              <w:rPr>
                <w:bCs/>
              </w:rPr>
              <w:t xml:space="preserve">apportioned </w:t>
            </w:r>
            <w:r w:rsidR="00C90880">
              <w:rPr>
                <w:bCs/>
              </w:rPr>
              <w:t xml:space="preserve">to different fuel items in Schedule 1 of the NGER Measurement Determination </w:t>
            </w:r>
            <w:r w:rsidR="00BB286D">
              <w:rPr>
                <w:bCs/>
              </w:rPr>
              <w:t>f</w:t>
            </w:r>
            <w:r w:rsidR="00C90880">
              <w:rPr>
                <w:bCs/>
              </w:rPr>
              <w:t xml:space="preserve">or </w:t>
            </w:r>
            <w:r w:rsidR="00BB286D">
              <w:rPr>
                <w:bCs/>
              </w:rPr>
              <w:t xml:space="preserve">different </w:t>
            </w:r>
            <w:r w:rsidR="00C90880">
              <w:rPr>
                <w:bCs/>
              </w:rPr>
              <w:t>energy purposes</w:t>
            </w:r>
            <w:r w:rsidR="00BC1F0A">
              <w:rPr>
                <w:bCs/>
              </w:rPr>
              <w:t>, if a</w:t>
            </w:r>
            <w:r w:rsidR="00995941">
              <w:rPr>
                <w:bCs/>
              </w:rPr>
              <w:t xml:space="preserve">ny </w:t>
            </w:r>
            <w:r w:rsidR="00BC1F0A">
              <w:rPr>
                <w:bCs/>
              </w:rPr>
              <w:t>commercial transaction is involved</w:t>
            </w:r>
            <w:r w:rsidR="00C90880">
              <w:rPr>
                <w:bCs/>
              </w:rPr>
              <w:t>.</w:t>
            </w:r>
            <w:r w:rsidR="00CF6B3A">
              <w:rPr>
                <w:bCs/>
              </w:rPr>
              <w:t xml:space="preserve"> This includes </w:t>
            </w:r>
            <w:r w:rsidR="00B411A8">
              <w:rPr>
                <w:bCs/>
              </w:rPr>
              <w:t xml:space="preserve">reporting for </w:t>
            </w:r>
            <w:r w:rsidR="009E7F27">
              <w:rPr>
                <w:bCs/>
              </w:rPr>
              <w:t>on-site fuel management systems.</w:t>
            </w:r>
          </w:p>
          <w:p w14:paraId="51C62C92" w14:textId="33B0CA24" w:rsidR="0092072D" w:rsidRPr="0035587F" w:rsidRDefault="00E8337B" w:rsidP="00DD7B74">
            <w:pPr>
              <w:pStyle w:val="CERbullets"/>
              <w:numPr>
                <w:ilvl w:val="0"/>
                <w:numId w:val="0"/>
              </w:numPr>
              <w:ind w:left="35"/>
              <w:rPr>
                <w:bCs/>
              </w:rPr>
            </w:pPr>
            <w:r>
              <w:rPr>
                <w:bCs/>
              </w:rPr>
              <w:t>For more information on reporting liquid fuels at open cut coal mines, s</w:t>
            </w:r>
            <w:r w:rsidR="009E7F27">
              <w:rPr>
                <w:bCs/>
              </w:rPr>
              <w:t xml:space="preserve">ee </w:t>
            </w:r>
            <w:r w:rsidR="00D75A04">
              <w:rPr>
                <w:bCs/>
              </w:rPr>
              <w:t xml:space="preserve">chapter 9.1 of </w:t>
            </w:r>
            <w:r w:rsidR="009E7F27">
              <w:rPr>
                <w:bCs/>
              </w:rPr>
              <w:t>th</w:t>
            </w:r>
            <w:r w:rsidR="009E7F27" w:rsidRPr="00FA509D">
              <w:rPr>
                <w:bCs/>
              </w:rPr>
              <w:t xml:space="preserve">e </w:t>
            </w:r>
            <w:hyperlink r:id="rId36" w:tooltip="A link to the Estimating emissions and energy from coal mining guideline on the Clean Energy Regulator website" w:history="1">
              <w:r w:rsidR="009E7F27" w:rsidRPr="00FA509D">
                <w:rPr>
                  <w:rStyle w:val="Hyperlink"/>
                  <w:rFonts w:asciiTheme="minorHAnsi" w:hAnsiTheme="minorHAnsi"/>
                  <w:bCs/>
                </w:rPr>
                <w:t>Estimating emissions and energy from coal mining guideline</w:t>
              </w:r>
            </w:hyperlink>
            <w:r w:rsidR="009E7F27" w:rsidRPr="00FA509D">
              <w:rPr>
                <w:rStyle w:val="FootnoteReference"/>
                <w:bCs/>
              </w:rPr>
              <w:footnoteReference w:id="19"/>
            </w:r>
            <w:r w:rsidRPr="00FA509D">
              <w:rPr>
                <w:bCs/>
              </w:rPr>
              <w:t>.</w:t>
            </w:r>
          </w:p>
        </w:tc>
      </w:tr>
      <w:tr w:rsidR="00FE048A" w:rsidRPr="005B79F0" w14:paraId="39495210" w14:textId="77777777" w:rsidTr="009A1EBF">
        <w:tc>
          <w:tcPr>
            <w:tcW w:w="2523" w:type="dxa"/>
          </w:tcPr>
          <w:p w14:paraId="74E72E22" w14:textId="77777777" w:rsidR="003404D8" w:rsidRPr="005B79F0" w:rsidRDefault="003404D8" w:rsidP="006C3C5D">
            <w:pPr>
              <w:pStyle w:val="CERbullets"/>
              <w:numPr>
                <w:ilvl w:val="1"/>
                <w:numId w:val="1"/>
              </w:numPr>
              <w:rPr>
                <w:bCs/>
              </w:rPr>
            </w:pPr>
            <w:r w:rsidRPr="00814DD8">
              <w:rPr>
                <w:bCs/>
              </w:rPr>
              <w:t>criterion AAA</w:t>
            </w:r>
            <w:r w:rsidRPr="00814DD8">
              <w:rPr>
                <w:bCs/>
              </w:rPr>
              <w:tab/>
            </w:r>
            <w:r w:rsidRPr="005B79F0">
              <w:rPr>
                <w:bCs/>
              </w:rPr>
              <w:t>-</w:t>
            </w:r>
          </w:p>
        </w:tc>
        <w:tc>
          <w:tcPr>
            <w:tcW w:w="7207" w:type="dxa"/>
          </w:tcPr>
          <w:p w14:paraId="63E1BE38" w14:textId="77777777" w:rsidR="003404D8" w:rsidRPr="0073208A" w:rsidRDefault="003404D8" w:rsidP="009A1EBF">
            <w:pPr>
              <w:pStyle w:val="CERbullets"/>
              <w:numPr>
                <w:ilvl w:val="0"/>
                <w:numId w:val="0"/>
              </w:numPr>
              <w:ind w:left="35"/>
              <w:rPr>
                <w:bCs/>
              </w:rPr>
            </w:pPr>
            <w:r w:rsidRPr="0035587F">
              <w:rPr>
                <w:bCs/>
              </w:rPr>
              <w:t xml:space="preserve">by measuring at the point of </w:t>
            </w:r>
            <w:r w:rsidRPr="00885BC4">
              <w:rPr>
                <w:bCs/>
              </w:rPr>
              <w:t xml:space="preserve">combustion or </w:t>
            </w:r>
            <w:r w:rsidRPr="00996ED4">
              <w:rPr>
                <w:bCs/>
              </w:rPr>
              <w:t>consumption or at the point of sale at ambient temperatures and converted to standard temperatures using measuring equipment calibrated to a measurement requirement</w:t>
            </w:r>
            <w:r w:rsidRPr="0073208A">
              <w:rPr>
                <w:bCs/>
              </w:rPr>
              <w:t>.</w:t>
            </w:r>
          </w:p>
          <w:p w14:paraId="664B4B86" w14:textId="0545DB4A" w:rsidR="003404D8" w:rsidRPr="00996ED4" w:rsidRDefault="003404D8" w:rsidP="009A1EBF">
            <w:pPr>
              <w:pStyle w:val="CERbullets"/>
              <w:numPr>
                <w:ilvl w:val="0"/>
                <w:numId w:val="0"/>
              </w:numPr>
              <w:ind w:left="35"/>
              <w:rPr>
                <w:bCs/>
              </w:rPr>
            </w:pPr>
            <w:r w:rsidRPr="0073208A">
              <w:rPr>
                <w:bCs/>
              </w:rPr>
              <w:t xml:space="preserve">The </w:t>
            </w:r>
            <w:r w:rsidR="00442CB1" w:rsidRPr="0073208A">
              <w:rPr>
                <w:bCs/>
              </w:rPr>
              <w:t>point-of-sale</w:t>
            </w:r>
            <w:r w:rsidRPr="0073208A">
              <w:rPr>
                <w:bCs/>
              </w:rPr>
              <w:t xml:space="preserve"> measurement can only be used if the change in stockpile of the fuel is </w:t>
            </w:r>
            <w:r w:rsidRPr="00814DD8">
              <w:rPr>
                <w:bCs/>
              </w:rPr>
              <w:t>less than 1% of the total average combustion or consumption</w:t>
            </w:r>
            <w:r w:rsidRPr="005B79F0">
              <w:rPr>
                <w:bCs/>
              </w:rPr>
              <w:t xml:space="preserve"> for the year and, at the beginning of the year, the stockpile quantity is </w:t>
            </w:r>
            <w:r w:rsidRPr="00814DD8">
              <w:rPr>
                <w:bCs/>
              </w:rPr>
              <w:t>less than 5% of total combustion or consumption</w:t>
            </w:r>
            <w:r w:rsidRPr="005B79F0">
              <w:rPr>
                <w:bCs/>
              </w:rPr>
              <w:t xml:space="preserve"> for the </w:t>
            </w:r>
            <w:r w:rsidRPr="0035587F">
              <w:rPr>
                <w:bCs/>
              </w:rPr>
              <w:t>year</w:t>
            </w:r>
            <w:r w:rsidRPr="00885BC4">
              <w:rPr>
                <w:bCs/>
              </w:rPr>
              <w:t>.</w:t>
            </w:r>
          </w:p>
          <w:p w14:paraId="719D4412" w14:textId="1CCEA23A" w:rsidR="00872A6E" w:rsidRPr="0035587F" w:rsidRDefault="003404D8" w:rsidP="000C05A2">
            <w:pPr>
              <w:pStyle w:val="CERbullets"/>
              <w:numPr>
                <w:ilvl w:val="0"/>
                <w:numId w:val="0"/>
              </w:numPr>
              <w:ind w:left="35"/>
              <w:rPr>
                <w:bCs/>
              </w:rPr>
            </w:pPr>
            <w:r w:rsidRPr="00996ED4">
              <w:rPr>
                <w:bCs/>
              </w:rPr>
              <w:t xml:space="preserve">If criterion AAA's point of combustion or consumption measurement is used for a facility in a year, then, </w:t>
            </w:r>
            <w:r w:rsidRPr="00814DD8">
              <w:rPr>
                <w:bCs/>
              </w:rPr>
              <w:t xml:space="preserve">in each subsequent year, only this point of combustion or consumption measurement can be used </w:t>
            </w:r>
            <w:r w:rsidRPr="005B79F0">
              <w:rPr>
                <w:bCs/>
              </w:rPr>
              <w:t>for the facility.</w:t>
            </w:r>
          </w:p>
        </w:tc>
      </w:tr>
    </w:tbl>
    <w:p w14:paraId="4CDDFC77" w14:textId="77777777" w:rsidR="003404D8" w:rsidRPr="0035587F" w:rsidRDefault="003404D8" w:rsidP="003404D8">
      <w:pPr>
        <w:pStyle w:val="CERbullets"/>
        <w:rPr>
          <w:bCs/>
        </w:rPr>
      </w:pPr>
      <w:r w:rsidRPr="0035587F">
        <w:rPr>
          <w:bCs/>
        </w:rPr>
        <w:t>if the liquid</w:t>
      </w:r>
      <w:r w:rsidRPr="00885BC4">
        <w:rPr>
          <w:bCs/>
        </w:rPr>
        <w:t xml:space="preserve"> </w:t>
      </w:r>
      <w:r w:rsidRPr="00996ED4">
        <w:rPr>
          <w:bCs/>
        </w:rPr>
        <w:t xml:space="preserve">fuel acquired does </w:t>
      </w:r>
      <w:r w:rsidRPr="00814DD8">
        <w:rPr>
          <w:bCs/>
        </w:rPr>
        <w:t>not</w:t>
      </w:r>
      <w:r w:rsidRPr="005B79F0">
        <w:rPr>
          <w:bCs/>
        </w:rPr>
        <w:t xml:space="preserve"> involve a commercial transaction, using</w:t>
      </w:r>
      <w:r w:rsidRPr="0035587F">
        <w:rPr>
          <w:bCs/>
        </w:rPr>
        <w:t>:</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rsidRPr="005B79F0" w14:paraId="594B2FF7" w14:textId="77777777" w:rsidTr="009A1EBF">
        <w:tc>
          <w:tcPr>
            <w:tcW w:w="2523" w:type="dxa"/>
          </w:tcPr>
          <w:p w14:paraId="7B2B3419" w14:textId="77777777" w:rsidR="003404D8" w:rsidRPr="005B79F0" w:rsidRDefault="003404D8" w:rsidP="006C3C5D">
            <w:pPr>
              <w:pStyle w:val="CERbullets"/>
              <w:numPr>
                <w:ilvl w:val="1"/>
                <w:numId w:val="1"/>
              </w:numPr>
              <w:rPr>
                <w:bCs/>
              </w:rPr>
            </w:pPr>
            <w:r w:rsidRPr="00A97F91">
              <w:rPr>
                <w:bCs/>
              </w:rPr>
              <w:t>criterion AAA</w:t>
            </w:r>
            <w:r w:rsidRPr="00A97F91">
              <w:rPr>
                <w:bCs/>
              </w:rPr>
              <w:tab/>
            </w:r>
            <w:r w:rsidRPr="005B79F0">
              <w:rPr>
                <w:bCs/>
              </w:rPr>
              <w:t>-</w:t>
            </w:r>
          </w:p>
        </w:tc>
        <w:tc>
          <w:tcPr>
            <w:tcW w:w="7207" w:type="dxa"/>
          </w:tcPr>
          <w:p w14:paraId="437A9F3D" w14:textId="77777777" w:rsidR="003404D8" w:rsidRPr="0073208A" w:rsidRDefault="003404D8" w:rsidP="009A1EBF">
            <w:pPr>
              <w:pStyle w:val="CERbullets"/>
              <w:numPr>
                <w:ilvl w:val="0"/>
                <w:numId w:val="0"/>
              </w:numPr>
              <w:ind w:left="35"/>
              <w:rPr>
                <w:bCs/>
              </w:rPr>
            </w:pPr>
            <w:r w:rsidRPr="0035587F">
              <w:rPr>
                <w:bCs/>
              </w:rPr>
              <w:t>by measuring at the point of combustion</w:t>
            </w:r>
            <w:r w:rsidRPr="00885BC4">
              <w:rPr>
                <w:bCs/>
              </w:rPr>
              <w:t xml:space="preserve"> or </w:t>
            </w:r>
            <w:r w:rsidRPr="00670707">
              <w:rPr>
                <w:bCs/>
              </w:rPr>
              <w:t>consumption at ambient temperatures and converted to standard temperatures using measuring equipment c</w:t>
            </w:r>
            <w:r w:rsidRPr="0073208A">
              <w:rPr>
                <w:bCs/>
              </w:rPr>
              <w:t>alibrated to a measuring requirement.</w:t>
            </w:r>
          </w:p>
          <w:p w14:paraId="523BC040" w14:textId="77777777" w:rsidR="003404D8" w:rsidRPr="0073208A" w:rsidRDefault="003404D8" w:rsidP="009A1EBF">
            <w:pPr>
              <w:pStyle w:val="CERbullets"/>
              <w:numPr>
                <w:ilvl w:val="0"/>
                <w:numId w:val="0"/>
              </w:numPr>
              <w:ind w:left="35"/>
              <w:rPr>
                <w:bCs/>
              </w:rPr>
            </w:pPr>
            <w:r w:rsidRPr="0073208A">
              <w:rPr>
                <w:bCs/>
              </w:rPr>
              <w:t>Note that a different criterion can still be used in subsequent years.</w:t>
            </w:r>
          </w:p>
        </w:tc>
      </w:tr>
      <w:tr w:rsidR="00FD004A" w:rsidRPr="005B79F0" w14:paraId="2B7B7602" w14:textId="77777777" w:rsidTr="009A1EBF">
        <w:tc>
          <w:tcPr>
            <w:tcW w:w="2523" w:type="dxa"/>
          </w:tcPr>
          <w:p w14:paraId="347BF2F8" w14:textId="77777777" w:rsidR="003404D8" w:rsidRPr="00A97F91" w:rsidRDefault="003404D8" w:rsidP="006C3C5D">
            <w:pPr>
              <w:pStyle w:val="CERbullets"/>
              <w:numPr>
                <w:ilvl w:val="1"/>
                <w:numId w:val="1"/>
              </w:numPr>
              <w:rPr>
                <w:bCs/>
              </w:rPr>
            </w:pPr>
            <w:r w:rsidRPr="00A97F91">
              <w:rPr>
                <w:bCs/>
              </w:rPr>
              <w:t>criterion BBB</w:t>
            </w:r>
            <w:r w:rsidRPr="00A97F91">
              <w:rPr>
                <w:bCs/>
              </w:rPr>
              <w:tab/>
            </w:r>
            <w:r w:rsidRPr="005B79F0">
              <w:rPr>
                <w:bCs/>
              </w:rPr>
              <w:t>-</w:t>
            </w:r>
          </w:p>
        </w:tc>
        <w:tc>
          <w:tcPr>
            <w:tcW w:w="7207" w:type="dxa"/>
          </w:tcPr>
          <w:p w14:paraId="1224DE93" w14:textId="386718BC" w:rsidR="00B97E37" w:rsidRPr="00A97F91" w:rsidRDefault="003404D8" w:rsidP="009A1EBF">
            <w:pPr>
              <w:pStyle w:val="CERbullets"/>
              <w:numPr>
                <w:ilvl w:val="0"/>
                <w:numId w:val="0"/>
              </w:numPr>
              <w:rPr>
                <w:bCs/>
              </w:rPr>
            </w:pPr>
            <w:r w:rsidRPr="005B79F0">
              <w:rPr>
                <w:bCs/>
              </w:rPr>
              <w:t>by measuring combustion or consumption</w:t>
            </w:r>
            <w:r w:rsidRPr="0035587F">
              <w:rPr>
                <w:bCs/>
              </w:rPr>
              <w:t xml:space="preserve"> </w:t>
            </w:r>
            <w:r w:rsidRPr="00885BC4">
              <w:rPr>
                <w:bCs/>
              </w:rPr>
              <w:t xml:space="preserve">using an accepted industry measuring device or in accordance with industry practice, </w:t>
            </w:r>
            <w:r w:rsidRPr="00670707">
              <w:rPr>
                <w:bCs/>
              </w:rPr>
              <w:t>if the measuring equipment is not cal</w:t>
            </w:r>
            <w:r w:rsidRPr="00A97F91">
              <w:rPr>
                <w:bCs/>
              </w:rPr>
              <w:t>ibrated to a measurement requirement.</w:t>
            </w:r>
            <w:r w:rsidR="00990FDD">
              <w:rPr>
                <w:bCs/>
              </w:rPr>
              <w:t xml:space="preserve"> </w:t>
            </w:r>
            <w:r w:rsidR="00C01197">
              <w:rPr>
                <w:bCs/>
              </w:rPr>
              <w:t>Industry practice may include</w:t>
            </w:r>
            <w:r w:rsidR="009D053C">
              <w:rPr>
                <w:bCs/>
              </w:rPr>
              <w:t xml:space="preserve"> </w:t>
            </w:r>
            <w:r w:rsidR="00302EB6">
              <w:rPr>
                <w:bCs/>
              </w:rPr>
              <w:t>use of</w:t>
            </w:r>
            <w:r w:rsidR="00BD5B62">
              <w:rPr>
                <w:bCs/>
              </w:rPr>
              <w:t xml:space="preserve"> </w:t>
            </w:r>
            <w:r w:rsidR="0081054D">
              <w:rPr>
                <w:bCs/>
              </w:rPr>
              <w:t>logbook</w:t>
            </w:r>
            <w:r w:rsidR="00E646DC">
              <w:rPr>
                <w:bCs/>
              </w:rPr>
              <w:t>s</w:t>
            </w:r>
            <w:r w:rsidR="000216EA">
              <w:rPr>
                <w:bCs/>
              </w:rPr>
              <w:t>,</w:t>
            </w:r>
            <w:r w:rsidR="00A86F29">
              <w:rPr>
                <w:bCs/>
              </w:rPr>
              <w:t xml:space="preserve"> fuel car</w:t>
            </w:r>
            <w:r w:rsidR="003E3C51">
              <w:rPr>
                <w:bCs/>
              </w:rPr>
              <w:t>d</w:t>
            </w:r>
            <w:r w:rsidR="00E646DC">
              <w:rPr>
                <w:bCs/>
              </w:rPr>
              <w:t>s</w:t>
            </w:r>
            <w:r w:rsidR="003E3C51">
              <w:rPr>
                <w:bCs/>
              </w:rPr>
              <w:t xml:space="preserve"> or</w:t>
            </w:r>
            <w:r w:rsidR="004937E2">
              <w:rPr>
                <w:bCs/>
              </w:rPr>
              <w:t xml:space="preserve"> </w:t>
            </w:r>
            <w:r w:rsidR="007010F5">
              <w:rPr>
                <w:bCs/>
              </w:rPr>
              <w:t xml:space="preserve">fleet management </w:t>
            </w:r>
            <w:r w:rsidR="003569A9">
              <w:rPr>
                <w:bCs/>
              </w:rPr>
              <w:t>software</w:t>
            </w:r>
            <w:r w:rsidR="003E3C51">
              <w:rPr>
                <w:bCs/>
              </w:rPr>
              <w:t xml:space="preserve">. </w:t>
            </w:r>
          </w:p>
        </w:tc>
      </w:tr>
    </w:tbl>
    <w:p w14:paraId="3A6B04F1" w14:textId="77777777" w:rsidR="003404D8" w:rsidRDefault="003404D8" w:rsidP="00A10FAA">
      <w:pPr>
        <w:pStyle w:val="Heading1"/>
        <w:numPr>
          <w:ilvl w:val="0"/>
          <w:numId w:val="3"/>
        </w:numPr>
        <w:ind w:left="720" w:hanging="720"/>
      </w:pPr>
      <w:bookmarkStart w:id="81" w:name="_Toc76042539"/>
      <w:bookmarkStart w:id="82" w:name="_Toc76042540"/>
      <w:bookmarkStart w:id="83" w:name="_Toc205547720"/>
      <w:bookmarkEnd w:id="81"/>
      <w:r>
        <w:lastRenderedPageBreak/>
        <w:t>Measurement criteria for carbonates</w:t>
      </w:r>
      <w:bookmarkEnd w:id="82"/>
      <w:bookmarkEnd w:id="83"/>
    </w:p>
    <w:p w14:paraId="36A95FB4" w14:textId="77777777" w:rsidR="003404D8" w:rsidRDefault="003404D8" w:rsidP="00A10FAA">
      <w:pPr>
        <w:spacing w:before="240"/>
      </w:pPr>
      <w:r>
        <w:t>The measurement criteria for carbonates apply when estimating emissions from the following sources:</w:t>
      </w:r>
    </w:p>
    <w:p w14:paraId="1AC9412D" w14:textId="77777777" w:rsidR="003404D8" w:rsidRDefault="003404D8" w:rsidP="003404D8">
      <w:pPr>
        <w:pStyle w:val="CERbullets"/>
      </w:pPr>
      <w:r>
        <w:t>cement clinker production</w:t>
      </w:r>
    </w:p>
    <w:p w14:paraId="35D62B72" w14:textId="77777777" w:rsidR="003404D8" w:rsidRDefault="003404D8" w:rsidP="003404D8">
      <w:pPr>
        <w:pStyle w:val="CERbullets"/>
      </w:pPr>
      <w:r>
        <w:t>lime production</w:t>
      </w:r>
    </w:p>
    <w:p w14:paraId="744D94EB" w14:textId="77777777" w:rsidR="003404D8" w:rsidRDefault="003404D8" w:rsidP="003404D8">
      <w:pPr>
        <w:pStyle w:val="CERbullets"/>
      </w:pPr>
      <w:r>
        <w:t>calcination of carbonates in an industrial process</w:t>
      </w:r>
    </w:p>
    <w:p w14:paraId="5F56F9C6" w14:textId="77777777" w:rsidR="003404D8" w:rsidRDefault="003404D8" w:rsidP="003404D8">
      <w:pPr>
        <w:pStyle w:val="CERbullets"/>
      </w:pPr>
      <w:r>
        <w:t>soda ash production.</w:t>
      </w:r>
    </w:p>
    <w:p w14:paraId="26B90B41" w14:textId="63FA5A8E" w:rsidR="003404D8" w:rsidRDefault="003404D8" w:rsidP="003404D8">
      <w:r>
        <w:t xml:space="preserve">The quantity of carbonates </w:t>
      </w:r>
      <w:r w:rsidR="00442CB1">
        <w:t>consumed,</w:t>
      </w:r>
      <w:r>
        <w:t xml:space="preserve"> or the quantity of products derived from carbonates must be estimated:</w:t>
      </w:r>
    </w:p>
    <w:p w14:paraId="23F18CCA" w14:textId="77777777" w:rsidR="003404D8" w:rsidRDefault="003404D8" w:rsidP="003404D8">
      <w:pPr>
        <w:pStyle w:val="CERbullets"/>
      </w:pPr>
      <w:r>
        <w:t>if the acquisition of carbonates or the dispatch of products derived from carbonates involves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0F9761B6" w14:textId="77777777" w:rsidTr="009A1EBF">
        <w:tc>
          <w:tcPr>
            <w:tcW w:w="2523" w:type="dxa"/>
          </w:tcPr>
          <w:p w14:paraId="04B2E280" w14:textId="77777777" w:rsidR="003404D8" w:rsidRPr="005B79F0" w:rsidRDefault="003404D8" w:rsidP="006C3C5D">
            <w:pPr>
              <w:pStyle w:val="CERbullets"/>
              <w:numPr>
                <w:ilvl w:val="1"/>
                <w:numId w:val="1"/>
              </w:numPr>
              <w:rPr>
                <w:bCs/>
              </w:rPr>
            </w:pPr>
            <w:r w:rsidRPr="00A97F91">
              <w:rPr>
                <w:bCs/>
              </w:rPr>
              <w:t>criterion A</w:t>
            </w:r>
            <w:r w:rsidRPr="00A97F91">
              <w:rPr>
                <w:bCs/>
              </w:rPr>
              <w:tab/>
            </w:r>
            <w:r w:rsidRPr="005B79F0">
              <w:rPr>
                <w:bCs/>
              </w:rPr>
              <w:t>-</w:t>
            </w:r>
          </w:p>
        </w:tc>
        <w:tc>
          <w:tcPr>
            <w:tcW w:w="7207" w:type="dxa"/>
          </w:tcPr>
          <w:p w14:paraId="5DA7F60E" w14:textId="77777777" w:rsidR="003404D8" w:rsidRPr="00670707" w:rsidRDefault="003404D8" w:rsidP="009A1EBF">
            <w:pPr>
              <w:pStyle w:val="CERbullets"/>
              <w:numPr>
                <w:ilvl w:val="0"/>
                <w:numId w:val="0"/>
              </w:numPr>
              <w:ind w:left="360" w:hanging="360"/>
              <w:rPr>
                <w:bCs/>
              </w:rPr>
            </w:pPr>
            <w:r w:rsidRPr="0035587F">
              <w:rPr>
                <w:bCs/>
              </w:rPr>
              <w:t xml:space="preserve">as evidenced by invoices issued by the vendor of the </w:t>
            </w:r>
            <w:r w:rsidRPr="00885BC4">
              <w:rPr>
                <w:bCs/>
              </w:rPr>
              <w:t>carbonates or products</w:t>
            </w:r>
            <w:r w:rsidRPr="00670707">
              <w:rPr>
                <w:bCs/>
              </w:rPr>
              <w:t>.</w:t>
            </w:r>
          </w:p>
        </w:tc>
      </w:tr>
      <w:tr w:rsidR="00FD004A" w14:paraId="73707774" w14:textId="77777777" w:rsidTr="009A1EBF">
        <w:tc>
          <w:tcPr>
            <w:tcW w:w="2523" w:type="dxa"/>
          </w:tcPr>
          <w:p w14:paraId="3D8C48CD" w14:textId="77777777" w:rsidR="003404D8" w:rsidRPr="005B79F0" w:rsidRDefault="003404D8" w:rsidP="006C3C5D">
            <w:pPr>
              <w:pStyle w:val="CERbullets"/>
              <w:numPr>
                <w:ilvl w:val="1"/>
                <w:numId w:val="1"/>
              </w:numPr>
              <w:rPr>
                <w:bCs/>
              </w:rPr>
            </w:pPr>
            <w:r w:rsidRPr="00A97F91">
              <w:rPr>
                <w:bCs/>
              </w:rPr>
              <w:t>criterion AA</w:t>
            </w:r>
            <w:r w:rsidRPr="00A97F91">
              <w:rPr>
                <w:bCs/>
              </w:rPr>
              <w:tab/>
            </w:r>
            <w:r w:rsidRPr="005B79F0">
              <w:rPr>
                <w:bCs/>
              </w:rPr>
              <w:t>-</w:t>
            </w:r>
          </w:p>
          <w:p w14:paraId="49D1B777" w14:textId="77777777" w:rsidR="003404D8" w:rsidRPr="00A97F91" w:rsidRDefault="003404D8" w:rsidP="009A1EBF">
            <w:pPr>
              <w:pStyle w:val="CERbullets"/>
              <w:numPr>
                <w:ilvl w:val="0"/>
                <w:numId w:val="0"/>
              </w:numPr>
              <w:ind w:left="720"/>
              <w:rPr>
                <w:bCs/>
              </w:rPr>
            </w:pPr>
          </w:p>
        </w:tc>
        <w:tc>
          <w:tcPr>
            <w:tcW w:w="7207" w:type="dxa"/>
          </w:tcPr>
          <w:p w14:paraId="0D7825A7" w14:textId="77777777" w:rsidR="003404D8" w:rsidRPr="00A97F91" w:rsidRDefault="003404D8" w:rsidP="009A1EBF">
            <w:pPr>
              <w:pStyle w:val="CERbullets"/>
              <w:numPr>
                <w:ilvl w:val="0"/>
                <w:numId w:val="0"/>
              </w:numPr>
              <w:ind w:left="35"/>
              <w:rPr>
                <w:bCs/>
              </w:rPr>
            </w:pPr>
            <w:r w:rsidRPr="005B79F0">
              <w:rPr>
                <w:bCs/>
              </w:rPr>
              <w:t>by estimating the change in the quantity of the stockpile of the carbonates or products</w:t>
            </w:r>
            <w:r w:rsidRPr="0035587F">
              <w:rPr>
                <w:bCs/>
              </w:rPr>
              <w:t xml:space="preserve"> as evidenced by invoices issued by the vendor of the </w:t>
            </w:r>
            <w:r w:rsidRPr="00885BC4">
              <w:rPr>
                <w:bCs/>
              </w:rPr>
              <w:t>carbonates or product</w:t>
            </w:r>
            <w:r w:rsidRPr="00670707">
              <w:rPr>
                <w:bCs/>
              </w:rPr>
              <w:t>s</w:t>
            </w:r>
            <w:r w:rsidRPr="00A97F91">
              <w:rPr>
                <w:bCs/>
              </w:rPr>
              <w:t>.</w:t>
            </w:r>
          </w:p>
          <w:p w14:paraId="55492DD7" w14:textId="77777777" w:rsidR="003404D8" w:rsidRPr="0035587F" w:rsidRDefault="003404D8" w:rsidP="009A1EBF">
            <w:pPr>
              <w:pStyle w:val="CERbullets"/>
              <w:numPr>
                <w:ilvl w:val="0"/>
                <w:numId w:val="0"/>
              </w:numPr>
              <w:ind w:left="35"/>
              <w:rPr>
                <w:bCs/>
              </w:rPr>
            </w:pPr>
            <w:r w:rsidRPr="00A97F91">
              <w:rPr>
                <w:bCs/>
              </w:rPr>
              <w:t xml:space="preserve">If criterion AA is used for a facility in a year, then, in each subsequent year, only criterion AA can be used </w:t>
            </w:r>
            <w:r w:rsidRPr="005B79F0">
              <w:rPr>
                <w:bCs/>
              </w:rPr>
              <w:t>for that facility.</w:t>
            </w:r>
          </w:p>
        </w:tc>
      </w:tr>
      <w:tr w:rsidR="00FD004A" w14:paraId="2B76A4A0" w14:textId="77777777" w:rsidTr="009A1EBF">
        <w:tc>
          <w:tcPr>
            <w:tcW w:w="2523" w:type="dxa"/>
          </w:tcPr>
          <w:p w14:paraId="3CA3A1FD" w14:textId="77777777" w:rsidR="003404D8" w:rsidRPr="00A97F91" w:rsidRDefault="003404D8" w:rsidP="006C3C5D">
            <w:pPr>
              <w:pStyle w:val="CERbullets"/>
              <w:numPr>
                <w:ilvl w:val="1"/>
                <w:numId w:val="1"/>
              </w:numPr>
              <w:rPr>
                <w:bCs/>
              </w:rPr>
            </w:pPr>
            <w:r w:rsidRPr="00A97F91">
              <w:rPr>
                <w:bCs/>
              </w:rPr>
              <w:t>criterion AAA</w:t>
            </w:r>
            <w:r w:rsidRPr="00A97F91">
              <w:rPr>
                <w:bCs/>
              </w:rPr>
              <w:tab/>
            </w:r>
            <w:r w:rsidRPr="005B79F0">
              <w:rPr>
                <w:bCs/>
              </w:rPr>
              <w:t>-</w:t>
            </w:r>
          </w:p>
        </w:tc>
        <w:tc>
          <w:tcPr>
            <w:tcW w:w="7207" w:type="dxa"/>
          </w:tcPr>
          <w:p w14:paraId="6C8A42B2" w14:textId="77777777" w:rsidR="003404D8" w:rsidRPr="00A97F91" w:rsidRDefault="003404D8" w:rsidP="009A1EBF">
            <w:pPr>
              <w:pStyle w:val="CERbullets"/>
              <w:numPr>
                <w:ilvl w:val="0"/>
                <w:numId w:val="0"/>
              </w:numPr>
              <w:ind w:left="35"/>
              <w:rPr>
                <w:bCs/>
              </w:rPr>
            </w:pPr>
            <w:r w:rsidRPr="005B79F0">
              <w:rPr>
                <w:bCs/>
              </w:rPr>
              <w:t>by measuring at the point of consumption of the carbonates or the point of production of the</w:t>
            </w:r>
            <w:r w:rsidRPr="0035587F">
              <w:rPr>
                <w:bCs/>
              </w:rPr>
              <w:t xml:space="preserve"> products deri</w:t>
            </w:r>
            <w:r w:rsidRPr="00885BC4">
              <w:rPr>
                <w:bCs/>
              </w:rPr>
              <w:t>ved from carbonates, using measuring equipment calibrated to a measurement requirement</w:t>
            </w:r>
            <w:r w:rsidRPr="00670707">
              <w:rPr>
                <w:bCs/>
              </w:rPr>
              <w:t>.</w:t>
            </w:r>
          </w:p>
          <w:p w14:paraId="0F2D9410" w14:textId="77777777" w:rsidR="003404D8" w:rsidRPr="00885BC4" w:rsidRDefault="003404D8" w:rsidP="009A1EBF">
            <w:pPr>
              <w:pStyle w:val="CERbullets"/>
              <w:numPr>
                <w:ilvl w:val="0"/>
                <w:numId w:val="0"/>
              </w:numPr>
              <w:ind w:left="35"/>
              <w:rPr>
                <w:bCs/>
              </w:rPr>
            </w:pPr>
            <w:r w:rsidRPr="00A97F91">
              <w:rPr>
                <w:bCs/>
              </w:rPr>
              <w:t xml:space="preserve">The quantity of the carbonates consumed can also be measured at the point of sale but only if the change in stockpile of the carbonates is less than 1% of the total consumption </w:t>
            </w:r>
            <w:r w:rsidRPr="005B79F0">
              <w:rPr>
                <w:bCs/>
              </w:rPr>
              <w:t xml:space="preserve">for the year and, at the beginning of the year, the stockpile quantity is </w:t>
            </w:r>
            <w:r w:rsidRPr="00A97F91">
              <w:rPr>
                <w:bCs/>
              </w:rPr>
              <w:t>less than 5% of total consumption</w:t>
            </w:r>
            <w:r w:rsidRPr="005B79F0">
              <w:rPr>
                <w:bCs/>
              </w:rPr>
              <w:t xml:space="preserve"> of carbonates for the year</w:t>
            </w:r>
            <w:r w:rsidRPr="0035587F">
              <w:rPr>
                <w:bCs/>
              </w:rPr>
              <w:t>.</w:t>
            </w:r>
          </w:p>
          <w:p w14:paraId="6295E4C7" w14:textId="1A7B06CE" w:rsidR="003404D8" w:rsidRPr="005B79F0" w:rsidRDefault="003404D8" w:rsidP="009A1EBF">
            <w:pPr>
              <w:pStyle w:val="CERbullets"/>
              <w:numPr>
                <w:ilvl w:val="0"/>
                <w:numId w:val="0"/>
              </w:numPr>
              <w:ind w:left="35"/>
              <w:rPr>
                <w:bCs/>
              </w:rPr>
            </w:pPr>
            <w:r w:rsidRPr="00670707">
              <w:rPr>
                <w:bCs/>
              </w:rPr>
              <w:t xml:space="preserve">If criterion AAA's point of consumption is used for a facility in a year, then, </w:t>
            </w:r>
            <w:r w:rsidRPr="00A97F91">
              <w:rPr>
                <w:bCs/>
              </w:rPr>
              <w:t xml:space="preserve">in each subsequent year, only this point of consumption measurement can be used </w:t>
            </w:r>
            <w:r w:rsidRPr="005B79F0">
              <w:rPr>
                <w:bCs/>
              </w:rPr>
              <w:t>for the facility</w:t>
            </w:r>
            <w:r w:rsidR="7D350C74">
              <w:t>.</w:t>
            </w:r>
          </w:p>
        </w:tc>
      </w:tr>
    </w:tbl>
    <w:p w14:paraId="01964B0C" w14:textId="77777777" w:rsidR="003404D8" w:rsidRDefault="003404D8" w:rsidP="003404D8">
      <w:pPr>
        <w:pStyle w:val="CERbullets"/>
      </w:pPr>
      <w:r>
        <w:t>if the acquisition of carbonates or the dispatch of products derived from carbonates does not involve a commercial transaction, using:</w:t>
      </w:r>
    </w:p>
    <w:tbl>
      <w:tblPr>
        <w:tblStyle w:val="TableGrid"/>
        <w:tblW w:w="973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158C5FE0" w14:textId="77777777" w:rsidTr="009A1EBF">
        <w:tc>
          <w:tcPr>
            <w:tcW w:w="2523" w:type="dxa"/>
          </w:tcPr>
          <w:p w14:paraId="7DC9B252" w14:textId="77777777" w:rsidR="003404D8" w:rsidRPr="0035587F" w:rsidRDefault="003404D8" w:rsidP="006C3C5D">
            <w:pPr>
              <w:pStyle w:val="CERbullets"/>
              <w:numPr>
                <w:ilvl w:val="1"/>
                <w:numId w:val="1"/>
              </w:numPr>
              <w:rPr>
                <w:bCs/>
              </w:rPr>
            </w:pPr>
            <w:r w:rsidRPr="00A97F91">
              <w:rPr>
                <w:bCs/>
              </w:rPr>
              <w:t>criterion AAA</w:t>
            </w:r>
            <w:r w:rsidRPr="00A97F91">
              <w:rPr>
                <w:bCs/>
              </w:rPr>
              <w:tab/>
            </w:r>
            <w:r w:rsidRPr="005B79F0">
              <w:rPr>
                <w:bCs/>
              </w:rPr>
              <w:t>-</w:t>
            </w:r>
          </w:p>
        </w:tc>
        <w:tc>
          <w:tcPr>
            <w:tcW w:w="7207" w:type="dxa"/>
          </w:tcPr>
          <w:p w14:paraId="3DCADF03" w14:textId="77777777" w:rsidR="003404D8" w:rsidRPr="00CB3787" w:rsidRDefault="003404D8" w:rsidP="009A1EBF">
            <w:pPr>
              <w:pStyle w:val="CERbullets"/>
              <w:numPr>
                <w:ilvl w:val="0"/>
                <w:numId w:val="0"/>
              </w:numPr>
              <w:ind w:left="35"/>
            </w:pPr>
            <w:r w:rsidRPr="00CB3787">
              <w:t>by measuring at the point of consumption of the carbonates or the point of production of the products derived from carbonates, using measuring equipment calibrated to a measurement requirement</w:t>
            </w:r>
            <w:r>
              <w:t>.</w:t>
            </w:r>
          </w:p>
          <w:p w14:paraId="2ADA58C6" w14:textId="77777777" w:rsidR="003404D8" w:rsidRPr="00CB3787" w:rsidRDefault="003404D8" w:rsidP="009A1EBF">
            <w:pPr>
              <w:pStyle w:val="CERbullets"/>
              <w:numPr>
                <w:ilvl w:val="0"/>
                <w:numId w:val="0"/>
              </w:numPr>
              <w:ind w:left="35"/>
            </w:pPr>
            <w:r w:rsidRPr="00CB3787">
              <w:t>Note that a different criterion can still be used in subsequent years</w:t>
            </w:r>
            <w:r>
              <w:t>.</w:t>
            </w:r>
          </w:p>
        </w:tc>
      </w:tr>
      <w:tr w:rsidR="00FD004A" w14:paraId="459B978B" w14:textId="77777777" w:rsidTr="009A1EBF">
        <w:tc>
          <w:tcPr>
            <w:tcW w:w="2523" w:type="dxa"/>
          </w:tcPr>
          <w:p w14:paraId="4546D3D7" w14:textId="77777777" w:rsidR="003404D8" w:rsidRPr="00A97F91" w:rsidRDefault="003404D8" w:rsidP="006C3C5D">
            <w:pPr>
              <w:pStyle w:val="CERbullets"/>
              <w:numPr>
                <w:ilvl w:val="1"/>
                <w:numId w:val="1"/>
              </w:numPr>
              <w:rPr>
                <w:bCs/>
              </w:rPr>
            </w:pPr>
            <w:r w:rsidRPr="00A97F91">
              <w:rPr>
                <w:bCs/>
              </w:rPr>
              <w:t>criterion BBB</w:t>
            </w:r>
            <w:r w:rsidRPr="00A97F91">
              <w:rPr>
                <w:bCs/>
              </w:rPr>
              <w:tab/>
            </w:r>
            <w:r w:rsidRPr="005B79F0">
              <w:rPr>
                <w:bCs/>
              </w:rPr>
              <w:t>-</w:t>
            </w:r>
          </w:p>
        </w:tc>
        <w:tc>
          <w:tcPr>
            <w:tcW w:w="7207" w:type="dxa"/>
          </w:tcPr>
          <w:p w14:paraId="4939B32D" w14:textId="77777777" w:rsidR="003404D8" w:rsidRDefault="003404D8" w:rsidP="009A1EBF">
            <w:pPr>
              <w:pStyle w:val="CERbullets"/>
              <w:numPr>
                <w:ilvl w:val="0"/>
                <w:numId w:val="0"/>
              </w:numPr>
            </w:pPr>
            <w:r>
              <w:t>by measuring the consumption of carbonates or the products derived from carbonates in accordance with industry practice, if the measuring equipment is not calibrated to a measurement requirement.</w:t>
            </w:r>
          </w:p>
        </w:tc>
      </w:tr>
    </w:tbl>
    <w:p w14:paraId="7D11934C" w14:textId="77777777" w:rsidR="003404D8" w:rsidRDefault="003404D8" w:rsidP="00A10FAA">
      <w:pPr>
        <w:pStyle w:val="Heading1"/>
        <w:numPr>
          <w:ilvl w:val="0"/>
          <w:numId w:val="3"/>
        </w:numPr>
        <w:ind w:left="720" w:hanging="720"/>
      </w:pPr>
      <w:bookmarkStart w:id="84" w:name="_Toc76042541"/>
      <w:bookmarkStart w:id="85" w:name="_Toc205547721"/>
      <w:r>
        <w:lastRenderedPageBreak/>
        <w:t>Measurement criteria for solid waste</w:t>
      </w:r>
      <w:bookmarkEnd w:id="84"/>
      <w:bookmarkEnd w:id="85"/>
    </w:p>
    <w:p w14:paraId="264CC8B7" w14:textId="77777777" w:rsidR="003404D8" w:rsidRDefault="003404D8" w:rsidP="00A10FAA">
      <w:pPr>
        <w:spacing w:before="240"/>
      </w:pPr>
      <w:r>
        <w:t>The tonnage of waste received at a landfill must be estimated using:</w:t>
      </w:r>
    </w:p>
    <w:tbl>
      <w:tblPr>
        <w:tblStyle w:val="TableGrid"/>
        <w:tblW w:w="97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7207"/>
      </w:tblGrid>
      <w:tr w:rsidR="00FD004A" w14:paraId="0F7D55E1" w14:textId="77777777" w:rsidTr="009B0479">
        <w:tc>
          <w:tcPr>
            <w:tcW w:w="2523" w:type="dxa"/>
          </w:tcPr>
          <w:p w14:paraId="6ABCE2EE" w14:textId="77777777" w:rsidR="003404D8" w:rsidRPr="0035587F" w:rsidRDefault="003404D8" w:rsidP="009B0479">
            <w:pPr>
              <w:pStyle w:val="CERbullets"/>
              <w:numPr>
                <w:ilvl w:val="1"/>
                <w:numId w:val="1"/>
              </w:numPr>
              <w:ind w:hanging="436"/>
              <w:rPr>
                <w:bCs/>
              </w:rPr>
            </w:pPr>
            <w:r w:rsidRPr="00A97F91">
              <w:rPr>
                <w:bCs/>
              </w:rPr>
              <w:t>criterion A</w:t>
            </w:r>
            <w:r w:rsidRPr="00A97F91">
              <w:rPr>
                <w:bCs/>
              </w:rPr>
              <w:tab/>
            </w:r>
            <w:r w:rsidRPr="005B79F0">
              <w:rPr>
                <w:bCs/>
              </w:rPr>
              <w:t>-</w:t>
            </w:r>
          </w:p>
        </w:tc>
        <w:tc>
          <w:tcPr>
            <w:tcW w:w="7207" w:type="dxa"/>
          </w:tcPr>
          <w:p w14:paraId="6B5AA51E" w14:textId="77777777" w:rsidR="003404D8" w:rsidRDefault="003404D8" w:rsidP="0033523F">
            <w:pPr>
              <w:pStyle w:val="CERbullets"/>
              <w:numPr>
                <w:ilvl w:val="0"/>
                <w:numId w:val="0"/>
              </w:numPr>
              <w:ind w:firstLine="21"/>
            </w:pPr>
            <w:r>
              <w:t>as evidenced by invoices or measured in accordance with State or Territory legislation.</w:t>
            </w:r>
          </w:p>
        </w:tc>
      </w:tr>
      <w:tr w:rsidR="00FD004A" w14:paraId="2C937F08" w14:textId="77777777" w:rsidTr="009B0479">
        <w:tc>
          <w:tcPr>
            <w:tcW w:w="2523" w:type="dxa"/>
          </w:tcPr>
          <w:p w14:paraId="56545475" w14:textId="77777777" w:rsidR="003404D8" w:rsidRPr="0035587F" w:rsidRDefault="003404D8" w:rsidP="009B0479">
            <w:pPr>
              <w:pStyle w:val="CERbullets"/>
              <w:numPr>
                <w:ilvl w:val="1"/>
                <w:numId w:val="1"/>
              </w:numPr>
              <w:ind w:hanging="436"/>
              <w:rPr>
                <w:bCs/>
              </w:rPr>
            </w:pPr>
            <w:r w:rsidRPr="00A97F91">
              <w:rPr>
                <w:bCs/>
              </w:rPr>
              <w:t>criterion AAA</w:t>
            </w:r>
            <w:r w:rsidRPr="00A97F91">
              <w:rPr>
                <w:bCs/>
              </w:rPr>
              <w:tab/>
            </w:r>
            <w:r w:rsidRPr="005B79F0">
              <w:rPr>
                <w:bCs/>
              </w:rPr>
              <w:t>-</w:t>
            </w:r>
          </w:p>
        </w:tc>
        <w:tc>
          <w:tcPr>
            <w:tcW w:w="7207" w:type="dxa"/>
          </w:tcPr>
          <w:p w14:paraId="7C38DD6C" w14:textId="77777777" w:rsidR="003404D8" w:rsidRDefault="003404D8" w:rsidP="0033523F">
            <w:pPr>
              <w:pStyle w:val="CERbullets"/>
              <w:numPr>
                <w:ilvl w:val="0"/>
                <w:numId w:val="0"/>
              </w:numPr>
              <w:ind w:firstLine="21"/>
            </w:pPr>
            <w:r>
              <w:t>by measuring the quantities of solid waste received at the landfill using measuring equipment calibrated to a measurement requirement.</w:t>
            </w:r>
          </w:p>
        </w:tc>
      </w:tr>
      <w:tr w:rsidR="00FD004A" w14:paraId="7FF81185" w14:textId="77777777" w:rsidTr="009B0479">
        <w:tc>
          <w:tcPr>
            <w:tcW w:w="2523" w:type="dxa"/>
          </w:tcPr>
          <w:p w14:paraId="317D270E" w14:textId="77777777" w:rsidR="003404D8" w:rsidRPr="00A97F91" w:rsidRDefault="003404D8" w:rsidP="009B0479">
            <w:pPr>
              <w:pStyle w:val="CERbullets"/>
              <w:numPr>
                <w:ilvl w:val="1"/>
                <w:numId w:val="1"/>
              </w:numPr>
              <w:ind w:hanging="436"/>
              <w:rPr>
                <w:bCs/>
              </w:rPr>
            </w:pPr>
            <w:r w:rsidRPr="00A97F91">
              <w:rPr>
                <w:bCs/>
              </w:rPr>
              <w:t>criterion BBB</w:t>
            </w:r>
            <w:r w:rsidRPr="00A97F91">
              <w:rPr>
                <w:bCs/>
              </w:rPr>
              <w:tab/>
            </w:r>
            <w:r w:rsidRPr="005B79F0">
              <w:rPr>
                <w:bCs/>
              </w:rPr>
              <w:t>-</w:t>
            </w:r>
          </w:p>
        </w:tc>
        <w:tc>
          <w:tcPr>
            <w:tcW w:w="7207" w:type="dxa"/>
          </w:tcPr>
          <w:p w14:paraId="29501310" w14:textId="29BC4D22" w:rsidR="003404D8" w:rsidRDefault="003404D8" w:rsidP="0033523F">
            <w:pPr>
              <w:pStyle w:val="CERbullets"/>
              <w:numPr>
                <w:ilvl w:val="0"/>
                <w:numId w:val="0"/>
              </w:numPr>
              <w:ind w:firstLine="21"/>
            </w:pPr>
            <w:r>
              <w:t xml:space="preserve">by estimating the quantities of solid waste received at the landfill in accordance with industry estimation practices. </w:t>
            </w:r>
            <w:r w:rsidR="005A6557">
              <w:t>I</w:t>
            </w:r>
            <w:r>
              <w:t xml:space="preserve">ndustry </w:t>
            </w:r>
            <w:r w:rsidR="005A6557">
              <w:t xml:space="preserve">practice includes </w:t>
            </w:r>
            <w:r>
              <w:t xml:space="preserve">weighbridges, receipts, invoices, other </w:t>
            </w:r>
            <w:r w:rsidR="00442CB1">
              <w:t>documents</w:t>
            </w:r>
            <w:r>
              <w:t xml:space="preserve"> or records</w:t>
            </w:r>
            <w:r w:rsidR="005922FF">
              <w:t>,</w:t>
            </w:r>
            <w:r w:rsidR="00730FE1">
              <w:t xml:space="preserve"> or</w:t>
            </w:r>
            <w:r w:rsidR="00E646DC">
              <w:t xml:space="preserve"> </w:t>
            </w:r>
            <w:r w:rsidR="00A522D8">
              <w:t>population</w:t>
            </w:r>
            <w:r>
              <w:t xml:space="preserve"> and per-capita waste generation rates.</w:t>
            </w:r>
          </w:p>
        </w:tc>
      </w:tr>
    </w:tbl>
    <w:p w14:paraId="6AC50ACF" w14:textId="77777777" w:rsidR="003404D8" w:rsidRPr="00892938" w:rsidRDefault="003404D8" w:rsidP="000C05A2">
      <w:pPr>
        <w:pStyle w:val="Heading1"/>
        <w:numPr>
          <w:ilvl w:val="0"/>
          <w:numId w:val="3"/>
        </w:numPr>
        <w:spacing w:before="0"/>
        <w:ind w:left="720" w:hanging="720"/>
      </w:pPr>
      <w:bookmarkStart w:id="86" w:name="_Toc76042542"/>
      <w:bookmarkStart w:id="87" w:name="_Toc205547722"/>
      <w:bookmarkStart w:id="88" w:name="_Toc428789157"/>
      <w:r w:rsidRPr="00892938">
        <w:t xml:space="preserve">Measurement criteria where </w:t>
      </w:r>
      <w:r>
        <w:t xml:space="preserve">data relates to </w:t>
      </w:r>
      <w:r w:rsidRPr="00892938">
        <w:t>a contractor</w:t>
      </w:r>
      <w:r>
        <w:t>’</w:t>
      </w:r>
      <w:r w:rsidRPr="00892938">
        <w:t>s</w:t>
      </w:r>
      <w:r>
        <w:t xml:space="preserve"> activities</w:t>
      </w:r>
      <w:bookmarkEnd w:id="86"/>
      <w:bookmarkEnd w:id="87"/>
    </w:p>
    <w:p w14:paraId="243C8BD4" w14:textId="53001B2D" w:rsidR="003404D8" w:rsidRDefault="003404D8" w:rsidP="00A10FAA">
      <w:pPr>
        <w:spacing w:before="240"/>
      </w:pPr>
      <w:r>
        <w:t>In many cases, activities that form part of a facility are undertaken by contractors. This means that reporters</w:t>
      </w:r>
      <w:r w:rsidR="00A368BB">
        <w:t xml:space="preserve"> are</w:t>
      </w:r>
      <w:r w:rsidR="002957A2">
        <w:t xml:space="preserve"> require</w:t>
      </w:r>
      <w:r w:rsidR="001A7633">
        <w:t>d</w:t>
      </w:r>
      <w:r>
        <w:t xml:space="preserve"> to get data from their contractors </w:t>
      </w:r>
      <w:r w:rsidR="00EB1A7F">
        <w:t>to</w:t>
      </w:r>
      <w:r>
        <w:t xml:space="preserve"> complete their NGER reports. </w:t>
      </w:r>
      <w:r w:rsidR="00127176">
        <w:t>It is common for a combination of</w:t>
      </w:r>
      <w:r>
        <w:t xml:space="preserve"> invoices</w:t>
      </w:r>
      <w:r w:rsidR="003F0E60">
        <w:t xml:space="preserve">, </w:t>
      </w:r>
      <w:r w:rsidR="00B941BC">
        <w:t xml:space="preserve">logbook </w:t>
      </w:r>
      <w:r w:rsidR="00806C63">
        <w:t xml:space="preserve">or fuel card </w:t>
      </w:r>
      <w:r w:rsidR="00396CA3">
        <w:t>data to</w:t>
      </w:r>
      <w:r>
        <w:t xml:space="preserve"> </w:t>
      </w:r>
      <w:r w:rsidR="00A12A35">
        <w:t xml:space="preserve">be used to </w:t>
      </w:r>
      <w:r w:rsidR="00F559E6">
        <w:t>estimat</w:t>
      </w:r>
      <w:r w:rsidR="00A12A35">
        <w:t>e</w:t>
      </w:r>
      <w:r w:rsidR="008177FA">
        <w:t xml:space="preserve"> </w:t>
      </w:r>
      <w:r>
        <w:t xml:space="preserve">the amount of fuel used by </w:t>
      </w:r>
      <w:r w:rsidR="00A12A35">
        <w:t xml:space="preserve">contractors </w:t>
      </w:r>
      <w:r>
        <w:t>while conducting activities at a facility.</w:t>
      </w:r>
    </w:p>
    <w:p w14:paraId="41CD1BC2" w14:textId="7943A56C" w:rsidR="003404D8" w:rsidRPr="00892938" w:rsidRDefault="003404D8" w:rsidP="003404D8">
      <w:r>
        <w:t>In some cases, the amount of fuel purchased by a contractor will be partially used at the facility and partially used for activities that take place outside of a facility. Where this is the case, the reporter</w:t>
      </w:r>
      <w:r w:rsidR="00760283">
        <w:t xml:space="preserve"> or contractor</w:t>
      </w:r>
      <w:r>
        <w:t xml:space="preserve"> needs</w:t>
      </w:r>
      <w:r w:rsidR="00C62761">
        <w:t xml:space="preserve"> to</w:t>
      </w:r>
      <w:r>
        <w:t xml:space="preserve"> determine and document a way to </w:t>
      </w:r>
      <w:r w:rsidRPr="00892938">
        <w:t>apportion</w:t>
      </w:r>
      <w:r>
        <w:t xml:space="preserve"> the total amount invoiced b</w:t>
      </w:r>
      <w:r w:rsidRPr="00892938">
        <w:t>etween fuel consumed for the purposes of the facility and fuel consumed for other purposes.</w:t>
      </w:r>
    </w:p>
    <w:p w14:paraId="74AEAFD9" w14:textId="3FD2DEB3" w:rsidR="003404D8" w:rsidRPr="00892938" w:rsidRDefault="003404D8" w:rsidP="003404D8">
      <w:r w:rsidRPr="00892938">
        <w:t xml:space="preserve">The reporter </w:t>
      </w:r>
      <w:r>
        <w:t>should</w:t>
      </w:r>
      <w:r w:rsidRPr="00892938">
        <w:t xml:space="preserve"> take the following into account in assessing a contractor’s activities: </w:t>
      </w:r>
    </w:p>
    <w:p w14:paraId="6C9D17E2" w14:textId="0794B59C" w:rsidR="003404D8" w:rsidRPr="009B7BA2" w:rsidRDefault="003404D8" w:rsidP="003404D8">
      <w:pPr>
        <w:pStyle w:val="CERbullets"/>
        <w:rPr>
          <w:b/>
          <w:bCs/>
        </w:rPr>
      </w:pPr>
      <w:r w:rsidRPr="009B7BA2">
        <w:t xml:space="preserve">For criteria A or AA, the quantities estimated from invoices will permit estimates made by the contractor of the quantity of fuel consumed by the contractor within the facility. This estimate </w:t>
      </w:r>
      <w:r w:rsidR="00790A2F">
        <w:t>must</w:t>
      </w:r>
      <w:r w:rsidR="00790A2F" w:rsidRPr="009B7BA2">
        <w:t xml:space="preserve"> </w:t>
      </w:r>
      <w:r w:rsidRPr="009B7BA2">
        <w:t xml:space="preserve">be based on the invoiced amounts and apportion </w:t>
      </w:r>
      <w:r>
        <w:t xml:space="preserve">of </w:t>
      </w:r>
      <w:r w:rsidRPr="009B7BA2">
        <w:t>the quantity that has been consumed within the facility in a manner which meets the requirements of section 1.13 of the NGER Measurement Determination.</w:t>
      </w:r>
    </w:p>
    <w:p w14:paraId="61AA2346" w14:textId="606BFD29" w:rsidR="003404D8" w:rsidRPr="009B7BA2" w:rsidRDefault="003404D8" w:rsidP="003404D8">
      <w:pPr>
        <w:pStyle w:val="CERbullets"/>
        <w:rPr>
          <w:b/>
          <w:bCs/>
        </w:rPr>
      </w:pPr>
      <w:r w:rsidRPr="009B7BA2">
        <w:t xml:space="preserve">If stockpiles are involved, estimates </w:t>
      </w:r>
      <w:r w:rsidR="00D56D5D">
        <w:t>must</w:t>
      </w:r>
      <w:r w:rsidR="00D56D5D" w:rsidRPr="009B7BA2">
        <w:t xml:space="preserve"> </w:t>
      </w:r>
      <w:r w:rsidRPr="009B7BA2">
        <w:t>be undertaken under criterion AA and comply with the requirements for estimating stockpiles.</w:t>
      </w:r>
    </w:p>
    <w:p w14:paraId="57181D1A" w14:textId="77777777" w:rsidR="003404D8" w:rsidRDefault="003404D8" w:rsidP="003404D8">
      <w:pPr>
        <w:pStyle w:val="CERbullets"/>
      </w:pPr>
      <w:r w:rsidRPr="000D2368">
        <w:t>If fuels are estimated using measurement equipment capable of meeting the requirements for criterion AAA</w:t>
      </w:r>
      <w:r w:rsidRPr="000D2368">
        <w:rPr>
          <w:bCs/>
        </w:rPr>
        <w:t xml:space="preserve"> for each fuel type</w:t>
      </w:r>
      <w:r w:rsidRPr="000D2368">
        <w:t>, criterion AAA will continue to be acceptable.</w:t>
      </w:r>
    </w:p>
    <w:p w14:paraId="0EDD9F8C" w14:textId="77777777" w:rsidR="000C05A2" w:rsidRDefault="00E35942" w:rsidP="000C05A2">
      <w:pPr>
        <w:pStyle w:val="CERbullets"/>
        <w:numPr>
          <w:ilvl w:val="0"/>
          <w:numId w:val="0"/>
        </w:numPr>
        <w:rPr>
          <w:color w:val="000000"/>
        </w:rPr>
      </w:pPr>
      <w:r>
        <w:rPr>
          <w:color w:val="000000"/>
        </w:rPr>
        <w:t xml:space="preserve">Note: </w:t>
      </w:r>
      <w:r w:rsidR="00F07A9E">
        <w:rPr>
          <w:color w:val="000000"/>
        </w:rPr>
        <w:t xml:space="preserve">If </w:t>
      </w:r>
      <w:r w:rsidR="001657BD">
        <w:rPr>
          <w:color w:val="000000"/>
        </w:rPr>
        <w:t xml:space="preserve">the fuel is purchased by </w:t>
      </w:r>
      <w:r w:rsidR="00D26BB5">
        <w:rPr>
          <w:color w:val="000000"/>
        </w:rPr>
        <w:t>a</w:t>
      </w:r>
      <w:r w:rsidR="0043421B">
        <w:rPr>
          <w:color w:val="000000"/>
        </w:rPr>
        <w:t xml:space="preserve"> </w:t>
      </w:r>
      <w:r w:rsidR="001657BD">
        <w:rPr>
          <w:color w:val="000000"/>
        </w:rPr>
        <w:t xml:space="preserve">contractor, </w:t>
      </w:r>
      <w:r w:rsidR="002E35EC">
        <w:rPr>
          <w:color w:val="000000"/>
        </w:rPr>
        <w:t xml:space="preserve">the term </w:t>
      </w:r>
      <w:r w:rsidR="0043421B">
        <w:rPr>
          <w:color w:val="000000"/>
        </w:rPr>
        <w:t>‘</w:t>
      </w:r>
      <w:r>
        <w:rPr>
          <w:color w:val="000000"/>
        </w:rPr>
        <w:t>commercial transaction</w:t>
      </w:r>
      <w:r w:rsidR="0043421B">
        <w:rPr>
          <w:color w:val="000000"/>
        </w:rPr>
        <w:t>’</w:t>
      </w:r>
      <w:r>
        <w:rPr>
          <w:color w:val="000000"/>
        </w:rPr>
        <w:t xml:space="preserve"> has a meaning broader than invoices</w:t>
      </w:r>
      <w:r w:rsidR="00577F2D">
        <w:rPr>
          <w:color w:val="000000"/>
        </w:rPr>
        <w:t>. It can include</w:t>
      </w:r>
      <w:r>
        <w:rPr>
          <w:color w:val="000000"/>
        </w:rPr>
        <w:t xml:space="preserve"> contracts</w:t>
      </w:r>
      <w:r w:rsidR="0084109E">
        <w:rPr>
          <w:color w:val="000000"/>
        </w:rPr>
        <w:t xml:space="preserve"> with or without </w:t>
      </w:r>
      <w:r w:rsidR="00CD292E">
        <w:rPr>
          <w:color w:val="000000"/>
        </w:rPr>
        <w:t>direct</w:t>
      </w:r>
      <w:r w:rsidR="00754CCF">
        <w:rPr>
          <w:color w:val="000000"/>
        </w:rPr>
        <w:t xml:space="preserve">ly attributable </w:t>
      </w:r>
      <w:r w:rsidR="0084109E">
        <w:rPr>
          <w:color w:val="000000"/>
        </w:rPr>
        <w:t>renumeration</w:t>
      </w:r>
      <w:r>
        <w:rPr>
          <w:color w:val="000000"/>
        </w:rPr>
        <w:t xml:space="preserve"> for </w:t>
      </w:r>
      <w:r w:rsidR="0084109E">
        <w:rPr>
          <w:color w:val="000000"/>
        </w:rPr>
        <w:t xml:space="preserve">the </w:t>
      </w:r>
      <w:r>
        <w:rPr>
          <w:color w:val="000000"/>
        </w:rPr>
        <w:t>services</w:t>
      </w:r>
      <w:r w:rsidR="0084109E">
        <w:rPr>
          <w:color w:val="000000"/>
        </w:rPr>
        <w:t xml:space="preserve"> provided</w:t>
      </w:r>
      <w:r w:rsidR="004350C7">
        <w:rPr>
          <w:color w:val="000000"/>
        </w:rPr>
        <w:t>.</w:t>
      </w:r>
      <w:r w:rsidR="00D31C2B">
        <w:rPr>
          <w:color w:val="000000"/>
        </w:rPr>
        <w:t xml:space="preserve"> </w:t>
      </w:r>
    </w:p>
    <w:p w14:paraId="0507B45E" w14:textId="444B1125" w:rsidR="002A27CC" w:rsidRDefault="003155D2" w:rsidP="000C05A2">
      <w:pPr>
        <w:pStyle w:val="CERbullets"/>
        <w:numPr>
          <w:ilvl w:val="0"/>
          <w:numId w:val="0"/>
        </w:numPr>
      </w:pPr>
      <w:r>
        <w:t>When a</w:t>
      </w:r>
      <w:r w:rsidR="00103822">
        <w:t xml:space="preserve"> contractor </w:t>
      </w:r>
      <w:r w:rsidR="00687DC0">
        <w:t xml:space="preserve">conducts </w:t>
      </w:r>
      <w:r w:rsidR="005707A4">
        <w:t>an</w:t>
      </w:r>
      <w:r w:rsidR="00687DC0">
        <w:t xml:space="preserve"> </w:t>
      </w:r>
      <w:r w:rsidR="00023953">
        <w:t xml:space="preserve">activity </w:t>
      </w:r>
      <w:r w:rsidR="00290961">
        <w:t xml:space="preserve">in the reporting year </w:t>
      </w:r>
      <w:r w:rsidR="00023953">
        <w:t>that meets the requirement</w:t>
      </w:r>
      <w:r w:rsidR="00810A3F">
        <w:t xml:space="preserve"> </w:t>
      </w:r>
      <w:r w:rsidR="7C6F99B2">
        <w:t>of</w:t>
      </w:r>
      <w:r w:rsidR="00810A3F">
        <w:t xml:space="preserve"> </w:t>
      </w:r>
      <w:r w:rsidR="00023953">
        <w:t xml:space="preserve">4.30 of the </w:t>
      </w:r>
      <w:r w:rsidR="00F573C2">
        <w:t>NGER Regulation</w:t>
      </w:r>
      <w:r w:rsidR="00754CCF">
        <w:t>s</w:t>
      </w:r>
      <w:r>
        <w:t>, t</w:t>
      </w:r>
      <w:r w:rsidR="00F573C2">
        <w:t>he</w:t>
      </w:r>
      <w:r w:rsidR="00173DF3">
        <w:t xml:space="preserve"> reporter </w:t>
      </w:r>
      <w:r w:rsidR="000D1A98">
        <w:t>must</w:t>
      </w:r>
      <w:r w:rsidR="00173DF3">
        <w:t xml:space="preserve"> </w:t>
      </w:r>
      <w:r w:rsidR="00F706A8">
        <w:t xml:space="preserve">report </w:t>
      </w:r>
      <w:r w:rsidR="006463DA">
        <w:t xml:space="preserve">the </w:t>
      </w:r>
      <w:r w:rsidR="009A3329">
        <w:t>additional</w:t>
      </w:r>
      <w:r w:rsidR="00173DF3">
        <w:t xml:space="preserve"> information</w:t>
      </w:r>
      <w:r w:rsidR="002E7858">
        <w:t xml:space="preserve"> </w:t>
      </w:r>
      <w:r w:rsidR="003056E6">
        <w:t xml:space="preserve">about the contractor </w:t>
      </w:r>
      <w:r w:rsidR="002E7858">
        <w:t xml:space="preserve">listed </w:t>
      </w:r>
      <w:r w:rsidR="009C2D59">
        <w:t>in</w:t>
      </w:r>
      <w:r w:rsidR="002C29FF">
        <w:t xml:space="preserve"> the</w:t>
      </w:r>
      <w:r w:rsidR="009C2D59">
        <w:t xml:space="preserve"> </w:t>
      </w:r>
      <w:r w:rsidR="13A2AC5E">
        <w:t>regulation</w:t>
      </w:r>
      <w:r w:rsidR="00694545">
        <w:t>.</w:t>
      </w:r>
      <w:r w:rsidR="009E0D1C">
        <w:t xml:space="preserve"> </w:t>
      </w:r>
      <w:r w:rsidR="002A27CC">
        <w:t xml:space="preserve">More information is available in the </w:t>
      </w:r>
      <w:hyperlink r:id="rId37" w:tooltip="A link to the Contracts and leasing guideline on the CER website" w:history="1">
        <w:r w:rsidR="002A27CC">
          <w:rPr>
            <w:rStyle w:val="Hyperlink"/>
            <w:rFonts w:asciiTheme="minorHAnsi" w:hAnsiTheme="minorHAnsi"/>
          </w:rPr>
          <w:t>Contracts and leasing guideline</w:t>
        </w:r>
      </w:hyperlink>
      <w:r w:rsidR="002A27CC">
        <w:rPr>
          <w:rStyle w:val="FootnoteReference"/>
        </w:rPr>
        <w:footnoteReference w:id="20"/>
      </w:r>
      <w:r w:rsidR="002A27CC">
        <w:t>.</w:t>
      </w:r>
    </w:p>
    <w:p w14:paraId="43319867" w14:textId="77777777" w:rsidR="003404D8" w:rsidRDefault="003404D8" w:rsidP="00A10FAA">
      <w:pPr>
        <w:pStyle w:val="Heading1"/>
        <w:numPr>
          <w:ilvl w:val="0"/>
          <w:numId w:val="3"/>
        </w:numPr>
        <w:ind w:left="720" w:hanging="720"/>
      </w:pPr>
      <w:bookmarkStart w:id="89" w:name="_Toc76042543"/>
      <w:bookmarkStart w:id="90" w:name="_Toc205547723"/>
      <w:r>
        <w:lastRenderedPageBreak/>
        <w:t>More information</w:t>
      </w:r>
      <w:bookmarkEnd w:id="88"/>
      <w:bookmarkEnd w:id="89"/>
      <w:bookmarkEnd w:id="90"/>
    </w:p>
    <w:p w14:paraId="60B07318" w14:textId="4762A686" w:rsidR="003404D8" w:rsidRDefault="003404D8" w:rsidP="00A10FAA">
      <w:pPr>
        <w:spacing w:before="240"/>
      </w:pPr>
      <w:r>
        <w:t xml:space="preserve">For more information, please contact </w:t>
      </w:r>
      <w:r w:rsidR="2A3F07AB">
        <w:t>CER</w:t>
      </w:r>
      <w:r>
        <w:t>:</w:t>
      </w:r>
    </w:p>
    <w:p w14:paraId="1076C0D8" w14:textId="480474B9" w:rsidR="00D6311C" w:rsidRPr="00A10FAA" w:rsidRDefault="003404D8" w:rsidP="003404D8">
      <w:pPr>
        <w:rPr>
          <w:rFonts w:ascii="Calibri" w:hAnsi="Calibri"/>
          <w:szCs w:val="22"/>
        </w:rPr>
      </w:pPr>
      <w:r>
        <w:t xml:space="preserve">Email: </w:t>
      </w:r>
      <w:hyperlink r:id="rId38" w:history="1">
        <w:r w:rsidR="00D6311C" w:rsidRPr="00D6311C">
          <w:rPr>
            <w:rStyle w:val="Hyperlink"/>
            <w:rFonts w:asciiTheme="minorHAnsi" w:hAnsiTheme="minorHAnsi"/>
          </w:rPr>
          <w:t>cer-nger-</w:t>
        </w:r>
        <w:r w:rsidR="00D6311C" w:rsidRPr="00D6311C">
          <w:rPr>
            <w:rStyle w:val="Hyperlink"/>
            <w:szCs w:val="22"/>
          </w:rPr>
          <w:t>reporting@cer.gov.au</w:t>
        </w:r>
      </w:hyperlink>
    </w:p>
    <w:p w14:paraId="6019965B" w14:textId="77777777" w:rsidR="003404D8" w:rsidRDefault="003404D8" w:rsidP="003404D8">
      <w:r>
        <w:t>Phone:</w:t>
      </w:r>
      <w:r>
        <w:tab/>
      </w:r>
      <w:r w:rsidRPr="006D5006">
        <w:t>1300 553 542</w:t>
      </w:r>
      <w:r>
        <w:rPr>
          <w:b/>
        </w:rPr>
        <w:t xml:space="preserve"> </w:t>
      </w:r>
      <w:r>
        <w:t xml:space="preserve">within Australia </w:t>
      </w:r>
    </w:p>
    <w:p w14:paraId="50AA1B91" w14:textId="0569965A" w:rsidR="003404D8" w:rsidRPr="00EB1D55" w:rsidRDefault="003404D8" w:rsidP="003404D8">
      <w:r>
        <w:t xml:space="preserve">Website: </w:t>
      </w:r>
      <w:hyperlink r:id="rId39" w:tooltip="A link to the the Clean Energy Regulator website" w:history="1">
        <w:r w:rsidR="00483284">
          <w:rPr>
            <w:rStyle w:val="Hyperlink"/>
          </w:rPr>
          <w:t>www.cer.gov.au</w:t>
        </w:r>
      </w:hyperlink>
      <w:r w:rsidR="004171F5">
        <w:rPr>
          <w:rStyle w:val="FootnoteReference"/>
        </w:rPr>
        <w:footnoteReference w:id="21"/>
      </w:r>
    </w:p>
    <w:p w14:paraId="40B874F5" w14:textId="28F062D8" w:rsidR="00235142" w:rsidRDefault="00235142" w:rsidP="00235142">
      <w:pPr>
        <w:spacing w:after="0"/>
      </w:pPr>
    </w:p>
    <w:sectPr w:rsidR="00235142" w:rsidSect="00EF38EC">
      <w:headerReference w:type="default" r:id="rId40"/>
      <w:footerReference w:type="even" r:id="rId41"/>
      <w:footerReference w:type="default" r:id="rId42"/>
      <w:headerReference w:type="first" r:id="rId43"/>
      <w:footerReference w:type="first" r:id="rId4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C06C" w14:textId="77777777" w:rsidR="0014527C" w:rsidRDefault="0014527C" w:rsidP="00176C28">
      <w:r>
        <w:separator/>
      </w:r>
    </w:p>
    <w:p w14:paraId="45EED596" w14:textId="77777777" w:rsidR="0014527C" w:rsidRDefault="0014527C"/>
  </w:endnote>
  <w:endnote w:type="continuationSeparator" w:id="0">
    <w:p w14:paraId="5CDF8788" w14:textId="77777777" w:rsidR="0014527C" w:rsidRDefault="0014527C" w:rsidP="00176C28">
      <w:r>
        <w:continuationSeparator/>
      </w:r>
    </w:p>
    <w:p w14:paraId="065F52D6" w14:textId="77777777" w:rsidR="0014527C" w:rsidRDefault="0014527C"/>
  </w:endnote>
  <w:endnote w:type="continuationNotice" w:id="1">
    <w:p w14:paraId="2FB5B4F9" w14:textId="77777777" w:rsidR="0014527C" w:rsidRDefault="00145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9A1E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1452" w14:textId="253B8363" w:rsidR="00054C6E" w:rsidRPr="00E613C9" w:rsidRDefault="00054C6E" w:rsidP="00054C6E">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w:t>
    </w:r>
    <w:r w:rsidR="00C72171">
      <w:rPr>
        <w:rStyle w:val="PageNumber"/>
      </w:rPr>
      <w:t>er</w:t>
    </w:r>
    <w:r w:rsidRPr="002D18F3">
      <w:rPr>
        <w:rStyle w:val="PageNumber"/>
      </w:rPr>
      <w:t>.gov.au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6B8B54B6" w:rsidR="00F76419" w:rsidRPr="00054C6E" w:rsidRDefault="00054C6E" w:rsidP="00054C6E">
    <w:pPr>
      <w:pStyle w:val="Footer"/>
      <w:spacing w:before="60"/>
      <w:jc w:val="center"/>
      <w:rPr>
        <w:rStyle w:val="Protectivemarker"/>
      </w:rPr>
    </w:pPr>
    <w:r w:rsidRPr="00DD0DE5">
      <w:rPr>
        <w:rStyle w:val="Protectivemarker"/>
        <w:sz w:val="28"/>
        <w:szCs w:val="26"/>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FCB6" w14:textId="77777777" w:rsidR="0014527C" w:rsidRDefault="0014527C" w:rsidP="00176C28">
      <w:r>
        <w:separator/>
      </w:r>
    </w:p>
    <w:p w14:paraId="0784A24B" w14:textId="77777777" w:rsidR="0014527C" w:rsidRDefault="0014527C"/>
  </w:footnote>
  <w:footnote w:type="continuationSeparator" w:id="0">
    <w:p w14:paraId="33431558" w14:textId="77777777" w:rsidR="0014527C" w:rsidRDefault="0014527C" w:rsidP="00176C28">
      <w:r>
        <w:continuationSeparator/>
      </w:r>
    </w:p>
    <w:p w14:paraId="2F96953B" w14:textId="77777777" w:rsidR="0014527C" w:rsidRDefault="0014527C"/>
  </w:footnote>
  <w:footnote w:type="continuationNotice" w:id="1">
    <w:p w14:paraId="5B755BE4" w14:textId="77777777" w:rsidR="0014527C" w:rsidRDefault="0014527C">
      <w:pPr>
        <w:spacing w:after="0"/>
      </w:pPr>
    </w:p>
  </w:footnote>
  <w:footnote w:id="2">
    <w:p w14:paraId="69B1F3FB" w14:textId="1B7AC560" w:rsidR="00071554" w:rsidRDefault="00071554">
      <w:pPr>
        <w:pStyle w:val="FootnoteText"/>
        <w:rPr>
          <w:lang w:val="en-AU"/>
        </w:rPr>
      </w:pPr>
      <w:r>
        <w:rPr>
          <w:rStyle w:val="FootnoteReference"/>
        </w:rPr>
        <w:footnoteRef/>
      </w:r>
      <w:r>
        <w:t xml:space="preserve"> </w:t>
      </w:r>
      <w:r w:rsidR="0006355F" w:rsidRPr="0006355F">
        <w:t>https://cer.gov.au/schemes/national-greenhouse-and-energy-reporting-scheme/assess-your-obligations#what-is-an-nger-facility</w:t>
      </w:r>
    </w:p>
  </w:footnote>
  <w:footnote w:id="3">
    <w:p w14:paraId="26F0E513" w14:textId="59154E5F" w:rsidR="00281A61" w:rsidRPr="00D02F02" w:rsidRDefault="00281A61" w:rsidP="00281A61">
      <w:pPr>
        <w:pStyle w:val="FootnoteText"/>
        <w:rPr>
          <w:lang w:val="en-AU"/>
        </w:rPr>
      </w:pPr>
      <w:r>
        <w:rPr>
          <w:rStyle w:val="FootnoteReference"/>
        </w:rPr>
        <w:footnoteRef/>
      </w:r>
      <w:r>
        <w:t xml:space="preserve"> </w:t>
      </w:r>
      <w:r w:rsidR="005E555D" w:rsidRPr="00D27872">
        <w:t>https://cer.gov.au/schemes/safeguard-mechanism</w:t>
      </w:r>
      <w:r>
        <w:t xml:space="preserve"> </w:t>
      </w:r>
    </w:p>
  </w:footnote>
  <w:footnote w:id="4">
    <w:p w14:paraId="5B05EFA3" w14:textId="3BD9083D" w:rsidR="00CB0A24" w:rsidRPr="008F212C" w:rsidRDefault="00CB0A24" w:rsidP="00CB0A24">
      <w:pPr>
        <w:pStyle w:val="FootnoteText"/>
        <w:rPr>
          <w:lang w:val="en-AU"/>
        </w:rPr>
      </w:pPr>
      <w:r>
        <w:rPr>
          <w:rStyle w:val="FootnoteReference"/>
        </w:rPr>
        <w:footnoteRef/>
      </w:r>
      <w:r>
        <w:t xml:space="preserve"> </w:t>
      </w:r>
      <w:r w:rsidR="00D27872" w:rsidRPr="00D27872">
        <w:t>https://www.legislation.gov.au/help-and-resources/understanding-legislation/reading-legislation</w:t>
      </w:r>
      <w:r>
        <w:t xml:space="preserve"> </w:t>
      </w:r>
    </w:p>
  </w:footnote>
  <w:footnote w:id="5">
    <w:p w14:paraId="2D8B1F8A" w14:textId="6FEBCE1C" w:rsidR="003404D8" w:rsidRPr="00FB4808" w:rsidRDefault="003404D8" w:rsidP="003404D8">
      <w:pPr>
        <w:pStyle w:val="FootnoteText"/>
      </w:pPr>
      <w:r>
        <w:rPr>
          <w:rStyle w:val="FootnoteReference"/>
        </w:rPr>
        <w:footnoteRef/>
      </w:r>
      <w:r>
        <w:t xml:space="preserve"> </w:t>
      </w:r>
      <w:r w:rsidR="00A7711A" w:rsidRPr="00D27872">
        <w:t>https://www.legislation.gov.au/Series/C2007A00175</w:t>
      </w:r>
      <w:r w:rsidRPr="00FB4808">
        <w:t xml:space="preserve"> </w:t>
      </w:r>
    </w:p>
  </w:footnote>
  <w:footnote w:id="6">
    <w:p w14:paraId="4D45CDBE" w14:textId="424F8B0E" w:rsidR="003404D8" w:rsidRPr="00FB4808" w:rsidRDefault="003404D8" w:rsidP="003404D8">
      <w:pPr>
        <w:pStyle w:val="FootnoteText"/>
      </w:pPr>
      <w:r w:rsidRPr="00FB4808">
        <w:rPr>
          <w:rStyle w:val="FootnoteReference"/>
        </w:rPr>
        <w:footnoteRef/>
      </w:r>
      <w:r w:rsidRPr="00FB4808">
        <w:t xml:space="preserve"> </w:t>
      </w:r>
      <w:r w:rsidR="00A7711A" w:rsidRPr="00D27872">
        <w:t>https://www.legislation.gov.au/Series/F2008L0223</w:t>
      </w:r>
    </w:p>
  </w:footnote>
  <w:footnote w:id="7">
    <w:p w14:paraId="09F2DF59" w14:textId="66415B9A" w:rsidR="003404D8" w:rsidRPr="00FB4808" w:rsidRDefault="003404D8" w:rsidP="003404D8">
      <w:pPr>
        <w:pStyle w:val="FootnoteText"/>
      </w:pPr>
      <w:r w:rsidRPr="00FB4808">
        <w:rPr>
          <w:rStyle w:val="FootnoteReference"/>
        </w:rPr>
        <w:footnoteRef/>
      </w:r>
      <w:r w:rsidRPr="00FB4808">
        <w:t xml:space="preserve"> </w:t>
      </w:r>
      <w:r w:rsidR="00A7711A" w:rsidRPr="00D27872">
        <w:t>https://www.legislation.gov.au/Series/F2008L02309</w:t>
      </w:r>
      <w:r w:rsidRPr="00FB4808">
        <w:t xml:space="preserve"> </w:t>
      </w:r>
    </w:p>
  </w:footnote>
  <w:footnote w:id="8">
    <w:p w14:paraId="456F0D55" w14:textId="2014A046" w:rsidR="003404D8" w:rsidRPr="00740092" w:rsidRDefault="003404D8" w:rsidP="003404D8">
      <w:pPr>
        <w:pStyle w:val="FootnoteText"/>
      </w:pPr>
      <w:r w:rsidRPr="00FB4808">
        <w:rPr>
          <w:rStyle w:val="FootnoteReference"/>
        </w:rPr>
        <w:footnoteRef/>
      </w:r>
      <w:r w:rsidRPr="00FB4808">
        <w:t xml:space="preserve"> </w:t>
      </w:r>
      <w:r w:rsidR="00A7711A" w:rsidRPr="00D27872">
        <w:t>https://cer.gov.au/schemes/national-greenhouse-and-energy-reporting-scheme/assess-your-obligations</w:t>
      </w:r>
    </w:p>
  </w:footnote>
  <w:footnote w:id="9">
    <w:p w14:paraId="1C8B1558" w14:textId="551EE992" w:rsidR="00D42586" w:rsidRPr="007F3A07" w:rsidRDefault="00D42586">
      <w:pPr>
        <w:pStyle w:val="FootnoteText"/>
        <w:rPr>
          <w:lang w:val="en-AU"/>
        </w:rPr>
      </w:pPr>
      <w:r>
        <w:rPr>
          <w:rStyle w:val="FootnoteReference"/>
        </w:rPr>
        <w:footnoteRef/>
      </w:r>
      <w:r>
        <w:t xml:space="preserve"> </w:t>
      </w:r>
      <w:r w:rsidR="00E0083D" w:rsidRPr="00D27872">
        <w:t>https://cer.gov.au/schemes/national-greenhouse-and-energy-reporting-scheme/report-emissions-and-energy/amendments</w:t>
      </w:r>
      <w:r>
        <w:t xml:space="preserve"> </w:t>
      </w:r>
    </w:p>
  </w:footnote>
  <w:footnote w:id="10">
    <w:p w14:paraId="711388DB" w14:textId="20536DF0" w:rsidR="003404D8" w:rsidRDefault="003404D8" w:rsidP="003404D8">
      <w:pPr>
        <w:pStyle w:val="FootnoteText"/>
      </w:pPr>
      <w:r>
        <w:rPr>
          <w:rStyle w:val="FootnoteReference"/>
        </w:rPr>
        <w:footnoteRef/>
      </w:r>
      <w:r>
        <w:t xml:space="preserve"> </w:t>
      </w:r>
      <w:r w:rsidR="00F124A3" w:rsidRPr="00D27872">
        <w:t>https://cer.gov.au/document_page/defining-facility-national-greenhouse-and-energy-reporting</w:t>
      </w:r>
      <w:r>
        <w:t xml:space="preserve"> </w:t>
      </w:r>
    </w:p>
  </w:footnote>
  <w:footnote w:id="11">
    <w:p w14:paraId="1576236F" w14:textId="3FBF6C08" w:rsidR="003404D8" w:rsidRDefault="003404D8" w:rsidP="003404D8">
      <w:pPr>
        <w:pStyle w:val="FootnoteText"/>
      </w:pPr>
      <w:r>
        <w:rPr>
          <w:rStyle w:val="FootnoteReference"/>
        </w:rPr>
        <w:footnoteRef/>
      </w:r>
      <w:r>
        <w:t xml:space="preserve"> </w:t>
      </w:r>
      <w:r w:rsidR="00F124A3" w:rsidRPr="00D27872">
        <w:t>https://www.epa.gov/regulations-emissions-vehicles-and-engines/final-rule-mandatory-reporting-greenhouse-gases</w:t>
      </w:r>
      <w:r>
        <w:t xml:space="preserve"> </w:t>
      </w:r>
    </w:p>
  </w:footnote>
  <w:footnote w:id="12">
    <w:p w14:paraId="6F9F5A79" w14:textId="59F5E1E1" w:rsidR="00B328FD" w:rsidRPr="007F3A07" w:rsidRDefault="00B328FD">
      <w:pPr>
        <w:pStyle w:val="FootnoteText"/>
        <w:rPr>
          <w:lang w:val="en-AU"/>
        </w:rPr>
      </w:pPr>
      <w:r>
        <w:rPr>
          <w:rStyle w:val="FootnoteReference"/>
        </w:rPr>
        <w:footnoteRef/>
      </w:r>
      <w:r>
        <w:t xml:space="preserve"> </w:t>
      </w:r>
      <w:r w:rsidR="00C25FEE" w:rsidRPr="00D27872">
        <w:t>https://cer.gov.au/document_page/voluntary-market-based-scope-2-emissions-guideline</w:t>
      </w:r>
    </w:p>
  </w:footnote>
  <w:footnote w:id="13">
    <w:p w14:paraId="703A2620" w14:textId="04D62DF0" w:rsidR="003404D8" w:rsidRDefault="003404D8" w:rsidP="003404D8">
      <w:pPr>
        <w:pStyle w:val="FootnoteText"/>
      </w:pPr>
      <w:r>
        <w:rPr>
          <w:rStyle w:val="FootnoteReference"/>
        </w:rPr>
        <w:footnoteRef/>
      </w:r>
      <w:r>
        <w:t xml:space="preserve"> </w:t>
      </w:r>
      <w:r w:rsidR="00CE767D" w:rsidRPr="00D27872">
        <w:t>https://www.ipcc-nggip.iges.or.jp/public/2006gl/vol1.html</w:t>
      </w:r>
      <w:r>
        <w:t xml:space="preserve"> </w:t>
      </w:r>
    </w:p>
  </w:footnote>
  <w:footnote w:id="14">
    <w:p w14:paraId="01D57A70" w14:textId="77777777" w:rsidR="003404D8" w:rsidRDefault="003404D8" w:rsidP="003404D8">
      <w:pPr>
        <w:pStyle w:val="FootnoteText"/>
      </w:pPr>
      <w:r>
        <w:rPr>
          <w:rStyle w:val="FootnoteReference"/>
        </w:rPr>
        <w:footnoteRef/>
      </w:r>
      <w:r>
        <w:t xml:space="preserve"> A 'source' is defined in section 1.10 of the NGER Measurement Determination.</w:t>
      </w:r>
    </w:p>
  </w:footnote>
  <w:footnote w:id="15">
    <w:p w14:paraId="75C6C1DF" w14:textId="77777777" w:rsidR="003404D8" w:rsidRDefault="003404D8" w:rsidP="003404D8">
      <w:pPr>
        <w:pStyle w:val="FootnoteText"/>
      </w:pPr>
      <w:r>
        <w:rPr>
          <w:rStyle w:val="FootnoteReference"/>
        </w:rPr>
        <w:footnoteRef/>
      </w:r>
      <w:r>
        <w:t xml:space="preserve"> To use criterion A, the invoice(s) must refer to a particular amount of a particular fuel delivered to a particular facility. An 'invoice' includes delivery records.</w:t>
      </w:r>
    </w:p>
  </w:footnote>
  <w:footnote w:id="16">
    <w:p w14:paraId="65088824" w14:textId="77777777" w:rsidR="003404D8" w:rsidRDefault="003404D8" w:rsidP="003404D8">
      <w:pPr>
        <w:pStyle w:val="FootnoteText"/>
      </w:pPr>
      <w:r>
        <w:rPr>
          <w:rStyle w:val="FootnoteReference"/>
        </w:rPr>
        <w:footnoteRef/>
      </w:r>
      <w:r>
        <w:t xml:space="preserve"> This represents a simplification of the subcategories. Please see the 'Solid fuels' divisions of the NGER Measurement Determination for more details.</w:t>
      </w:r>
    </w:p>
  </w:footnote>
  <w:footnote w:id="17">
    <w:p w14:paraId="135BAEDD" w14:textId="1C6F7186" w:rsidR="003404D8" w:rsidRDefault="003404D8" w:rsidP="003404D8">
      <w:pPr>
        <w:pStyle w:val="FootnoteText"/>
      </w:pPr>
      <w:r>
        <w:rPr>
          <w:rStyle w:val="FootnoteReference"/>
        </w:rPr>
        <w:footnoteRef/>
      </w:r>
      <w:r>
        <w:t xml:space="preserve"> </w:t>
      </w:r>
      <w:r w:rsidR="0091136E" w:rsidRPr="00D27872">
        <w:t>https://www.ipcc-nggip.iges.or.jp/public/2006gl/vol1.html</w:t>
      </w:r>
      <w:r>
        <w:t xml:space="preserve"> </w:t>
      </w:r>
    </w:p>
  </w:footnote>
  <w:footnote w:id="18">
    <w:p w14:paraId="3F500956" w14:textId="77777777" w:rsidR="003404D8" w:rsidRPr="00B43EE4" w:rsidRDefault="003404D8" w:rsidP="003404D8">
      <w:pPr>
        <w:pStyle w:val="FootnoteText"/>
      </w:pPr>
      <w:r>
        <w:rPr>
          <w:rStyle w:val="FootnoteReference"/>
        </w:rPr>
        <w:footnoteRef/>
      </w:r>
      <w:r>
        <w:t xml:space="preserve"> A 'relevant person' means a person mentioned in section 1.19A(a), (b), (c), (d), (e) or (f) of the NGER Measurement Determination. It broadly refers to holders of federal or state licenses, leases or approvals for carbon capture and storage.</w:t>
      </w:r>
    </w:p>
  </w:footnote>
  <w:footnote w:id="19">
    <w:p w14:paraId="01EF3BE7" w14:textId="3BE6A151" w:rsidR="009E7F27" w:rsidRPr="00A10FAA" w:rsidRDefault="009E7F27">
      <w:pPr>
        <w:pStyle w:val="FootnoteText"/>
        <w:rPr>
          <w:lang w:val="en-AU"/>
        </w:rPr>
      </w:pPr>
      <w:r>
        <w:rPr>
          <w:rStyle w:val="FootnoteReference"/>
        </w:rPr>
        <w:footnoteRef/>
      </w:r>
      <w:r>
        <w:t xml:space="preserve"> </w:t>
      </w:r>
      <w:r w:rsidR="00D27872" w:rsidRPr="00D27872">
        <w:t xml:space="preserve"> </w:t>
      </w:r>
      <w:r w:rsidR="00FA509D" w:rsidRPr="00FA509D">
        <w:t>https://cer.gov.au/document_page/estimating-emissions-and-energy-coal-mining-guideline</w:t>
      </w:r>
    </w:p>
  </w:footnote>
  <w:footnote w:id="20">
    <w:p w14:paraId="732EBD39" w14:textId="11C40AFD" w:rsidR="002A27CC" w:rsidRPr="007C14B6" w:rsidRDefault="002A27CC" w:rsidP="002A27CC">
      <w:pPr>
        <w:pStyle w:val="FootnoteText"/>
        <w:rPr>
          <w:lang w:val="en-AU"/>
        </w:rPr>
      </w:pPr>
      <w:r>
        <w:rPr>
          <w:rStyle w:val="FootnoteReference"/>
        </w:rPr>
        <w:footnoteRef/>
      </w:r>
      <w:r>
        <w:t xml:space="preserve"> </w:t>
      </w:r>
      <w:r w:rsidR="004171F5" w:rsidRPr="00D27872">
        <w:t>https://cer.gov.au/document_page/contracts-and-leasing-guideline</w:t>
      </w:r>
      <w:r>
        <w:t xml:space="preserve"> </w:t>
      </w:r>
    </w:p>
  </w:footnote>
  <w:footnote w:id="21">
    <w:p w14:paraId="796E3E1F" w14:textId="4801D1E7" w:rsidR="004171F5" w:rsidRPr="00A10FAA" w:rsidRDefault="004171F5">
      <w:pPr>
        <w:pStyle w:val="FootnoteText"/>
        <w:rPr>
          <w:lang w:val="en-AU"/>
        </w:rPr>
      </w:pPr>
      <w:r>
        <w:rPr>
          <w:rStyle w:val="FootnoteReference"/>
        </w:rPr>
        <w:footnoteRef/>
      </w:r>
      <w:r>
        <w:t xml:space="preserve"> </w:t>
      </w:r>
      <w:r w:rsidRPr="004171F5">
        <w:t>http://www.cer.gov.au/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23C5" w14:textId="2B3B716D" w:rsidR="00054C6E" w:rsidRDefault="00054C6E" w:rsidP="00054C6E">
    <w:pPr>
      <w:pStyle w:val="Heading5"/>
      <w:tabs>
        <w:tab w:val="center" w:pos="4870"/>
        <w:tab w:val="left" w:pos="8745"/>
      </w:tabs>
      <w:spacing w:before="200" w:after="60"/>
      <w:jc w:val="center"/>
    </w:pPr>
    <w:r w:rsidRPr="00054C6E">
      <w:rPr>
        <w:rStyle w:val="Protectivemarker"/>
        <w:b/>
        <w:sz w:val="28"/>
        <w:szCs w:val="28"/>
      </w:rPr>
      <w:t>OFFICIAL</w:t>
    </w:r>
  </w:p>
  <w:p w14:paraId="1657C533" w14:textId="6990FC23" w:rsidR="00D81782" w:rsidRPr="00054C6E" w:rsidRDefault="00054C6E" w:rsidP="00054C6E">
    <w:pPr>
      <w:pStyle w:val="LegislativesecrecyACT"/>
    </w:pPr>
    <w:r>
      <w:rPr>
        <w:noProof/>
      </w:rPr>
      <w:drawing>
        <wp:anchor distT="0" distB="0" distL="114300" distR="114300" simplePos="0" relativeHeight="251658240" behindDoc="0" locked="0" layoutInCell="1" allowOverlap="1" wp14:anchorId="38204333" wp14:editId="48BEC9AD">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35" name="Picture 35"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72F"/>
    <w:multiLevelType w:val="multilevel"/>
    <w:tmpl w:val="6A4EBE6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48B669B"/>
    <w:multiLevelType w:val="hybridMultilevel"/>
    <w:tmpl w:val="13B0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A49C5"/>
    <w:multiLevelType w:val="multilevel"/>
    <w:tmpl w:val="369EAD7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Calibri" w:hAnsi="Calibri" w:hint="default"/>
        <w:color w:val="006EA6"/>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896545"/>
    <w:multiLevelType w:val="multilevel"/>
    <w:tmpl w:val="1DF48CB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DC69A2"/>
    <w:multiLevelType w:val="hybridMultilevel"/>
    <w:tmpl w:val="DA466218"/>
    <w:lvl w:ilvl="0" w:tplc="291EC936">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181FBF"/>
    <w:multiLevelType w:val="hybridMultilevel"/>
    <w:tmpl w:val="6868ECF0"/>
    <w:lvl w:ilvl="0" w:tplc="3EACCD2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3A00AF"/>
    <w:multiLevelType w:val="multilevel"/>
    <w:tmpl w:val="2EFE449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1C66685"/>
    <w:multiLevelType w:val="multilevel"/>
    <w:tmpl w:val="A5FA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362ABD"/>
    <w:multiLevelType w:val="multilevel"/>
    <w:tmpl w:val="E818938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DB23C0"/>
    <w:multiLevelType w:val="multilevel"/>
    <w:tmpl w:val="AD680714"/>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2904240">
    <w:abstractNumId w:val="13"/>
  </w:num>
  <w:num w:numId="2" w16cid:durableId="1333996643">
    <w:abstractNumId w:val="12"/>
  </w:num>
  <w:num w:numId="3" w16cid:durableId="453837548">
    <w:abstractNumId w:val="4"/>
  </w:num>
  <w:num w:numId="4" w16cid:durableId="1893155059">
    <w:abstractNumId w:val="0"/>
  </w:num>
  <w:num w:numId="5" w16cid:durableId="896622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8868938">
    <w:abstractNumId w:val="9"/>
  </w:num>
  <w:num w:numId="7" w16cid:durableId="155000908">
    <w:abstractNumId w:val="11"/>
  </w:num>
  <w:num w:numId="8" w16cid:durableId="775708020">
    <w:abstractNumId w:val="8"/>
  </w:num>
  <w:num w:numId="9" w16cid:durableId="1326787707">
    <w:abstractNumId w:val="6"/>
  </w:num>
  <w:num w:numId="10" w16cid:durableId="1356224868">
    <w:abstractNumId w:val="3"/>
  </w:num>
  <w:num w:numId="11" w16cid:durableId="70153560">
    <w:abstractNumId w:val="10"/>
  </w:num>
  <w:num w:numId="12" w16cid:durableId="1446464337">
    <w:abstractNumId w:val="2"/>
  </w:num>
  <w:num w:numId="13" w16cid:durableId="208556677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readOnly" w:enforcement="1" w:spinCount="100000" w:hashValue="F6PFHiVQwrCiNKfW89gDBo73FeG+QFmupr+r0t7rSo4=" w:saltValue="KWMCI3pWEjLdOXvgMjHOh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1209"/>
    <w:rsid w:val="00001478"/>
    <w:rsid w:val="00001AD6"/>
    <w:rsid w:val="00002B69"/>
    <w:rsid w:val="00002E64"/>
    <w:rsid w:val="00004FCA"/>
    <w:rsid w:val="000071DF"/>
    <w:rsid w:val="00010D2A"/>
    <w:rsid w:val="00012C8E"/>
    <w:rsid w:val="000136BE"/>
    <w:rsid w:val="00013EBD"/>
    <w:rsid w:val="000152BC"/>
    <w:rsid w:val="00015E6F"/>
    <w:rsid w:val="00016C4D"/>
    <w:rsid w:val="00020AF6"/>
    <w:rsid w:val="00021408"/>
    <w:rsid w:val="000216EA"/>
    <w:rsid w:val="00021768"/>
    <w:rsid w:val="000217AD"/>
    <w:rsid w:val="0002367E"/>
    <w:rsid w:val="00023953"/>
    <w:rsid w:val="00024206"/>
    <w:rsid w:val="0002468B"/>
    <w:rsid w:val="00024BFA"/>
    <w:rsid w:val="00025252"/>
    <w:rsid w:val="0002564E"/>
    <w:rsid w:val="00025B86"/>
    <w:rsid w:val="000261ED"/>
    <w:rsid w:val="0002741D"/>
    <w:rsid w:val="000306C2"/>
    <w:rsid w:val="00030FAD"/>
    <w:rsid w:val="00031090"/>
    <w:rsid w:val="00031FCE"/>
    <w:rsid w:val="00035031"/>
    <w:rsid w:val="00035321"/>
    <w:rsid w:val="0003582F"/>
    <w:rsid w:val="000360F6"/>
    <w:rsid w:val="00036B0B"/>
    <w:rsid w:val="000378B6"/>
    <w:rsid w:val="00037F26"/>
    <w:rsid w:val="00040581"/>
    <w:rsid w:val="000415CB"/>
    <w:rsid w:val="0004295F"/>
    <w:rsid w:val="00043364"/>
    <w:rsid w:val="000442F7"/>
    <w:rsid w:val="0004496F"/>
    <w:rsid w:val="00046D32"/>
    <w:rsid w:val="000501ED"/>
    <w:rsid w:val="00051C2C"/>
    <w:rsid w:val="0005424C"/>
    <w:rsid w:val="000545EF"/>
    <w:rsid w:val="00054C6E"/>
    <w:rsid w:val="000550AF"/>
    <w:rsid w:val="00055D8D"/>
    <w:rsid w:val="000565D8"/>
    <w:rsid w:val="00056FF0"/>
    <w:rsid w:val="0006049A"/>
    <w:rsid w:val="00060A00"/>
    <w:rsid w:val="00060E46"/>
    <w:rsid w:val="000614B7"/>
    <w:rsid w:val="00061570"/>
    <w:rsid w:val="000625BB"/>
    <w:rsid w:val="0006355F"/>
    <w:rsid w:val="00065DA9"/>
    <w:rsid w:val="0006640E"/>
    <w:rsid w:val="000678AA"/>
    <w:rsid w:val="00070180"/>
    <w:rsid w:val="0007049D"/>
    <w:rsid w:val="00070740"/>
    <w:rsid w:val="00071554"/>
    <w:rsid w:val="000732E1"/>
    <w:rsid w:val="000754DA"/>
    <w:rsid w:val="000764CB"/>
    <w:rsid w:val="0007669E"/>
    <w:rsid w:val="0008144E"/>
    <w:rsid w:val="00081CAB"/>
    <w:rsid w:val="00083FFC"/>
    <w:rsid w:val="00084302"/>
    <w:rsid w:val="000862AB"/>
    <w:rsid w:val="000873E6"/>
    <w:rsid w:val="000906DE"/>
    <w:rsid w:val="0009188A"/>
    <w:rsid w:val="00091D6B"/>
    <w:rsid w:val="00093C10"/>
    <w:rsid w:val="000948D5"/>
    <w:rsid w:val="00096878"/>
    <w:rsid w:val="00096F6E"/>
    <w:rsid w:val="000A0665"/>
    <w:rsid w:val="000A0DD5"/>
    <w:rsid w:val="000A11FD"/>
    <w:rsid w:val="000A1AC5"/>
    <w:rsid w:val="000A2F13"/>
    <w:rsid w:val="000A6B46"/>
    <w:rsid w:val="000B0390"/>
    <w:rsid w:val="000B18D1"/>
    <w:rsid w:val="000B1F31"/>
    <w:rsid w:val="000B2225"/>
    <w:rsid w:val="000B25DA"/>
    <w:rsid w:val="000B3A08"/>
    <w:rsid w:val="000B4820"/>
    <w:rsid w:val="000B596F"/>
    <w:rsid w:val="000B649F"/>
    <w:rsid w:val="000C05A2"/>
    <w:rsid w:val="000C05D5"/>
    <w:rsid w:val="000C088A"/>
    <w:rsid w:val="000C0966"/>
    <w:rsid w:val="000C1249"/>
    <w:rsid w:val="000C23E8"/>
    <w:rsid w:val="000C2835"/>
    <w:rsid w:val="000C2D07"/>
    <w:rsid w:val="000C4311"/>
    <w:rsid w:val="000C50BA"/>
    <w:rsid w:val="000C5EC9"/>
    <w:rsid w:val="000C6F06"/>
    <w:rsid w:val="000C76E1"/>
    <w:rsid w:val="000C7B81"/>
    <w:rsid w:val="000C7DB2"/>
    <w:rsid w:val="000D05DA"/>
    <w:rsid w:val="000D1A98"/>
    <w:rsid w:val="000D3C96"/>
    <w:rsid w:val="000D47F6"/>
    <w:rsid w:val="000D6D13"/>
    <w:rsid w:val="000E086E"/>
    <w:rsid w:val="000E0F9D"/>
    <w:rsid w:val="000E1239"/>
    <w:rsid w:val="000E2F55"/>
    <w:rsid w:val="000E50DD"/>
    <w:rsid w:val="000E5A13"/>
    <w:rsid w:val="000F1323"/>
    <w:rsid w:val="000F39A2"/>
    <w:rsid w:val="000F61A0"/>
    <w:rsid w:val="000F62C1"/>
    <w:rsid w:val="000F6B44"/>
    <w:rsid w:val="000F7C62"/>
    <w:rsid w:val="000F7E89"/>
    <w:rsid w:val="001000E4"/>
    <w:rsid w:val="0010017C"/>
    <w:rsid w:val="0010257A"/>
    <w:rsid w:val="00103822"/>
    <w:rsid w:val="00103DE5"/>
    <w:rsid w:val="001040CB"/>
    <w:rsid w:val="00104162"/>
    <w:rsid w:val="00104A70"/>
    <w:rsid w:val="00104FB9"/>
    <w:rsid w:val="001058E7"/>
    <w:rsid w:val="00106391"/>
    <w:rsid w:val="00106D0E"/>
    <w:rsid w:val="00110B4C"/>
    <w:rsid w:val="001115C2"/>
    <w:rsid w:val="00112E29"/>
    <w:rsid w:val="0011311F"/>
    <w:rsid w:val="001131AE"/>
    <w:rsid w:val="00113911"/>
    <w:rsid w:val="001143E9"/>
    <w:rsid w:val="00114873"/>
    <w:rsid w:val="001148C2"/>
    <w:rsid w:val="00116745"/>
    <w:rsid w:val="001171F6"/>
    <w:rsid w:val="0012044C"/>
    <w:rsid w:val="00120B12"/>
    <w:rsid w:val="001261D7"/>
    <w:rsid w:val="00127176"/>
    <w:rsid w:val="001273E3"/>
    <w:rsid w:val="001276AA"/>
    <w:rsid w:val="0013099B"/>
    <w:rsid w:val="00131CC3"/>
    <w:rsid w:val="00132A3F"/>
    <w:rsid w:val="00133162"/>
    <w:rsid w:val="00133190"/>
    <w:rsid w:val="0013356F"/>
    <w:rsid w:val="00135B06"/>
    <w:rsid w:val="00140927"/>
    <w:rsid w:val="00140939"/>
    <w:rsid w:val="00140AE1"/>
    <w:rsid w:val="0014527C"/>
    <w:rsid w:val="001464A8"/>
    <w:rsid w:val="0014681A"/>
    <w:rsid w:val="00146BE1"/>
    <w:rsid w:val="00146FC8"/>
    <w:rsid w:val="001479CC"/>
    <w:rsid w:val="00150F9E"/>
    <w:rsid w:val="001512C0"/>
    <w:rsid w:val="00151A87"/>
    <w:rsid w:val="00152A59"/>
    <w:rsid w:val="001538C9"/>
    <w:rsid w:val="00154E18"/>
    <w:rsid w:val="00155441"/>
    <w:rsid w:val="00156807"/>
    <w:rsid w:val="00157175"/>
    <w:rsid w:val="00160B16"/>
    <w:rsid w:val="00161248"/>
    <w:rsid w:val="0016157D"/>
    <w:rsid w:val="00163467"/>
    <w:rsid w:val="00163A2C"/>
    <w:rsid w:val="0016483B"/>
    <w:rsid w:val="001648A7"/>
    <w:rsid w:val="00164917"/>
    <w:rsid w:val="001651F7"/>
    <w:rsid w:val="001657BD"/>
    <w:rsid w:val="001660E2"/>
    <w:rsid w:val="0016654D"/>
    <w:rsid w:val="001665ED"/>
    <w:rsid w:val="00166FC1"/>
    <w:rsid w:val="0016708B"/>
    <w:rsid w:val="00167A2A"/>
    <w:rsid w:val="00172D5E"/>
    <w:rsid w:val="00172F37"/>
    <w:rsid w:val="00173DF3"/>
    <w:rsid w:val="00174EA3"/>
    <w:rsid w:val="001762DE"/>
    <w:rsid w:val="00176871"/>
    <w:rsid w:val="00176C28"/>
    <w:rsid w:val="00177497"/>
    <w:rsid w:val="001813DE"/>
    <w:rsid w:val="001820C0"/>
    <w:rsid w:val="00182F2A"/>
    <w:rsid w:val="00183F2E"/>
    <w:rsid w:val="0018668C"/>
    <w:rsid w:val="001903CB"/>
    <w:rsid w:val="001932D2"/>
    <w:rsid w:val="00193A6C"/>
    <w:rsid w:val="00195193"/>
    <w:rsid w:val="001959BC"/>
    <w:rsid w:val="00195B09"/>
    <w:rsid w:val="00197461"/>
    <w:rsid w:val="00197F43"/>
    <w:rsid w:val="001A3E84"/>
    <w:rsid w:val="001A470B"/>
    <w:rsid w:val="001A5564"/>
    <w:rsid w:val="001A74A9"/>
    <w:rsid w:val="001A7633"/>
    <w:rsid w:val="001B130E"/>
    <w:rsid w:val="001B2818"/>
    <w:rsid w:val="001B2AA3"/>
    <w:rsid w:val="001B3B91"/>
    <w:rsid w:val="001B3ECC"/>
    <w:rsid w:val="001B54A1"/>
    <w:rsid w:val="001B66AA"/>
    <w:rsid w:val="001C0444"/>
    <w:rsid w:val="001C07FD"/>
    <w:rsid w:val="001C191F"/>
    <w:rsid w:val="001C4EB9"/>
    <w:rsid w:val="001C6802"/>
    <w:rsid w:val="001C6837"/>
    <w:rsid w:val="001C6A51"/>
    <w:rsid w:val="001C73C4"/>
    <w:rsid w:val="001D11E8"/>
    <w:rsid w:val="001D2A89"/>
    <w:rsid w:val="001D2DB3"/>
    <w:rsid w:val="001D47D2"/>
    <w:rsid w:val="001D565A"/>
    <w:rsid w:val="001D5E01"/>
    <w:rsid w:val="001D6862"/>
    <w:rsid w:val="001D78EE"/>
    <w:rsid w:val="001D7C31"/>
    <w:rsid w:val="001E11C1"/>
    <w:rsid w:val="001E1C58"/>
    <w:rsid w:val="001E3A10"/>
    <w:rsid w:val="001E71A1"/>
    <w:rsid w:val="001F02FC"/>
    <w:rsid w:val="001F38EC"/>
    <w:rsid w:val="001F41A3"/>
    <w:rsid w:val="001F5525"/>
    <w:rsid w:val="001F555E"/>
    <w:rsid w:val="001F665C"/>
    <w:rsid w:val="001F67BE"/>
    <w:rsid w:val="001F67C3"/>
    <w:rsid w:val="00203800"/>
    <w:rsid w:val="00204D66"/>
    <w:rsid w:val="00205E88"/>
    <w:rsid w:val="0021035F"/>
    <w:rsid w:val="00210376"/>
    <w:rsid w:val="0021128D"/>
    <w:rsid w:val="0021175B"/>
    <w:rsid w:val="002118E5"/>
    <w:rsid w:val="00215C32"/>
    <w:rsid w:val="00216E5D"/>
    <w:rsid w:val="0021747E"/>
    <w:rsid w:val="0021782A"/>
    <w:rsid w:val="00217AAD"/>
    <w:rsid w:val="0022026C"/>
    <w:rsid w:val="00220A2E"/>
    <w:rsid w:val="00220D27"/>
    <w:rsid w:val="00221774"/>
    <w:rsid w:val="0022341D"/>
    <w:rsid w:val="00223676"/>
    <w:rsid w:val="00226BF3"/>
    <w:rsid w:val="0023171B"/>
    <w:rsid w:val="00232032"/>
    <w:rsid w:val="00233691"/>
    <w:rsid w:val="002347E1"/>
    <w:rsid w:val="00235142"/>
    <w:rsid w:val="00235B98"/>
    <w:rsid w:val="00235D3C"/>
    <w:rsid w:val="00236092"/>
    <w:rsid w:val="00236D1D"/>
    <w:rsid w:val="002400F8"/>
    <w:rsid w:val="00241559"/>
    <w:rsid w:val="00241615"/>
    <w:rsid w:val="0024264C"/>
    <w:rsid w:val="0024339B"/>
    <w:rsid w:val="0024439C"/>
    <w:rsid w:val="00244F0C"/>
    <w:rsid w:val="00245A0F"/>
    <w:rsid w:val="00247A87"/>
    <w:rsid w:val="00250F5B"/>
    <w:rsid w:val="00252431"/>
    <w:rsid w:val="002533EE"/>
    <w:rsid w:val="002536CD"/>
    <w:rsid w:val="002537CF"/>
    <w:rsid w:val="00253DBC"/>
    <w:rsid w:val="00253FFC"/>
    <w:rsid w:val="00254303"/>
    <w:rsid w:val="00254AA8"/>
    <w:rsid w:val="00254AF3"/>
    <w:rsid w:val="00255613"/>
    <w:rsid w:val="00255A01"/>
    <w:rsid w:val="002570C2"/>
    <w:rsid w:val="002604F0"/>
    <w:rsid w:val="00260E76"/>
    <w:rsid w:val="002622E9"/>
    <w:rsid w:val="00262A9E"/>
    <w:rsid w:val="002638E5"/>
    <w:rsid w:val="002660CC"/>
    <w:rsid w:val="002661C2"/>
    <w:rsid w:val="002677C7"/>
    <w:rsid w:val="00267FA5"/>
    <w:rsid w:val="00270902"/>
    <w:rsid w:val="00270AF0"/>
    <w:rsid w:val="002758C9"/>
    <w:rsid w:val="002763FA"/>
    <w:rsid w:val="00281A61"/>
    <w:rsid w:val="002822FB"/>
    <w:rsid w:val="00282973"/>
    <w:rsid w:val="00282B6E"/>
    <w:rsid w:val="002858A6"/>
    <w:rsid w:val="00285F83"/>
    <w:rsid w:val="00285FA7"/>
    <w:rsid w:val="002861C8"/>
    <w:rsid w:val="002876A6"/>
    <w:rsid w:val="0029028A"/>
    <w:rsid w:val="002902A0"/>
    <w:rsid w:val="00290961"/>
    <w:rsid w:val="00290E3D"/>
    <w:rsid w:val="00291F16"/>
    <w:rsid w:val="0029209B"/>
    <w:rsid w:val="0029262D"/>
    <w:rsid w:val="002945B6"/>
    <w:rsid w:val="002957A2"/>
    <w:rsid w:val="0029630B"/>
    <w:rsid w:val="002A27CC"/>
    <w:rsid w:val="002A5279"/>
    <w:rsid w:val="002A586A"/>
    <w:rsid w:val="002A63A0"/>
    <w:rsid w:val="002A71D5"/>
    <w:rsid w:val="002A7792"/>
    <w:rsid w:val="002A7EA6"/>
    <w:rsid w:val="002B05F4"/>
    <w:rsid w:val="002B06E7"/>
    <w:rsid w:val="002B0CA4"/>
    <w:rsid w:val="002B1043"/>
    <w:rsid w:val="002B1CF6"/>
    <w:rsid w:val="002B2396"/>
    <w:rsid w:val="002B4206"/>
    <w:rsid w:val="002B4310"/>
    <w:rsid w:val="002B68B8"/>
    <w:rsid w:val="002B6D42"/>
    <w:rsid w:val="002B79FF"/>
    <w:rsid w:val="002C19F9"/>
    <w:rsid w:val="002C29FF"/>
    <w:rsid w:val="002C3A78"/>
    <w:rsid w:val="002C3D05"/>
    <w:rsid w:val="002C427B"/>
    <w:rsid w:val="002C4B35"/>
    <w:rsid w:val="002C6C9E"/>
    <w:rsid w:val="002C702A"/>
    <w:rsid w:val="002C7D23"/>
    <w:rsid w:val="002D18F3"/>
    <w:rsid w:val="002D213C"/>
    <w:rsid w:val="002D257D"/>
    <w:rsid w:val="002D30B2"/>
    <w:rsid w:val="002D3931"/>
    <w:rsid w:val="002D7FE6"/>
    <w:rsid w:val="002E1790"/>
    <w:rsid w:val="002E26FE"/>
    <w:rsid w:val="002E3242"/>
    <w:rsid w:val="002E35EC"/>
    <w:rsid w:val="002E3E1F"/>
    <w:rsid w:val="002E49D5"/>
    <w:rsid w:val="002E54D5"/>
    <w:rsid w:val="002E728D"/>
    <w:rsid w:val="002E7858"/>
    <w:rsid w:val="002E7A57"/>
    <w:rsid w:val="002E7F02"/>
    <w:rsid w:val="002F0AB1"/>
    <w:rsid w:val="002F11F6"/>
    <w:rsid w:val="002F1986"/>
    <w:rsid w:val="002F3644"/>
    <w:rsid w:val="002F40CC"/>
    <w:rsid w:val="002F41A5"/>
    <w:rsid w:val="002F5B5A"/>
    <w:rsid w:val="002F6E8F"/>
    <w:rsid w:val="00302685"/>
    <w:rsid w:val="00302C4E"/>
    <w:rsid w:val="00302CB0"/>
    <w:rsid w:val="00302E6E"/>
    <w:rsid w:val="00302EB6"/>
    <w:rsid w:val="00303251"/>
    <w:rsid w:val="003056E6"/>
    <w:rsid w:val="003058C2"/>
    <w:rsid w:val="00305D7E"/>
    <w:rsid w:val="0030651E"/>
    <w:rsid w:val="0030799B"/>
    <w:rsid w:val="00307FC3"/>
    <w:rsid w:val="003103D0"/>
    <w:rsid w:val="003123C7"/>
    <w:rsid w:val="00312E6D"/>
    <w:rsid w:val="00313E28"/>
    <w:rsid w:val="00314760"/>
    <w:rsid w:val="0031530B"/>
    <w:rsid w:val="003155D2"/>
    <w:rsid w:val="00315E98"/>
    <w:rsid w:val="00317D9C"/>
    <w:rsid w:val="00317EBD"/>
    <w:rsid w:val="00317F3D"/>
    <w:rsid w:val="0032112A"/>
    <w:rsid w:val="003213D4"/>
    <w:rsid w:val="0032214B"/>
    <w:rsid w:val="00322CF0"/>
    <w:rsid w:val="003230CD"/>
    <w:rsid w:val="00323645"/>
    <w:rsid w:val="00323F69"/>
    <w:rsid w:val="00325CB8"/>
    <w:rsid w:val="00330832"/>
    <w:rsid w:val="0033159D"/>
    <w:rsid w:val="003323EA"/>
    <w:rsid w:val="0033306F"/>
    <w:rsid w:val="0033523F"/>
    <w:rsid w:val="00335462"/>
    <w:rsid w:val="00335F80"/>
    <w:rsid w:val="00337991"/>
    <w:rsid w:val="00337CCB"/>
    <w:rsid w:val="003404D8"/>
    <w:rsid w:val="00342E85"/>
    <w:rsid w:val="0034391B"/>
    <w:rsid w:val="00343D19"/>
    <w:rsid w:val="00345292"/>
    <w:rsid w:val="003456B2"/>
    <w:rsid w:val="00345952"/>
    <w:rsid w:val="00345ACE"/>
    <w:rsid w:val="00346AEF"/>
    <w:rsid w:val="0034710C"/>
    <w:rsid w:val="00347ACF"/>
    <w:rsid w:val="00353077"/>
    <w:rsid w:val="003569A9"/>
    <w:rsid w:val="00356EEC"/>
    <w:rsid w:val="00357030"/>
    <w:rsid w:val="0035769E"/>
    <w:rsid w:val="003604F1"/>
    <w:rsid w:val="003609E2"/>
    <w:rsid w:val="003627BC"/>
    <w:rsid w:val="0036400E"/>
    <w:rsid w:val="003640D9"/>
    <w:rsid w:val="00364B6E"/>
    <w:rsid w:val="00365CD3"/>
    <w:rsid w:val="00366050"/>
    <w:rsid w:val="00366F7E"/>
    <w:rsid w:val="00367CB1"/>
    <w:rsid w:val="00370B94"/>
    <w:rsid w:val="00370CE8"/>
    <w:rsid w:val="00371059"/>
    <w:rsid w:val="00373131"/>
    <w:rsid w:val="00375A75"/>
    <w:rsid w:val="00380419"/>
    <w:rsid w:val="003804F6"/>
    <w:rsid w:val="003816E8"/>
    <w:rsid w:val="00381DFC"/>
    <w:rsid w:val="003820DA"/>
    <w:rsid w:val="003822D8"/>
    <w:rsid w:val="003823D2"/>
    <w:rsid w:val="0038281F"/>
    <w:rsid w:val="003835AB"/>
    <w:rsid w:val="003849D9"/>
    <w:rsid w:val="00384C9D"/>
    <w:rsid w:val="00386276"/>
    <w:rsid w:val="00386FD4"/>
    <w:rsid w:val="00390171"/>
    <w:rsid w:val="00391691"/>
    <w:rsid w:val="0039552E"/>
    <w:rsid w:val="00396CA3"/>
    <w:rsid w:val="003A0D22"/>
    <w:rsid w:val="003A1032"/>
    <w:rsid w:val="003A2FB5"/>
    <w:rsid w:val="003A350F"/>
    <w:rsid w:val="003A450E"/>
    <w:rsid w:val="003A5032"/>
    <w:rsid w:val="003A5739"/>
    <w:rsid w:val="003A760B"/>
    <w:rsid w:val="003B0727"/>
    <w:rsid w:val="003B0FD0"/>
    <w:rsid w:val="003B2923"/>
    <w:rsid w:val="003B4B1A"/>
    <w:rsid w:val="003B5809"/>
    <w:rsid w:val="003B6365"/>
    <w:rsid w:val="003B6E87"/>
    <w:rsid w:val="003B79F7"/>
    <w:rsid w:val="003C2D85"/>
    <w:rsid w:val="003C35ED"/>
    <w:rsid w:val="003C3A26"/>
    <w:rsid w:val="003C4249"/>
    <w:rsid w:val="003C491A"/>
    <w:rsid w:val="003C5151"/>
    <w:rsid w:val="003C5545"/>
    <w:rsid w:val="003C5D1B"/>
    <w:rsid w:val="003C6972"/>
    <w:rsid w:val="003D0BC8"/>
    <w:rsid w:val="003D0E36"/>
    <w:rsid w:val="003D2067"/>
    <w:rsid w:val="003D2125"/>
    <w:rsid w:val="003D305E"/>
    <w:rsid w:val="003D3224"/>
    <w:rsid w:val="003D3AFE"/>
    <w:rsid w:val="003D3CBC"/>
    <w:rsid w:val="003D474A"/>
    <w:rsid w:val="003D4F2E"/>
    <w:rsid w:val="003D5C96"/>
    <w:rsid w:val="003D6E92"/>
    <w:rsid w:val="003E064A"/>
    <w:rsid w:val="003E0750"/>
    <w:rsid w:val="003E0BF4"/>
    <w:rsid w:val="003E14E8"/>
    <w:rsid w:val="003E3071"/>
    <w:rsid w:val="003E3486"/>
    <w:rsid w:val="003E3C51"/>
    <w:rsid w:val="003E46B9"/>
    <w:rsid w:val="003E4A87"/>
    <w:rsid w:val="003E67C7"/>
    <w:rsid w:val="003E6E32"/>
    <w:rsid w:val="003E715A"/>
    <w:rsid w:val="003F0E60"/>
    <w:rsid w:val="003F0F84"/>
    <w:rsid w:val="003F2DC9"/>
    <w:rsid w:val="003F3A8B"/>
    <w:rsid w:val="003F3D08"/>
    <w:rsid w:val="003F4886"/>
    <w:rsid w:val="003F4E02"/>
    <w:rsid w:val="003F6ABE"/>
    <w:rsid w:val="003F6DFC"/>
    <w:rsid w:val="003F7419"/>
    <w:rsid w:val="003F74DA"/>
    <w:rsid w:val="00400AD6"/>
    <w:rsid w:val="00400BA0"/>
    <w:rsid w:val="00400D4D"/>
    <w:rsid w:val="00400FF6"/>
    <w:rsid w:val="0040117E"/>
    <w:rsid w:val="00402485"/>
    <w:rsid w:val="004028B4"/>
    <w:rsid w:val="00403BDE"/>
    <w:rsid w:val="004043B7"/>
    <w:rsid w:val="00404940"/>
    <w:rsid w:val="00404EC1"/>
    <w:rsid w:val="00405A95"/>
    <w:rsid w:val="0040681F"/>
    <w:rsid w:val="00407928"/>
    <w:rsid w:val="00407A97"/>
    <w:rsid w:val="00410F15"/>
    <w:rsid w:val="00412A5F"/>
    <w:rsid w:val="0041462B"/>
    <w:rsid w:val="00415BE5"/>
    <w:rsid w:val="004171F5"/>
    <w:rsid w:val="00420737"/>
    <w:rsid w:val="00420AA4"/>
    <w:rsid w:val="00420BF6"/>
    <w:rsid w:val="00421111"/>
    <w:rsid w:val="00421454"/>
    <w:rsid w:val="004219C8"/>
    <w:rsid w:val="00421EBB"/>
    <w:rsid w:val="004222DC"/>
    <w:rsid w:val="00424CC6"/>
    <w:rsid w:val="00425437"/>
    <w:rsid w:val="00426275"/>
    <w:rsid w:val="004313E0"/>
    <w:rsid w:val="004324D0"/>
    <w:rsid w:val="00433AE2"/>
    <w:rsid w:val="00433E05"/>
    <w:rsid w:val="0043421B"/>
    <w:rsid w:val="004350C7"/>
    <w:rsid w:val="0043514B"/>
    <w:rsid w:val="004367D3"/>
    <w:rsid w:val="0043697B"/>
    <w:rsid w:val="004377D1"/>
    <w:rsid w:val="0044110F"/>
    <w:rsid w:val="00441F44"/>
    <w:rsid w:val="0044207F"/>
    <w:rsid w:val="00442CB1"/>
    <w:rsid w:val="00444391"/>
    <w:rsid w:val="004447CF"/>
    <w:rsid w:val="004458B4"/>
    <w:rsid w:val="00445F27"/>
    <w:rsid w:val="00446204"/>
    <w:rsid w:val="00447221"/>
    <w:rsid w:val="00447339"/>
    <w:rsid w:val="00447577"/>
    <w:rsid w:val="00451072"/>
    <w:rsid w:val="0045127D"/>
    <w:rsid w:val="00451D9C"/>
    <w:rsid w:val="00452D07"/>
    <w:rsid w:val="00455455"/>
    <w:rsid w:val="004559EF"/>
    <w:rsid w:val="00455E69"/>
    <w:rsid w:val="00456635"/>
    <w:rsid w:val="004577FA"/>
    <w:rsid w:val="00460D6E"/>
    <w:rsid w:val="00461103"/>
    <w:rsid w:val="004634DB"/>
    <w:rsid w:val="00463863"/>
    <w:rsid w:val="00463BB2"/>
    <w:rsid w:val="00464BBA"/>
    <w:rsid w:val="00465287"/>
    <w:rsid w:val="00465649"/>
    <w:rsid w:val="00466345"/>
    <w:rsid w:val="0047015C"/>
    <w:rsid w:val="00471682"/>
    <w:rsid w:val="0047401D"/>
    <w:rsid w:val="00474BB5"/>
    <w:rsid w:val="00474FC8"/>
    <w:rsid w:val="004765E3"/>
    <w:rsid w:val="00480154"/>
    <w:rsid w:val="0048085B"/>
    <w:rsid w:val="00480C67"/>
    <w:rsid w:val="00480FEF"/>
    <w:rsid w:val="00483284"/>
    <w:rsid w:val="004853F4"/>
    <w:rsid w:val="004859AE"/>
    <w:rsid w:val="00485DC2"/>
    <w:rsid w:val="0048723C"/>
    <w:rsid w:val="0048723F"/>
    <w:rsid w:val="00487979"/>
    <w:rsid w:val="00490334"/>
    <w:rsid w:val="0049057D"/>
    <w:rsid w:val="00490679"/>
    <w:rsid w:val="00490B51"/>
    <w:rsid w:val="00490F9D"/>
    <w:rsid w:val="00491683"/>
    <w:rsid w:val="004937E2"/>
    <w:rsid w:val="00493959"/>
    <w:rsid w:val="00494F07"/>
    <w:rsid w:val="00495179"/>
    <w:rsid w:val="0049603B"/>
    <w:rsid w:val="00497592"/>
    <w:rsid w:val="004A1189"/>
    <w:rsid w:val="004A12F8"/>
    <w:rsid w:val="004A1F97"/>
    <w:rsid w:val="004A20D8"/>
    <w:rsid w:val="004A2573"/>
    <w:rsid w:val="004A2963"/>
    <w:rsid w:val="004A344F"/>
    <w:rsid w:val="004A4C26"/>
    <w:rsid w:val="004A50CF"/>
    <w:rsid w:val="004A581F"/>
    <w:rsid w:val="004A5F95"/>
    <w:rsid w:val="004A6E35"/>
    <w:rsid w:val="004B0A30"/>
    <w:rsid w:val="004B107E"/>
    <w:rsid w:val="004B2CF1"/>
    <w:rsid w:val="004B3A4D"/>
    <w:rsid w:val="004B4712"/>
    <w:rsid w:val="004B4B28"/>
    <w:rsid w:val="004B4F75"/>
    <w:rsid w:val="004B6AF5"/>
    <w:rsid w:val="004B6C54"/>
    <w:rsid w:val="004C035D"/>
    <w:rsid w:val="004C2037"/>
    <w:rsid w:val="004C2597"/>
    <w:rsid w:val="004C2D2A"/>
    <w:rsid w:val="004C3112"/>
    <w:rsid w:val="004C3F43"/>
    <w:rsid w:val="004C467B"/>
    <w:rsid w:val="004C4E8C"/>
    <w:rsid w:val="004C6039"/>
    <w:rsid w:val="004C6DF4"/>
    <w:rsid w:val="004D0162"/>
    <w:rsid w:val="004D328C"/>
    <w:rsid w:val="004D335E"/>
    <w:rsid w:val="004D3F8B"/>
    <w:rsid w:val="004D4534"/>
    <w:rsid w:val="004D53BC"/>
    <w:rsid w:val="004D65AD"/>
    <w:rsid w:val="004D6A01"/>
    <w:rsid w:val="004D70CF"/>
    <w:rsid w:val="004E14C4"/>
    <w:rsid w:val="004E2FFC"/>
    <w:rsid w:val="004E4A04"/>
    <w:rsid w:val="004E7277"/>
    <w:rsid w:val="004F0BEB"/>
    <w:rsid w:val="004F2C04"/>
    <w:rsid w:val="004F3967"/>
    <w:rsid w:val="004F4507"/>
    <w:rsid w:val="004F51FB"/>
    <w:rsid w:val="004F69DD"/>
    <w:rsid w:val="00502802"/>
    <w:rsid w:val="00503649"/>
    <w:rsid w:val="00504892"/>
    <w:rsid w:val="005048DA"/>
    <w:rsid w:val="0050670F"/>
    <w:rsid w:val="00507996"/>
    <w:rsid w:val="005117C0"/>
    <w:rsid w:val="00511ABC"/>
    <w:rsid w:val="00512A13"/>
    <w:rsid w:val="00515476"/>
    <w:rsid w:val="00516089"/>
    <w:rsid w:val="00520E05"/>
    <w:rsid w:val="00521016"/>
    <w:rsid w:val="005213A1"/>
    <w:rsid w:val="00521D96"/>
    <w:rsid w:val="00522581"/>
    <w:rsid w:val="00522D31"/>
    <w:rsid w:val="005230BD"/>
    <w:rsid w:val="0052427F"/>
    <w:rsid w:val="0052457E"/>
    <w:rsid w:val="00526837"/>
    <w:rsid w:val="00526E7E"/>
    <w:rsid w:val="00527BAD"/>
    <w:rsid w:val="00530548"/>
    <w:rsid w:val="005313D0"/>
    <w:rsid w:val="0053189F"/>
    <w:rsid w:val="0053199B"/>
    <w:rsid w:val="00531C33"/>
    <w:rsid w:val="00531F3B"/>
    <w:rsid w:val="00534F1B"/>
    <w:rsid w:val="005366EE"/>
    <w:rsid w:val="005416B3"/>
    <w:rsid w:val="0054199F"/>
    <w:rsid w:val="00541D22"/>
    <w:rsid w:val="005430A4"/>
    <w:rsid w:val="005432BA"/>
    <w:rsid w:val="005433D3"/>
    <w:rsid w:val="00543E6A"/>
    <w:rsid w:val="00544500"/>
    <w:rsid w:val="00545E84"/>
    <w:rsid w:val="00551273"/>
    <w:rsid w:val="0055220A"/>
    <w:rsid w:val="00553209"/>
    <w:rsid w:val="00553A50"/>
    <w:rsid w:val="00554537"/>
    <w:rsid w:val="00555587"/>
    <w:rsid w:val="00556B4D"/>
    <w:rsid w:val="00561E53"/>
    <w:rsid w:val="0056318B"/>
    <w:rsid w:val="00563B1E"/>
    <w:rsid w:val="00563BAC"/>
    <w:rsid w:val="00563D24"/>
    <w:rsid w:val="005654F9"/>
    <w:rsid w:val="00565531"/>
    <w:rsid w:val="00565ECD"/>
    <w:rsid w:val="00567332"/>
    <w:rsid w:val="00567E8D"/>
    <w:rsid w:val="005707A4"/>
    <w:rsid w:val="00570C04"/>
    <w:rsid w:val="00571444"/>
    <w:rsid w:val="00572F7F"/>
    <w:rsid w:val="00573D0E"/>
    <w:rsid w:val="00577F2D"/>
    <w:rsid w:val="005800E5"/>
    <w:rsid w:val="00581DD7"/>
    <w:rsid w:val="00582478"/>
    <w:rsid w:val="0058283F"/>
    <w:rsid w:val="0058304D"/>
    <w:rsid w:val="00584EEE"/>
    <w:rsid w:val="00585333"/>
    <w:rsid w:val="00585D42"/>
    <w:rsid w:val="005905F7"/>
    <w:rsid w:val="00591295"/>
    <w:rsid w:val="005914A8"/>
    <w:rsid w:val="005916BD"/>
    <w:rsid w:val="005922FF"/>
    <w:rsid w:val="00592DFE"/>
    <w:rsid w:val="00593BE7"/>
    <w:rsid w:val="0059497B"/>
    <w:rsid w:val="00597E3B"/>
    <w:rsid w:val="005A266D"/>
    <w:rsid w:val="005A354E"/>
    <w:rsid w:val="005A6557"/>
    <w:rsid w:val="005A791B"/>
    <w:rsid w:val="005B0EF1"/>
    <w:rsid w:val="005B2609"/>
    <w:rsid w:val="005B26BE"/>
    <w:rsid w:val="005B2AD1"/>
    <w:rsid w:val="005B7139"/>
    <w:rsid w:val="005B7D44"/>
    <w:rsid w:val="005C0872"/>
    <w:rsid w:val="005C0A94"/>
    <w:rsid w:val="005C251A"/>
    <w:rsid w:val="005C48AB"/>
    <w:rsid w:val="005C6397"/>
    <w:rsid w:val="005C7D4C"/>
    <w:rsid w:val="005D2055"/>
    <w:rsid w:val="005D2064"/>
    <w:rsid w:val="005D2303"/>
    <w:rsid w:val="005D2569"/>
    <w:rsid w:val="005D2E09"/>
    <w:rsid w:val="005D32AA"/>
    <w:rsid w:val="005D3AB2"/>
    <w:rsid w:val="005D3E85"/>
    <w:rsid w:val="005D4667"/>
    <w:rsid w:val="005D4948"/>
    <w:rsid w:val="005D4D95"/>
    <w:rsid w:val="005D6C54"/>
    <w:rsid w:val="005D702E"/>
    <w:rsid w:val="005D7891"/>
    <w:rsid w:val="005D7AC2"/>
    <w:rsid w:val="005E1FCD"/>
    <w:rsid w:val="005E2713"/>
    <w:rsid w:val="005E555D"/>
    <w:rsid w:val="005E562D"/>
    <w:rsid w:val="005E64BF"/>
    <w:rsid w:val="005E6EEA"/>
    <w:rsid w:val="005E7A6D"/>
    <w:rsid w:val="005F0EFA"/>
    <w:rsid w:val="005F10C7"/>
    <w:rsid w:val="005F2062"/>
    <w:rsid w:val="005F2C85"/>
    <w:rsid w:val="005F47E2"/>
    <w:rsid w:val="005F4BE4"/>
    <w:rsid w:val="005F54FD"/>
    <w:rsid w:val="005F6138"/>
    <w:rsid w:val="005F64C8"/>
    <w:rsid w:val="005F673A"/>
    <w:rsid w:val="005F6BBD"/>
    <w:rsid w:val="006000C4"/>
    <w:rsid w:val="00600BE6"/>
    <w:rsid w:val="006012FC"/>
    <w:rsid w:val="00601F80"/>
    <w:rsid w:val="006022C3"/>
    <w:rsid w:val="00602E93"/>
    <w:rsid w:val="0060309F"/>
    <w:rsid w:val="00603487"/>
    <w:rsid w:val="00604609"/>
    <w:rsid w:val="006046A3"/>
    <w:rsid w:val="00604BE3"/>
    <w:rsid w:val="006053E5"/>
    <w:rsid w:val="00605F76"/>
    <w:rsid w:val="00606F1C"/>
    <w:rsid w:val="006079CF"/>
    <w:rsid w:val="0061010A"/>
    <w:rsid w:val="0061067B"/>
    <w:rsid w:val="00611537"/>
    <w:rsid w:val="00612288"/>
    <w:rsid w:val="00614B88"/>
    <w:rsid w:val="00615094"/>
    <w:rsid w:val="00615232"/>
    <w:rsid w:val="00617101"/>
    <w:rsid w:val="00617535"/>
    <w:rsid w:val="00617BE9"/>
    <w:rsid w:val="00617F28"/>
    <w:rsid w:val="0062080A"/>
    <w:rsid w:val="006211B5"/>
    <w:rsid w:val="006224A8"/>
    <w:rsid w:val="00622DA5"/>
    <w:rsid w:val="006233A4"/>
    <w:rsid w:val="0062387A"/>
    <w:rsid w:val="00623C34"/>
    <w:rsid w:val="00623D3A"/>
    <w:rsid w:val="00625409"/>
    <w:rsid w:val="00625A5E"/>
    <w:rsid w:val="00626FF9"/>
    <w:rsid w:val="00630D14"/>
    <w:rsid w:val="00631E14"/>
    <w:rsid w:val="006321E7"/>
    <w:rsid w:val="0063226F"/>
    <w:rsid w:val="00632B10"/>
    <w:rsid w:val="00632E89"/>
    <w:rsid w:val="00634170"/>
    <w:rsid w:val="006369A1"/>
    <w:rsid w:val="006377CC"/>
    <w:rsid w:val="00640963"/>
    <w:rsid w:val="006423DF"/>
    <w:rsid w:val="0064301E"/>
    <w:rsid w:val="0064527D"/>
    <w:rsid w:val="006463DA"/>
    <w:rsid w:val="00646618"/>
    <w:rsid w:val="00651359"/>
    <w:rsid w:val="006530B0"/>
    <w:rsid w:val="006549BA"/>
    <w:rsid w:val="00655292"/>
    <w:rsid w:val="00655F2C"/>
    <w:rsid w:val="0065732A"/>
    <w:rsid w:val="0065750A"/>
    <w:rsid w:val="00657723"/>
    <w:rsid w:val="00657D21"/>
    <w:rsid w:val="00660CCF"/>
    <w:rsid w:val="00661B45"/>
    <w:rsid w:val="00662ED8"/>
    <w:rsid w:val="006650EA"/>
    <w:rsid w:val="00665E43"/>
    <w:rsid w:val="006660C9"/>
    <w:rsid w:val="006663CF"/>
    <w:rsid w:val="00666531"/>
    <w:rsid w:val="0066723E"/>
    <w:rsid w:val="006673E3"/>
    <w:rsid w:val="00667BCA"/>
    <w:rsid w:val="006700B6"/>
    <w:rsid w:val="0067096E"/>
    <w:rsid w:val="00670AFA"/>
    <w:rsid w:val="00671EFD"/>
    <w:rsid w:val="00672BE1"/>
    <w:rsid w:val="00674932"/>
    <w:rsid w:val="00675170"/>
    <w:rsid w:val="00675CF6"/>
    <w:rsid w:val="006772A6"/>
    <w:rsid w:val="00677F83"/>
    <w:rsid w:val="006803FB"/>
    <w:rsid w:val="00680B5A"/>
    <w:rsid w:val="006816F3"/>
    <w:rsid w:val="0068190C"/>
    <w:rsid w:val="00682905"/>
    <w:rsid w:val="00682CAC"/>
    <w:rsid w:val="00682D3D"/>
    <w:rsid w:val="006830A5"/>
    <w:rsid w:val="006836C3"/>
    <w:rsid w:val="0068486A"/>
    <w:rsid w:val="00684C26"/>
    <w:rsid w:val="00686F4A"/>
    <w:rsid w:val="0068725C"/>
    <w:rsid w:val="00687DC0"/>
    <w:rsid w:val="00687ECF"/>
    <w:rsid w:val="00692608"/>
    <w:rsid w:val="00693598"/>
    <w:rsid w:val="0069398F"/>
    <w:rsid w:val="00693E72"/>
    <w:rsid w:val="00694545"/>
    <w:rsid w:val="006967C6"/>
    <w:rsid w:val="00696B8B"/>
    <w:rsid w:val="00696FB0"/>
    <w:rsid w:val="00697B54"/>
    <w:rsid w:val="006A1906"/>
    <w:rsid w:val="006A19A4"/>
    <w:rsid w:val="006A20BD"/>
    <w:rsid w:val="006A344E"/>
    <w:rsid w:val="006A35C7"/>
    <w:rsid w:val="006A37D7"/>
    <w:rsid w:val="006A44D2"/>
    <w:rsid w:val="006A6EBA"/>
    <w:rsid w:val="006A6F40"/>
    <w:rsid w:val="006A7A4E"/>
    <w:rsid w:val="006B3535"/>
    <w:rsid w:val="006B3A70"/>
    <w:rsid w:val="006B5345"/>
    <w:rsid w:val="006B5824"/>
    <w:rsid w:val="006B5D10"/>
    <w:rsid w:val="006B7F54"/>
    <w:rsid w:val="006C121A"/>
    <w:rsid w:val="006C3675"/>
    <w:rsid w:val="006C3C5D"/>
    <w:rsid w:val="006C3ECC"/>
    <w:rsid w:val="006C58B9"/>
    <w:rsid w:val="006C673D"/>
    <w:rsid w:val="006D035F"/>
    <w:rsid w:val="006D0F6D"/>
    <w:rsid w:val="006D17E1"/>
    <w:rsid w:val="006D1CEE"/>
    <w:rsid w:val="006D2899"/>
    <w:rsid w:val="006D3780"/>
    <w:rsid w:val="006D5518"/>
    <w:rsid w:val="006D6870"/>
    <w:rsid w:val="006E18BC"/>
    <w:rsid w:val="006E20EA"/>
    <w:rsid w:val="006E2235"/>
    <w:rsid w:val="006E229A"/>
    <w:rsid w:val="006E3AAF"/>
    <w:rsid w:val="006E3CA9"/>
    <w:rsid w:val="006E468B"/>
    <w:rsid w:val="006E4B8C"/>
    <w:rsid w:val="006E51CB"/>
    <w:rsid w:val="006E572F"/>
    <w:rsid w:val="006E6DBA"/>
    <w:rsid w:val="006E703F"/>
    <w:rsid w:val="006E76E4"/>
    <w:rsid w:val="006F0279"/>
    <w:rsid w:val="006F0768"/>
    <w:rsid w:val="006F0F53"/>
    <w:rsid w:val="006F1B75"/>
    <w:rsid w:val="006F213B"/>
    <w:rsid w:val="006F2883"/>
    <w:rsid w:val="006F5A4D"/>
    <w:rsid w:val="006F5C1F"/>
    <w:rsid w:val="006F6BE3"/>
    <w:rsid w:val="007010F5"/>
    <w:rsid w:val="00701C69"/>
    <w:rsid w:val="0070254D"/>
    <w:rsid w:val="00702D68"/>
    <w:rsid w:val="00703EC3"/>
    <w:rsid w:val="00704B14"/>
    <w:rsid w:val="00705ED4"/>
    <w:rsid w:val="007111E5"/>
    <w:rsid w:val="00711E25"/>
    <w:rsid w:val="00715B99"/>
    <w:rsid w:val="0071620D"/>
    <w:rsid w:val="00717619"/>
    <w:rsid w:val="00717A62"/>
    <w:rsid w:val="00717F71"/>
    <w:rsid w:val="00720DB4"/>
    <w:rsid w:val="007218F5"/>
    <w:rsid w:val="00721E19"/>
    <w:rsid w:val="007220F6"/>
    <w:rsid w:val="007237E7"/>
    <w:rsid w:val="00724056"/>
    <w:rsid w:val="00724233"/>
    <w:rsid w:val="00724300"/>
    <w:rsid w:val="00724389"/>
    <w:rsid w:val="00724463"/>
    <w:rsid w:val="00724B10"/>
    <w:rsid w:val="0072561F"/>
    <w:rsid w:val="007270A5"/>
    <w:rsid w:val="00727989"/>
    <w:rsid w:val="00727F95"/>
    <w:rsid w:val="0073046E"/>
    <w:rsid w:val="00730FE1"/>
    <w:rsid w:val="00731B08"/>
    <w:rsid w:val="00732C76"/>
    <w:rsid w:val="00733761"/>
    <w:rsid w:val="00733C45"/>
    <w:rsid w:val="00733D41"/>
    <w:rsid w:val="007372F1"/>
    <w:rsid w:val="00740BB8"/>
    <w:rsid w:val="007413E8"/>
    <w:rsid w:val="0074262C"/>
    <w:rsid w:val="00742D73"/>
    <w:rsid w:val="00745EB2"/>
    <w:rsid w:val="007469D7"/>
    <w:rsid w:val="0074721B"/>
    <w:rsid w:val="007473FE"/>
    <w:rsid w:val="0075059B"/>
    <w:rsid w:val="0075239F"/>
    <w:rsid w:val="00753145"/>
    <w:rsid w:val="00753510"/>
    <w:rsid w:val="0075440F"/>
    <w:rsid w:val="00754CCF"/>
    <w:rsid w:val="007550F3"/>
    <w:rsid w:val="00755520"/>
    <w:rsid w:val="00755F57"/>
    <w:rsid w:val="0075741F"/>
    <w:rsid w:val="00757793"/>
    <w:rsid w:val="00760223"/>
    <w:rsid w:val="00760283"/>
    <w:rsid w:val="007607E0"/>
    <w:rsid w:val="0076397A"/>
    <w:rsid w:val="00764631"/>
    <w:rsid w:val="00765F02"/>
    <w:rsid w:val="00767FAB"/>
    <w:rsid w:val="00771F22"/>
    <w:rsid w:val="007747FF"/>
    <w:rsid w:val="00774F69"/>
    <w:rsid w:val="00775D15"/>
    <w:rsid w:val="007773D1"/>
    <w:rsid w:val="007813EC"/>
    <w:rsid w:val="00781BB3"/>
    <w:rsid w:val="00781C6F"/>
    <w:rsid w:val="00782177"/>
    <w:rsid w:val="0078480E"/>
    <w:rsid w:val="0078559B"/>
    <w:rsid w:val="00785672"/>
    <w:rsid w:val="00785E40"/>
    <w:rsid w:val="00786ABA"/>
    <w:rsid w:val="00786E16"/>
    <w:rsid w:val="00790A2F"/>
    <w:rsid w:val="00790E79"/>
    <w:rsid w:val="0079129A"/>
    <w:rsid w:val="007921E3"/>
    <w:rsid w:val="00792EB4"/>
    <w:rsid w:val="00793625"/>
    <w:rsid w:val="00795473"/>
    <w:rsid w:val="00796DFB"/>
    <w:rsid w:val="007978E8"/>
    <w:rsid w:val="00797AA2"/>
    <w:rsid w:val="00797D10"/>
    <w:rsid w:val="00797FDE"/>
    <w:rsid w:val="007A078A"/>
    <w:rsid w:val="007A3991"/>
    <w:rsid w:val="007A406A"/>
    <w:rsid w:val="007A5BB1"/>
    <w:rsid w:val="007A5CF8"/>
    <w:rsid w:val="007A5FCC"/>
    <w:rsid w:val="007A6F3C"/>
    <w:rsid w:val="007B0D03"/>
    <w:rsid w:val="007B193D"/>
    <w:rsid w:val="007B2652"/>
    <w:rsid w:val="007B2C24"/>
    <w:rsid w:val="007B31E7"/>
    <w:rsid w:val="007B4E8A"/>
    <w:rsid w:val="007B5693"/>
    <w:rsid w:val="007B590C"/>
    <w:rsid w:val="007B5F7E"/>
    <w:rsid w:val="007B6EA7"/>
    <w:rsid w:val="007B6EED"/>
    <w:rsid w:val="007C107F"/>
    <w:rsid w:val="007C1A92"/>
    <w:rsid w:val="007C28EC"/>
    <w:rsid w:val="007C2ECD"/>
    <w:rsid w:val="007C2F8A"/>
    <w:rsid w:val="007C310C"/>
    <w:rsid w:val="007C31D7"/>
    <w:rsid w:val="007C3265"/>
    <w:rsid w:val="007C5342"/>
    <w:rsid w:val="007C5447"/>
    <w:rsid w:val="007C5463"/>
    <w:rsid w:val="007C54B1"/>
    <w:rsid w:val="007C6596"/>
    <w:rsid w:val="007C7046"/>
    <w:rsid w:val="007C75E5"/>
    <w:rsid w:val="007D0430"/>
    <w:rsid w:val="007D14EF"/>
    <w:rsid w:val="007D183D"/>
    <w:rsid w:val="007D1F9F"/>
    <w:rsid w:val="007D3C29"/>
    <w:rsid w:val="007D40F4"/>
    <w:rsid w:val="007D679B"/>
    <w:rsid w:val="007D6C2B"/>
    <w:rsid w:val="007D7E99"/>
    <w:rsid w:val="007E016E"/>
    <w:rsid w:val="007E0569"/>
    <w:rsid w:val="007E0D4F"/>
    <w:rsid w:val="007E110E"/>
    <w:rsid w:val="007E11B4"/>
    <w:rsid w:val="007E2239"/>
    <w:rsid w:val="007E23D9"/>
    <w:rsid w:val="007E50F3"/>
    <w:rsid w:val="007F079B"/>
    <w:rsid w:val="007F1F7A"/>
    <w:rsid w:val="007F3928"/>
    <w:rsid w:val="007F3A07"/>
    <w:rsid w:val="007F531A"/>
    <w:rsid w:val="007F5B81"/>
    <w:rsid w:val="008000CF"/>
    <w:rsid w:val="00800838"/>
    <w:rsid w:val="00801EDE"/>
    <w:rsid w:val="00803430"/>
    <w:rsid w:val="0080381B"/>
    <w:rsid w:val="008046E7"/>
    <w:rsid w:val="00804A16"/>
    <w:rsid w:val="00805956"/>
    <w:rsid w:val="008069FC"/>
    <w:rsid w:val="00806C63"/>
    <w:rsid w:val="008072F8"/>
    <w:rsid w:val="00810359"/>
    <w:rsid w:val="0081054D"/>
    <w:rsid w:val="00810A3F"/>
    <w:rsid w:val="00811CF3"/>
    <w:rsid w:val="0081248D"/>
    <w:rsid w:val="008131F7"/>
    <w:rsid w:val="008151F5"/>
    <w:rsid w:val="00815B6E"/>
    <w:rsid w:val="008169E2"/>
    <w:rsid w:val="00816D8B"/>
    <w:rsid w:val="00817780"/>
    <w:rsid w:val="008177FA"/>
    <w:rsid w:val="00817934"/>
    <w:rsid w:val="008206CC"/>
    <w:rsid w:val="00822AF6"/>
    <w:rsid w:val="00823180"/>
    <w:rsid w:val="00823CA6"/>
    <w:rsid w:val="00823D48"/>
    <w:rsid w:val="00824C17"/>
    <w:rsid w:val="00824CD0"/>
    <w:rsid w:val="00826A84"/>
    <w:rsid w:val="00826ADE"/>
    <w:rsid w:val="00827E8A"/>
    <w:rsid w:val="00827F79"/>
    <w:rsid w:val="00830A60"/>
    <w:rsid w:val="00831CEE"/>
    <w:rsid w:val="008352D1"/>
    <w:rsid w:val="0083796D"/>
    <w:rsid w:val="00840690"/>
    <w:rsid w:val="0084109E"/>
    <w:rsid w:val="00841FF0"/>
    <w:rsid w:val="00843192"/>
    <w:rsid w:val="00843782"/>
    <w:rsid w:val="008437C6"/>
    <w:rsid w:val="008444A8"/>
    <w:rsid w:val="00847791"/>
    <w:rsid w:val="00850065"/>
    <w:rsid w:val="00852415"/>
    <w:rsid w:val="008538F3"/>
    <w:rsid w:val="00854936"/>
    <w:rsid w:val="00855059"/>
    <w:rsid w:val="00855147"/>
    <w:rsid w:val="008554CE"/>
    <w:rsid w:val="0085557A"/>
    <w:rsid w:val="00856A2B"/>
    <w:rsid w:val="00862D08"/>
    <w:rsid w:val="00863C69"/>
    <w:rsid w:val="00864D40"/>
    <w:rsid w:val="00870C15"/>
    <w:rsid w:val="00870F84"/>
    <w:rsid w:val="00871591"/>
    <w:rsid w:val="00871ABD"/>
    <w:rsid w:val="00872A6E"/>
    <w:rsid w:val="00874F79"/>
    <w:rsid w:val="008761A7"/>
    <w:rsid w:val="008763AA"/>
    <w:rsid w:val="00876861"/>
    <w:rsid w:val="008819EF"/>
    <w:rsid w:val="00881B54"/>
    <w:rsid w:val="008836E1"/>
    <w:rsid w:val="008837D8"/>
    <w:rsid w:val="00884A17"/>
    <w:rsid w:val="00885990"/>
    <w:rsid w:val="00885AB6"/>
    <w:rsid w:val="00890472"/>
    <w:rsid w:val="00890C13"/>
    <w:rsid w:val="008919CE"/>
    <w:rsid w:val="008920F3"/>
    <w:rsid w:val="008933DE"/>
    <w:rsid w:val="008938C7"/>
    <w:rsid w:val="00893D7A"/>
    <w:rsid w:val="008954B4"/>
    <w:rsid w:val="00895F07"/>
    <w:rsid w:val="00896A96"/>
    <w:rsid w:val="00896F44"/>
    <w:rsid w:val="008978CB"/>
    <w:rsid w:val="008A20A5"/>
    <w:rsid w:val="008A25F1"/>
    <w:rsid w:val="008A4F2A"/>
    <w:rsid w:val="008A5A30"/>
    <w:rsid w:val="008A5F47"/>
    <w:rsid w:val="008A6900"/>
    <w:rsid w:val="008A6BD6"/>
    <w:rsid w:val="008A78D1"/>
    <w:rsid w:val="008B087A"/>
    <w:rsid w:val="008B0D79"/>
    <w:rsid w:val="008B0F92"/>
    <w:rsid w:val="008B23FC"/>
    <w:rsid w:val="008B434A"/>
    <w:rsid w:val="008B4E47"/>
    <w:rsid w:val="008B5787"/>
    <w:rsid w:val="008C09BC"/>
    <w:rsid w:val="008C0EC7"/>
    <w:rsid w:val="008C119D"/>
    <w:rsid w:val="008C1321"/>
    <w:rsid w:val="008C2526"/>
    <w:rsid w:val="008C275F"/>
    <w:rsid w:val="008C3576"/>
    <w:rsid w:val="008C38F1"/>
    <w:rsid w:val="008C4BEB"/>
    <w:rsid w:val="008C62F5"/>
    <w:rsid w:val="008C63A1"/>
    <w:rsid w:val="008C6D2A"/>
    <w:rsid w:val="008C74FF"/>
    <w:rsid w:val="008D06BB"/>
    <w:rsid w:val="008D1993"/>
    <w:rsid w:val="008D28E6"/>
    <w:rsid w:val="008D5FAE"/>
    <w:rsid w:val="008D621C"/>
    <w:rsid w:val="008D6C5D"/>
    <w:rsid w:val="008D77EF"/>
    <w:rsid w:val="008E0570"/>
    <w:rsid w:val="008E15DF"/>
    <w:rsid w:val="008E1807"/>
    <w:rsid w:val="008E1916"/>
    <w:rsid w:val="008E25DD"/>
    <w:rsid w:val="008E3D51"/>
    <w:rsid w:val="008E6CE0"/>
    <w:rsid w:val="008F209B"/>
    <w:rsid w:val="008F25ED"/>
    <w:rsid w:val="008F27E7"/>
    <w:rsid w:val="008F280D"/>
    <w:rsid w:val="008F38B5"/>
    <w:rsid w:val="008F4F6B"/>
    <w:rsid w:val="008F548E"/>
    <w:rsid w:val="008F56DB"/>
    <w:rsid w:val="008F66F4"/>
    <w:rsid w:val="008F67D5"/>
    <w:rsid w:val="008F6BA7"/>
    <w:rsid w:val="008F7583"/>
    <w:rsid w:val="00904C37"/>
    <w:rsid w:val="00905AEC"/>
    <w:rsid w:val="009060B2"/>
    <w:rsid w:val="00906DED"/>
    <w:rsid w:val="00907EA3"/>
    <w:rsid w:val="0091136E"/>
    <w:rsid w:val="00911CFF"/>
    <w:rsid w:val="00912DA0"/>
    <w:rsid w:val="009149A9"/>
    <w:rsid w:val="00915DEE"/>
    <w:rsid w:val="00916160"/>
    <w:rsid w:val="009178B4"/>
    <w:rsid w:val="0092072D"/>
    <w:rsid w:val="00922552"/>
    <w:rsid w:val="0092258E"/>
    <w:rsid w:val="00923836"/>
    <w:rsid w:val="0092568B"/>
    <w:rsid w:val="00930D2E"/>
    <w:rsid w:val="0093226C"/>
    <w:rsid w:val="00935496"/>
    <w:rsid w:val="009364FF"/>
    <w:rsid w:val="00937E7C"/>
    <w:rsid w:val="009409BA"/>
    <w:rsid w:val="00942AC2"/>
    <w:rsid w:val="00942C3D"/>
    <w:rsid w:val="00944F5C"/>
    <w:rsid w:val="00946786"/>
    <w:rsid w:val="00946D67"/>
    <w:rsid w:val="00946F47"/>
    <w:rsid w:val="009512AD"/>
    <w:rsid w:val="00952694"/>
    <w:rsid w:val="00953006"/>
    <w:rsid w:val="00953238"/>
    <w:rsid w:val="00953CD3"/>
    <w:rsid w:val="00957266"/>
    <w:rsid w:val="009573D7"/>
    <w:rsid w:val="009603E5"/>
    <w:rsid w:val="00962B00"/>
    <w:rsid w:val="009633DE"/>
    <w:rsid w:val="00963A37"/>
    <w:rsid w:val="00964759"/>
    <w:rsid w:val="00965BE5"/>
    <w:rsid w:val="00965D97"/>
    <w:rsid w:val="00966FAA"/>
    <w:rsid w:val="0096744D"/>
    <w:rsid w:val="00967DFC"/>
    <w:rsid w:val="00973397"/>
    <w:rsid w:val="00973551"/>
    <w:rsid w:val="0097385A"/>
    <w:rsid w:val="0097526A"/>
    <w:rsid w:val="009757EB"/>
    <w:rsid w:val="00976928"/>
    <w:rsid w:val="00977234"/>
    <w:rsid w:val="00977309"/>
    <w:rsid w:val="009773E9"/>
    <w:rsid w:val="009801E4"/>
    <w:rsid w:val="0098083E"/>
    <w:rsid w:val="009823D6"/>
    <w:rsid w:val="009839E2"/>
    <w:rsid w:val="00986B7C"/>
    <w:rsid w:val="00987045"/>
    <w:rsid w:val="00990C52"/>
    <w:rsid w:val="00990FDD"/>
    <w:rsid w:val="0099136F"/>
    <w:rsid w:val="0099283F"/>
    <w:rsid w:val="009934DE"/>
    <w:rsid w:val="00993721"/>
    <w:rsid w:val="00993A0C"/>
    <w:rsid w:val="00993A67"/>
    <w:rsid w:val="009949A3"/>
    <w:rsid w:val="00994B94"/>
    <w:rsid w:val="0099586B"/>
    <w:rsid w:val="00995941"/>
    <w:rsid w:val="0099655B"/>
    <w:rsid w:val="009978C4"/>
    <w:rsid w:val="00997CBE"/>
    <w:rsid w:val="009A1189"/>
    <w:rsid w:val="009A1B1A"/>
    <w:rsid w:val="009A1EBF"/>
    <w:rsid w:val="009A2199"/>
    <w:rsid w:val="009A2C6A"/>
    <w:rsid w:val="009A2E7F"/>
    <w:rsid w:val="009A3329"/>
    <w:rsid w:val="009A3F3F"/>
    <w:rsid w:val="009A48D5"/>
    <w:rsid w:val="009B019D"/>
    <w:rsid w:val="009B0479"/>
    <w:rsid w:val="009B1B72"/>
    <w:rsid w:val="009B2B64"/>
    <w:rsid w:val="009B5A79"/>
    <w:rsid w:val="009B61E1"/>
    <w:rsid w:val="009B7857"/>
    <w:rsid w:val="009C094A"/>
    <w:rsid w:val="009C1EB7"/>
    <w:rsid w:val="009C2746"/>
    <w:rsid w:val="009C2BC1"/>
    <w:rsid w:val="009C2D59"/>
    <w:rsid w:val="009C30B4"/>
    <w:rsid w:val="009C3571"/>
    <w:rsid w:val="009C3605"/>
    <w:rsid w:val="009C5272"/>
    <w:rsid w:val="009C584F"/>
    <w:rsid w:val="009C6114"/>
    <w:rsid w:val="009C71D8"/>
    <w:rsid w:val="009C74A5"/>
    <w:rsid w:val="009C796F"/>
    <w:rsid w:val="009D01EB"/>
    <w:rsid w:val="009D053C"/>
    <w:rsid w:val="009D0757"/>
    <w:rsid w:val="009D0992"/>
    <w:rsid w:val="009D0C17"/>
    <w:rsid w:val="009D0CA0"/>
    <w:rsid w:val="009D17BD"/>
    <w:rsid w:val="009D2547"/>
    <w:rsid w:val="009D2CC6"/>
    <w:rsid w:val="009D32C1"/>
    <w:rsid w:val="009D4D75"/>
    <w:rsid w:val="009E0D1C"/>
    <w:rsid w:val="009E1A52"/>
    <w:rsid w:val="009E4985"/>
    <w:rsid w:val="009E7F27"/>
    <w:rsid w:val="009F3450"/>
    <w:rsid w:val="009F3E22"/>
    <w:rsid w:val="009F4AB1"/>
    <w:rsid w:val="009F5810"/>
    <w:rsid w:val="009F6032"/>
    <w:rsid w:val="009F7E03"/>
    <w:rsid w:val="00A007E6"/>
    <w:rsid w:val="00A0222C"/>
    <w:rsid w:val="00A045E2"/>
    <w:rsid w:val="00A0576C"/>
    <w:rsid w:val="00A069BA"/>
    <w:rsid w:val="00A07B55"/>
    <w:rsid w:val="00A10FAA"/>
    <w:rsid w:val="00A1148E"/>
    <w:rsid w:val="00A114F2"/>
    <w:rsid w:val="00A11DA5"/>
    <w:rsid w:val="00A12A35"/>
    <w:rsid w:val="00A134EC"/>
    <w:rsid w:val="00A14721"/>
    <w:rsid w:val="00A15381"/>
    <w:rsid w:val="00A155EB"/>
    <w:rsid w:val="00A15A8A"/>
    <w:rsid w:val="00A1745A"/>
    <w:rsid w:val="00A206E8"/>
    <w:rsid w:val="00A22967"/>
    <w:rsid w:val="00A23C1D"/>
    <w:rsid w:val="00A24209"/>
    <w:rsid w:val="00A265BF"/>
    <w:rsid w:val="00A26E1E"/>
    <w:rsid w:val="00A33100"/>
    <w:rsid w:val="00A33D77"/>
    <w:rsid w:val="00A33E45"/>
    <w:rsid w:val="00A34571"/>
    <w:rsid w:val="00A36447"/>
    <w:rsid w:val="00A368BB"/>
    <w:rsid w:val="00A368D6"/>
    <w:rsid w:val="00A37F3B"/>
    <w:rsid w:val="00A4130A"/>
    <w:rsid w:val="00A418D1"/>
    <w:rsid w:val="00A41A11"/>
    <w:rsid w:val="00A429CC"/>
    <w:rsid w:val="00A42F03"/>
    <w:rsid w:val="00A44C0C"/>
    <w:rsid w:val="00A45484"/>
    <w:rsid w:val="00A455C0"/>
    <w:rsid w:val="00A45B9D"/>
    <w:rsid w:val="00A46376"/>
    <w:rsid w:val="00A46C54"/>
    <w:rsid w:val="00A476D8"/>
    <w:rsid w:val="00A50063"/>
    <w:rsid w:val="00A50A9D"/>
    <w:rsid w:val="00A51138"/>
    <w:rsid w:val="00A522D8"/>
    <w:rsid w:val="00A54566"/>
    <w:rsid w:val="00A557F0"/>
    <w:rsid w:val="00A57822"/>
    <w:rsid w:val="00A60C2B"/>
    <w:rsid w:val="00A61A0D"/>
    <w:rsid w:val="00A6242D"/>
    <w:rsid w:val="00A62CA6"/>
    <w:rsid w:val="00A63AD7"/>
    <w:rsid w:val="00A63F68"/>
    <w:rsid w:val="00A6557E"/>
    <w:rsid w:val="00A66532"/>
    <w:rsid w:val="00A6698F"/>
    <w:rsid w:val="00A672BD"/>
    <w:rsid w:val="00A678A6"/>
    <w:rsid w:val="00A70626"/>
    <w:rsid w:val="00A71F8C"/>
    <w:rsid w:val="00A73F08"/>
    <w:rsid w:val="00A7408D"/>
    <w:rsid w:val="00A74701"/>
    <w:rsid w:val="00A748AD"/>
    <w:rsid w:val="00A74D9A"/>
    <w:rsid w:val="00A75B7E"/>
    <w:rsid w:val="00A7684E"/>
    <w:rsid w:val="00A76A8B"/>
    <w:rsid w:val="00A76EA0"/>
    <w:rsid w:val="00A77069"/>
    <w:rsid w:val="00A7711A"/>
    <w:rsid w:val="00A845D8"/>
    <w:rsid w:val="00A8493A"/>
    <w:rsid w:val="00A84B84"/>
    <w:rsid w:val="00A85C15"/>
    <w:rsid w:val="00A85D21"/>
    <w:rsid w:val="00A85E19"/>
    <w:rsid w:val="00A8652D"/>
    <w:rsid w:val="00A86EAC"/>
    <w:rsid w:val="00A86F29"/>
    <w:rsid w:val="00A8779B"/>
    <w:rsid w:val="00A90126"/>
    <w:rsid w:val="00A9255B"/>
    <w:rsid w:val="00A92D9D"/>
    <w:rsid w:val="00A93A4C"/>
    <w:rsid w:val="00A941AC"/>
    <w:rsid w:val="00AA1084"/>
    <w:rsid w:val="00AA1404"/>
    <w:rsid w:val="00AA16FB"/>
    <w:rsid w:val="00AA2792"/>
    <w:rsid w:val="00AA574B"/>
    <w:rsid w:val="00AA705A"/>
    <w:rsid w:val="00AB04A4"/>
    <w:rsid w:val="00AB0606"/>
    <w:rsid w:val="00AB1D66"/>
    <w:rsid w:val="00AB3771"/>
    <w:rsid w:val="00AB560E"/>
    <w:rsid w:val="00AB6476"/>
    <w:rsid w:val="00AB65E4"/>
    <w:rsid w:val="00AC148B"/>
    <w:rsid w:val="00AC2A8B"/>
    <w:rsid w:val="00AC2F10"/>
    <w:rsid w:val="00AC316A"/>
    <w:rsid w:val="00AC4A02"/>
    <w:rsid w:val="00AC4D37"/>
    <w:rsid w:val="00AC5084"/>
    <w:rsid w:val="00AC5484"/>
    <w:rsid w:val="00AC7E5B"/>
    <w:rsid w:val="00AD1541"/>
    <w:rsid w:val="00AD1AAE"/>
    <w:rsid w:val="00AD1CFC"/>
    <w:rsid w:val="00AD2312"/>
    <w:rsid w:val="00AD25B5"/>
    <w:rsid w:val="00AD2BF3"/>
    <w:rsid w:val="00AD2C7A"/>
    <w:rsid w:val="00AD3999"/>
    <w:rsid w:val="00AD517E"/>
    <w:rsid w:val="00AD649E"/>
    <w:rsid w:val="00AD6603"/>
    <w:rsid w:val="00AE359B"/>
    <w:rsid w:val="00AE520F"/>
    <w:rsid w:val="00AE6E52"/>
    <w:rsid w:val="00AE7F12"/>
    <w:rsid w:val="00AF1314"/>
    <w:rsid w:val="00AF1AE8"/>
    <w:rsid w:val="00AF3496"/>
    <w:rsid w:val="00AF5A3E"/>
    <w:rsid w:val="00AF5B75"/>
    <w:rsid w:val="00AF5D8A"/>
    <w:rsid w:val="00AF5F77"/>
    <w:rsid w:val="00AF6895"/>
    <w:rsid w:val="00AF750F"/>
    <w:rsid w:val="00B002FA"/>
    <w:rsid w:val="00B005E5"/>
    <w:rsid w:val="00B007E7"/>
    <w:rsid w:val="00B0315E"/>
    <w:rsid w:val="00B0470B"/>
    <w:rsid w:val="00B053D0"/>
    <w:rsid w:val="00B06BC2"/>
    <w:rsid w:val="00B07185"/>
    <w:rsid w:val="00B07BC9"/>
    <w:rsid w:val="00B07BFA"/>
    <w:rsid w:val="00B12594"/>
    <w:rsid w:val="00B12B29"/>
    <w:rsid w:val="00B138F2"/>
    <w:rsid w:val="00B16D30"/>
    <w:rsid w:val="00B17BC9"/>
    <w:rsid w:val="00B21396"/>
    <w:rsid w:val="00B216FB"/>
    <w:rsid w:val="00B242A6"/>
    <w:rsid w:val="00B26969"/>
    <w:rsid w:val="00B27B18"/>
    <w:rsid w:val="00B27F5F"/>
    <w:rsid w:val="00B3259E"/>
    <w:rsid w:val="00B328FD"/>
    <w:rsid w:val="00B33706"/>
    <w:rsid w:val="00B3392D"/>
    <w:rsid w:val="00B35317"/>
    <w:rsid w:val="00B37F56"/>
    <w:rsid w:val="00B4052B"/>
    <w:rsid w:val="00B411A8"/>
    <w:rsid w:val="00B41250"/>
    <w:rsid w:val="00B42777"/>
    <w:rsid w:val="00B42F0C"/>
    <w:rsid w:val="00B44479"/>
    <w:rsid w:val="00B45921"/>
    <w:rsid w:val="00B50BFC"/>
    <w:rsid w:val="00B531D4"/>
    <w:rsid w:val="00B56EC8"/>
    <w:rsid w:val="00B5787E"/>
    <w:rsid w:val="00B57BA9"/>
    <w:rsid w:val="00B6156B"/>
    <w:rsid w:val="00B61F42"/>
    <w:rsid w:val="00B624EF"/>
    <w:rsid w:val="00B62CF6"/>
    <w:rsid w:val="00B65EFB"/>
    <w:rsid w:val="00B67028"/>
    <w:rsid w:val="00B67D77"/>
    <w:rsid w:val="00B708D3"/>
    <w:rsid w:val="00B71A11"/>
    <w:rsid w:val="00B71E67"/>
    <w:rsid w:val="00B7205B"/>
    <w:rsid w:val="00B73831"/>
    <w:rsid w:val="00B74329"/>
    <w:rsid w:val="00B76583"/>
    <w:rsid w:val="00B765AE"/>
    <w:rsid w:val="00B77107"/>
    <w:rsid w:val="00B8052B"/>
    <w:rsid w:val="00B805AD"/>
    <w:rsid w:val="00B8221B"/>
    <w:rsid w:val="00B8281B"/>
    <w:rsid w:val="00B832A4"/>
    <w:rsid w:val="00B83E4D"/>
    <w:rsid w:val="00B84EC0"/>
    <w:rsid w:val="00B872ED"/>
    <w:rsid w:val="00B91002"/>
    <w:rsid w:val="00B940C4"/>
    <w:rsid w:val="00B941BC"/>
    <w:rsid w:val="00B949F3"/>
    <w:rsid w:val="00B9789C"/>
    <w:rsid w:val="00B97E37"/>
    <w:rsid w:val="00BA28E6"/>
    <w:rsid w:val="00BA3D6B"/>
    <w:rsid w:val="00BA4CF8"/>
    <w:rsid w:val="00BA4F9D"/>
    <w:rsid w:val="00BA5228"/>
    <w:rsid w:val="00BB0267"/>
    <w:rsid w:val="00BB1A9A"/>
    <w:rsid w:val="00BB255D"/>
    <w:rsid w:val="00BB26DF"/>
    <w:rsid w:val="00BB286D"/>
    <w:rsid w:val="00BB2B14"/>
    <w:rsid w:val="00BB4061"/>
    <w:rsid w:val="00BB4769"/>
    <w:rsid w:val="00BB7515"/>
    <w:rsid w:val="00BB7954"/>
    <w:rsid w:val="00BC0A93"/>
    <w:rsid w:val="00BC1998"/>
    <w:rsid w:val="00BC1EC4"/>
    <w:rsid w:val="00BC1F0A"/>
    <w:rsid w:val="00BC28CC"/>
    <w:rsid w:val="00BC2CA0"/>
    <w:rsid w:val="00BC56FE"/>
    <w:rsid w:val="00BD0E66"/>
    <w:rsid w:val="00BD13FC"/>
    <w:rsid w:val="00BD24F0"/>
    <w:rsid w:val="00BD35B2"/>
    <w:rsid w:val="00BD534E"/>
    <w:rsid w:val="00BD5B62"/>
    <w:rsid w:val="00BD5ED5"/>
    <w:rsid w:val="00BD63D7"/>
    <w:rsid w:val="00BD643F"/>
    <w:rsid w:val="00BD72EF"/>
    <w:rsid w:val="00BE1D59"/>
    <w:rsid w:val="00BE4456"/>
    <w:rsid w:val="00BE5BD2"/>
    <w:rsid w:val="00BF09D4"/>
    <w:rsid w:val="00BF166C"/>
    <w:rsid w:val="00BF1F3F"/>
    <w:rsid w:val="00BF2366"/>
    <w:rsid w:val="00BF2624"/>
    <w:rsid w:val="00BF5ADD"/>
    <w:rsid w:val="00BF6A50"/>
    <w:rsid w:val="00BF7F6C"/>
    <w:rsid w:val="00C01197"/>
    <w:rsid w:val="00C01BB4"/>
    <w:rsid w:val="00C01D00"/>
    <w:rsid w:val="00C01E2F"/>
    <w:rsid w:val="00C033D8"/>
    <w:rsid w:val="00C042F2"/>
    <w:rsid w:val="00C04994"/>
    <w:rsid w:val="00C067A3"/>
    <w:rsid w:val="00C06FDE"/>
    <w:rsid w:val="00C07306"/>
    <w:rsid w:val="00C1156C"/>
    <w:rsid w:val="00C11D87"/>
    <w:rsid w:val="00C13A44"/>
    <w:rsid w:val="00C14203"/>
    <w:rsid w:val="00C1519A"/>
    <w:rsid w:val="00C15BFA"/>
    <w:rsid w:val="00C16477"/>
    <w:rsid w:val="00C16A5B"/>
    <w:rsid w:val="00C171DB"/>
    <w:rsid w:val="00C20FFB"/>
    <w:rsid w:val="00C21C94"/>
    <w:rsid w:val="00C224A3"/>
    <w:rsid w:val="00C228E1"/>
    <w:rsid w:val="00C25FEE"/>
    <w:rsid w:val="00C27341"/>
    <w:rsid w:val="00C278ED"/>
    <w:rsid w:val="00C27F9F"/>
    <w:rsid w:val="00C30172"/>
    <w:rsid w:val="00C30FF1"/>
    <w:rsid w:val="00C3122E"/>
    <w:rsid w:val="00C32523"/>
    <w:rsid w:val="00C33420"/>
    <w:rsid w:val="00C34DA0"/>
    <w:rsid w:val="00C364F1"/>
    <w:rsid w:val="00C36825"/>
    <w:rsid w:val="00C371E3"/>
    <w:rsid w:val="00C401BD"/>
    <w:rsid w:val="00C40CF0"/>
    <w:rsid w:val="00C413C7"/>
    <w:rsid w:val="00C4236B"/>
    <w:rsid w:val="00C42637"/>
    <w:rsid w:val="00C42A9E"/>
    <w:rsid w:val="00C4329F"/>
    <w:rsid w:val="00C43E3E"/>
    <w:rsid w:val="00C47609"/>
    <w:rsid w:val="00C5108B"/>
    <w:rsid w:val="00C52784"/>
    <w:rsid w:val="00C527FF"/>
    <w:rsid w:val="00C52BB4"/>
    <w:rsid w:val="00C52C32"/>
    <w:rsid w:val="00C52E0F"/>
    <w:rsid w:val="00C55F22"/>
    <w:rsid w:val="00C56BD0"/>
    <w:rsid w:val="00C576CC"/>
    <w:rsid w:val="00C6036C"/>
    <w:rsid w:val="00C619C3"/>
    <w:rsid w:val="00C62761"/>
    <w:rsid w:val="00C62DCA"/>
    <w:rsid w:val="00C6328D"/>
    <w:rsid w:val="00C648F5"/>
    <w:rsid w:val="00C64C43"/>
    <w:rsid w:val="00C65777"/>
    <w:rsid w:val="00C65ABA"/>
    <w:rsid w:val="00C65C52"/>
    <w:rsid w:val="00C65E7E"/>
    <w:rsid w:val="00C66E63"/>
    <w:rsid w:val="00C710D0"/>
    <w:rsid w:val="00C72171"/>
    <w:rsid w:val="00C72A19"/>
    <w:rsid w:val="00C73199"/>
    <w:rsid w:val="00C731E5"/>
    <w:rsid w:val="00C74A0E"/>
    <w:rsid w:val="00C75083"/>
    <w:rsid w:val="00C75A16"/>
    <w:rsid w:val="00C76053"/>
    <w:rsid w:val="00C8070D"/>
    <w:rsid w:val="00C80A35"/>
    <w:rsid w:val="00C80C55"/>
    <w:rsid w:val="00C825F4"/>
    <w:rsid w:val="00C8342C"/>
    <w:rsid w:val="00C83B9B"/>
    <w:rsid w:val="00C8400F"/>
    <w:rsid w:val="00C845C8"/>
    <w:rsid w:val="00C8472C"/>
    <w:rsid w:val="00C84E77"/>
    <w:rsid w:val="00C85097"/>
    <w:rsid w:val="00C8607F"/>
    <w:rsid w:val="00C86B48"/>
    <w:rsid w:val="00C90880"/>
    <w:rsid w:val="00C90C2D"/>
    <w:rsid w:val="00C90DAC"/>
    <w:rsid w:val="00C911F7"/>
    <w:rsid w:val="00C919D0"/>
    <w:rsid w:val="00C91F83"/>
    <w:rsid w:val="00C91FC2"/>
    <w:rsid w:val="00C93810"/>
    <w:rsid w:val="00C952E7"/>
    <w:rsid w:val="00C953C2"/>
    <w:rsid w:val="00C95983"/>
    <w:rsid w:val="00C96898"/>
    <w:rsid w:val="00C97C4A"/>
    <w:rsid w:val="00CA0CC8"/>
    <w:rsid w:val="00CA19FB"/>
    <w:rsid w:val="00CA2954"/>
    <w:rsid w:val="00CA3DBC"/>
    <w:rsid w:val="00CA4AE3"/>
    <w:rsid w:val="00CA63D2"/>
    <w:rsid w:val="00CA6D9C"/>
    <w:rsid w:val="00CB022B"/>
    <w:rsid w:val="00CB0726"/>
    <w:rsid w:val="00CB0A24"/>
    <w:rsid w:val="00CB19C1"/>
    <w:rsid w:val="00CB1E62"/>
    <w:rsid w:val="00CB3F40"/>
    <w:rsid w:val="00CB4A2E"/>
    <w:rsid w:val="00CB7112"/>
    <w:rsid w:val="00CB7ED6"/>
    <w:rsid w:val="00CC0B8A"/>
    <w:rsid w:val="00CC0C4A"/>
    <w:rsid w:val="00CC2DCE"/>
    <w:rsid w:val="00CC35D3"/>
    <w:rsid w:val="00CC43D0"/>
    <w:rsid w:val="00CC4564"/>
    <w:rsid w:val="00CC5BBB"/>
    <w:rsid w:val="00CC6280"/>
    <w:rsid w:val="00CC71C2"/>
    <w:rsid w:val="00CC7356"/>
    <w:rsid w:val="00CC7B38"/>
    <w:rsid w:val="00CC7C3B"/>
    <w:rsid w:val="00CD292E"/>
    <w:rsid w:val="00CD2B16"/>
    <w:rsid w:val="00CD36A0"/>
    <w:rsid w:val="00CD51DF"/>
    <w:rsid w:val="00CD6D54"/>
    <w:rsid w:val="00CE0CBD"/>
    <w:rsid w:val="00CE3E30"/>
    <w:rsid w:val="00CE67FB"/>
    <w:rsid w:val="00CE767D"/>
    <w:rsid w:val="00CE7C2B"/>
    <w:rsid w:val="00CE7D0D"/>
    <w:rsid w:val="00CF07AE"/>
    <w:rsid w:val="00CF0E50"/>
    <w:rsid w:val="00CF18F4"/>
    <w:rsid w:val="00CF3496"/>
    <w:rsid w:val="00CF49F2"/>
    <w:rsid w:val="00CF50ED"/>
    <w:rsid w:val="00CF6B3A"/>
    <w:rsid w:val="00CF6D81"/>
    <w:rsid w:val="00CF769D"/>
    <w:rsid w:val="00CF7B1E"/>
    <w:rsid w:val="00D004D0"/>
    <w:rsid w:val="00D04493"/>
    <w:rsid w:val="00D05B41"/>
    <w:rsid w:val="00D05B98"/>
    <w:rsid w:val="00D07937"/>
    <w:rsid w:val="00D07A64"/>
    <w:rsid w:val="00D102D0"/>
    <w:rsid w:val="00D109E3"/>
    <w:rsid w:val="00D1157F"/>
    <w:rsid w:val="00D124FD"/>
    <w:rsid w:val="00D1288E"/>
    <w:rsid w:val="00D14A4C"/>
    <w:rsid w:val="00D15ECC"/>
    <w:rsid w:val="00D16014"/>
    <w:rsid w:val="00D16AE5"/>
    <w:rsid w:val="00D16E74"/>
    <w:rsid w:val="00D20AC7"/>
    <w:rsid w:val="00D21C14"/>
    <w:rsid w:val="00D22570"/>
    <w:rsid w:val="00D229F8"/>
    <w:rsid w:val="00D249AB"/>
    <w:rsid w:val="00D26BB5"/>
    <w:rsid w:val="00D27872"/>
    <w:rsid w:val="00D30058"/>
    <w:rsid w:val="00D303A7"/>
    <w:rsid w:val="00D3100F"/>
    <w:rsid w:val="00D31C2B"/>
    <w:rsid w:val="00D33595"/>
    <w:rsid w:val="00D34E2A"/>
    <w:rsid w:val="00D362E1"/>
    <w:rsid w:val="00D369E5"/>
    <w:rsid w:val="00D42179"/>
    <w:rsid w:val="00D42407"/>
    <w:rsid w:val="00D42586"/>
    <w:rsid w:val="00D435BB"/>
    <w:rsid w:val="00D43A1B"/>
    <w:rsid w:val="00D44307"/>
    <w:rsid w:val="00D44A43"/>
    <w:rsid w:val="00D50401"/>
    <w:rsid w:val="00D5107B"/>
    <w:rsid w:val="00D5130D"/>
    <w:rsid w:val="00D5147F"/>
    <w:rsid w:val="00D51893"/>
    <w:rsid w:val="00D51DC1"/>
    <w:rsid w:val="00D52F29"/>
    <w:rsid w:val="00D5363D"/>
    <w:rsid w:val="00D53A09"/>
    <w:rsid w:val="00D55F36"/>
    <w:rsid w:val="00D56D5D"/>
    <w:rsid w:val="00D57A5E"/>
    <w:rsid w:val="00D57D37"/>
    <w:rsid w:val="00D60283"/>
    <w:rsid w:val="00D60D16"/>
    <w:rsid w:val="00D6311C"/>
    <w:rsid w:val="00D63E65"/>
    <w:rsid w:val="00D63EEF"/>
    <w:rsid w:val="00D640A3"/>
    <w:rsid w:val="00D643E0"/>
    <w:rsid w:val="00D66E9A"/>
    <w:rsid w:val="00D67886"/>
    <w:rsid w:val="00D67EE9"/>
    <w:rsid w:val="00D722FC"/>
    <w:rsid w:val="00D726EC"/>
    <w:rsid w:val="00D73BA5"/>
    <w:rsid w:val="00D74152"/>
    <w:rsid w:val="00D75A04"/>
    <w:rsid w:val="00D76177"/>
    <w:rsid w:val="00D76D50"/>
    <w:rsid w:val="00D76E82"/>
    <w:rsid w:val="00D772FC"/>
    <w:rsid w:val="00D77D9B"/>
    <w:rsid w:val="00D77F8A"/>
    <w:rsid w:val="00D80481"/>
    <w:rsid w:val="00D80DBD"/>
    <w:rsid w:val="00D8128B"/>
    <w:rsid w:val="00D81782"/>
    <w:rsid w:val="00D8180B"/>
    <w:rsid w:val="00D8199C"/>
    <w:rsid w:val="00D825CD"/>
    <w:rsid w:val="00D82741"/>
    <w:rsid w:val="00D82F1E"/>
    <w:rsid w:val="00D83975"/>
    <w:rsid w:val="00D83E39"/>
    <w:rsid w:val="00D862D0"/>
    <w:rsid w:val="00D864AF"/>
    <w:rsid w:val="00D87772"/>
    <w:rsid w:val="00D904DC"/>
    <w:rsid w:val="00D904E9"/>
    <w:rsid w:val="00D907D5"/>
    <w:rsid w:val="00D951C9"/>
    <w:rsid w:val="00D95980"/>
    <w:rsid w:val="00D95E95"/>
    <w:rsid w:val="00D968FB"/>
    <w:rsid w:val="00DA0257"/>
    <w:rsid w:val="00DA3347"/>
    <w:rsid w:val="00DA347D"/>
    <w:rsid w:val="00DA38B6"/>
    <w:rsid w:val="00DA5087"/>
    <w:rsid w:val="00DA562F"/>
    <w:rsid w:val="00DA6B07"/>
    <w:rsid w:val="00DB0CA6"/>
    <w:rsid w:val="00DB113C"/>
    <w:rsid w:val="00DB16FB"/>
    <w:rsid w:val="00DB1BAE"/>
    <w:rsid w:val="00DB38F1"/>
    <w:rsid w:val="00DB46EC"/>
    <w:rsid w:val="00DB652D"/>
    <w:rsid w:val="00DC083C"/>
    <w:rsid w:val="00DC0ECD"/>
    <w:rsid w:val="00DC1712"/>
    <w:rsid w:val="00DC3A30"/>
    <w:rsid w:val="00DC70E9"/>
    <w:rsid w:val="00DC74F0"/>
    <w:rsid w:val="00DC7F72"/>
    <w:rsid w:val="00DD0DE5"/>
    <w:rsid w:val="00DD1A1A"/>
    <w:rsid w:val="00DD2577"/>
    <w:rsid w:val="00DD353F"/>
    <w:rsid w:val="00DD457D"/>
    <w:rsid w:val="00DD4860"/>
    <w:rsid w:val="00DD48DD"/>
    <w:rsid w:val="00DD5268"/>
    <w:rsid w:val="00DD5895"/>
    <w:rsid w:val="00DD61F7"/>
    <w:rsid w:val="00DD7212"/>
    <w:rsid w:val="00DD7B74"/>
    <w:rsid w:val="00DE03BA"/>
    <w:rsid w:val="00DE07D6"/>
    <w:rsid w:val="00DE1104"/>
    <w:rsid w:val="00DE2372"/>
    <w:rsid w:val="00DE3659"/>
    <w:rsid w:val="00DE3C05"/>
    <w:rsid w:val="00DE416F"/>
    <w:rsid w:val="00DE6827"/>
    <w:rsid w:val="00DF0898"/>
    <w:rsid w:val="00DF0F4C"/>
    <w:rsid w:val="00DF2118"/>
    <w:rsid w:val="00DF3630"/>
    <w:rsid w:val="00DF44B1"/>
    <w:rsid w:val="00DF4814"/>
    <w:rsid w:val="00DF5C81"/>
    <w:rsid w:val="00DF5CAC"/>
    <w:rsid w:val="00DF7775"/>
    <w:rsid w:val="00E003C1"/>
    <w:rsid w:val="00E0083D"/>
    <w:rsid w:val="00E00FD9"/>
    <w:rsid w:val="00E0117D"/>
    <w:rsid w:val="00E031E5"/>
    <w:rsid w:val="00E052F2"/>
    <w:rsid w:val="00E059A8"/>
    <w:rsid w:val="00E06602"/>
    <w:rsid w:val="00E12286"/>
    <w:rsid w:val="00E12FD5"/>
    <w:rsid w:val="00E13518"/>
    <w:rsid w:val="00E135D7"/>
    <w:rsid w:val="00E157DF"/>
    <w:rsid w:val="00E173BB"/>
    <w:rsid w:val="00E174C8"/>
    <w:rsid w:val="00E17A35"/>
    <w:rsid w:val="00E17B9C"/>
    <w:rsid w:val="00E17CFD"/>
    <w:rsid w:val="00E200EC"/>
    <w:rsid w:val="00E21D65"/>
    <w:rsid w:val="00E224FA"/>
    <w:rsid w:val="00E22B0C"/>
    <w:rsid w:val="00E25749"/>
    <w:rsid w:val="00E263E7"/>
    <w:rsid w:val="00E26EBA"/>
    <w:rsid w:val="00E27408"/>
    <w:rsid w:val="00E27CF4"/>
    <w:rsid w:val="00E27F91"/>
    <w:rsid w:val="00E3037E"/>
    <w:rsid w:val="00E33B10"/>
    <w:rsid w:val="00E349EF"/>
    <w:rsid w:val="00E356CA"/>
    <w:rsid w:val="00E35942"/>
    <w:rsid w:val="00E3681C"/>
    <w:rsid w:val="00E40BCF"/>
    <w:rsid w:val="00E42616"/>
    <w:rsid w:val="00E44C5E"/>
    <w:rsid w:val="00E4500B"/>
    <w:rsid w:val="00E5053B"/>
    <w:rsid w:val="00E547F8"/>
    <w:rsid w:val="00E54D88"/>
    <w:rsid w:val="00E56C14"/>
    <w:rsid w:val="00E57C04"/>
    <w:rsid w:val="00E601CC"/>
    <w:rsid w:val="00E61422"/>
    <w:rsid w:val="00E61CFE"/>
    <w:rsid w:val="00E6367F"/>
    <w:rsid w:val="00E63D65"/>
    <w:rsid w:val="00E646DC"/>
    <w:rsid w:val="00E6587E"/>
    <w:rsid w:val="00E65DDE"/>
    <w:rsid w:val="00E66245"/>
    <w:rsid w:val="00E704D2"/>
    <w:rsid w:val="00E70B18"/>
    <w:rsid w:val="00E70F3B"/>
    <w:rsid w:val="00E71BAE"/>
    <w:rsid w:val="00E732C1"/>
    <w:rsid w:val="00E74262"/>
    <w:rsid w:val="00E770C9"/>
    <w:rsid w:val="00E770EC"/>
    <w:rsid w:val="00E7745C"/>
    <w:rsid w:val="00E774DA"/>
    <w:rsid w:val="00E77A28"/>
    <w:rsid w:val="00E80887"/>
    <w:rsid w:val="00E81473"/>
    <w:rsid w:val="00E814E4"/>
    <w:rsid w:val="00E82795"/>
    <w:rsid w:val="00E82D96"/>
    <w:rsid w:val="00E8337B"/>
    <w:rsid w:val="00E84EA5"/>
    <w:rsid w:val="00E84FE5"/>
    <w:rsid w:val="00E851AD"/>
    <w:rsid w:val="00E85BF6"/>
    <w:rsid w:val="00E85C32"/>
    <w:rsid w:val="00E86619"/>
    <w:rsid w:val="00E87AEF"/>
    <w:rsid w:val="00E91A59"/>
    <w:rsid w:val="00E92DA7"/>
    <w:rsid w:val="00E92E16"/>
    <w:rsid w:val="00E93451"/>
    <w:rsid w:val="00E93EC1"/>
    <w:rsid w:val="00E94FFF"/>
    <w:rsid w:val="00E956A9"/>
    <w:rsid w:val="00E9657C"/>
    <w:rsid w:val="00E96884"/>
    <w:rsid w:val="00EA1DF1"/>
    <w:rsid w:val="00EA3951"/>
    <w:rsid w:val="00EA3CA3"/>
    <w:rsid w:val="00EA4B55"/>
    <w:rsid w:val="00EA4BEB"/>
    <w:rsid w:val="00EA4C6D"/>
    <w:rsid w:val="00EA5045"/>
    <w:rsid w:val="00EA561C"/>
    <w:rsid w:val="00EA65CB"/>
    <w:rsid w:val="00EA6754"/>
    <w:rsid w:val="00EA79AF"/>
    <w:rsid w:val="00EA7A28"/>
    <w:rsid w:val="00EB0A55"/>
    <w:rsid w:val="00EB0A89"/>
    <w:rsid w:val="00EB1A7F"/>
    <w:rsid w:val="00EB2123"/>
    <w:rsid w:val="00EB212D"/>
    <w:rsid w:val="00EB25A3"/>
    <w:rsid w:val="00EB30FD"/>
    <w:rsid w:val="00EB4293"/>
    <w:rsid w:val="00EB4784"/>
    <w:rsid w:val="00EB5050"/>
    <w:rsid w:val="00EB581B"/>
    <w:rsid w:val="00EB5DD8"/>
    <w:rsid w:val="00EB5E9F"/>
    <w:rsid w:val="00EB69EF"/>
    <w:rsid w:val="00EB6F50"/>
    <w:rsid w:val="00EB73C5"/>
    <w:rsid w:val="00EB7E5E"/>
    <w:rsid w:val="00EB7F5F"/>
    <w:rsid w:val="00EC0480"/>
    <w:rsid w:val="00EC0AC0"/>
    <w:rsid w:val="00EC0EE1"/>
    <w:rsid w:val="00EC46C4"/>
    <w:rsid w:val="00EC5512"/>
    <w:rsid w:val="00ED0C6C"/>
    <w:rsid w:val="00ED1BAB"/>
    <w:rsid w:val="00ED1E08"/>
    <w:rsid w:val="00ED20ED"/>
    <w:rsid w:val="00ED3081"/>
    <w:rsid w:val="00ED341C"/>
    <w:rsid w:val="00ED4C7D"/>
    <w:rsid w:val="00ED4E9D"/>
    <w:rsid w:val="00ED5BBF"/>
    <w:rsid w:val="00ED6A89"/>
    <w:rsid w:val="00ED703A"/>
    <w:rsid w:val="00EE1211"/>
    <w:rsid w:val="00EE2D44"/>
    <w:rsid w:val="00EE6091"/>
    <w:rsid w:val="00EE60E2"/>
    <w:rsid w:val="00EE7BA6"/>
    <w:rsid w:val="00EE7E11"/>
    <w:rsid w:val="00EF00F1"/>
    <w:rsid w:val="00EF045F"/>
    <w:rsid w:val="00EF0D6C"/>
    <w:rsid w:val="00EF2D4C"/>
    <w:rsid w:val="00EF38EC"/>
    <w:rsid w:val="00EF397E"/>
    <w:rsid w:val="00EF50EA"/>
    <w:rsid w:val="00EF5215"/>
    <w:rsid w:val="00EF53DB"/>
    <w:rsid w:val="00EF56CE"/>
    <w:rsid w:val="00EF68E3"/>
    <w:rsid w:val="00EF7078"/>
    <w:rsid w:val="00F001C9"/>
    <w:rsid w:val="00F001F1"/>
    <w:rsid w:val="00F00A29"/>
    <w:rsid w:val="00F01593"/>
    <w:rsid w:val="00F022B9"/>
    <w:rsid w:val="00F02481"/>
    <w:rsid w:val="00F02A56"/>
    <w:rsid w:val="00F03C4E"/>
    <w:rsid w:val="00F045A6"/>
    <w:rsid w:val="00F05668"/>
    <w:rsid w:val="00F0604F"/>
    <w:rsid w:val="00F06FAF"/>
    <w:rsid w:val="00F07A9E"/>
    <w:rsid w:val="00F106E9"/>
    <w:rsid w:val="00F1084B"/>
    <w:rsid w:val="00F1207C"/>
    <w:rsid w:val="00F124A3"/>
    <w:rsid w:val="00F12F7A"/>
    <w:rsid w:val="00F13B2A"/>
    <w:rsid w:val="00F14D2E"/>
    <w:rsid w:val="00F16660"/>
    <w:rsid w:val="00F1783A"/>
    <w:rsid w:val="00F17B39"/>
    <w:rsid w:val="00F21949"/>
    <w:rsid w:val="00F220E4"/>
    <w:rsid w:val="00F23588"/>
    <w:rsid w:val="00F23ACA"/>
    <w:rsid w:val="00F249F2"/>
    <w:rsid w:val="00F255C7"/>
    <w:rsid w:val="00F26B17"/>
    <w:rsid w:val="00F2767A"/>
    <w:rsid w:val="00F27D80"/>
    <w:rsid w:val="00F3191F"/>
    <w:rsid w:val="00F32404"/>
    <w:rsid w:val="00F33FD8"/>
    <w:rsid w:val="00F34071"/>
    <w:rsid w:val="00F34CCB"/>
    <w:rsid w:val="00F3522B"/>
    <w:rsid w:val="00F353EB"/>
    <w:rsid w:val="00F37C90"/>
    <w:rsid w:val="00F40E6F"/>
    <w:rsid w:val="00F4196E"/>
    <w:rsid w:val="00F4282C"/>
    <w:rsid w:val="00F42CFD"/>
    <w:rsid w:val="00F42EE4"/>
    <w:rsid w:val="00F42FEA"/>
    <w:rsid w:val="00F433B7"/>
    <w:rsid w:val="00F43E5F"/>
    <w:rsid w:val="00F450D5"/>
    <w:rsid w:val="00F45BEB"/>
    <w:rsid w:val="00F47662"/>
    <w:rsid w:val="00F47663"/>
    <w:rsid w:val="00F47D82"/>
    <w:rsid w:val="00F50520"/>
    <w:rsid w:val="00F5085E"/>
    <w:rsid w:val="00F50B31"/>
    <w:rsid w:val="00F51054"/>
    <w:rsid w:val="00F525AD"/>
    <w:rsid w:val="00F536A0"/>
    <w:rsid w:val="00F53B41"/>
    <w:rsid w:val="00F553E1"/>
    <w:rsid w:val="00F559E6"/>
    <w:rsid w:val="00F55D28"/>
    <w:rsid w:val="00F56932"/>
    <w:rsid w:val="00F5696C"/>
    <w:rsid w:val="00F573C2"/>
    <w:rsid w:val="00F60210"/>
    <w:rsid w:val="00F6097C"/>
    <w:rsid w:val="00F62F6D"/>
    <w:rsid w:val="00F63B0F"/>
    <w:rsid w:val="00F64568"/>
    <w:rsid w:val="00F645E5"/>
    <w:rsid w:val="00F65411"/>
    <w:rsid w:val="00F65947"/>
    <w:rsid w:val="00F66502"/>
    <w:rsid w:val="00F67F4E"/>
    <w:rsid w:val="00F706A8"/>
    <w:rsid w:val="00F70B17"/>
    <w:rsid w:val="00F70C85"/>
    <w:rsid w:val="00F71771"/>
    <w:rsid w:val="00F71793"/>
    <w:rsid w:val="00F71D97"/>
    <w:rsid w:val="00F727B7"/>
    <w:rsid w:val="00F7547B"/>
    <w:rsid w:val="00F754AD"/>
    <w:rsid w:val="00F75C44"/>
    <w:rsid w:val="00F76419"/>
    <w:rsid w:val="00F8070C"/>
    <w:rsid w:val="00F831A1"/>
    <w:rsid w:val="00F8447C"/>
    <w:rsid w:val="00F87123"/>
    <w:rsid w:val="00F87374"/>
    <w:rsid w:val="00F94571"/>
    <w:rsid w:val="00F96362"/>
    <w:rsid w:val="00F9675B"/>
    <w:rsid w:val="00FA0FD2"/>
    <w:rsid w:val="00FA2820"/>
    <w:rsid w:val="00FA2957"/>
    <w:rsid w:val="00FA509D"/>
    <w:rsid w:val="00FA6859"/>
    <w:rsid w:val="00FA69DA"/>
    <w:rsid w:val="00FA7635"/>
    <w:rsid w:val="00FB0CEB"/>
    <w:rsid w:val="00FB15B7"/>
    <w:rsid w:val="00FB1D70"/>
    <w:rsid w:val="00FB2358"/>
    <w:rsid w:val="00FB26CE"/>
    <w:rsid w:val="00FB3E12"/>
    <w:rsid w:val="00FB5BC8"/>
    <w:rsid w:val="00FB5DAA"/>
    <w:rsid w:val="00FB6A7F"/>
    <w:rsid w:val="00FB7934"/>
    <w:rsid w:val="00FC075E"/>
    <w:rsid w:val="00FC0BD3"/>
    <w:rsid w:val="00FC0CE2"/>
    <w:rsid w:val="00FC20CB"/>
    <w:rsid w:val="00FC3CD6"/>
    <w:rsid w:val="00FC5CAA"/>
    <w:rsid w:val="00FC5ED0"/>
    <w:rsid w:val="00FC7331"/>
    <w:rsid w:val="00FD004A"/>
    <w:rsid w:val="00FD03A5"/>
    <w:rsid w:val="00FD0608"/>
    <w:rsid w:val="00FD2635"/>
    <w:rsid w:val="00FD2783"/>
    <w:rsid w:val="00FD27D3"/>
    <w:rsid w:val="00FD3C08"/>
    <w:rsid w:val="00FD526E"/>
    <w:rsid w:val="00FD570B"/>
    <w:rsid w:val="00FD6700"/>
    <w:rsid w:val="00FD71EB"/>
    <w:rsid w:val="00FD7ABB"/>
    <w:rsid w:val="00FD7DF0"/>
    <w:rsid w:val="00FE048A"/>
    <w:rsid w:val="00FE07BB"/>
    <w:rsid w:val="00FE08CE"/>
    <w:rsid w:val="00FE105C"/>
    <w:rsid w:val="00FE1272"/>
    <w:rsid w:val="00FE2577"/>
    <w:rsid w:val="00FE274B"/>
    <w:rsid w:val="00FE29B8"/>
    <w:rsid w:val="00FE2AE3"/>
    <w:rsid w:val="00FE2F68"/>
    <w:rsid w:val="00FE5185"/>
    <w:rsid w:val="00FE645C"/>
    <w:rsid w:val="00FE6E9E"/>
    <w:rsid w:val="00FE7642"/>
    <w:rsid w:val="00FE7A99"/>
    <w:rsid w:val="00FF0379"/>
    <w:rsid w:val="00FF0675"/>
    <w:rsid w:val="00FF27C7"/>
    <w:rsid w:val="00FF40A3"/>
    <w:rsid w:val="00FF41A2"/>
    <w:rsid w:val="00FF6E79"/>
    <w:rsid w:val="01A711D1"/>
    <w:rsid w:val="02500E19"/>
    <w:rsid w:val="0357D768"/>
    <w:rsid w:val="04314850"/>
    <w:rsid w:val="046E9A38"/>
    <w:rsid w:val="05812679"/>
    <w:rsid w:val="08721CA3"/>
    <w:rsid w:val="09879B5C"/>
    <w:rsid w:val="099E69A2"/>
    <w:rsid w:val="0A32059C"/>
    <w:rsid w:val="0B191F8A"/>
    <w:rsid w:val="0BB4FFA6"/>
    <w:rsid w:val="0CBF3C1E"/>
    <w:rsid w:val="0CCA3F7A"/>
    <w:rsid w:val="0D6F3712"/>
    <w:rsid w:val="0F04EE3B"/>
    <w:rsid w:val="0F0E2D78"/>
    <w:rsid w:val="0F55A1BB"/>
    <w:rsid w:val="1005C44B"/>
    <w:rsid w:val="10767AF4"/>
    <w:rsid w:val="117FB5EE"/>
    <w:rsid w:val="11EB4B4E"/>
    <w:rsid w:val="13A2AC5E"/>
    <w:rsid w:val="14B29CB3"/>
    <w:rsid w:val="16089744"/>
    <w:rsid w:val="16702ED1"/>
    <w:rsid w:val="167D0645"/>
    <w:rsid w:val="16DDBD09"/>
    <w:rsid w:val="1B914834"/>
    <w:rsid w:val="1CDD4D6E"/>
    <w:rsid w:val="1E4CDFCF"/>
    <w:rsid w:val="1E9848A8"/>
    <w:rsid w:val="1EE7B7B2"/>
    <w:rsid w:val="1F5CB806"/>
    <w:rsid w:val="2070AD17"/>
    <w:rsid w:val="20914904"/>
    <w:rsid w:val="2267C12D"/>
    <w:rsid w:val="249A7AA5"/>
    <w:rsid w:val="2509FFBC"/>
    <w:rsid w:val="256EF4D0"/>
    <w:rsid w:val="28E7F833"/>
    <w:rsid w:val="2A10F872"/>
    <w:rsid w:val="2A3F07AB"/>
    <w:rsid w:val="2B2CB4EE"/>
    <w:rsid w:val="2C658374"/>
    <w:rsid w:val="2ED7DF9A"/>
    <w:rsid w:val="2F35B756"/>
    <w:rsid w:val="30F6F821"/>
    <w:rsid w:val="3111AFB8"/>
    <w:rsid w:val="3169268F"/>
    <w:rsid w:val="32030026"/>
    <w:rsid w:val="3252B44E"/>
    <w:rsid w:val="34DD31C9"/>
    <w:rsid w:val="35786A0E"/>
    <w:rsid w:val="35D202D6"/>
    <w:rsid w:val="36896434"/>
    <w:rsid w:val="36CCEEC2"/>
    <w:rsid w:val="381CAA0A"/>
    <w:rsid w:val="384BBD55"/>
    <w:rsid w:val="386B6EBF"/>
    <w:rsid w:val="3910BE75"/>
    <w:rsid w:val="3944F9C2"/>
    <w:rsid w:val="39FE88C0"/>
    <w:rsid w:val="3BF9FB60"/>
    <w:rsid w:val="3C03E0A5"/>
    <w:rsid w:val="3CCC1C2B"/>
    <w:rsid w:val="3D338526"/>
    <w:rsid w:val="3D51BE6A"/>
    <w:rsid w:val="3EE14B70"/>
    <w:rsid w:val="3FAA127A"/>
    <w:rsid w:val="3FDC7FDB"/>
    <w:rsid w:val="4113FCBE"/>
    <w:rsid w:val="4222EE9C"/>
    <w:rsid w:val="44406180"/>
    <w:rsid w:val="453A0EDA"/>
    <w:rsid w:val="45C92609"/>
    <w:rsid w:val="4CFE47B5"/>
    <w:rsid w:val="4D178DB1"/>
    <w:rsid w:val="4E4D9187"/>
    <w:rsid w:val="4E5F5070"/>
    <w:rsid w:val="4EABBC90"/>
    <w:rsid w:val="4FC104EA"/>
    <w:rsid w:val="50460906"/>
    <w:rsid w:val="51B4E773"/>
    <w:rsid w:val="5424C4F5"/>
    <w:rsid w:val="542C1C0F"/>
    <w:rsid w:val="5667A6A5"/>
    <w:rsid w:val="56D2754E"/>
    <w:rsid w:val="578E2DE5"/>
    <w:rsid w:val="5AEB5FD5"/>
    <w:rsid w:val="5E6189D2"/>
    <w:rsid w:val="5FD3B76C"/>
    <w:rsid w:val="6B3FE9ED"/>
    <w:rsid w:val="6BDAEB22"/>
    <w:rsid w:val="6BDF0EEA"/>
    <w:rsid w:val="6BEF9382"/>
    <w:rsid w:val="6E5D1D52"/>
    <w:rsid w:val="70768442"/>
    <w:rsid w:val="718B9131"/>
    <w:rsid w:val="726EE364"/>
    <w:rsid w:val="72AB586B"/>
    <w:rsid w:val="73FF6048"/>
    <w:rsid w:val="746C9E7E"/>
    <w:rsid w:val="782E086F"/>
    <w:rsid w:val="785E80AC"/>
    <w:rsid w:val="7C6F99B2"/>
    <w:rsid w:val="7D350C74"/>
    <w:rsid w:val="7E8E9FF4"/>
    <w:rsid w:val="7ED75C14"/>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33306F"/>
    <w:pPr>
      <w:tabs>
        <w:tab w:val="left" w:pos="880"/>
        <w:tab w:val="right" w:leader="dot" w:pos="9730"/>
      </w:tabs>
      <w:spacing w:after="100"/>
      <w:ind w:left="220"/>
    </w:pPr>
  </w:style>
  <w:style w:type="paragraph" w:styleId="TOC1">
    <w:name w:val="toc 1"/>
    <w:basedOn w:val="Normal"/>
    <w:next w:val="Normal"/>
    <w:autoRedefine/>
    <w:uiPriority w:val="39"/>
    <w:unhideWhenUsed/>
    <w:rsid w:val="00015E6F"/>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Heading">
    <w:name w:val="TOC Heading"/>
    <w:basedOn w:val="Heading1"/>
    <w:next w:val="Normal"/>
    <w:uiPriority w:val="39"/>
    <w:unhideWhenUsed/>
    <w:qFormat/>
    <w:rsid w:val="003404D8"/>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BalloonText">
    <w:name w:val="Balloon Text"/>
    <w:basedOn w:val="Normal"/>
    <w:link w:val="BalloonTextChar"/>
    <w:semiHidden/>
    <w:unhideWhenUsed/>
    <w:rsid w:val="003404D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404D8"/>
    <w:rPr>
      <w:rFonts w:ascii="Segoe UI" w:hAnsi="Segoe UI" w:cs="Segoe UI"/>
      <w:color w:val="000000" w:themeColor="text1"/>
      <w:sz w:val="18"/>
      <w:szCs w:val="18"/>
      <w:lang w:eastAsia="en-US"/>
    </w:rPr>
  </w:style>
  <w:style w:type="paragraph" w:styleId="CommentSubject">
    <w:name w:val="annotation subject"/>
    <w:basedOn w:val="CommentText"/>
    <w:next w:val="CommentText"/>
    <w:link w:val="CommentSubjectChar"/>
    <w:uiPriority w:val="99"/>
    <w:semiHidden/>
    <w:unhideWhenUsed/>
    <w:rsid w:val="003404D8"/>
    <w:rPr>
      <w:b/>
      <w:bCs/>
      <w:lang w:val="en-AU"/>
    </w:rPr>
  </w:style>
  <w:style w:type="character" w:customStyle="1" w:styleId="CommentSubjectChar">
    <w:name w:val="Comment Subject Char"/>
    <w:basedOn w:val="CommentTextChar"/>
    <w:link w:val="CommentSubject"/>
    <w:uiPriority w:val="99"/>
    <w:semiHidden/>
    <w:rsid w:val="003404D8"/>
    <w:rPr>
      <w:rFonts w:asciiTheme="minorHAnsi" w:hAnsiTheme="minorHAnsi" w:cstheme="minorHAnsi"/>
      <w:b/>
      <w:bCs/>
      <w:color w:val="000000" w:themeColor="text1"/>
      <w:lang w:val="en-GB" w:eastAsia="en-US"/>
    </w:rPr>
  </w:style>
  <w:style w:type="paragraph" w:styleId="BodyText">
    <w:name w:val="Body Text"/>
    <w:basedOn w:val="Normal"/>
    <w:link w:val="BodyTextChar"/>
    <w:uiPriority w:val="1"/>
    <w:qFormat/>
    <w:rsid w:val="003404D8"/>
    <w:pPr>
      <w:widowControl w:val="0"/>
      <w:spacing w:after="0"/>
      <w:ind w:left="1077"/>
    </w:pPr>
    <w:rPr>
      <w:rFonts w:ascii="Arial" w:eastAsia="Arial" w:hAnsi="Arial" w:cstheme="minorBidi"/>
      <w:color w:val="auto"/>
      <w:sz w:val="24"/>
      <w:lang w:val="en-GB"/>
    </w:rPr>
  </w:style>
  <w:style w:type="character" w:customStyle="1" w:styleId="BodyTextChar">
    <w:name w:val="Body Text Char"/>
    <w:basedOn w:val="DefaultParagraphFont"/>
    <w:link w:val="BodyText"/>
    <w:uiPriority w:val="1"/>
    <w:rsid w:val="003404D8"/>
    <w:rPr>
      <w:rFonts w:ascii="Arial" w:eastAsia="Arial" w:hAnsi="Arial" w:cstheme="minorBidi"/>
      <w:sz w:val="24"/>
      <w:szCs w:val="24"/>
      <w:lang w:val="en-GB" w:eastAsia="en-US"/>
    </w:rPr>
  </w:style>
  <w:style w:type="paragraph" w:styleId="Revision">
    <w:name w:val="Revision"/>
    <w:hidden/>
    <w:semiHidden/>
    <w:rsid w:val="003404D8"/>
    <w:rPr>
      <w:rFonts w:asciiTheme="minorHAnsi" w:hAnsiTheme="minorHAnsi" w:cstheme="minorHAnsi"/>
      <w:color w:val="000000" w:themeColor="text1"/>
      <w:sz w:val="22"/>
      <w:szCs w:val="24"/>
      <w:lang w:eastAsia="en-US"/>
    </w:rPr>
  </w:style>
  <w:style w:type="paragraph" w:customStyle="1" w:styleId="Default">
    <w:name w:val="Default"/>
    <w:rsid w:val="003404D8"/>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3404D8"/>
    <w:rPr>
      <w:color w:val="605E5C"/>
      <w:shd w:val="clear" w:color="auto" w:fill="E1DFDD"/>
    </w:rPr>
  </w:style>
  <w:style w:type="paragraph" w:customStyle="1" w:styleId="paragraph">
    <w:name w:val="paragraph"/>
    <w:basedOn w:val="Normal"/>
    <w:rsid w:val="003404D8"/>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3404D8"/>
  </w:style>
  <w:style w:type="character" w:customStyle="1" w:styleId="eop">
    <w:name w:val="eop"/>
    <w:basedOn w:val="DefaultParagraphFont"/>
    <w:rsid w:val="003404D8"/>
  </w:style>
  <w:style w:type="character" w:styleId="Mention">
    <w:name w:val="Mention"/>
    <w:basedOn w:val="DefaultParagraphFont"/>
    <w:uiPriority w:val="99"/>
    <w:unhideWhenUsed/>
    <w:rsid w:val="003404D8"/>
    <w:rPr>
      <w:color w:val="2B579A"/>
      <w:shd w:val="clear" w:color="auto" w:fill="E1DFDD"/>
    </w:rPr>
  </w:style>
  <w:style w:type="character" w:customStyle="1" w:styleId="charsubdtext">
    <w:name w:val="charsubdtext"/>
    <w:basedOn w:val="DefaultParagraphFont"/>
    <w:rsid w:val="00ED5BBF"/>
  </w:style>
  <w:style w:type="character" w:customStyle="1" w:styleId="charsectno">
    <w:name w:val="charsectno"/>
    <w:basedOn w:val="DefaultParagraphFont"/>
    <w:rsid w:val="00733761"/>
  </w:style>
  <w:style w:type="character" w:customStyle="1" w:styleId="chardivno">
    <w:name w:val="chardivno"/>
    <w:basedOn w:val="DefaultParagraphFont"/>
    <w:rsid w:val="00581DD7"/>
  </w:style>
  <w:style w:type="character" w:customStyle="1" w:styleId="chardivtext">
    <w:name w:val="chardivtext"/>
    <w:basedOn w:val="DefaultParagraphFont"/>
    <w:rsid w:val="00581DD7"/>
  </w:style>
  <w:style w:type="character" w:customStyle="1" w:styleId="ui-provider">
    <w:name w:val="ui-provider"/>
    <w:basedOn w:val="DefaultParagraphFont"/>
    <w:rsid w:val="00E85C32"/>
  </w:style>
  <w:style w:type="character" w:customStyle="1" w:styleId="scxw216678499">
    <w:name w:val="scxw216678499"/>
    <w:basedOn w:val="DefaultParagraphFont"/>
    <w:rsid w:val="0060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150">
      <w:bodyDiv w:val="1"/>
      <w:marLeft w:val="0"/>
      <w:marRight w:val="0"/>
      <w:marTop w:val="0"/>
      <w:marBottom w:val="0"/>
      <w:divBdr>
        <w:top w:val="none" w:sz="0" w:space="0" w:color="auto"/>
        <w:left w:val="none" w:sz="0" w:space="0" w:color="auto"/>
        <w:bottom w:val="none" w:sz="0" w:space="0" w:color="auto"/>
        <w:right w:val="none" w:sz="0" w:space="0" w:color="auto"/>
      </w:divBdr>
      <w:divsChild>
        <w:div w:id="649208314">
          <w:marLeft w:val="0"/>
          <w:marRight w:val="0"/>
          <w:marTop w:val="0"/>
          <w:marBottom w:val="0"/>
          <w:divBdr>
            <w:top w:val="none" w:sz="0" w:space="0" w:color="auto"/>
            <w:left w:val="none" w:sz="0" w:space="0" w:color="auto"/>
            <w:bottom w:val="none" w:sz="0" w:space="0" w:color="auto"/>
            <w:right w:val="none" w:sz="0" w:space="0" w:color="auto"/>
          </w:divBdr>
        </w:div>
        <w:div w:id="1297643719">
          <w:marLeft w:val="0"/>
          <w:marRight w:val="0"/>
          <w:marTop w:val="0"/>
          <w:marBottom w:val="0"/>
          <w:divBdr>
            <w:top w:val="none" w:sz="0" w:space="0" w:color="auto"/>
            <w:left w:val="none" w:sz="0" w:space="0" w:color="auto"/>
            <w:bottom w:val="none" w:sz="0" w:space="0" w:color="auto"/>
            <w:right w:val="none" w:sz="0" w:space="0" w:color="auto"/>
          </w:divBdr>
        </w:div>
      </w:divsChild>
    </w:div>
    <w:div w:id="131102848">
      <w:bodyDiv w:val="1"/>
      <w:marLeft w:val="0"/>
      <w:marRight w:val="0"/>
      <w:marTop w:val="0"/>
      <w:marBottom w:val="0"/>
      <w:divBdr>
        <w:top w:val="none" w:sz="0" w:space="0" w:color="auto"/>
        <w:left w:val="none" w:sz="0" w:space="0" w:color="auto"/>
        <w:bottom w:val="none" w:sz="0" w:space="0" w:color="auto"/>
        <w:right w:val="none" w:sz="0" w:space="0" w:color="auto"/>
      </w:divBdr>
    </w:div>
    <w:div w:id="164324267">
      <w:bodyDiv w:val="1"/>
      <w:marLeft w:val="0"/>
      <w:marRight w:val="0"/>
      <w:marTop w:val="0"/>
      <w:marBottom w:val="0"/>
      <w:divBdr>
        <w:top w:val="none" w:sz="0" w:space="0" w:color="auto"/>
        <w:left w:val="none" w:sz="0" w:space="0" w:color="auto"/>
        <w:bottom w:val="none" w:sz="0" w:space="0" w:color="auto"/>
        <w:right w:val="none" w:sz="0" w:space="0" w:color="auto"/>
      </w:divBdr>
      <w:divsChild>
        <w:div w:id="616913970">
          <w:marLeft w:val="0"/>
          <w:marRight w:val="0"/>
          <w:marTop w:val="0"/>
          <w:marBottom w:val="0"/>
          <w:divBdr>
            <w:top w:val="none" w:sz="0" w:space="0" w:color="auto"/>
            <w:left w:val="none" w:sz="0" w:space="0" w:color="auto"/>
            <w:bottom w:val="none" w:sz="0" w:space="0" w:color="auto"/>
            <w:right w:val="none" w:sz="0" w:space="0" w:color="auto"/>
          </w:divBdr>
        </w:div>
        <w:div w:id="933591374">
          <w:marLeft w:val="0"/>
          <w:marRight w:val="0"/>
          <w:marTop w:val="0"/>
          <w:marBottom w:val="0"/>
          <w:divBdr>
            <w:top w:val="none" w:sz="0" w:space="0" w:color="auto"/>
            <w:left w:val="none" w:sz="0" w:space="0" w:color="auto"/>
            <w:bottom w:val="none" w:sz="0" w:space="0" w:color="auto"/>
            <w:right w:val="none" w:sz="0" w:space="0" w:color="auto"/>
          </w:divBdr>
        </w:div>
        <w:div w:id="1094087022">
          <w:marLeft w:val="0"/>
          <w:marRight w:val="0"/>
          <w:marTop w:val="0"/>
          <w:marBottom w:val="0"/>
          <w:divBdr>
            <w:top w:val="none" w:sz="0" w:space="0" w:color="auto"/>
            <w:left w:val="none" w:sz="0" w:space="0" w:color="auto"/>
            <w:bottom w:val="none" w:sz="0" w:space="0" w:color="auto"/>
            <w:right w:val="none" w:sz="0" w:space="0" w:color="auto"/>
          </w:divBdr>
          <w:divsChild>
            <w:div w:id="1552114020">
              <w:marLeft w:val="0"/>
              <w:marRight w:val="0"/>
              <w:marTop w:val="0"/>
              <w:marBottom w:val="0"/>
              <w:divBdr>
                <w:top w:val="none" w:sz="0" w:space="0" w:color="auto"/>
                <w:left w:val="none" w:sz="0" w:space="0" w:color="auto"/>
                <w:bottom w:val="none" w:sz="0" w:space="0" w:color="auto"/>
                <w:right w:val="none" w:sz="0" w:space="0" w:color="auto"/>
              </w:divBdr>
            </w:div>
            <w:div w:id="1601645573">
              <w:marLeft w:val="0"/>
              <w:marRight w:val="0"/>
              <w:marTop w:val="0"/>
              <w:marBottom w:val="0"/>
              <w:divBdr>
                <w:top w:val="none" w:sz="0" w:space="0" w:color="auto"/>
                <w:left w:val="none" w:sz="0" w:space="0" w:color="auto"/>
                <w:bottom w:val="none" w:sz="0" w:space="0" w:color="auto"/>
                <w:right w:val="none" w:sz="0" w:space="0" w:color="auto"/>
              </w:divBdr>
            </w:div>
          </w:divsChild>
        </w:div>
        <w:div w:id="1178037350">
          <w:marLeft w:val="0"/>
          <w:marRight w:val="0"/>
          <w:marTop w:val="0"/>
          <w:marBottom w:val="0"/>
          <w:divBdr>
            <w:top w:val="none" w:sz="0" w:space="0" w:color="auto"/>
            <w:left w:val="none" w:sz="0" w:space="0" w:color="auto"/>
            <w:bottom w:val="none" w:sz="0" w:space="0" w:color="auto"/>
            <w:right w:val="none" w:sz="0" w:space="0" w:color="auto"/>
          </w:divBdr>
        </w:div>
      </w:divsChild>
    </w:div>
    <w:div w:id="572736334">
      <w:bodyDiv w:val="1"/>
      <w:marLeft w:val="0"/>
      <w:marRight w:val="0"/>
      <w:marTop w:val="0"/>
      <w:marBottom w:val="0"/>
      <w:divBdr>
        <w:top w:val="none" w:sz="0" w:space="0" w:color="auto"/>
        <w:left w:val="none" w:sz="0" w:space="0" w:color="auto"/>
        <w:bottom w:val="none" w:sz="0" w:space="0" w:color="auto"/>
        <w:right w:val="none" w:sz="0" w:space="0" w:color="auto"/>
      </w:divBdr>
      <w:divsChild>
        <w:div w:id="951203681">
          <w:marLeft w:val="0"/>
          <w:marRight w:val="0"/>
          <w:marTop w:val="0"/>
          <w:marBottom w:val="0"/>
          <w:divBdr>
            <w:top w:val="none" w:sz="0" w:space="0" w:color="auto"/>
            <w:left w:val="none" w:sz="0" w:space="0" w:color="auto"/>
            <w:bottom w:val="none" w:sz="0" w:space="0" w:color="auto"/>
            <w:right w:val="none" w:sz="0" w:space="0" w:color="auto"/>
          </w:divBdr>
        </w:div>
        <w:div w:id="2063823221">
          <w:marLeft w:val="0"/>
          <w:marRight w:val="0"/>
          <w:marTop w:val="0"/>
          <w:marBottom w:val="0"/>
          <w:divBdr>
            <w:top w:val="none" w:sz="0" w:space="0" w:color="auto"/>
            <w:left w:val="none" w:sz="0" w:space="0" w:color="auto"/>
            <w:bottom w:val="none" w:sz="0" w:space="0" w:color="auto"/>
            <w:right w:val="none" w:sz="0" w:space="0" w:color="auto"/>
          </w:divBdr>
        </w:div>
      </w:divsChild>
    </w:div>
    <w:div w:id="72765189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96771170">
      <w:bodyDiv w:val="1"/>
      <w:marLeft w:val="0"/>
      <w:marRight w:val="0"/>
      <w:marTop w:val="0"/>
      <w:marBottom w:val="0"/>
      <w:divBdr>
        <w:top w:val="none" w:sz="0" w:space="0" w:color="auto"/>
        <w:left w:val="none" w:sz="0" w:space="0" w:color="auto"/>
        <w:bottom w:val="none" w:sz="0" w:space="0" w:color="auto"/>
        <w:right w:val="none" w:sz="0" w:space="0" w:color="auto"/>
      </w:divBdr>
    </w:div>
    <w:div w:id="126171832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7303968">
      <w:bodyDiv w:val="1"/>
      <w:marLeft w:val="0"/>
      <w:marRight w:val="0"/>
      <w:marTop w:val="0"/>
      <w:marBottom w:val="0"/>
      <w:divBdr>
        <w:top w:val="none" w:sz="0" w:space="0" w:color="auto"/>
        <w:left w:val="none" w:sz="0" w:space="0" w:color="auto"/>
        <w:bottom w:val="none" w:sz="0" w:space="0" w:color="auto"/>
        <w:right w:val="none" w:sz="0" w:space="0" w:color="auto"/>
      </w:divBdr>
      <w:divsChild>
        <w:div w:id="798498481">
          <w:marLeft w:val="0"/>
          <w:marRight w:val="0"/>
          <w:marTop w:val="0"/>
          <w:marBottom w:val="0"/>
          <w:divBdr>
            <w:top w:val="none" w:sz="0" w:space="0" w:color="auto"/>
            <w:left w:val="none" w:sz="0" w:space="0" w:color="auto"/>
            <w:bottom w:val="none" w:sz="0" w:space="0" w:color="auto"/>
            <w:right w:val="none" w:sz="0" w:space="0" w:color="auto"/>
          </w:divBdr>
        </w:div>
        <w:div w:id="2129228677">
          <w:marLeft w:val="0"/>
          <w:marRight w:val="0"/>
          <w:marTop w:val="0"/>
          <w:marBottom w:val="0"/>
          <w:divBdr>
            <w:top w:val="none" w:sz="0" w:space="0" w:color="auto"/>
            <w:left w:val="none" w:sz="0" w:space="0" w:color="auto"/>
            <w:bottom w:val="none" w:sz="0" w:space="0" w:color="auto"/>
            <w:right w:val="none" w:sz="0" w:space="0" w:color="auto"/>
          </w:divBdr>
        </w:div>
      </w:divsChild>
    </w:div>
    <w:div w:id="20496459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Series/F2008L02230" TargetMode="External"/><Relationship Id="rId39" Type="http://schemas.openxmlformats.org/officeDocument/2006/relationships/hyperlink" Target="http://www.cer.gov.au/" TargetMode="External"/><Relationship Id="rId21" Type="http://schemas.openxmlformats.org/officeDocument/2006/relationships/image" Target="media/image12.png"/><Relationship Id="rId34" Type="http://schemas.openxmlformats.org/officeDocument/2006/relationships/hyperlink" Target="https://www.ipcc-nggip.iges.or.jp/public/2006gl/vol1.html"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national-greenhouse-and-energy-reporting-scheme/report-emissions-and-energy/amend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help-and-resources/understanding-legislation/reading-legislation" TargetMode="External"/><Relationship Id="rId32" Type="http://schemas.openxmlformats.org/officeDocument/2006/relationships/hyperlink" Target="https://cer.gov.au/document_page/voluntary-market-based-scope-2-emissions-guideline" TargetMode="External"/><Relationship Id="rId37" Type="http://schemas.openxmlformats.org/officeDocument/2006/relationships/hyperlink" Target="https://cer.gov.au/document_page/contracts-and-leasing-guideline"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cer.gov.au/schemes/safeguard-mechanism" TargetMode="External"/><Relationship Id="rId28" Type="http://schemas.openxmlformats.org/officeDocument/2006/relationships/hyperlink" Target="https://cer.gov.au/schemes/national-greenhouse-and-energy-reporting-scheme/assess-your-obligations" TargetMode="External"/><Relationship Id="rId36" Type="http://schemas.openxmlformats.org/officeDocument/2006/relationships/hyperlink" Target="https://cer.gov.au/document_page/estimating-emissions-and-energy-coal-mining-guideline"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www.epa.gov/regulations-emissions-vehicles-and-engines/final-rule-mandatory-reporting-greenhouse-gases"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www.legislation.gov.au/Series/F2008L02309" TargetMode="External"/><Relationship Id="rId30" Type="http://schemas.openxmlformats.org/officeDocument/2006/relationships/hyperlink" Target="https://cer.gov.au/document_page/defining-facility-national-greenhouse-and-energy-reporting" TargetMode="External"/><Relationship Id="rId35" Type="http://schemas.openxmlformats.org/officeDocument/2006/relationships/hyperlink" Target="https://www.ipcc-nggip.iges.or.jp/public/2006gl/vol1.html"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C2007A00175" TargetMode="External"/><Relationship Id="rId33" Type="http://schemas.openxmlformats.org/officeDocument/2006/relationships/hyperlink" Target="mailto:cer-nger-reporting@cer.gov.au" TargetMode="External"/><Relationship Id="rId38" Type="http://schemas.openxmlformats.org/officeDocument/2006/relationships/hyperlink" Target="mailto:cer-nger-reporting@cer.gov.au" TargetMode="External"/><Relationship Id="rId46"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4310EC-8639-4CE7-9C4C-559416FD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6824</Words>
  <Characters>38902</Characters>
  <Application>Microsoft Office Word</Application>
  <DocSecurity>8</DocSecurity>
  <Lines>324</Lines>
  <Paragraphs>91</Paragraphs>
  <ScaleCrop>false</ScaleCrop>
  <HeadingPairs>
    <vt:vector size="2" baseType="variant">
      <vt:variant>
        <vt:lpstr>Title</vt:lpstr>
      </vt:variant>
      <vt:variant>
        <vt:i4>1</vt:i4>
      </vt:variant>
    </vt:vector>
  </HeadingPairs>
  <TitlesOfParts>
    <vt:vector size="1" baseType="lpstr">
      <vt:lpstr>Methods and measurement criteria guideline</vt:lpstr>
    </vt:vector>
  </TitlesOfParts>
  <Company/>
  <LinksUpToDate>false</LinksUpToDate>
  <CharactersWithSpaces>45635</CharactersWithSpaces>
  <SharedDoc>false</SharedDoc>
  <HLinks>
    <vt:vector size="138" baseType="variant">
      <vt:variant>
        <vt:i4>6619183</vt:i4>
      </vt:variant>
      <vt:variant>
        <vt:i4>141</vt:i4>
      </vt:variant>
      <vt:variant>
        <vt:i4>0</vt:i4>
      </vt:variant>
      <vt:variant>
        <vt:i4>5</vt:i4>
      </vt:variant>
      <vt:variant>
        <vt:lpwstr>http://www.cer.gov.au/</vt:lpwstr>
      </vt:variant>
      <vt:variant>
        <vt:lpwstr/>
      </vt:variant>
      <vt:variant>
        <vt:i4>7995400</vt:i4>
      </vt:variant>
      <vt:variant>
        <vt:i4>138</vt:i4>
      </vt:variant>
      <vt:variant>
        <vt:i4>0</vt:i4>
      </vt:variant>
      <vt:variant>
        <vt:i4>5</vt:i4>
      </vt:variant>
      <vt:variant>
        <vt:lpwstr>mailto:cer-nger-reporting@cer.gov.au</vt:lpwstr>
      </vt:variant>
      <vt:variant>
        <vt:lpwstr/>
      </vt:variant>
      <vt:variant>
        <vt:i4>4128795</vt:i4>
      </vt:variant>
      <vt:variant>
        <vt:i4>135</vt:i4>
      </vt:variant>
      <vt:variant>
        <vt:i4>0</vt:i4>
      </vt:variant>
      <vt:variant>
        <vt:i4>5</vt:i4>
      </vt:variant>
      <vt:variant>
        <vt:lpwstr>https://cer.gov.au/document_page/contracts-and-leasing-guideline</vt:lpwstr>
      </vt:variant>
      <vt:variant>
        <vt:lpwstr/>
      </vt:variant>
      <vt:variant>
        <vt:i4>4980758</vt:i4>
      </vt:variant>
      <vt:variant>
        <vt:i4>132</vt:i4>
      </vt:variant>
      <vt:variant>
        <vt:i4>0</vt:i4>
      </vt:variant>
      <vt:variant>
        <vt:i4>5</vt:i4>
      </vt:variant>
      <vt:variant>
        <vt:lpwstr>https://cer.gov.au/document/estimating-emissions-and-energy-coal-mining-guideline</vt:lpwstr>
      </vt:variant>
      <vt:variant>
        <vt:lpwstr/>
      </vt:variant>
      <vt:variant>
        <vt:i4>6029340</vt:i4>
      </vt:variant>
      <vt:variant>
        <vt:i4>129</vt:i4>
      </vt:variant>
      <vt:variant>
        <vt:i4>0</vt:i4>
      </vt:variant>
      <vt:variant>
        <vt:i4>5</vt:i4>
      </vt:variant>
      <vt:variant>
        <vt:lpwstr>https://www.ipcc-nggip.iges.or.jp/public/2006gl/vol1.html</vt:lpwstr>
      </vt:variant>
      <vt:variant>
        <vt:lpwstr/>
      </vt:variant>
      <vt:variant>
        <vt:i4>6029340</vt:i4>
      </vt:variant>
      <vt:variant>
        <vt:i4>126</vt:i4>
      </vt:variant>
      <vt:variant>
        <vt:i4>0</vt:i4>
      </vt:variant>
      <vt:variant>
        <vt:i4>5</vt:i4>
      </vt:variant>
      <vt:variant>
        <vt:lpwstr>https://www.ipcc-nggip.iges.or.jp/public/2006gl/vol1.html</vt:lpwstr>
      </vt:variant>
      <vt:variant>
        <vt:lpwstr/>
      </vt:variant>
      <vt:variant>
        <vt:i4>7995400</vt:i4>
      </vt:variant>
      <vt:variant>
        <vt:i4>123</vt:i4>
      </vt:variant>
      <vt:variant>
        <vt:i4>0</vt:i4>
      </vt:variant>
      <vt:variant>
        <vt:i4>5</vt:i4>
      </vt:variant>
      <vt:variant>
        <vt:lpwstr>mailto:cer-nger-reporting@cer.gov.au</vt:lpwstr>
      </vt:variant>
      <vt:variant>
        <vt:lpwstr/>
      </vt:variant>
      <vt:variant>
        <vt:i4>1507373</vt:i4>
      </vt:variant>
      <vt:variant>
        <vt:i4>120</vt:i4>
      </vt:variant>
      <vt:variant>
        <vt:i4>0</vt:i4>
      </vt:variant>
      <vt:variant>
        <vt:i4>5</vt:i4>
      </vt:variant>
      <vt:variant>
        <vt:lpwstr>https://cer.gov.au/document_page/voluntary-market-based-scope-2-emissions-guideline</vt:lpwstr>
      </vt:variant>
      <vt:variant>
        <vt:lpwstr/>
      </vt:variant>
      <vt:variant>
        <vt:i4>2687030</vt:i4>
      </vt:variant>
      <vt:variant>
        <vt:i4>117</vt:i4>
      </vt:variant>
      <vt:variant>
        <vt:i4>0</vt:i4>
      </vt:variant>
      <vt:variant>
        <vt:i4>5</vt:i4>
      </vt:variant>
      <vt:variant>
        <vt:lpwstr/>
      </vt:variant>
      <vt:variant>
        <vt:lpwstr>_Method_1</vt:lpwstr>
      </vt:variant>
      <vt:variant>
        <vt:i4>8126586</vt:i4>
      </vt:variant>
      <vt:variant>
        <vt:i4>114</vt:i4>
      </vt:variant>
      <vt:variant>
        <vt:i4>0</vt:i4>
      </vt:variant>
      <vt:variant>
        <vt:i4>5</vt:i4>
      </vt:variant>
      <vt:variant>
        <vt:lpwstr>https://www.epa.gov/regulations-emissions-vehicles-and-engines/final-rule-mandatory-reporting-greenhouse-gases</vt:lpwstr>
      </vt:variant>
      <vt:variant>
        <vt:lpwstr/>
      </vt:variant>
      <vt:variant>
        <vt:i4>983143</vt:i4>
      </vt:variant>
      <vt:variant>
        <vt:i4>111</vt:i4>
      </vt:variant>
      <vt:variant>
        <vt:i4>0</vt:i4>
      </vt:variant>
      <vt:variant>
        <vt:i4>5</vt:i4>
      </vt:variant>
      <vt:variant>
        <vt:lpwstr>https://cer.gov.au/document_page/defining-facility-national-greenhouse-and-energy-reporting</vt:lpwstr>
      </vt:variant>
      <vt:variant>
        <vt:lpwstr/>
      </vt:variant>
      <vt:variant>
        <vt:i4>1179716</vt:i4>
      </vt:variant>
      <vt:variant>
        <vt:i4>108</vt:i4>
      </vt:variant>
      <vt:variant>
        <vt:i4>0</vt:i4>
      </vt:variant>
      <vt:variant>
        <vt:i4>5</vt:i4>
      </vt:variant>
      <vt:variant>
        <vt:lpwstr>https://cer.gov.au/schemes/national-greenhouse-and-energy-reporting-scheme/report-emissions-and-energy/amendments</vt:lpwstr>
      </vt:variant>
      <vt:variant>
        <vt:lpwstr/>
      </vt:variant>
      <vt:variant>
        <vt:i4>7405629</vt:i4>
      </vt:variant>
      <vt:variant>
        <vt:i4>105</vt:i4>
      </vt:variant>
      <vt:variant>
        <vt:i4>0</vt:i4>
      </vt:variant>
      <vt:variant>
        <vt:i4>5</vt:i4>
      </vt:variant>
      <vt:variant>
        <vt:lpwstr>https://cer.gov.au/schemes/national-greenhouse-and-energy-reporting-scheme/assess-your-obligations</vt:lpwstr>
      </vt:variant>
      <vt:variant>
        <vt:lpwstr/>
      </vt:variant>
      <vt:variant>
        <vt:i4>917523</vt:i4>
      </vt:variant>
      <vt:variant>
        <vt:i4>102</vt:i4>
      </vt:variant>
      <vt:variant>
        <vt:i4>0</vt:i4>
      </vt:variant>
      <vt:variant>
        <vt:i4>5</vt:i4>
      </vt:variant>
      <vt:variant>
        <vt:lpwstr>https://www.legislation.gov.au/Series/F2008L02309</vt:lpwstr>
      </vt:variant>
      <vt:variant>
        <vt:lpwstr/>
      </vt:variant>
      <vt:variant>
        <vt:i4>851986</vt:i4>
      </vt:variant>
      <vt:variant>
        <vt:i4>99</vt:i4>
      </vt:variant>
      <vt:variant>
        <vt:i4>0</vt:i4>
      </vt:variant>
      <vt:variant>
        <vt:i4>5</vt:i4>
      </vt:variant>
      <vt:variant>
        <vt:lpwstr>https://www.legislation.gov.au/Series/F2008L02230</vt:lpwstr>
      </vt:variant>
      <vt:variant>
        <vt:lpwstr/>
      </vt:variant>
      <vt:variant>
        <vt:i4>393243</vt:i4>
      </vt:variant>
      <vt:variant>
        <vt:i4>96</vt:i4>
      </vt:variant>
      <vt:variant>
        <vt:i4>0</vt:i4>
      </vt:variant>
      <vt:variant>
        <vt:i4>5</vt:i4>
      </vt:variant>
      <vt:variant>
        <vt:lpwstr>https://www.legislation.gov.au/Series/C2007A00175</vt:lpwstr>
      </vt:variant>
      <vt:variant>
        <vt:lpwstr/>
      </vt:variant>
      <vt:variant>
        <vt:i4>2228337</vt:i4>
      </vt:variant>
      <vt:variant>
        <vt:i4>93</vt:i4>
      </vt:variant>
      <vt:variant>
        <vt:i4>0</vt:i4>
      </vt:variant>
      <vt:variant>
        <vt:i4>5</vt:i4>
      </vt:variant>
      <vt:variant>
        <vt:lpwstr>https://www.legislation.gov.au/help-and-resources/understanding-legislation/reading-legislation</vt:lpwstr>
      </vt:variant>
      <vt:variant>
        <vt:lpwstr/>
      </vt:variant>
      <vt:variant>
        <vt:i4>7798908</vt:i4>
      </vt:variant>
      <vt:variant>
        <vt:i4>90</vt:i4>
      </vt:variant>
      <vt:variant>
        <vt:i4>0</vt:i4>
      </vt:variant>
      <vt:variant>
        <vt:i4>5</vt:i4>
      </vt:variant>
      <vt:variant>
        <vt:lpwstr>https://cer.gov.au/schemes/safeguard-mechanism</vt:lpwstr>
      </vt:variant>
      <vt:variant>
        <vt:lpwstr/>
      </vt:variant>
      <vt:variant>
        <vt:i4>7536766</vt:i4>
      </vt:variant>
      <vt:variant>
        <vt:i4>87</vt:i4>
      </vt:variant>
      <vt:variant>
        <vt:i4>0</vt:i4>
      </vt:variant>
      <vt:variant>
        <vt:i4>5</vt:i4>
      </vt:variant>
      <vt:variant>
        <vt:lpwstr>https://cer.gov.au/schemes/national-greenhouse-and-energy-reporting-scheme/assess-your-obligations</vt:lpwstr>
      </vt:variant>
      <vt:variant>
        <vt:lpwstr>n3-1</vt:lpwstr>
      </vt:variant>
      <vt:variant>
        <vt:i4>6291540</vt:i4>
      </vt:variant>
      <vt:variant>
        <vt:i4>9</vt:i4>
      </vt:variant>
      <vt:variant>
        <vt:i4>0</vt:i4>
      </vt:variant>
      <vt:variant>
        <vt:i4>5</vt:i4>
      </vt:variant>
      <vt:variant>
        <vt:lpwstr>mailto:Maya.Binns@cer.gov.au</vt:lpwstr>
      </vt:variant>
      <vt:variant>
        <vt:lpwstr/>
      </vt:variant>
      <vt:variant>
        <vt:i4>7995400</vt:i4>
      </vt:variant>
      <vt:variant>
        <vt:i4>6</vt:i4>
      </vt:variant>
      <vt:variant>
        <vt:i4>0</vt:i4>
      </vt:variant>
      <vt:variant>
        <vt:i4>5</vt:i4>
      </vt:variant>
      <vt:variant>
        <vt:lpwstr>mailto:cer-nger-reporting@cer.gov.au</vt:lpwstr>
      </vt:variant>
      <vt:variant>
        <vt:lpwstr/>
      </vt:variant>
      <vt:variant>
        <vt:i4>6291540</vt:i4>
      </vt:variant>
      <vt:variant>
        <vt:i4>3</vt:i4>
      </vt:variant>
      <vt:variant>
        <vt:i4>0</vt:i4>
      </vt:variant>
      <vt:variant>
        <vt:i4>5</vt:i4>
      </vt:variant>
      <vt:variant>
        <vt:lpwstr>mailto:Maya.Binns@cer.gov.au</vt:lpwstr>
      </vt:variant>
      <vt:variant>
        <vt:lpwstr/>
      </vt:variant>
      <vt:variant>
        <vt:i4>6291540</vt:i4>
      </vt:variant>
      <vt:variant>
        <vt:i4>0</vt:i4>
      </vt:variant>
      <vt:variant>
        <vt:i4>0</vt:i4>
      </vt:variant>
      <vt:variant>
        <vt:i4>5</vt:i4>
      </vt:variant>
      <vt:variant>
        <vt:lpwstr>mailto:Maya.Binns@cer.gov.au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and measurement criteria guideline</dc:title>
  <dc:subject/>
  <dc:creator/>
  <cp:keywords/>
  <cp:lastModifiedBy/>
  <cp:revision>1</cp:revision>
  <dcterms:created xsi:type="dcterms:W3CDTF">2025-08-13T23:29:00Z</dcterms:created>
  <dcterms:modified xsi:type="dcterms:W3CDTF">2025-08-13T23:33:00Z</dcterms:modified>
  <cp:contentStatus/>
</cp:coreProperties>
</file>