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7CBEDD" w14:textId="245FF7B5" w:rsidR="00977234" w:rsidRDefault="004744CC" w:rsidP="00146FC8">
      <w:pPr>
        <w:pStyle w:val="CERcovertitle"/>
        <w:tabs>
          <w:tab w:val="left" w:pos="5103"/>
        </w:tabs>
        <w:spacing w:before="2520"/>
        <w:ind w:left="5103" w:right="-41"/>
      </w:pPr>
      <w:r>
        <w:drawing>
          <wp:anchor distT="0" distB="0" distL="114300" distR="114300" simplePos="0" relativeHeight="251674624" behindDoc="0" locked="0" layoutInCell="1" allowOverlap="1" wp14:anchorId="61A23217" wp14:editId="20F2323E">
            <wp:simplePos x="0" y="0"/>
            <wp:positionH relativeFrom="column">
              <wp:posOffset>254000</wp:posOffset>
            </wp:positionH>
            <wp:positionV relativeFrom="page">
              <wp:posOffset>2393950</wp:posOffset>
            </wp:positionV>
            <wp:extent cx="2664000" cy="2664000"/>
            <wp:effectExtent l="0" t="0" r="0" b="0"/>
            <wp:wrapNone/>
            <wp:docPr id="22" name="Picture 22" descr="Gears outline">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Gears outline">
                      <a:extLst>
                        <a:ext uri="{C183D7F6-B498-43B3-948B-1728B52AA6E4}">
                          <adec:decorative xmlns:adec="http://schemas.microsoft.com/office/drawing/2017/decorative" val="1"/>
                        </a:ext>
                      </a:extLst>
                    </pic:cNvPr>
                    <pic:cNvPicPr/>
                  </pic:nvPicPr>
                  <pic:blipFill>
                    <a:blip r:embed="rId9">
                      <a:extLst>
                        <a:ext uri="{96DAC541-7B7A-43D3-8B79-37D633B846F1}">
                          <asvg:svgBlip xmlns:asvg="http://schemas.microsoft.com/office/drawing/2016/SVG/main" r:embed="rId10"/>
                        </a:ext>
                      </a:extLst>
                    </a:blip>
                    <a:stretch>
                      <a:fillRect/>
                    </a:stretch>
                  </pic:blipFill>
                  <pic:spPr>
                    <a:xfrm>
                      <a:off x="0" y="0"/>
                      <a:ext cx="2664000" cy="2664000"/>
                    </a:xfrm>
                    <a:prstGeom prst="rect">
                      <a:avLst/>
                    </a:prstGeom>
                  </pic:spPr>
                </pic:pic>
              </a:graphicData>
            </a:graphic>
            <wp14:sizeRelH relativeFrom="page">
              <wp14:pctWidth>0</wp14:pctWidth>
            </wp14:sizeRelH>
            <wp14:sizeRelV relativeFrom="page">
              <wp14:pctHeight>0</wp14:pctHeight>
            </wp14:sizeRelV>
          </wp:anchor>
        </w:drawing>
      </w:r>
      <w:r w:rsidR="001813DE" w:rsidRPr="001813DE">
        <w:rPr>
          <w:rFonts w:asciiTheme="minorHAnsi" w:hAnsiTheme="minorHAnsi"/>
        </w:rPr>
        <mc:AlternateContent>
          <mc:Choice Requires="wps">
            <w:drawing>
              <wp:anchor distT="0" distB="0" distL="114300" distR="114300" simplePos="0" relativeHeight="251659264" behindDoc="0" locked="0" layoutInCell="1" allowOverlap="1" wp14:anchorId="5C33DEED" wp14:editId="48855518">
                <wp:simplePos x="0" y="0"/>
                <wp:positionH relativeFrom="column">
                  <wp:posOffset>-19050</wp:posOffset>
                </wp:positionH>
                <wp:positionV relativeFrom="paragraph">
                  <wp:posOffset>893445</wp:posOffset>
                </wp:positionV>
                <wp:extent cx="6192000" cy="6185230"/>
                <wp:effectExtent l="0" t="0" r="0" b="6350"/>
                <wp:wrapNone/>
                <wp:docPr id="15" name="Freeform 14">
                  <a:extLst xmlns:a="http://schemas.openxmlformats.org/drawingml/2006/main">
                    <a:ext uri="{FF2B5EF4-FFF2-40B4-BE49-F238E27FC236}">
                      <a16:creationId xmlns:a16="http://schemas.microsoft.com/office/drawing/2014/main" id="{833A9379-F33B-6747-102E-56A337149380}"/>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192000" cy="6185230"/>
                        </a:xfrm>
                        <a:custGeom>
                          <a:avLst/>
                          <a:gdLst>
                            <a:gd name="connsiteX0" fmla="*/ 5805660 w 7550841"/>
                            <a:gd name="connsiteY0" fmla="*/ 5698644 h 7542959"/>
                            <a:gd name="connsiteX1" fmla="*/ 7449582 w 7550841"/>
                            <a:gd name="connsiteY1" fmla="*/ 5698644 h 7542959"/>
                            <a:gd name="connsiteX2" fmla="*/ 7550841 w 7550841"/>
                            <a:gd name="connsiteY2" fmla="*/ 5788610 h 7542959"/>
                            <a:gd name="connsiteX3" fmla="*/ 7550841 w 7550841"/>
                            <a:gd name="connsiteY3" fmla="*/ 7441836 h 7542959"/>
                            <a:gd name="connsiteX4" fmla="*/ 7449582 w 7550841"/>
                            <a:gd name="connsiteY4" fmla="*/ 7542959 h 7542959"/>
                            <a:gd name="connsiteX5" fmla="*/ 5805660 w 7550841"/>
                            <a:gd name="connsiteY5" fmla="*/ 7542959 h 7542959"/>
                            <a:gd name="connsiteX6" fmla="*/ 5704401 w 7550841"/>
                            <a:gd name="connsiteY6" fmla="*/ 7441836 h 7542959"/>
                            <a:gd name="connsiteX7" fmla="*/ 5704401 w 7550841"/>
                            <a:gd name="connsiteY7" fmla="*/ 5788610 h 7542959"/>
                            <a:gd name="connsiteX8" fmla="*/ 3894784 w 7550841"/>
                            <a:gd name="connsiteY8" fmla="*/ 5698644 h 7542959"/>
                            <a:gd name="connsiteX9" fmla="*/ 5559985 w 7550841"/>
                            <a:gd name="connsiteY9" fmla="*/ 5698644 h 7542959"/>
                            <a:gd name="connsiteX10" fmla="*/ 5650604 w 7550841"/>
                            <a:gd name="connsiteY10" fmla="*/ 5788610 h 7542959"/>
                            <a:gd name="connsiteX11" fmla="*/ 5650604 w 7550841"/>
                            <a:gd name="connsiteY11" fmla="*/ 7441836 h 7542959"/>
                            <a:gd name="connsiteX12" fmla="*/ 5559985 w 7550841"/>
                            <a:gd name="connsiteY12" fmla="*/ 7542959 h 7542959"/>
                            <a:gd name="connsiteX13" fmla="*/ 3894784 w 7550841"/>
                            <a:gd name="connsiteY13" fmla="*/ 7542959 h 7542959"/>
                            <a:gd name="connsiteX14" fmla="*/ 3804166 w 7550841"/>
                            <a:gd name="connsiteY14" fmla="*/ 7441836 h 7542959"/>
                            <a:gd name="connsiteX15" fmla="*/ 3804166 w 7550841"/>
                            <a:gd name="connsiteY15" fmla="*/ 5788610 h 7542959"/>
                            <a:gd name="connsiteX16" fmla="*/ 2001855 w 7550841"/>
                            <a:gd name="connsiteY16" fmla="*/ 5698644 h 7542959"/>
                            <a:gd name="connsiteX17" fmla="*/ 3645777 w 7550841"/>
                            <a:gd name="connsiteY17" fmla="*/ 5698644 h 7542959"/>
                            <a:gd name="connsiteX18" fmla="*/ 3747036 w 7550841"/>
                            <a:gd name="connsiteY18" fmla="*/ 5788610 h 7542959"/>
                            <a:gd name="connsiteX19" fmla="*/ 3747036 w 7550841"/>
                            <a:gd name="connsiteY19" fmla="*/ 7441836 h 7542959"/>
                            <a:gd name="connsiteX20" fmla="*/ 3645777 w 7550841"/>
                            <a:gd name="connsiteY20" fmla="*/ 7542959 h 7542959"/>
                            <a:gd name="connsiteX21" fmla="*/ 2001855 w 7550841"/>
                            <a:gd name="connsiteY21" fmla="*/ 7542959 h 7542959"/>
                            <a:gd name="connsiteX22" fmla="*/ 1900596 w 7550841"/>
                            <a:gd name="connsiteY22" fmla="*/ 7441836 h 7542959"/>
                            <a:gd name="connsiteX23" fmla="*/ 1900596 w 7550841"/>
                            <a:gd name="connsiteY23" fmla="*/ 5788610 h 7542959"/>
                            <a:gd name="connsiteX24" fmla="*/ 3894784 w 7550841"/>
                            <a:gd name="connsiteY24" fmla="*/ 3796819 h 7542959"/>
                            <a:gd name="connsiteX25" fmla="*/ 5115195 w 7550841"/>
                            <a:gd name="connsiteY25" fmla="*/ 3796819 h 7542959"/>
                            <a:gd name="connsiteX26" fmla="*/ 5559985 w 7550841"/>
                            <a:gd name="connsiteY26" fmla="*/ 3796819 h 7542959"/>
                            <a:gd name="connsiteX27" fmla="*/ 5805660 w 7550841"/>
                            <a:gd name="connsiteY27" fmla="*/ 3796819 h 7542959"/>
                            <a:gd name="connsiteX28" fmla="*/ 6759117 w 7550841"/>
                            <a:gd name="connsiteY28" fmla="*/ 3796819 h 7542959"/>
                            <a:gd name="connsiteX29" fmla="*/ 7449582 w 7550841"/>
                            <a:gd name="connsiteY29" fmla="*/ 3796819 h 7542959"/>
                            <a:gd name="connsiteX30" fmla="*/ 7550841 w 7550841"/>
                            <a:gd name="connsiteY30" fmla="*/ 3886786 h 7542959"/>
                            <a:gd name="connsiteX31" fmla="*/ 7550841 w 7550841"/>
                            <a:gd name="connsiteY31" fmla="*/ 5540012 h 7542959"/>
                            <a:gd name="connsiteX32" fmla="*/ 7449582 w 7550841"/>
                            <a:gd name="connsiteY32" fmla="*/ 5641134 h 7542959"/>
                            <a:gd name="connsiteX33" fmla="*/ 6759117 w 7550841"/>
                            <a:gd name="connsiteY33" fmla="*/ 5641134 h 7542959"/>
                            <a:gd name="connsiteX34" fmla="*/ 5805660 w 7550841"/>
                            <a:gd name="connsiteY34" fmla="*/ 5641134 h 7542959"/>
                            <a:gd name="connsiteX35" fmla="*/ 5559985 w 7550841"/>
                            <a:gd name="connsiteY35" fmla="*/ 5641134 h 7542959"/>
                            <a:gd name="connsiteX36" fmla="*/ 5115195 w 7550841"/>
                            <a:gd name="connsiteY36" fmla="*/ 5641134 h 7542959"/>
                            <a:gd name="connsiteX37" fmla="*/ 3894784 w 7550841"/>
                            <a:gd name="connsiteY37" fmla="*/ 5641134 h 7542959"/>
                            <a:gd name="connsiteX38" fmla="*/ 3804166 w 7550841"/>
                            <a:gd name="connsiteY38" fmla="*/ 5551150 h 7542959"/>
                            <a:gd name="connsiteX39" fmla="*/ 3804166 w 7550841"/>
                            <a:gd name="connsiteY39" fmla="*/ 3897961 h 7542959"/>
                            <a:gd name="connsiteX40" fmla="*/ 1991217 w 7550841"/>
                            <a:gd name="connsiteY40" fmla="*/ 3796819 h 7542959"/>
                            <a:gd name="connsiteX41" fmla="*/ 3656417 w 7550841"/>
                            <a:gd name="connsiteY41" fmla="*/ 3796819 h 7542959"/>
                            <a:gd name="connsiteX42" fmla="*/ 3747036 w 7550841"/>
                            <a:gd name="connsiteY42" fmla="*/ 3897961 h 7542959"/>
                            <a:gd name="connsiteX43" fmla="*/ 3747036 w 7550841"/>
                            <a:gd name="connsiteY43" fmla="*/ 5551150 h 7542959"/>
                            <a:gd name="connsiteX44" fmla="*/ 3656417 w 7550841"/>
                            <a:gd name="connsiteY44" fmla="*/ 5641134 h 7542959"/>
                            <a:gd name="connsiteX45" fmla="*/ 1991217 w 7550841"/>
                            <a:gd name="connsiteY45" fmla="*/ 5641134 h 7542959"/>
                            <a:gd name="connsiteX46" fmla="*/ 1900599 w 7550841"/>
                            <a:gd name="connsiteY46" fmla="*/ 5551150 h 7542959"/>
                            <a:gd name="connsiteX47" fmla="*/ 1900599 w 7550841"/>
                            <a:gd name="connsiteY47" fmla="*/ 3897961 h 7542959"/>
                            <a:gd name="connsiteX48" fmla="*/ 90980 w 7550841"/>
                            <a:gd name="connsiteY48" fmla="*/ 3796819 h 7542959"/>
                            <a:gd name="connsiteX49" fmla="*/ 1756180 w 7550841"/>
                            <a:gd name="connsiteY49" fmla="*/ 3796819 h 7542959"/>
                            <a:gd name="connsiteX50" fmla="*/ 1846799 w 7550841"/>
                            <a:gd name="connsiteY50" fmla="*/ 3886785 h 7542959"/>
                            <a:gd name="connsiteX51" fmla="*/ 1846799 w 7550841"/>
                            <a:gd name="connsiteY51" fmla="*/ 5540011 h 7542959"/>
                            <a:gd name="connsiteX52" fmla="*/ 1756180 w 7550841"/>
                            <a:gd name="connsiteY52" fmla="*/ 5641134 h 7542959"/>
                            <a:gd name="connsiteX53" fmla="*/ 90980 w 7550841"/>
                            <a:gd name="connsiteY53" fmla="*/ 5641134 h 7542959"/>
                            <a:gd name="connsiteX54" fmla="*/ 361 w 7550841"/>
                            <a:gd name="connsiteY54" fmla="*/ 5540011 h 7542959"/>
                            <a:gd name="connsiteX55" fmla="*/ 361 w 7550841"/>
                            <a:gd name="connsiteY55" fmla="*/ 3886785 h 7542959"/>
                            <a:gd name="connsiteX56" fmla="*/ 90009 w 7550841"/>
                            <a:gd name="connsiteY56" fmla="*/ 0 h 7542959"/>
                            <a:gd name="connsiteX57" fmla="*/ 3645017 w 7550841"/>
                            <a:gd name="connsiteY57" fmla="*/ 0 h 7542959"/>
                            <a:gd name="connsiteX58" fmla="*/ 3735026 w 7550841"/>
                            <a:gd name="connsiteY58" fmla="*/ 90009 h 7542959"/>
                            <a:gd name="connsiteX59" fmla="*/ 3735026 w 7550841"/>
                            <a:gd name="connsiteY59" fmla="*/ 1226288 h 7542959"/>
                            <a:gd name="connsiteX60" fmla="*/ 3735026 w 7550841"/>
                            <a:gd name="connsiteY60" fmla="*/ 1744021 h 7542959"/>
                            <a:gd name="connsiteX61" fmla="*/ 3735026 w 7550841"/>
                            <a:gd name="connsiteY61" fmla="*/ 1991367 h 7542959"/>
                            <a:gd name="connsiteX62" fmla="*/ 3735026 w 7550841"/>
                            <a:gd name="connsiteY62" fmla="*/ 2879939 h 7542959"/>
                            <a:gd name="connsiteX63" fmla="*/ 3735026 w 7550841"/>
                            <a:gd name="connsiteY63" fmla="*/ 3633858 h 7542959"/>
                            <a:gd name="connsiteX64" fmla="*/ 3645017 w 7550841"/>
                            <a:gd name="connsiteY64" fmla="*/ 3735028 h 7542959"/>
                            <a:gd name="connsiteX65" fmla="*/ 2689118 w 7550841"/>
                            <a:gd name="connsiteY65" fmla="*/ 3735028 h 7542959"/>
                            <a:gd name="connsiteX66" fmla="*/ 1991366 w 7550841"/>
                            <a:gd name="connsiteY66" fmla="*/ 3735028 h 7542959"/>
                            <a:gd name="connsiteX67" fmla="*/ 1744020 w 7550841"/>
                            <a:gd name="connsiteY67" fmla="*/ 3735028 h 7542959"/>
                            <a:gd name="connsiteX68" fmla="*/ 1035107 w 7550841"/>
                            <a:gd name="connsiteY68" fmla="*/ 3735028 h 7542959"/>
                            <a:gd name="connsiteX69" fmla="*/ 90009 w 7550841"/>
                            <a:gd name="connsiteY69" fmla="*/ 3735028 h 7542959"/>
                            <a:gd name="connsiteX70" fmla="*/ 0 w 7550841"/>
                            <a:gd name="connsiteY70" fmla="*/ 3633858 h 7542959"/>
                            <a:gd name="connsiteX71" fmla="*/ 0 w 7550841"/>
                            <a:gd name="connsiteY71" fmla="*/ 2879939 h 7542959"/>
                            <a:gd name="connsiteX72" fmla="*/ 0 w 7550841"/>
                            <a:gd name="connsiteY72" fmla="*/ 1991367 h 7542959"/>
                            <a:gd name="connsiteX73" fmla="*/ 0 w 7550841"/>
                            <a:gd name="connsiteY73" fmla="*/ 1744021 h 7542959"/>
                            <a:gd name="connsiteX74" fmla="*/ 0 w 7550841"/>
                            <a:gd name="connsiteY74" fmla="*/ 1226288 h 7542959"/>
                            <a:gd name="connsiteX75" fmla="*/ 0 w 7550841"/>
                            <a:gd name="connsiteY75" fmla="*/ 90009 h 754295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Lst>
                          <a:rect l="l" t="t" r="r" b="b"/>
                          <a:pathLst>
                            <a:path w="7550841" h="7542959">
                              <a:moveTo>
                                <a:pt x="5805660" y="5698644"/>
                              </a:moveTo>
                              <a:lnTo>
                                <a:pt x="7449582" y="5698644"/>
                              </a:lnTo>
                              <a:lnTo>
                                <a:pt x="7550841" y="5788610"/>
                              </a:lnTo>
                              <a:lnTo>
                                <a:pt x="7550841" y="7441836"/>
                              </a:lnTo>
                              <a:lnTo>
                                <a:pt x="7449582" y="7542959"/>
                              </a:lnTo>
                              <a:lnTo>
                                <a:pt x="5805660" y="7542959"/>
                              </a:lnTo>
                              <a:lnTo>
                                <a:pt x="5704401" y="7441836"/>
                              </a:lnTo>
                              <a:lnTo>
                                <a:pt x="5704401" y="5788610"/>
                              </a:lnTo>
                              <a:close/>
                              <a:moveTo>
                                <a:pt x="3894784" y="5698644"/>
                              </a:moveTo>
                              <a:lnTo>
                                <a:pt x="5559985" y="5698644"/>
                              </a:lnTo>
                              <a:lnTo>
                                <a:pt x="5650604" y="5788610"/>
                              </a:lnTo>
                              <a:lnTo>
                                <a:pt x="5650604" y="7441836"/>
                              </a:lnTo>
                              <a:lnTo>
                                <a:pt x="5559985" y="7542959"/>
                              </a:lnTo>
                              <a:lnTo>
                                <a:pt x="3894784" y="7542959"/>
                              </a:lnTo>
                              <a:lnTo>
                                <a:pt x="3804166" y="7441836"/>
                              </a:lnTo>
                              <a:lnTo>
                                <a:pt x="3804166" y="5788610"/>
                              </a:lnTo>
                              <a:close/>
                              <a:moveTo>
                                <a:pt x="2001855" y="5698644"/>
                              </a:moveTo>
                              <a:lnTo>
                                <a:pt x="3645777" y="5698644"/>
                              </a:lnTo>
                              <a:lnTo>
                                <a:pt x="3747036" y="5788610"/>
                              </a:lnTo>
                              <a:lnTo>
                                <a:pt x="3747036" y="7441836"/>
                              </a:lnTo>
                              <a:lnTo>
                                <a:pt x="3645777" y="7542959"/>
                              </a:lnTo>
                              <a:lnTo>
                                <a:pt x="2001855" y="7542959"/>
                              </a:lnTo>
                              <a:lnTo>
                                <a:pt x="1900596" y="7441836"/>
                              </a:lnTo>
                              <a:lnTo>
                                <a:pt x="1900596" y="5788610"/>
                              </a:lnTo>
                              <a:close/>
                              <a:moveTo>
                                <a:pt x="3894784" y="3796819"/>
                              </a:moveTo>
                              <a:lnTo>
                                <a:pt x="5115195" y="3796819"/>
                              </a:lnTo>
                              <a:lnTo>
                                <a:pt x="5559985" y="3796819"/>
                              </a:lnTo>
                              <a:lnTo>
                                <a:pt x="5805660" y="3796819"/>
                              </a:lnTo>
                              <a:lnTo>
                                <a:pt x="6759117" y="3796819"/>
                              </a:lnTo>
                              <a:lnTo>
                                <a:pt x="7449582" y="3796819"/>
                              </a:lnTo>
                              <a:lnTo>
                                <a:pt x="7550841" y="3886786"/>
                              </a:lnTo>
                              <a:lnTo>
                                <a:pt x="7550841" y="5540012"/>
                              </a:lnTo>
                              <a:lnTo>
                                <a:pt x="7449582" y="5641134"/>
                              </a:lnTo>
                              <a:lnTo>
                                <a:pt x="6759117" y="5641134"/>
                              </a:lnTo>
                              <a:lnTo>
                                <a:pt x="5805660" y="5641134"/>
                              </a:lnTo>
                              <a:lnTo>
                                <a:pt x="5559985" y="5641134"/>
                              </a:lnTo>
                              <a:lnTo>
                                <a:pt x="5115195" y="5641134"/>
                              </a:lnTo>
                              <a:lnTo>
                                <a:pt x="3894784" y="5641134"/>
                              </a:lnTo>
                              <a:lnTo>
                                <a:pt x="3804166" y="5551150"/>
                              </a:lnTo>
                              <a:lnTo>
                                <a:pt x="3804166" y="3897961"/>
                              </a:lnTo>
                              <a:close/>
                              <a:moveTo>
                                <a:pt x="1991217" y="3796819"/>
                              </a:moveTo>
                              <a:lnTo>
                                <a:pt x="3656417" y="3796819"/>
                              </a:lnTo>
                              <a:lnTo>
                                <a:pt x="3747036" y="3897961"/>
                              </a:lnTo>
                              <a:lnTo>
                                <a:pt x="3747036" y="5551150"/>
                              </a:lnTo>
                              <a:lnTo>
                                <a:pt x="3656417" y="5641134"/>
                              </a:lnTo>
                              <a:lnTo>
                                <a:pt x="1991217" y="5641134"/>
                              </a:lnTo>
                              <a:lnTo>
                                <a:pt x="1900599" y="5551150"/>
                              </a:lnTo>
                              <a:lnTo>
                                <a:pt x="1900599" y="3897961"/>
                              </a:lnTo>
                              <a:close/>
                              <a:moveTo>
                                <a:pt x="90980" y="3796819"/>
                              </a:moveTo>
                              <a:lnTo>
                                <a:pt x="1756180" y="3796819"/>
                              </a:lnTo>
                              <a:lnTo>
                                <a:pt x="1846799" y="3886785"/>
                              </a:lnTo>
                              <a:lnTo>
                                <a:pt x="1846799" y="5540011"/>
                              </a:lnTo>
                              <a:lnTo>
                                <a:pt x="1756180" y="5641134"/>
                              </a:lnTo>
                              <a:lnTo>
                                <a:pt x="90980" y="5641134"/>
                              </a:lnTo>
                              <a:lnTo>
                                <a:pt x="361" y="5540011"/>
                              </a:lnTo>
                              <a:lnTo>
                                <a:pt x="361" y="3886785"/>
                              </a:lnTo>
                              <a:close/>
                              <a:moveTo>
                                <a:pt x="90009" y="0"/>
                              </a:moveTo>
                              <a:lnTo>
                                <a:pt x="3645017" y="0"/>
                              </a:lnTo>
                              <a:lnTo>
                                <a:pt x="3735026" y="90009"/>
                              </a:lnTo>
                              <a:lnTo>
                                <a:pt x="3735026" y="1226288"/>
                              </a:lnTo>
                              <a:lnTo>
                                <a:pt x="3735026" y="1744021"/>
                              </a:lnTo>
                              <a:lnTo>
                                <a:pt x="3735026" y="1991367"/>
                              </a:lnTo>
                              <a:lnTo>
                                <a:pt x="3735026" y="2879939"/>
                              </a:lnTo>
                              <a:lnTo>
                                <a:pt x="3735026" y="3633858"/>
                              </a:lnTo>
                              <a:lnTo>
                                <a:pt x="3645017" y="3735028"/>
                              </a:lnTo>
                              <a:lnTo>
                                <a:pt x="2689118" y="3735028"/>
                              </a:lnTo>
                              <a:lnTo>
                                <a:pt x="1991366" y="3735028"/>
                              </a:lnTo>
                              <a:lnTo>
                                <a:pt x="1744020" y="3735028"/>
                              </a:lnTo>
                              <a:lnTo>
                                <a:pt x="1035107" y="3735028"/>
                              </a:lnTo>
                              <a:lnTo>
                                <a:pt x="90009" y="3735028"/>
                              </a:lnTo>
                              <a:lnTo>
                                <a:pt x="0" y="3633858"/>
                              </a:lnTo>
                              <a:lnTo>
                                <a:pt x="0" y="2879939"/>
                              </a:lnTo>
                              <a:lnTo>
                                <a:pt x="0" y="1991367"/>
                              </a:lnTo>
                              <a:lnTo>
                                <a:pt x="0" y="1744021"/>
                              </a:lnTo>
                              <a:lnTo>
                                <a:pt x="0" y="1226288"/>
                              </a:lnTo>
                              <a:lnTo>
                                <a:pt x="0" y="90009"/>
                              </a:lnTo>
                              <a:close/>
                            </a:path>
                          </a:pathLst>
                        </a:custGeom>
                        <a:solidFill>
                          <a:schemeClr val="accent1"/>
                        </a:solidFill>
                        <a:ln>
                          <a:noFill/>
                        </a:ln>
                        <a:effectLst/>
                      </wps:spPr>
                      <wps:bodyPr wrap="square" anchor="ctr">
                        <a:noAutofit/>
                      </wps:bodyPr>
                    </wps:wsp>
                  </a:graphicData>
                </a:graphic>
                <wp14:sizeRelH relativeFrom="margin">
                  <wp14:pctWidth>0</wp14:pctWidth>
                </wp14:sizeRelH>
                <wp14:sizeRelV relativeFrom="margin">
                  <wp14:pctHeight>0</wp14:pctHeight>
                </wp14:sizeRelV>
              </wp:anchor>
            </w:drawing>
          </mc:Choice>
          <mc:Fallback>
            <w:pict>
              <v:shape w14:anchorId="4B8DC1DD" id="Freeform 14" o:spid="_x0000_s1026" alt="&quot;&quot;" style="position:absolute;margin-left:-1.5pt;margin-top:70.35pt;width:487.55pt;height:487.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550841,75429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" path="m5805660,5698644r1643922,l7550841,5788610r,1653226l7449582,7542959r-1643922,l5704401,7441836r,-1653226l5805660,5698644xm3894784,5698644r1665201,l5650604,5788610r,1653226l5559985,7542959r-1665201,l3804166,7441836r,-1653226l3894784,5698644xm2001855,5698644r1643922,l3747036,5788610r,1653226l3645777,7542959r-1643922,l1900596,7441836r,-1653226l2001855,5698644xm3894784,3796819r1220411,l5559985,3796819r245675,l6759117,3796819r690465,l7550841,3886786r,1653226l7449582,5641134r-690465,l5805660,5641134r-245675,l5115195,5641134r-1220411,l3804166,5551150r,-1653189l3894784,3796819xm1991217,3796819r1665200,l3747036,3897961r,1653189l3656417,5641134r-1665200,l1900599,5551150r,-1653189l1991217,3796819xm90980,3796819r1665200,l1846799,3886785r,1653226l1756180,5641134r-1665200,l361,5540011r,-1653226l90980,3796819xm90009,l3645017,r90009,90009l3735026,1226288r,517733l3735026,1991367r,888572l3735026,3633858r-90009,101170l2689118,3735028r-697752,l1744020,3735028r-708913,l90009,3735028,,3633858,,2879939,,1991367,,1744021,,1226288,,90009,90009,xe" fillcolor="#9fb76f [3204]" stroked="f">
                <v:path arrowok="t" o:connecttype="custom" o:connectlocs="4760880,4672891;6108963,4672891;6192000,4746663;6192000,6102309;6108963,6185230;4760880,6185230;4677843,6102309;4677843,4746663;3193883,4672891;4559416,4672891;4633728,4746663;4633728,6102309;4559416,6185230;3193883,6185230;3119572,6102309;3119572,4746663;1641603,4672891;2989687,4672891;3072724,4746663;3072724,6102309;2989687,6185230;1641603,6185230;1558567,6102309;1558567,4746663;3193883,3113393;4194670,3113393;4559416,3113393;4760880,3113393;5542754,3113393;6108963,3113393;6192000,3187166;6192000,4542812;6108963,4625733;5542754,4625733;4760880,4625733;4559416,4625733;4194670,4625733;3193883,4625733;3119572,4551946;3119572,3196330;1632880,3113393;2998412,3113393;3072724,3196330;3072724,4551946;2998412,4625733;1632880,4625733;1558569,4551946;1558569,3196330;74607,3113393;1440140,3113393;1514451,3187166;1514451,4542812;1440140,4625733;74607,4625733;296,4542812;296,3187166;73811,0;2989064,0;3062875,73807;3062875,1005557;3062875,1430098;3062875,1632922;3062875,2361551;3062875,2979765;2989064,3062725;2205187,3062725;1633002,3062725;1430168,3062725;848830,3062725;73811,3062725;0,2979765;0,2361551;0,1632922;0,1430098;0,1005557;0,73807" o:connectangles="0,0,0,0,0,0,0,0,0,0,0,0,0,0,0,0,0,0,0,0,0,0,0,0,0,0,0,0,0,0,0,0,0,0,0,0,0,0,0,0,0,0,0,0,0,0,0,0,0,0,0,0,0,0,0,0,0,0,0,0,0,0,0,0,0,0,0,0,0,0,0,0,0,0,0,0"/>
                <o:lock v:ext="edit" aspectratio="t"/>
              </v:shape>
            </w:pict>
          </mc:Fallback>
        </mc:AlternateContent>
      </w:r>
      <w:r>
        <w:rPr>
          <w:rFonts w:asciiTheme="minorHAnsi" w:hAnsiTheme="minorHAnsi"/>
        </w:rPr>
        <w:t>Landfill site plan and verification requirements</w:t>
      </w:r>
    </w:p>
    <w:p w14:paraId="14B3138E" w14:textId="157C59A5" w:rsidR="003A5739" w:rsidRPr="00253FFC" w:rsidRDefault="004744CC" w:rsidP="001813DE">
      <w:pPr>
        <w:pStyle w:val="CERcoversubtitle"/>
        <w:tabs>
          <w:tab w:val="left" w:pos="3969"/>
        </w:tabs>
        <w:ind w:left="5103" w:right="101"/>
      </w:pPr>
      <w:r>
        <w:t>Methods 2 and 3</w:t>
      </w:r>
      <w:r w:rsidR="003A5739" w:rsidRPr="00253FFC">
        <w:t xml:space="preserve"> </w:t>
      </w:r>
    </w:p>
    <w:p w14:paraId="288600BB" w14:textId="26E198FA" w:rsidR="0021782A" w:rsidRPr="00531F3B" w:rsidRDefault="004744CC" w:rsidP="001813DE">
      <w:pPr>
        <w:tabs>
          <w:tab w:val="left" w:pos="3969"/>
        </w:tabs>
        <w:ind w:left="5103" w:right="101"/>
      </w:pPr>
      <w:r>
        <w:t>Published July 2021</w:t>
      </w:r>
      <w:r w:rsidR="00BA27FC">
        <w:t>. In force from 2020</w:t>
      </w:r>
      <w:r w:rsidR="00202782">
        <w:t>–</w:t>
      </w:r>
      <w:r w:rsidR="00BA27FC">
        <w:t>21 onwards.</w:t>
      </w:r>
      <w:r>
        <w:rPr>
          <w:noProof/>
        </w:rPr>
        <w:drawing>
          <wp:anchor distT="0" distB="0" distL="114300" distR="114300" simplePos="0" relativeHeight="251682816" behindDoc="0" locked="0" layoutInCell="1" allowOverlap="1" wp14:anchorId="006FECC0" wp14:editId="09A330D3">
            <wp:simplePos x="0" y="0"/>
            <wp:positionH relativeFrom="column">
              <wp:posOffset>4762500</wp:posOffset>
            </wp:positionH>
            <wp:positionV relativeFrom="page">
              <wp:posOffset>6981190</wp:posOffset>
            </wp:positionV>
            <wp:extent cx="1328400" cy="1328400"/>
            <wp:effectExtent l="0" t="0" r="5715" b="0"/>
            <wp:wrapNone/>
            <wp:docPr id="27" name="Picture 27" descr="Bulldozer outline">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descr="Bulldozer outline">
                      <a:extLst>
                        <a:ext uri="{C183D7F6-B498-43B3-948B-1728B52AA6E4}">
                          <adec:decorative xmlns:adec="http://schemas.microsoft.com/office/drawing/2017/decorative" val="1"/>
                        </a:ext>
                      </a:extLst>
                    </pic:cNvPr>
                    <pic:cNvPicPr/>
                  </pic:nvPicPr>
                  <pic:blipFill>
                    <a:blip r:embed="rId11">
                      <a:extLst>
                        <a:ext uri="{96DAC541-7B7A-43D3-8B79-37D633B846F1}">
                          <asvg:svgBlip xmlns:asvg="http://schemas.microsoft.com/office/drawing/2016/SVG/main" r:embed="rId12"/>
                        </a:ext>
                      </a:extLst>
                    </a:blip>
                    <a:stretch>
                      <a:fillRect/>
                    </a:stretch>
                  </pic:blipFill>
                  <pic:spPr>
                    <a:xfrm>
                      <a:off x="0" y="0"/>
                      <a:ext cx="1328400" cy="132840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8720" behindDoc="0" locked="0" layoutInCell="1" allowOverlap="1" wp14:anchorId="34EFA104" wp14:editId="7F1F56AE">
            <wp:simplePos x="0" y="0"/>
            <wp:positionH relativeFrom="column">
              <wp:posOffset>1651000</wp:posOffset>
            </wp:positionH>
            <wp:positionV relativeFrom="page">
              <wp:posOffset>5412740</wp:posOffset>
            </wp:positionV>
            <wp:extent cx="1327785" cy="1327785"/>
            <wp:effectExtent l="0" t="0" r="0" b="0"/>
            <wp:wrapNone/>
            <wp:docPr id="18" name="Picture 18" descr="Factory outline">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Factory outline">
                      <a:extLst>
                        <a:ext uri="{C183D7F6-B498-43B3-948B-1728B52AA6E4}">
                          <adec:decorative xmlns:adec="http://schemas.microsoft.com/office/drawing/2017/decorative" val="1"/>
                        </a:ext>
                      </a:extLst>
                    </pic:cNvPr>
                    <pic:cNvPicPr/>
                  </pic:nvPicPr>
                  <pic:blipFill>
                    <a:blip r:embed="rId13">
                      <a:extLst>
                        <a:ext uri="{96DAC541-7B7A-43D3-8B79-37D633B846F1}">
                          <asvg:svgBlip xmlns:asvg="http://schemas.microsoft.com/office/drawing/2016/SVG/main" r:embed="rId14"/>
                        </a:ext>
                      </a:extLst>
                    </a:blip>
                    <a:stretch>
                      <a:fillRect/>
                    </a:stretch>
                  </pic:blipFill>
                  <pic:spPr>
                    <a:xfrm>
                      <a:off x="0" y="0"/>
                      <a:ext cx="1327785" cy="132778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80768" behindDoc="0" locked="0" layoutInCell="1" allowOverlap="1" wp14:anchorId="223FD596" wp14:editId="14EBFF1A">
            <wp:simplePos x="0" y="0"/>
            <wp:positionH relativeFrom="column">
              <wp:posOffset>3873500</wp:posOffset>
            </wp:positionH>
            <wp:positionV relativeFrom="page">
              <wp:posOffset>5340350</wp:posOffset>
            </wp:positionV>
            <wp:extent cx="1419860" cy="1419860"/>
            <wp:effectExtent l="0" t="0" r="8890" b="0"/>
            <wp:wrapNone/>
            <wp:docPr id="20" name="Picture 20" descr="Solar Panels outline">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Solar Panels outline">
                      <a:extLst>
                        <a:ext uri="{C183D7F6-B498-43B3-948B-1728B52AA6E4}">
                          <adec:decorative xmlns:adec="http://schemas.microsoft.com/office/drawing/2017/decorative" val="1"/>
                        </a:ext>
                      </a:extLst>
                    </pic:cNvPr>
                    <pic:cNvPicPr/>
                  </pic:nvPicPr>
                  <pic:blipFill>
                    <a:blip r:embed="rId15">
                      <a:extLst>
                        <a:ext uri="{96DAC541-7B7A-43D3-8B79-37D633B846F1}">
                          <asvg:svgBlip xmlns:asvg="http://schemas.microsoft.com/office/drawing/2016/SVG/main" r:embed="rId16"/>
                        </a:ext>
                      </a:extLst>
                    </a:blip>
                    <a:stretch>
                      <a:fillRect/>
                    </a:stretch>
                  </pic:blipFill>
                  <pic:spPr>
                    <a:xfrm>
                      <a:off x="0" y="0"/>
                      <a:ext cx="1419860" cy="141986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6672" behindDoc="0" locked="0" layoutInCell="1" allowOverlap="1" wp14:anchorId="6A185B74" wp14:editId="0BC67759">
            <wp:simplePos x="0" y="0"/>
            <wp:positionH relativeFrom="column">
              <wp:posOffset>76200</wp:posOffset>
            </wp:positionH>
            <wp:positionV relativeFrom="page">
              <wp:posOffset>5400040</wp:posOffset>
            </wp:positionV>
            <wp:extent cx="1327785" cy="1327785"/>
            <wp:effectExtent l="0" t="0" r="5715" b="0"/>
            <wp:wrapNone/>
            <wp:docPr id="16" name="Picture 16" descr="Power Plant outline">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Power Plant outline">
                      <a:extLst>
                        <a:ext uri="{C183D7F6-B498-43B3-948B-1728B52AA6E4}">
                          <adec:decorative xmlns:adec="http://schemas.microsoft.com/office/drawing/2017/decorative" val="1"/>
                        </a:ext>
                      </a:extLst>
                    </pic:cNvPr>
                    <pic:cNvPicPr/>
                  </pic:nvPicPr>
                  <pic:blipFill>
                    <a:blip r:embed="rId17">
                      <a:extLst>
                        <a:ext uri="{96DAC541-7B7A-43D3-8B79-37D633B846F1}">
                          <asvg:svgBlip xmlns:asvg="http://schemas.microsoft.com/office/drawing/2016/SVG/main" r:embed="rId18"/>
                        </a:ext>
                      </a:extLst>
                    </a:blip>
                    <a:stretch>
                      <a:fillRect/>
                    </a:stretch>
                  </pic:blipFill>
                  <pic:spPr>
                    <a:xfrm>
                      <a:off x="0" y="0"/>
                      <a:ext cx="1327785" cy="1327785"/>
                    </a:xfrm>
                    <a:prstGeom prst="rect">
                      <a:avLst/>
                    </a:prstGeom>
                  </pic:spPr>
                </pic:pic>
              </a:graphicData>
            </a:graphic>
            <wp14:sizeRelH relativeFrom="page">
              <wp14:pctWidth>0</wp14:pctWidth>
            </wp14:sizeRelH>
            <wp14:sizeRelV relativeFrom="page">
              <wp14:pctHeight>0</wp14:pctHeight>
            </wp14:sizeRelV>
          </wp:anchor>
        </w:drawing>
      </w:r>
      <w:r w:rsidR="00B16D30">
        <w:rPr>
          <w:noProof/>
        </w:rPr>
        <w:drawing>
          <wp:anchor distT="0" distB="0" distL="114300" distR="114300" simplePos="0" relativeHeight="251670528" behindDoc="0" locked="0" layoutInCell="1" allowOverlap="1" wp14:anchorId="5A9D92DB" wp14:editId="10851D0D">
            <wp:simplePos x="0" y="0"/>
            <wp:positionH relativeFrom="column">
              <wp:posOffset>3197923</wp:posOffset>
            </wp:positionH>
            <wp:positionV relativeFrom="page">
              <wp:posOffset>6931025</wp:posOffset>
            </wp:positionV>
            <wp:extent cx="1328400" cy="1328400"/>
            <wp:effectExtent l="0" t="0" r="0" b="0"/>
            <wp:wrapNone/>
            <wp:docPr id="26" name="Picture 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a:extLst>
                        <a:ext uri="{C183D7F6-B498-43B3-948B-1728B52AA6E4}">
                          <adec:decorative xmlns:adec="http://schemas.microsoft.com/office/drawing/2017/decorative" val="1"/>
                        </a:ext>
                      </a:extLst>
                    </pic:cNvPr>
                    <pic:cNvPicPr/>
                  </pic:nvPicPr>
                  <pic:blipFill>
                    <a:blip r:embed="rId19">
                      <a:duotone>
                        <a:prstClr val="black"/>
                        <a:schemeClr val="accent1">
                          <a:lumMod val="40000"/>
                          <a:lumOff val="60000"/>
                          <a:tint val="45000"/>
                          <a:satMod val="400000"/>
                        </a:schemeClr>
                      </a:duotone>
                    </a:blip>
                    <a:stretch>
                      <a:fillRect/>
                    </a:stretch>
                  </pic:blipFill>
                  <pic:spPr>
                    <a:xfrm>
                      <a:off x="0" y="0"/>
                      <a:ext cx="1328400" cy="1328400"/>
                    </a:xfrm>
                    <a:prstGeom prst="rect">
                      <a:avLst/>
                    </a:prstGeom>
                  </pic:spPr>
                </pic:pic>
              </a:graphicData>
            </a:graphic>
            <wp14:sizeRelH relativeFrom="page">
              <wp14:pctWidth>0</wp14:pctWidth>
            </wp14:sizeRelH>
            <wp14:sizeRelV relativeFrom="page">
              <wp14:pctHeight>0</wp14:pctHeight>
            </wp14:sizeRelV>
          </wp:anchor>
        </w:drawing>
      </w:r>
      <w:r w:rsidR="00B16D30">
        <w:rPr>
          <w:noProof/>
        </w:rPr>
        <w:drawing>
          <wp:anchor distT="0" distB="0" distL="114300" distR="114300" simplePos="0" relativeHeight="251668480" behindDoc="0" locked="0" layoutInCell="1" allowOverlap="1" wp14:anchorId="2DB03809" wp14:editId="5C6271C8">
            <wp:simplePos x="0" y="0"/>
            <wp:positionH relativeFrom="column">
              <wp:posOffset>1620520</wp:posOffset>
            </wp:positionH>
            <wp:positionV relativeFrom="page">
              <wp:posOffset>6931025</wp:posOffset>
            </wp:positionV>
            <wp:extent cx="1328400" cy="1328400"/>
            <wp:effectExtent l="0" t="0" r="0" b="0"/>
            <wp:wrapNone/>
            <wp:docPr id="25" name="Picture 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a:extLst>
                        <a:ext uri="{C183D7F6-B498-43B3-948B-1728B52AA6E4}">
                          <adec:decorative xmlns:adec="http://schemas.microsoft.com/office/drawing/2017/decorative" val="1"/>
                        </a:ext>
                      </a:extLst>
                    </pic:cNvPr>
                    <pic:cNvPicPr/>
                  </pic:nvPicPr>
                  <pic:blipFill>
                    <a:blip r:embed="rId20">
                      <a:duotone>
                        <a:prstClr val="black"/>
                        <a:schemeClr val="accent1">
                          <a:lumMod val="40000"/>
                          <a:lumOff val="60000"/>
                          <a:tint val="45000"/>
                          <a:satMod val="400000"/>
                        </a:schemeClr>
                      </a:duotone>
                    </a:blip>
                    <a:stretch>
                      <a:fillRect/>
                    </a:stretch>
                  </pic:blipFill>
                  <pic:spPr>
                    <a:xfrm>
                      <a:off x="0" y="0"/>
                      <a:ext cx="1328400" cy="1328400"/>
                    </a:xfrm>
                    <a:prstGeom prst="rect">
                      <a:avLst/>
                    </a:prstGeom>
                  </pic:spPr>
                </pic:pic>
              </a:graphicData>
            </a:graphic>
            <wp14:sizeRelH relativeFrom="page">
              <wp14:pctWidth>0</wp14:pctWidth>
            </wp14:sizeRelH>
            <wp14:sizeRelV relativeFrom="page">
              <wp14:pctHeight>0</wp14:pctHeight>
            </wp14:sizeRelV>
          </wp:anchor>
        </w:drawing>
      </w:r>
      <w:r w:rsidR="003A5739" w:rsidRPr="00531F3B">
        <w:br w:type="page"/>
      </w:r>
    </w:p>
    <w:p w14:paraId="233EB7C1" w14:textId="77777777" w:rsidR="00EA2792" w:rsidRDefault="002C702A" w:rsidP="00EA2792">
      <w:pPr>
        <w:pStyle w:val="TOC1"/>
      </w:pPr>
      <w:r w:rsidRPr="00521016">
        <w:lastRenderedPageBreak/>
        <w:t>Contents</w:t>
      </w:r>
    </w:p>
    <w:p w14:paraId="073A0209" w14:textId="040E60B3" w:rsidR="00B0737B" w:rsidRDefault="00EB7F5F">
      <w:pPr>
        <w:pStyle w:val="TOC1"/>
        <w:tabs>
          <w:tab w:val="left" w:pos="440"/>
        </w:tabs>
        <w:rPr>
          <w:rFonts w:eastAsiaTheme="minorEastAsia" w:cstheme="minorBidi"/>
          <w:b w:val="0"/>
          <w:noProof/>
          <w:color w:val="auto"/>
          <w:kern w:val="2"/>
          <w:sz w:val="24"/>
          <w:lang w:eastAsia="en-AU"/>
          <w14:ligatures w14:val="standardContextual"/>
        </w:rPr>
      </w:pPr>
      <w:r>
        <w:rPr>
          <w:rFonts w:ascii="Calibri" w:hAnsi="Calibri" w:cs="Calibri"/>
          <w:bCs/>
          <w:kern w:val="32"/>
          <w:sz w:val="40"/>
        </w:rPr>
        <w:fldChar w:fldCharType="begin"/>
      </w:r>
      <w:r w:rsidRPr="00521016">
        <w:instrText xml:space="preserve"> TOC \o "1-3" \h \z \u </w:instrText>
      </w:r>
      <w:r>
        <w:rPr>
          <w:rFonts w:ascii="Calibri" w:hAnsi="Calibri" w:cs="Calibri"/>
          <w:bCs/>
          <w:kern w:val="32"/>
          <w:sz w:val="40"/>
        </w:rPr>
        <w:fldChar w:fldCharType="separate"/>
      </w:r>
      <w:hyperlink w:anchor="_Toc173503708" w:history="1">
        <w:r w:rsidR="00B0737B" w:rsidRPr="009A028F">
          <w:rPr>
            <w:rStyle w:val="Hyperlink"/>
            <w:noProof/>
          </w:rPr>
          <w:t>1.</w:t>
        </w:r>
        <w:r w:rsidR="00B0737B">
          <w:rPr>
            <w:rFonts w:eastAsiaTheme="minorEastAsia" w:cstheme="minorBidi"/>
            <w:b w:val="0"/>
            <w:noProof/>
            <w:color w:val="auto"/>
            <w:kern w:val="2"/>
            <w:sz w:val="24"/>
            <w:lang w:eastAsia="en-AU"/>
            <w14:ligatures w14:val="standardContextual"/>
          </w:rPr>
          <w:tab/>
        </w:r>
        <w:r w:rsidR="00B0737B" w:rsidRPr="009A028F">
          <w:rPr>
            <w:rStyle w:val="Hyperlink"/>
            <w:noProof/>
          </w:rPr>
          <w:t>Emissions of methane released from landfills</w:t>
        </w:r>
        <w:r w:rsidR="00B0737B">
          <w:rPr>
            <w:noProof/>
            <w:webHidden/>
          </w:rPr>
          <w:tab/>
        </w:r>
        <w:r w:rsidR="00B0737B">
          <w:rPr>
            <w:noProof/>
            <w:webHidden/>
          </w:rPr>
          <w:fldChar w:fldCharType="begin"/>
        </w:r>
        <w:r w:rsidR="00B0737B">
          <w:rPr>
            <w:noProof/>
            <w:webHidden/>
          </w:rPr>
          <w:instrText xml:space="preserve"> PAGEREF _Toc173503708 \h </w:instrText>
        </w:r>
        <w:r w:rsidR="00B0737B">
          <w:rPr>
            <w:noProof/>
            <w:webHidden/>
          </w:rPr>
        </w:r>
        <w:r w:rsidR="00B0737B">
          <w:rPr>
            <w:noProof/>
            <w:webHidden/>
          </w:rPr>
          <w:fldChar w:fldCharType="separate"/>
        </w:r>
        <w:r w:rsidR="00B0737B">
          <w:rPr>
            <w:noProof/>
            <w:webHidden/>
          </w:rPr>
          <w:t>4</w:t>
        </w:r>
        <w:r w:rsidR="00B0737B">
          <w:rPr>
            <w:noProof/>
            <w:webHidden/>
          </w:rPr>
          <w:fldChar w:fldCharType="end"/>
        </w:r>
      </w:hyperlink>
    </w:p>
    <w:p w14:paraId="576CD774" w14:textId="2067089B" w:rsidR="00B0737B" w:rsidRDefault="00B0737B">
      <w:pPr>
        <w:pStyle w:val="TOC2"/>
        <w:tabs>
          <w:tab w:val="left" w:pos="960"/>
          <w:tab w:val="right" w:leader="dot" w:pos="9730"/>
        </w:tabs>
        <w:rPr>
          <w:rFonts w:eastAsiaTheme="minorEastAsia" w:cstheme="minorBidi"/>
          <w:noProof/>
          <w:color w:val="auto"/>
          <w:kern w:val="2"/>
          <w:sz w:val="24"/>
          <w:lang w:eastAsia="en-AU"/>
          <w14:ligatures w14:val="standardContextual"/>
        </w:rPr>
      </w:pPr>
      <w:hyperlink w:anchor="_Toc173503709" w:history="1">
        <w:r w:rsidRPr="009A028F">
          <w:rPr>
            <w:rStyle w:val="Hyperlink"/>
            <w:noProof/>
          </w:rPr>
          <w:t>1.1</w:t>
        </w:r>
        <w:r>
          <w:rPr>
            <w:rFonts w:eastAsiaTheme="minorEastAsia" w:cstheme="minorBidi"/>
            <w:noProof/>
            <w:color w:val="auto"/>
            <w:kern w:val="2"/>
            <w:sz w:val="24"/>
            <w:lang w:eastAsia="en-AU"/>
            <w14:ligatures w14:val="standardContextual"/>
          </w:rPr>
          <w:tab/>
        </w:r>
        <w:r w:rsidRPr="009A028F">
          <w:rPr>
            <w:rStyle w:val="Hyperlink"/>
            <w:noProof/>
          </w:rPr>
          <w:t>Requirements for landfill site plans</w:t>
        </w:r>
        <w:r>
          <w:rPr>
            <w:noProof/>
            <w:webHidden/>
          </w:rPr>
          <w:tab/>
        </w:r>
        <w:r>
          <w:rPr>
            <w:noProof/>
            <w:webHidden/>
          </w:rPr>
          <w:fldChar w:fldCharType="begin"/>
        </w:r>
        <w:r>
          <w:rPr>
            <w:noProof/>
            <w:webHidden/>
          </w:rPr>
          <w:instrText xml:space="preserve"> PAGEREF _Toc173503709 \h </w:instrText>
        </w:r>
        <w:r>
          <w:rPr>
            <w:noProof/>
            <w:webHidden/>
          </w:rPr>
        </w:r>
        <w:r>
          <w:rPr>
            <w:noProof/>
            <w:webHidden/>
          </w:rPr>
          <w:fldChar w:fldCharType="separate"/>
        </w:r>
        <w:r>
          <w:rPr>
            <w:noProof/>
            <w:webHidden/>
          </w:rPr>
          <w:t>4</w:t>
        </w:r>
        <w:r>
          <w:rPr>
            <w:noProof/>
            <w:webHidden/>
          </w:rPr>
          <w:fldChar w:fldCharType="end"/>
        </w:r>
      </w:hyperlink>
    </w:p>
    <w:p w14:paraId="05926239" w14:textId="52E8B8D7" w:rsidR="00B0737B" w:rsidRDefault="00B0737B">
      <w:pPr>
        <w:pStyle w:val="TOC2"/>
        <w:tabs>
          <w:tab w:val="left" w:pos="960"/>
          <w:tab w:val="right" w:leader="dot" w:pos="9730"/>
        </w:tabs>
        <w:rPr>
          <w:rFonts w:eastAsiaTheme="minorEastAsia" w:cstheme="minorBidi"/>
          <w:noProof/>
          <w:color w:val="auto"/>
          <w:kern w:val="2"/>
          <w:sz w:val="24"/>
          <w:lang w:eastAsia="en-AU"/>
          <w14:ligatures w14:val="standardContextual"/>
        </w:rPr>
      </w:pPr>
      <w:hyperlink w:anchor="_Toc173503710" w:history="1">
        <w:r w:rsidRPr="009A028F">
          <w:rPr>
            <w:rStyle w:val="Hyperlink"/>
            <w:noProof/>
          </w:rPr>
          <w:t>1.2</w:t>
        </w:r>
        <w:r>
          <w:rPr>
            <w:rFonts w:eastAsiaTheme="minorEastAsia" w:cstheme="minorBidi"/>
            <w:noProof/>
            <w:color w:val="auto"/>
            <w:kern w:val="2"/>
            <w:sz w:val="24"/>
            <w:lang w:eastAsia="en-AU"/>
            <w14:ligatures w14:val="standardContextual"/>
          </w:rPr>
          <w:tab/>
        </w:r>
        <w:r w:rsidRPr="009A028F">
          <w:rPr>
            <w:rStyle w:val="Hyperlink"/>
            <w:noProof/>
          </w:rPr>
          <w:t>Engagement of an independent expert</w:t>
        </w:r>
        <w:r>
          <w:rPr>
            <w:noProof/>
            <w:webHidden/>
          </w:rPr>
          <w:tab/>
        </w:r>
        <w:r>
          <w:rPr>
            <w:noProof/>
            <w:webHidden/>
          </w:rPr>
          <w:fldChar w:fldCharType="begin"/>
        </w:r>
        <w:r>
          <w:rPr>
            <w:noProof/>
            <w:webHidden/>
          </w:rPr>
          <w:instrText xml:space="preserve"> PAGEREF _Toc173503710 \h </w:instrText>
        </w:r>
        <w:r>
          <w:rPr>
            <w:noProof/>
            <w:webHidden/>
          </w:rPr>
        </w:r>
        <w:r>
          <w:rPr>
            <w:noProof/>
            <w:webHidden/>
          </w:rPr>
          <w:fldChar w:fldCharType="separate"/>
        </w:r>
        <w:r>
          <w:rPr>
            <w:noProof/>
            <w:webHidden/>
          </w:rPr>
          <w:t>5</w:t>
        </w:r>
        <w:r>
          <w:rPr>
            <w:noProof/>
            <w:webHidden/>
          </w:rPr>
          <w:fldChar w:fldCharType="end"/>
        </w:r>
      </w:hyperlink>
    </w:p>
    <w:p w14:paraId="5BCED975" w14:textId="4579D58C" w:rsidR="00B0737B" w:rsidRDefault="00B0737B">
      <w:pPr>
        <w:pStyle w:val="TOC2"/>
        <w:tabs>
          <w:tab w:val="left" w:pos="960"/>
          <w:tab w:val="right" w:leader="dot" w:pos="9730"/>
        </w:tabs>
        <w:rPr>
          <w:rFonts w:eastAsiaTheme="minorEastAsia" w:cstheme="minorBidi"/>
          <w:noProof/>
          <w:color w:val="auto"/>
          <w:kern w:val="2"/>
          <w:sz w:val="24"/>
          <w:lang w:eastAsia="en-AU"/>
          <w14:ligatures w14:val="standardContextual"/>
        </w:rPr>
      </w:pPr>
      <w:hyperlink w:anchor="_Toc173503711" w:history="1">
        <w:r w:rsidRPr="009A028F">
          <w:rPr>
            <w:rStyle w:val="Hyperlink"/>
            <w:noProof/>
          </w:rPr>
          <w:t>1.3</w:t>
        </w:r>
        <w:r>
          <w:rPr>
            <w:rFonts w:eastAsiaTheme="minorEastAsia" w:cstheme="minorBidi"/>
            <w:noProof/>
            <w:color w:val="auto"/>
            <w:kern w:val="2"/>
            <w:sz w:val="24"/>
            <w:lang w:eastAsia="en-AU"/>
            <w14:ligatures w14:val="standardContextual"/>
          </w:rPr>
          <w:tab/>
        </w:r>
        <w:r w:rsidRPr="009A028F">
          <w:rPr>
            <w:rStyle w:val="Hyperlink"/>
            <w:noProof/>
          </w:rPr>
          <w:t>Expert reports on representative zones</w:t>
        </w:r>
        <w:r>
          <w:rPr>
            <w:noProof/>
            <w:webHidden/>
          </w:rPr>
          <w:tab/>
        </w:r>
        <w:r>
          <w:rPr>
            <w:noProof/>
            <w:webHidden/>
          </w:rPr>
          <w:fldChar w:fldCharType="begin"/>
        </w:r>
        <w:r>
          <w:rPr>
            <w:noProof/>
            <w:webHidden/>
          </w:rPr>
          <w:instrText xml:space="preserve"> PAGEREF _Toc173503711 \h </w:instrText>
        </w:r>
        <w:r>
          <w:rPr>
            <w:noProof/>
            <w:webHidden/>
          </w:rPr>
        </w:r>
        <w:r>
          <w:rPr>
            <w:noProof/>
            <w:webHidden/>
          </w:rPr>
          <w:fldChar w:fldCharType="separate"/>
        </w:r>
        <w:r>
          <w:rPr>
            <w:noProof/>
            <w:webHidden/>
          </w:rPr>
          <w:t>5</w:t>
        </w:r>
        <w:r>
          <w:rPr>
            <w:noProof/>
            <w:webHidden/>
          </w:rPr>
          <w:fldChar w:fldCharType="end"/>
        </w:r>
      </w:hyperlink>
    </w:p>
    <w:p w14:paraId="2979328D" w14:textId="2445DEB8" w:rsidR="00B0737B" w:rsidRDefault="00B0737B">
      <w:pPr>
        <w:pStyle w:val="TOC1"/>
        <w:rPr>
          <w:rFonts w:eastAsiaTheme="minorEastAsia" w:cstheme="minorBidi"/>
          <w:b w:val="0"/>
          <w:noProof/>
          <w:color w:val="auto"/>
          <w:kern w:val="2"/>
          <w:sz w:val="24"/>
          <w:lang w:eastAsia="en-AU"/>
          <w14:ligatures w14:val="standardContextual"/>
        </w:rPr>
      </w:pPr>
      <w:hyperlink w:anchor="_Toc173503712" w:history="1">
        <w:r w:rsidRPr="009A028F">
          <w:rPr>
            <w:rStyle w:val="Hyperlink"/>
            <w:noProof/>
          </w:rPr>
          <w:t>More information</w:t>
        </w:r>
        <w:r>
          <w:rPr>
            <w:noProof/>
            <w:webHidden/>
          </w:rPr>
          <w:tab/>
        </w:r>
        <w:r>
          <w:rPr>
            <w:noProof/>
            <w:webHidden/>
          </w:rPr>
          <w:fldChar w:fldCharType="begin"/>
        </w:r>
        <w:r>
          <w:rPr>
            <w:noProof/>
            <w:webHidden/>
          </w:rPr>
          <w:instrText xml:space="preserve"> PAGEREF _Toc173503712 \h </w:instrText>
        </w:r>
        <w:r>
          <w:rPr>
            <w:noProof/>
            <w:webHidden/>
          </w:rPr>
        </w:r>
        <w:r>
          <w:rPr>
            <w:noProof/>
            <w:webHidden/>
          </w:rPr>
          <w:fldChar w:fldCharType="separate"/>
        </w:r>
        <w:r>
          <w:rPr>
            <w:noProof/>
            <w:webHidden/>
          </w:rPr>
          <w:t>6</w:t>
        </w:r>
        <w:r>
          <w:rPr>
            <w:noProof/>
            <w:webHidden/>
          </w:rPr>
          <w:fldChar w:fldCharType="end"/>
        </w:r>
      </w:hyperlink>
    </w:p>
    <w:p w14:paraId="3BCFC602" w14:textId="77777777" w:rsidR="00E12286" w:rsidRDefault="00EB7F5F" w:rsidP="002C702A">
      <w:r>
        <w:fldChar w:fldCharType="end"/>
      </w:r>
    </w:p>
    <w:p w14:paraId="2CEBFE2A" w14:textId="1251D834" w:rsidR="002C702A" w:rsidRPr="00E12286" w:rsidRDefault="006111DC" w:rsidP="002C702A">
      <w:r>
        <w:t>Please note: Minor stylistic and formatting changes were made in July 2023</w:t>
      </w:r>
      <w:r w:rsidRPr="00E12286">
        <w:t xml:space="preserve"> </w:t>
      </w:r>
      <w:r w:rsidR="001C5A02">
        <w:t>and August 2024</w:t>
      </w:r>
      <w:r w:rsidR="002C702A" w:rsidRPr="00E12286">
        <w:br w:type="page"/>
      </w:r>
    </w:p>
    <w:tbl>
      <w:tblPr>
        <w:tblStyle w:val="CERTable"/>
        <w:tblW w:w="5000" w:type="pct"/>
        <w:tblLook w:val="04A0" w:firstRow="1" w:lastRow="0" w:firstColumn="1" w:lastColumn="0" w:noHBand="0" w:noVBand="1"/>
      </w:tblPr>
      <w:tblGrid>
        <w:gridCol w:w="4870"/>
        <w:gridCol w:w="4870"/>
      </w:tblGrid>
      <w:tr w:rsidR="00D343D3" w:rsidRPr="00FA7635" w14:paraId="17F01374" w14:textId="77777777" w:rsidTr="009E2209">
        <w:trPr>
          <w:cnfStyle w:val="100000000000" w:firstRow="1" w:lastRow="0" w:firstColumn="0" w:lastColumn="0" w:oddVBand="0" w:evenVBand="0" w:oddHBand="0"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2500" w:type="pct"/>
          </w:tcPr>
          <w:p w14:paraId="3A636882" w14:textId="77777777" w:rsidR="00D343D3" w:rsidRPr="00FA7635" w:rsidRDefault="00D343D3" w:rsidP="00F60CA7">
            <w:bookmarkStart w:id="0" w:name="_Toc99649931"/>
            <w:r>
              <w:lastRenderedPageBreak/>
              <w:t>Term</w:t>
            </w:r>
          </w:p>
        </w:tc>
        <w:tc>
          <w:tcPr>
            <w:tcW w:w="2500" w:type="pct"/>
          </w:tcPr>
          <w:p w14:paraId="12AD284F" w14:textId="77777777" w:rsidR="00D343D3" w:rsidRPr="00FA7635" w:rsidRDefault="00D343D3" w:rsidP="00F60CA7">
            <w:pPr>
              <w:cnfStyle w:val="100000000000" w:firstRow="1" w:lastRow="0" w:firstColumn="0" w:lastColumn="0" w:oddVBand="0" w:evenVBand="0" w:oddHBand="0" w:evenHBand="0" w:firstRowFirstColumn="0" w:firstRowLastColumn="0" w:lastRowFirstColumn="0" w:lastRowLastColumn="0"/>
            </w:pPr>
            <w:r>
              <w:t>Meaning</w:t>
            </w:r>
          </w:p>
        </w:tc>
      </w:tr>
      <w:tr w:rsidR="00D343D3" w:rsidRPr="00FA7635" w14:paraId="2B391214" w14:textId="77777777" w:rsidTr="009E2209">
        <w:trPr>
          <w:cnfStyle w:val="000000100000" w:firstRow="0" w:lastRow="0" w:firstColumn="0" w:lastColumn="0" w:oddVBand="0" w:evenVBand="0" w:oddHBand="1" w:evenHBand="0" w:firstRowFirstColumn="0" w:firstRowLastColumn="0" w:lastRowFirstColumn="0" w:lastRowLastColumn="0"/>
          <w:trHeight w:val="547"/>
        </w:trPr>
        <w:tc>
          <w:tcPr>
            <w:cnfStyle w:val="001000000000" w:firstRow="0" w:lastRow="0" w:firstColumn="1" w:lastColumn="0" w:oddVBand="0" w:evenVBand="0" w:oddHBand="0" w:evenHBand="0" w:firstRowFirstColumn="0" w:firstRowLastColumn="0" w:lastRowFirstColumn="0" w:lastRowLastColumn="0"/>
            <w:tcW w:w="2500" w:type="pct"/>
          </w:tcPr>
          <w:p w14:paraId="7026F7D1" w14:textId="77777777" w:rsidR="00D343D3" w:rsidRPr="005C0A94" w:rsidRDefault="00D343D3" w:rsidP="00F60CA7">
            <w:pPr>
              <w:rPr>
                <w:sz w:val="20"/>
                <w:szCs w:val="20"/>
              </w:rPr>
            </w:pPr>
            <w:r>
              <w:rPr>
                <w:sz w:val="20"/>
                <w:szCs w:val="20"/>
              </w:rPr>
              <w:t>NGER</w:t>
            </w:r>
          </w:p>
        </w:tc>
        <w:tc>
          <w:tcPr>
            <w:tcW w:w="2500" w:type="pct"/>
          </w:tcPr>
          <w:p w14:paraId="21FE1359" w14:textId="77777777" w:rsidR="00D343D3" w:rsidRPr="005C0A94" w:rsidRDefault="00D343D3" w:rsidP="00F60CA7">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National Greenhouse and Energy Reporting</w:t>
            </w:r>
          </w:p>
        </w:tc>
      </w:tr>
      <w:tr w:rsidR="00D343D3" w:rsidRPr="00FA7635" w14:paraId="1163C1AD" w14:textId="77777777" w:rsidTr="009E2209">
        <w:trPr>
          <w:cnfStyle w:val="000000010000" w:firstRow="0" w:lastRow="0" w:firstColumn="0" w:lastColumn="0" w:oddVBand="0" w:evenVBand="0" w:oddHBand="0" w:evenHBand="1" w:firstRowFirstColumn="0" w:firstRowLastColumn="0" w:lastRowFirstColumn="0" w:lastRowLastColumn="0"/>
          <w:trHeight w:val="547"/>
        </w:trPr>
        <w:tc>
          <w:tcPr>
            <w:cnfStyle w:val="001000000000" w:firstRow="0" w:lastRow="0" w:firstColumn="1" w:lastColumn="0" w:oddVBand="0" w:evenVBand="0" w:oddHBand="0" w:evenHBand="0" w:firstRowFirstColumn="0" w:firstRowLastColumn="0" w:lastRowFirstColumn="0" w:lastRowLastColumn="0"/>
            <w:tcW w:w="2500" w:type="pct"/>
          </w:tcPr>
          <w:p w14:paraId="47774D73" w14:textId="77777777" w:rsidR="00D343D3" w:rsidRPr="005C0A94" w:rsidRDefault="00D343D3" w:rsidP="00F60CA7">
            <w:pPr>
              <w:rPr>
                <w:sz w:val="20"/>
                <w:szCs w:val="20"/>
              </w:rPr>
            </w:pPr>
            <w:r>
              <w:rPr>
                <w:sz w:val="20"/>
                <w:szCs w:val="20"/>
              </w:rPr>
              <w:t>NGER Act</w:t>
            </w:r>
          </w:p>
        </w:tc>
        <w:tc>
          <w:tcPr>
            <w:tcW w:w="2500" w:type="pct"/>
          </w:tcPr>
          <w:p w14:paraId="46E319DB" w14:textId="77777777" w:rsidR="00D343D3" w:rsidRPr="00EB5C6C" w:rsidRDefault="00D343D3" w:rsidP="00F60CA7">
            <w:pPr>
              <w:cnfStyle w:val="000000010000" w:firstRow="0" w:lastRow="0" w:firstColumn="0" w:lastColumn="0" w:oddVBand="0" w:evenVBand="0" w:oddHBand="0" w:evenHBand="1" w:firstRowFirstColumn="0" w:firstRowLastColumn="0" w:lastRowFirstColumn="0" w:lastRowLastColumn="0"/>
              <w:rPr>
                <w:i/>
                <w:iCs/>
                <w:sz w:val="20"/>
                <w:szCs w:val="20"/>
              </w:rPr>
            </w:pPr>
            <w:r>
              <w:rPr>
                <w:i/>
                <w:iCs/>
                <w:sz w:val="20"/>
                <w:szCs w:val="20"/>
              </w:rPr>
              <w:t>National Greenhouse and Energy Reporting Act 2007</w:t>
            </w:r>
          </w:p>
        </w:tc>
      </w:tr>
      <w:tr w:rsidR="00D343D3" w:rsidRPr="00FA7635" w14:paraId="2F93010A" w14:textId="77777777" w:rsidTr="009E2209">
        <w:trPr>
          <w:cnfStyle w:val="000000100000" w:firstRow="0" w:lastRow="0" w:firstColumn="0" w:lastColumn="0" w:oddVBand="0" w:evenVBand="0" w:oddHBand="1" w:evenHBand="0" w:firstRowFirstColumn="0" w:firstRowLastColumn="0" w:lastRowFirstColumn="0" w:lastRowLastColumn="0"/>
          <w:trHeight w:val="547"/>
        </w:trPr>
        <w:tc>
          <w:tcPr>
            <w:cnfStyle w:val="001000000000" w:firstRow="0" w:lastRow="0" w:firstColumn="1" w:lastColumn="0" w:oddVBand="0" w:evenVBand="0" w:oddHBand="0" w:evenHBand="0" w:firstRowFirstColumn="0" w:firstRowLastColumn="0" w:lastRowFirstColumn="0" w:lastRowLastColumn="0"/>
            <w:tcW w:w="2500" w:type="pct"/>
          </w:tcPr>
          <w:p w14:paraId="3B09B887" w14:textId="77777777" w:rsidR="00D343D3" w:rsidRDefault="00D343D3" w:rsidP="00F60CA7">
            <w:pPr>
              <w:rPr>
                <w:sz w:val="20"/>
                <w:szCs w:val="20"/>
              </w:rPr>
            </w:pPr>
            <w:r>
              <w:rPr>
                <w:sz w:val="20"/>
                <w:szCs w:val="20"/>
              </w:rPr>
              <w:t>NGER Legislation</w:t>
            </w:r>
          </w:p>
        </w:tc>
        <w:tc>
          <w:tcPr>
            <w:tcW w:w="2500" w:type="pct"/>
          </w:tcPr>
          <w:p w14:paraId="7EF8F319" w14:textId="77777777" w:rsidR="00D343D3" w:rsidRPr="00EB5C6C" w:rsidRDefault="00D343D3" w:rsidP="00F60CA7">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NGER Act, NGER Measurement Determination and NGER Regulations</w:t>
            </w:r>
          </w:p>
        </w:tc>
      </w:tr>
      <w:tr w:rsidR="00D343D3" w:rsidRPr="00FA7635" w14:paraId="4288DEB9" w14:textId="77777777" w:rsidTr="009E2209">
        <w:trPr>
          <w:cnfStyle w:val="000000010000" w:firstRow="0" w:lastRow="0" w:firstColumn="0" w:lastColumn="0" w:oddVBand="0" w:evenVBand="0" w:oddHBand="0" w:evenHBand="1" w:firstRowFirstColumn="0" w:firstRowLastColumn="0" w:lastRowFirstColumn="0" w:lastRowLastColumn="0"/>
          <w:trHeight w:val="547"/>
        </w:trPr>
        <w:tc>
          <w:tcPr>
            <w:cnfStyle w:val="001000000000" w:firstRow="0" w:lastRow="0" w:firstColumn="1" w:lastColumn="0" w:oddVBand="0" w:evenVBand="0" w:oddHBand="0" w:evenHBand="0" w:firstRowFirstColumn="0" w:firstRowLastColumn="0" w:lastRowFirstColumn="0" w:lastRowLastColumn="0"/>
            <w:tcW w:w="2500" w:type="pct"/>
          </w:tcPr>
          <w:p w14:paraId="359BB952" w14:textId="77777777" w:rsidR="00D343D3" w:rsidRDefault="00D343D3" w:rsidP="00F60CA7">
            <w:pPr>
              <w:rPr>
                <w:sz w:val="20"/>
                <w:szCs w:val="20"/>
              </w:rPr>
            </w:pPr>
            <w:r>
              <w:rPr>
                <w:sz w:val="20"/>
                <w:szCs w:val="20"/>
              </w:rPr>
              <w:t>NGER Measurement Determination</w:t>
            </w:r>
          </w:p>
        </w:tc>
        <w:tc>
          <w:tcPr>
            <w:tcW w:w="2500" w:type="pct"/>
          </w:tcPr>
          <w:p w14:paraId="32214CB7" w14:textId="77777777" w:rsidR="00D343D3" w:rsidRPr="00EB5C6C" w:rsidRDefault="00D343D3" w:rsidP="00F60CA7">
            <w:pPr>
              <w:cnfStyle w:val="000000010000" w:firstRow="0" w:lastRow="0" w:firstColumn="0" w:lastColumn="0" w:oddVBand="0" w:evenVBand="0" w:oddHBand="0" w:evenHBand="1" w:firstRowFirstColumn="0" w:firstRowLastColumn="0" w:lastRowFirstColumn="0" w:lastRowLastColumn="0"/>
              <w:rPr>
                <w:sz w:val="20"/>
                <w:szCs w:val="20"/>
              </w:rPr>
            </w:pPr>
            <w:r w:rsidRPr="00EB5C6C">
              <w:rPr>
                <w:iCs/>
                <w:sz w:val="20"/>
                <w:szCs w:val="20"/>
              </w:rPr>
              <w:t>National Greenhouse and Energy Reporting (Measurement) Determination 2008</w:t>
            </w:r>
          </w:p>
        </w:tc>
      </w:tr>
      <w:tr w:rsidR="00D343D3" w:rsidRPr="00FA7635" w14:paraId="56F0AD78" w14:textId="77777777" w:rsidTr="009E2209">
        <w:trPr>
          <w:cnfStyle w:val="000000100000" w:firstRow="0" w:lastRow="0" w:firstColumn="0" w:lastColumn="0" w:oddVBand="0" w:evenVBand="0" w:oddHBand="1" w:evenHBand="0" w:firstRowFirstColumn="0" w:firstRowLastColumn="0" w:lastRowFirstColumn="0" w:lastRowLastColumn="0"/>
          <w:trHeight w:val="547"/>
        </w:trPr>
        <w:tc>
          <w:tcPr>
            <w:cnfStyle w:val="001000000000" w:firstRow="0" w:lastRow="0" w:firstColumn="1" w:lastColumn="0" w:oddVBand="0" w:evenVBand="0" w:oddHBand="0" w:evenHBand="0" w:firstRowFirstColumn="0" w:firstRowLastColumn="0" w:lastRowFirstColumn="0" w:lastRowLastColumn="0"/>
            <w:tcW w:w="2500" w:type="pct"/>
          </w:tcPr>
          <w:p w14:paraId="17D53BAC" w14:textId="77777777" w:rsidR="00D343D3" w:rsidRDefault="00D343D3" w:rsidP="00F60CA7">
            <w:pPr>
              <w:rPr>
                <w:sz w:val="20"/>
                <w:szCs w:val="20"/>
              </w:rPr>
            </w:pPr>
            <w:r>
              <w:rPr>
                <w:sz w:val="20"/>
                <w:szCs w:val="20"/>
              </w:rPr>
              <w:t>NGER Regulations</w:t>
            </w:r>
          </w:p>
        </w:tc>
        <w:tc>
          <w:tcPr>
            <w:tcW w:w="2500" w:type="pct"/>
          </w:tcPr>
          <w:p w14:paraId="6A5EEE81" w14:textId="77777777" w:rsidR="00D343D3" w:rsidRPr="00EB5C6C" w:rsidRDefault="00D343D3" w:rsidP="00F60CA7">
            <w:pPr>
              <w:cnfStyle w:val="000000100000" w:firstRow="0" w:lastRow="0" w:firstColumn="0" w:lastColumn="0" w:oddVBand="0" w:evenVBand="0" w:oddHBand="1" w:evenHBand="0" w:firstRowFirstColumn="0" w:firstRowLastColumn="0" w:lastRowFirstColumn="0" w:lastRowLastColumn="0"/>
              <w:rPr>
                <w:sz w:val="20"/>
                <w:szCs w:val="20"/>
              </w:rPr>
            </w:pPr>
            <w:r w:rsidRPr="00EB5C6C">
              <w:rPr>
                <w:sz w:val="20"/>
                <w:szCs w:val="20"/>
              </w:rPr>
              <w:t>National Greenhouse and Energy Reporting Regulations 2008</w:t>
            </w:r>
          </w:p>
        </w:tc>
      </w:tr>
    </w:tbl>
    <w:p w14:paraId="451300B3" w14:textId="77777777" w:rsidR="00D343D3" w:rsidRDefault="00D343D3" w:rsidP="00B0737B">
      <w:pPr>
        <w:pStyle w:val="BodyText1"/>
      </w:pPr>
    </w:p>
    <w:p w14:paraId="1FB9EA6F" w14:textId="77777777" w:rsidR="00D343D3" w:rsidRDefault="00D343D3" w:rsidP="00B0737B">
      <w:pPr>
        <w:pStyle w:val="BodyText1"/>
      </w:pPr>
    </w:p>
    <w:p w14:paraId="17BA240A" w14:textId="77777777" w:rsidR="00D343D3" w:rsidRDefault="00D343D3" w:rsidP="00B0737B">
      <w:pPr>
        <w:pStyle w:val="BodyText1"/>
      </w:pPr>
    </w:p>
    <w:p w14:paraId="7776ECF5" w14:textId="77777777" w:rsidR="00D343D3" w:rsidRDefault="00D343D3" w:rsidP="00B0737B">
      <w:pPr>
        <w:pStyle w:val="BodyText1"/>
      </w:pPr>
    </w:p>
    <w:p w14:paraId="0903945A" w14:textId="77777777" w:rsidR="00D343D3" w:rsidRDefault="00D343D3" w:rsidP="00B0737B">
      <w:pPr>
        <w:pStyle w:val="BodyText1"/>
      </w:pPr>
    </w:p>
    <w:p w14:paraId="796E3D4D" w14:textId="77777777" w:rsidR="00D343D3" w:rsidRDefault="00D343D3" w:rsidP="00B0737B">
      <w:pPr>
        <w:pStyle w:val="BodyText1"/>
      </w:pPr>
    </w:p>
    <w:p w14:paraId="54FC77EC" w14:textId="77777777" w:rsidR="00D343D3" w:rsidRDefault="00D343D3" w:rsidP="00B0737B">
      <w:pPr>
        <w:pStyle w:val="BodyText1"/>
      </w:pPr>
    </w:p>
    <w:p w14:paraId="0F26B210" w14:textId="77777777" w:rsidR="00D343D3" w:rsidRDefault="00D343D3" w:rsidP="00B0737B">
      <w:pPr>
        <w:pStyle w:val="BodyText1"/>
      </w:pPr>
    </w:p>
    <w:p w14:paraId="73ADED30" w14:textId="77777777" w:rsidR="00D343D3" w:rsidRDefault="00D343D3" w:rsidP="00B0737B">
      <w:pPr>
        <w:pStyle w:val="BodyText1"/>
      </w:pPr>
    </w:p>
    <w:p w14:paraId="7DC258E9" w14:textId="77777777" w:rsidR="00D343D3" w:rsidRDefault="00D343D3" w:rsidP="00B0737B">
      <w:pPr>
        <w:pStyle w:val="BodyText1"/>
      </w:pPr>
    </w:p>
    <w:p w14:paraId="779E7F0F" w14:textId="77777777" w:rsidR="00D343D3" w:rsidRDefault="00D343D3" w:rsidP="00B0737B">
      <w:pPr>
        <w:pStyle w:val="BodyText1"/>
      </w:pPr>
    </w:p>
    <w:p w14:paraId="4B5B59BE" w14:textId="77777777" w:rsidR="00B0737B" w:rsidRDefault="00B0737B">
      <w:pPr>
        <w:spacing w:after="0"/>
        <w:rPr>
          <w:rFonts w:ascii="Calibri" w:eastAsia="Times New Roman" w:hAnsi="Calibri" w:cs="Calibri"/>
          <w:b/>
          <w:bCs/>
          <w:kern w:val="32"/>
          <w:sz w:val="40"/>
        </w:rPr>
      </w:pPr>
      <w:bookmarkStart w:id="1" w:name="_Toc173503708"/>
      <w:r>
        <w:br w:type="page"/>
      </w:r>
    </w:p>
    <w:p w14:paraId="74825703" w14:textId="7AB9F790" w:rsidR="00FE08CE" w:rsidRPr="00521016" w:rsidRDefault="00D343D3" w:rsidP="00F72BA8">
      <w:pPr>
        <w:pStyle w:val="Heading1"/>
        <w:numPr>
          <w:ilvl w:val="0"/>
          <w:numId w:val="38"/>
        </w:numPr>
        <w:ind w:left="709" w:hanging="785"/>
      </w:pPr>
      <w:r>
        <w:lastRenderedPageBreak/>
        <w:t>Emissions of methane released from landfills</w:t>
      </w:r>
      <w:bookmarkEnd w:id="0"/>
      <w:bookmarkEnd w:id="1"/>
    </w:p>
    <w:p w14:paraId="43C6E550" w14:textId="77777777" w:rsidR="00D343D3" w:rsidRDefault="00D343D3" w:rsidP="00D343D3">
      <w:pPr>
        <w:spacing w:before="60"/>
      </w:pPr>
      <w:bookmarkStart w:id="2" w:name="_Toc106971148"/>
    </w:p>
    <w:p w14:paraId="1CBFC266" w14:textId="1323141A" w:rsidR="00D343D3" w:rsidRDefault="00D343D3" w:rsidP="00D343D3">
      <w:pPr>
        <w:spacing w:before="60"/>
      </w:pPr>
      <w:r>
        <w:t>The</w:t>
      </w:r>
      <w:r w:rsidRPr="00100D7E">
        <w:t xml:space="preserve"> </w:t>
      </w:r>
      <w:r w:rsidRPr="00B93601">
        <w:rPr>
          <w:iCs/>
        </w:rPr>
        <w:t>National Greenhouse and Energy Reporting (Measurement) Determination 2008</w:t>
      </w:r>
      <w:r w:rsidRPr="000C6FE3">
        <w:rPr>
          <w:i/>
        </w:rPr>
        <w:t xml:space="preserve"> </w:t>
      </w:r>
      <w:r w:rsidRPr="00A568CF">
        <w:rPr>
          <w:iCs/>
        </w:rPr>
        <w:t>(NGER Measurement Determination)</w:t>
      </w:r>
      <w:r>
        <w:t xml:space="preserve"> sets out how to estimate emissions of greenhouse gases from the source ‘Solid waste disposal on land’. </w:t>
      </w:r>
    </w:p>
    <w:p w14:paraId="0391854C" w14:textId="67AF6C8E" w:rsidR="00D343D3" w:rsidRDefault="00D343D3" w:rsidP="00D343D3">
      <w:pPr>
        <w:spacing w:before="60"/>
      </w:pPr>
      <w:r>
        <w:t xml:space="preserve">Section 5.17 of the NGER Measurement Determination requires the operator of the landfill to prepare a </w:t>
      </w:r>
      <w:r w:rsidRPr="00A568CF">
        <w:rPr>
          <w:b/>
          <w:bCs/>
        </w:rPr>
        <w:t>site plan</w:t>
      </w:r>
      <w:r>
        <w:t xml:space="preserve"> of the landfill if they are estimating methane emissions using Method 2 (see </w:t>
      </w:r>
      <w:r w:rsidRPr="004E3567">
        <w:t>section</w:t>
      </w:r>
      <w:r>
        <w:t xml:space="preserve"> 5.15 ‘Method 2 ̶ methane released by landfill (other than from flaring of methane)’ or Method 3 (see section 5.18 ‘Method 3 ̶ methane released from solid waste at landfills (other than from flaring of methane)’). </w:t>
      </w:r>
    </w:p>
    <w:p w14:paraId="00B3579B" w14:textId="77777777" w:rsidR="00D343D3" w:rsidRDefault="00D343D3" w:rsidP="00D343D3">
      <w:pPr>
        <w:spacing w:before="60"/>
      </w:pPr>
      <w:r w:rsidRPr="00894E78">
        <w:t xml:space="preserve">The NGER Measurement Determination requires that the site plan must be consistent with the provisions of this document, and, where the landfill has more than one sub-facility zone, </w:t>
      </w:r>
      <w:r>
        <w:t xml:space="preserve">the site plan must </w:t>
      </w:r>
      <w:r w:rsidRPr="00894E78">
        <w:t>show the boundaries of each sub-facility zone.</w:t>
      </w:r>
    </w:p>
    <w:p w14:paraId="7B34821D" w14:textId="77777777" w:rsidR="00D343D3" w:rsidRPr="007E4482" w:rsidRDefault="00D343D3" w:rsidP="00D343D3">
      <w:pPr>
        <w:spacing w:before="60"/>
        <w:rPr>
          <w:i/>
        </w:rPr>
      </w:pPr>
      <w:r>
        <w:t xml:space="preserve">Once the site plan has been prepared, Methods 2 and 3 require the operator of the landfill to select a representative zone with the sub-facility zone (see section 5.17A of the NGER Measurement Determination). After this is done, the operator must arrange for an independent expert to certify certain matters in relation to the </w:t>
      </w:r>
      <w:proofErr w:type="gramStart"/>
      <w:r>
        <w:t>zone, and</w:t>
      </w:r>
      <w:proofErr w:type="gramEnd"/>
      <w:r>
        <w:t xml:space="preserve"> prepare a written report for the zone (see section 5.17B of the NGER Measurement Determination). The NGER Measurement Determination requires that the expert report include the details specified in this document.</w:t>
      </w:r>
    </w:p>
    <w:p w14:paraId="28708434" w14:textId="77777777" w:rsidR="00D343D3" w:rsidRPr="00D14DA9" w:rsidRDefault="00D343D3" w:rsidP="00F72BA8">
      <w:pPr>
        <w:pStyle w:val="Heading2"/>
        <w:numPr>
          <w:ilvl w:val="1"/>
          <w:numId w:val="39"/>
        </w:numPr>
        <w:spacing w:after="200"/>
        <w:ind w:left="284" w:hanging="360"/>
      </w:pPr>
      <w:bookmarkStart w:id="3" w:name="_Toc74215555"/>
      <w:bookmarkStart w:id="4" w:name="_Toc173503709"/>
      <w:bookmarkStart w:id="5" w:name="_Hlk69828747"/>
      <w:r>
        <w:t>Requirements for landfill site plans</w:t>
      </w:r>
      <w:bookmarkEnd w:id="3"/>
      <w:bookmarkEnd w:id="4"/>
    </w:p>
    <w:bookmarkEnd w:id="5"/>
    <w:p w14:paraId="7F8C9308" w14:textId="77777777" w:rsidR="00D343D3" w:rsidRDefault="00D343D3" w:rsidP="00D343D3">
      <w:r>
        <w:t xml:space="preserve">The operator of the landfill must prepare a site plan of the landfill before methane generated from the landfill can be estimated using Methods 2 or 3. </w:t>
      </w:r>
    </w:p>
    <w:p w14:paraId="4EF1996F" w14:textId="77777777" w:rsidR="00D343D3" w:rsidRDefault="00D343D3" w:rsidP="00D343D3">
      <w:r>
        <w:t xml:space="preserve">The site plan must include the following information: </w:t>
      </w:r>
    </w:p>
    <w:p w14:paraId="25981729" w14:textId="77777777" w:rsidR="00D343D3" w:rsidRDefault="00D343D3" w:rsidP="00D343D3">
      <w:pPr>
        <w:pStyle w:val="CERbullets"/>
        <w:ind w:left="360" w:hanging="360"/>
      </w:pPr>
      <w:r>
        <w:t xml:space="preserve">a description of basic site characteristics: </w:t>
      </w:r>
    </w:p>
    <w:p w14:paraId="56BD3F95" w14:textId="77777777" w:rsidR="00D343D3" w:rsidRPr="009E2209" w:rsidRDefault="00D343D3" w:rsidP="009E2209">
      <w:pPr>
        <w:pStyle w:val="CERbullets"/>
        <w:numPr>
          <w:ilvl w:val="1"/>
          <w:numId w:val="21"/>
        </w:numPr>
      </w:pPr>
      <w:r w:rsidRPr="009E2209">
        <w:t xml:space="preserve">the planned life of the facility and permitted volumes of waste disposal </w:t>
      </w:r>
    </w:p>
    <w:p w14:paraId="353D201B" w14:textId="77777777" w:rsidR="00D343D3" w:rsidRPr="009E2209" w:rsidRDefault="00D343D3" w:rsidP="009E2209">
      <w:pPr>
        <w:pStyle w:val="CERbullets"/>
        <w:numPr>
          <w:ilvl w:val="1"/>
          <w:numId w:val="21"/>
        </w:numPr>
      </w:pPr>
      <w:r w:rsidRPr="009E2209">
        <w:t>the exact boundaries of the waste disposal area</w:t>
      </w:r>
    </w:p>
    <w:p w14:paraId="050571A5" w14:textId="77777777" w:rsidR="00D343D3" w:rsidRPr="009E2209" w:rsidRDefault="00D343D3" w:rsidP="009E2209">
      <w:pPr>
        <w:pStyle w:val="CERbullets"/>
        <w:numPr>
          <w:ilvl w:val="1"/>
          <w:numId w:val="21"/>
        </w:numPr>
      </w:pPr>
      <w:r w:rsidRPr="009E2209">
        <w:t>containment design (liner and capping)</w:t>
      </w:r>
    </w:p>
    <w:p w14:paraId="3CE58582" w14:textId="77777777" w:rsidR="00D343D3" w:rsidRPr="009E2209" w:rsidRDefault="00D343D3" w:rsidP="009E2209">
      <w:pPr>
        <w:pStyle w:val="CERbullets"/>
        <w:numPr>
          <w:ilvl w:val="1"/>
          <w:numId w:val="21"/>
        </w:numPr>
      </w:pPr>
      <w:r w:rsidRPr="009E2209">
        <w:t xml:space="preserve">fill process (for example, phased or cell; landfill or </w:t>
      </w:r>
      <w:proofErr w:type="spellStart"/>
      <w:r w:rsidRPr="009E2209">
        <w:t>landraise</w:t>
      </w:r>
      <w:proofErr w:type="spellEnd"/>
      <w:r w:rsidRPr="009E2209">
        <w:t>)</w:t>
      </w:r>
    </w:p>
    <w:p w14:paraId="4C3F9967" w14:textId="747F9006" w:rsidR="00D343D3" w:rsidRPr="009E2209" w:rsidRDefault="00D343D3" w:rsidP="009E2209">
      <w:pPr>
        <w:pStyle w:val="CERbullets"/>
        <w:numPr>
          <w:ilvl w:val="1"/>
          <w:numId w:val="21"/>
        </w:numPr>
      </w:pPr>
      <w:r w:rsidRPr="009E2209">
        <w:t>side</w:t>
      </w:r>
      <w:r w:rsidR="008257F2" w:rsidRPr="009E2209">
        <w:t xml:space="preserve"> </w:t>
      </w:r>
      <w:r w:rsidRPr="009E2209">
        <w:t>slopes and edges</w:t>
      </w:r>
    </w:p>
    <w:p w14:paraId="3EECE1B4" w14:textId="77777777" w:rsidR="00D343D3" w:rsidRPr="009E2209" w:rsidRDefault="00D343D3" w:rsidP="009E2209">
      <w:pPr>
        <w:pStyle w:val="CERbullets"/>
        <w:numPr>
          <w:ilvl w:val="1"/>
          <w:numId w:val="21"/>
        </w:numPr>
      </w:pPr>
      <w:r w:rsidRPr="009E2209">
        <w:t>any fissures or weak points in the cap where emissions may be high</w:t>
      </w:r>
    </w:p>
    <w:p w14:paraId="209B95B4" w14:textId="77777777" w:rsidR="00D343D3" w:rsidRDefault="00D343D3" w:rsidP="00D343D3">
      <w:pPr>
        <w:pStyle w:val="CERbullets"/>
        <w:ind w:left="360" w:hanging="360"/>
      </w:pPr>
      <w:r>
        <w:t>spatial mapping of permanent and temporary capped zones and uncapped zones</w:t>
      </w:r>
    </w:p>
    <w:p w14:paraId="0BCACFAB" w14:textId="77777777" w:rsidR="00D343D3" w:rsidRDefault="00D343D3" w:rsidP="00D343D3">
      <w:pPr>
        <w:pStyle w:val="CERbullets"/>
        <w:ind w:left="360" w:hanging="360"/>
      </w:pPr>
      <w:r>
        <w:t>spatial mapping of volumes, mass and age of waste disposed at the facility</w:t>
      </w:r>
    </w:p>
    <w:p w14:paraId="7E8D8C37" w14:textId="77777777" w:rsidR="00D343D3" w:rsidRDefault="00D343D3" w:rsidP="00D343D3">
      <w:pPr>
        <w:pStyle w:val="CERbullets"/>
        <w:ind w:left="360" w:hanging="360"/>
      </w:pPr>
      <w:r>
        <w:t xml:space="preserve">description of gas control systems: </w:t>
      </w:r>
    </w:p>
    <w:p w14:paraId="1749038F" w14:textId="77777777" w:rsidR="00D343D3" w:rsidRPr="009E2209" w:rsidRDefault="00D343D3" w:rsidP="009E2209">
      <w:pPr>
        <w:pStyle w:val="CERbullets"/>
        <w:numPr>
          <w:ilvl w:val="1"/>
          <w:numId w:val="21"/>
        </w:numPr>
      </w:pPr>
      <w:r w:rsidRPr="009E2209">
        <w:t>locations of wells and their capacity and other relevant attributes</w:t>
      </w:r>
    </w:p>
    <w:p w14:paraId="671A35E0" w14:textId="77777777" w:rsidR="00D343D3" w:rsidRPr="009E2209" w:rsidRDefault="00D343D3" w:rsidP="009E2209">
      <w:pPr>
        <w:pStyle w:val="CERbullets"/>
        <w:numPr>
          <w:ilvl w:val="1"/>
          <w:numId w:val="21"/>
        </w:numPr>
      </w:pPr>
      <w:r w:rsidRPr="009E2209">
        <w:t>gas monitoring points</w:t>
      </w:r>
    </w:p>
    <w:p w14:paraId="7391C3AA" w14:textId="77777777" w:rsidR="00D343D3" w:rsidRPr="009E2209" w:rsidRDefault="00D343D3" w:rsidP="009E2209">
      <w:pPr>
        <w:pStyle w:val="CERbullets"/>
        <w:numPr>
          <w:ilvl w:val="1"/>
          <w:numId w:val="21"/>
        </w:numPr>
      </w:pPr>
      <w:r w:rsidRPr="009E2209">
        <w:t>density of well sub-systems</w:t>
      </w:r>
    </w:p>
    <w:p w14:paraId="3A0C432D" w14:textId="77777777" w:rsidR="00D343D3" w:rsidRPr="009E2209" w:rsidRDefault="00D343D3" w:rsidP="009E2209">
      <w:pPr>
        <w:pStyle w:val="CERbullets"/>
        <w:numPr>
          <w:ilvl w:val="1"/>
          <w:numId w:val="21"/>
        </w:numPr>
      </w:pPr>
      <w:r w:rsidRPr="009E2209">
        <w:t>description of flares (location, timing and gas capacities)</w:t>
      </w:r>
    </w:p>
    <w:p w14:paraId="0379D6EA" w14:textId="77777777" w:rsidR="00D343D3" w:rsidRDefault="00D343D3" w:rsidP="00D343D3">
      <w:pPr>
        <w:pStyle w:val="CERbullets"/>
        <w:ind w:left="360" w:hanging="360"/>
      </w:pPr>
      <w:r>
        <w:t>leachate management systems</w:t>
      </w:r>
    </w:p>
    <w:p w14:paraId="74368002" w14:textId="77777777" w:rsidR="00D343D3" w:rsidRPr="009E2209" w:rsidRDefault="00D343D3" w:rsidP="009E2209">
      <w:pPr>
        <w:pStyle w:val="CERbullets"/>
        <w:numPr>
          <w:ilvl w:val="1"/>
          <w:numId w:val="21"/>
        </w:numPr>
      </w:pPr>
      <w:r w:rsidRPr="009E2209">
        <w:t xml:space="preserve">leachate towers, sumps, riser systems (including recirculation) </w:t>
      </w:r>
    </w:p>
    <w:p w14:paraId="69D9C4FC" w14:textId="77777777" w:rsidR="00D343D3" w:rsidRPr="009E2209" w:rsidRDefault="00D343D3" w:rsidP="009E2209">
      <w:pPr>
        <w:pStyle w:val="CERbullets"/>
        <w:numPr>
          <w:ilvl w:val="1"/>
          <w:numId w:val="21"/>
        </w:numPr>
      </w:pPr>
      <w:r w:rsidRPr="009E2209">
        <w:lastRenderedPageBreak/>
        <w:t>leachate monitoring points</w:t>
      </w:r>
    </w:p>
    <w:p w14:paraId="6266E5EA" w14:textId="77777777" w:rsidR="00D343D3" w:rsidRPr="009E2209" w:rsidRDefault="00D343D3" w:rsidP="009E2209">
      <w:pPr>
        <w:pStyle w:val="CERbullets"/>
        <w:numPr>
          <w:ilvl w:val="1"/>
          <w:numId w:val="21"/>
        </w:numPr>
      </w:pPr>
      <w:r w:rsidRPr="009E2209">
        <w:t xml:space="preserve">presence of former co-disposal systems (e.g. liquid disposal trenches) </w:t>
      </w:r>
    </w:p>
    <w:p w14:paraId="208F3134" w14:textId="77777777" w:rsidR="00D343D3" w:rsidRDefault="00D343D3" w:rsidP="00D343D3">
      <w:pPr>
        <w:pStyle w:val="CERbullets"/>
        <w:ind w:left="360" w:hanging="360"/>
      </w:pPr>
      <w:r>
        <w:t>the boundaries of all sub-facility and representative zones</w:t>
      </w:r>
    </w:p>
    <w:p w14:paraId="305F60A6" w14:textId="77777777" w:rsidR="00D343D3" w:rsidRDefault="00D343D3" w:rsidP="00D343D3">
      <w:pPr>
        <w:pStyle w:val="CERbullets"/>
        <w:ind w:left="360" w:hanging="360"/>
      </w:pPr>
      <w:r>
        <w:t>any other features of the facility that could impact on flux box locations or the capacity of a representative zone to be representative of the facility.</w:t>
      </w:r>
    </w:p>
    <w:p w14:paraId="560B8217" w14:textId="77777777" w:rsidR="00D343D3" w:rsidRPr="008966A4" w:rsidRDefault="00D343D3" w:rsidP="00F72BA8">
      <w:pPr>
        <w:pStyle w:val="Heading2"/>
        <w:numPr>
          <w:ilvl w:val="1"/>
          <w:numId w:val="39"/>
        </w:numPr>
        <w:spacing w:after="200"/>
        <w:ind w:left="284" w:hanging="360"/>
      </w:pPr>
      <w:bookmarkStart w:id="6" w:name="_Toc74215556"/>
      <w:bookmarkStart w:id="7" w:name="_Toc173503710"/>
      <w:r>
        <w:t>Engagement of an independent expert</w:t>
      </w:r>
      <w:bookmarkEnd w:id="6"/>
      <w:bookmarkEnd w:id="7"/>
    </w:p>
    <w:p w14:paraId="128A98A1" w14:textId="77777777" w:rsidR="00D343D3" w:rsidRDefault="00D343D3" w:rsidP="00D343D3">
      <w:pPr>
        <w:rPr>
          <w:spacing w:val="-2"/>
        </w:rPr>
      </w:pPr>
      <w:r w:rsidRPr="002F0B77">
        <w:rPr>
          <w:spacing w:val="-2"/>
        </w:rPr>
        <w:t>After the operator of the landfill has selected a representative zone for a sub-facility zone, the operator of the landfill must arrange for an independent expert to certify, in writing, that</w:t>
      </w:r>
      <w:r>
        <w:rPr>
          <w:spacing w:val="-2"/>
        </w:rPr>
        <w:t>:</w:t>
      </w:r>
    </w:p>
    <w:p w14:paraId="6A0E1E05" w14:textId="77777777" w:rsidR="00D343D3" w:rsidRDefault="00D343D3" w:rsidP="00D343D3">
      <w:pPr>
        <w:pStyle w:val="CERbullets"/>
        <w:ind w:left="360" w:hanging="360"/>
      </w:pPr>
      <w:r>
        <w:t>the boundaries of the representative zone are</w:t>
      </w:r>
      <w:r w:rsidRPr="00A568CF">
        <w:t xml:space="preserve"> </w:t>
      </w:r>
      <w:r>
        <w:t>appropriate for the purpose of obtaining accurate and representative estimates of the methane being generated by the representative zone</w:t>
      </w:r>
    </w:p>
    <w:p w14:paraId="3AA2953C" w14:textId="77777777" w:rsidR="00D343D3" w:rsidRPr="00B93601" w:rsidRDefault="00D343D3" w:rsidP="00D343D3">
      <w:pPr>
        <w:pStyle w:val="CERbullets"/>
        <w:ind w:left="360" w:hanging="360"/>
        <w:rPr>
          <w:spacing w:val="-2"/>
        </w:rPr>
      </w:pPr>
      <w:r>
        <w:t>the representative zone is representative of the sub-facility zone.</w:t>
      </w:r>
    </w:p>
    <w:p w14:paraId="0A43FC76" w14:textId="77777777" w:rsidR="00D343D3" w:rsidRDefault="00D343D3" w:rsidP="00D343D3">
      <w:pPr>
        <w:rPr>
          <w:spacing w:val="-2"/>
        </w:rPr>
      </w:pPr>
      <w:r>
        <w:rPr>
          <w:spacing w:val="-2"/>
        </w:rPr>
        <w:t xml:space="preserve">The independent expert must also prepare a written </w:t>
      </w:r>
      <w:r w:rsidRPr="00A568CF">
        <w:rPr>
          <w:spacing w:val="-2"/>
        </w:rPr>
        <w:t>report</w:t>
      </w:r>
      <w:r>
        <w:rPr>
          <w:spacing w:val="-2"/>
        </w:rPr>
        <w:t xml:space="preserve"> for the representative zone that</w:t>
      </w:r>
      <w:r w:rsidRPr="00A568CF">
        <w:rPr>
          <w:spacing w:val="-2"/>
        </w:rPr>
        <w:t xml:space="preserve"> includes the details specified in section 1.3 of this document</w:t>
      </w:r>
      <w:r>
        <w:rPr>
          <w:spacing w:val="-2"/>
        </w:rPr>
        <w:t>.</w:t>
      </w:r>
      <w:r w:rsidRPr="000E2431" w:rsidDel="000E2431">
        <w:rPr>
          <w:spacing w:val="-2"/>
        </w:rPr>
        <w:t xml:space="preserve"> </w:t>
      </w:r>
    </w:p>
    <w:p w14:paraId="6D38F04A" w14:textId="77777777" w:rsidR="00D343D3" w:rsidRPr="00A568CF" w:rsidRDefault="00D343D3" w:rsidP="00D343D3">
      <w:pPr>
        <w:rPr>
          <w:spacing w:val="-2"/>
        </w:rPr>
      </w:pPr>
      <w:r w:rsidRPr="00CE4303">
        <w:rPr>
          <w:spacing w:val="-2"/>
          <w:lang w:val="en-GB"/>
        </w:rPr>
        <w:t xml:space="preserve">The operator of the facility must enter into a written agreement with the expert, which may be by an exchange of letters, specifying the terms governing the preparation of </w:t>
      </w:r>
      <w:r w:rsidRPr="008977BD">
        <w:rPr>
          <w:spacing w:val="-2"/>
          <w:lang w:val="en-GB"/>
        </w:rPr>
        <w:t>a</w:t>
      </w:r>
      <w:r>
        <w:rPr>
          <w:spacing w:val="-2"/>
          <w:lang w:val="en-GB"/>
        </w:rPr>
        <w:t xml:space="preserve"> </w:t>
      </w:r>
      <w:r w:rsidRPr="00CE4303">
        <w:rPr>
          <w:spacing w:val="-2"/>
          <w:lang w:val="en-GB"/>
        </w:rPr>
        <w:t>report providing an assessment on the selection of the representative zone</w:t>
      </w:r>
      <w:r>
        <w:rPr>
          <w:spacing w:val="-2"/>
          <w:lang w:val="en-GB"/>
        </w:rPr>
        <w:t>.</w:t>
      </w:r>
    </w:p>
    <w:p w14:paraId="3C673447" w14:textId="77777777" w:rsidR="00D343D3" w:rsidRPr="00F97766" w:rsidRDefault="00D343D3" w:rsidP="00F72BA8">
      <w:pPr>
        <w:pStyle w:val="Heading2"/>
        <w:numPr>
          <w:ilvl w:val="1"/>
          <w:numId w:val="39"/>
        </w:numPr>
        <w:spacing w:after="200"/>
        <w:ind w:left="709" w:hanging="709"/>
      </w:pPr>
      <w:bookmarkStart w:id="8" w:name="_Toc74215557"/>
      <w:bookmarkStart w:id="9" w:name="_Toc173503711"/>
      <w:bookmarkStart w:id="10" w:name="_Hlk70414786"/>
      <w:r>
        <w:t>Expert reports on representative zones</w:t>
      </w:r>
      <w:bookmarkEnd w:id="8"/>
      <w:bookmarkEnd w:id="9"/>
    </w:p>
    <w:bookmarkEnd w:id="10"/>
    <w:p w14:paraId="5E4D6920" w14:textId="77777777" w:rsidR="00D343D3" w:rsidRPr="00057A0B" w:rsidRDefault="00D343D3" w:rsidP="00D343D3">
      <w:pPr>
        <w:rPr>
          <w:spacing w:val="-2"/>
          <w:lang w:val="en-GB"/>
        </w:rPr>
      </w:pPr>
      <w:r w:rsidRPr="001D6846">
        <w:rPr>
          <w:spacing w:val="-2"/>
          <w:lang w:val="en-GB"/>
        </w:rPr>
        <w:t>The written report must contain all information which the operator</w:t>
      </w:r>
      <w:r>
        <w:rPr>
          <w:spacing w:val="-2"/>
          <w:lang w:val="en-GB"/>
        </w:rPr>
        <w:t>,</w:t>
      </w:r>
      <w:r w:rsidRPr="001D6846">
        <w:rPr>
          <w:spacing w:val="-2"/>
          <w:lang w:val="en-GB"/>
        </w:rPr>
        <w:t xml:space="preserve"> and others likely to rely on the report</w:t>
      </w:r>
      <w:r>
        <w:rPr>
          <w:spacing w:val="-2"/>
          <w:lang w:val="en-GB"/>
        </w:rPr>
        <w:t>,</w:t>
      </w:r>
      <w:r w:rsidRPr="001D6846">
        <w:rPr>
          <w:spacing w:val="-2"/>
          <w:lang w:val="en-GB"/>
        </w:rPr>
        <w:t xml:space="preserve"> would reasonably require, and reasonably expect to find in the report, for the purpose of making an informed decision about the representativeness of the selected zone</w:t>
      </w:r>
      <w:r w:rsidRPr="008977BD">
        <w:rPr>
          <w:spacing w:val="-2"/>
          <w:lang w:val="en-GB"/>
        </w:rPr>
        <w:t xml:space="preserve">. </w:t>
      </w:r>
    </w:p>
    <w:p w14:paraId="5AC6C897" w14:textId="77777777" w:rsidR="00D343D3" w:rsidRPr="00F6717E" w:rsidRDefault="00D343D3" w:rsidP="00D343D3">
      <w:pPr>
        <w:rPr>
          <w:spacing w:val="-2"/>
          <w:lang w:val="en-GB"/>
        </w:rPr>
      </w:pPr>
      <w:r>
        <w:rPr>
          <w:spacing w:val="-2"/>
          <w:lang w:val="en-GB"/>
        </w:rPr>
        <w:t>Accordingly, t</w:t>
      </w:r>
      <w:r w:rsidRPr="00F6717E">
        <w:rPr>
          <w:spacing w:val="-2"/>
          <w:lang w:val="en-GB"/>
        </w:rPr>
        <w:t xml:space="preserve">he report </w:t>
      </w:r>
      <w:r w:rsidRPr="008977BD">
        <w:rPr>
          <w:spacing w:val="-2"/>
          <w:lang w:val="en-GB"/>
        </w:rPr>
        <w:t>should</w:t>
      </w:r>
      <w:r w:rsidRPr="00057A0B">
        <w:rPr>
          <w:spacing w:val="-2"/>
          <w:lang w:val="en-GB"/>
        </w:rPr>
        <w:t xml:space="preserve"> </w:t>
      </w:r>
      <w:r w:rsidRPr="00F6717E">
        <w:rPr>
          <w:spacing w:val="-2"/>
          <w:lang w:val="en-GB"/>
        </w:rPr>
        <w:t>include</w:t>
      </w:r>
      <w:r>
        <w:rPr>
          <w:spacing w:val="-2"/>
          <w:lang w:val="en-GB"/>
        </w:rPr>
        <w:t xml:space="preserve"> as a minimum</w:t>
      </w:r>
      <w:r w:rsidRPr="00F6717E">
        <w:rPr>
          <w:spacing w:val="-2"/>
          <w:lang w:val="en-GB"/>
        </w:rPr>
        <w:t>:</w:t>
      </w:r>
    </w:p>
    <w:p w14:paraId="170A2C23" w14:textId="77777777" w:rsidR="00D343D3" w:rsidRPr="00F6717E" w:rsidRDefault="00D343D3" w:rsidP="00D343D3">
      <w:pPr>
        <w:pStyle w:val="CERbullets"/>
        <w:ind w:left="360" w:hanging="360"/>
      </w:pPr>
      <w:r w:rsidRPr="00F6717E">
        <w:t>a description of the relevant aspects of the facility</w:t>
      </w:r>
    </w:p>
    <w:p w14:paraId="7C4C080A" w14:textId="77777777" w:rsidR="00D343D3" w:rsidRPr="00F6717E" w:rsidRDefault="00D343D3" w:rsidP="00D343D3">
      <w:pPr>
        <w:pStyle w:val="CERbullets"/>
        <w:ind w:left="360" w:hanging="360"/>
      </w:pPr>
      <w:r w:rsidRPr="00F6717E">
        <w:t>an account of the material history of the facility, including the volume, mass, age and types of waste in the representative zone</w:t>
      </w:r>
    </w:p>
    <w:p w14:paraId="0BDD52DC" w14:textId="77777777" w:rsidR="00D343D3" w:rsidRPr="00F6717E" w:rsidRDefault="00D343D3" w:rsidP="00D343D3">
      <w:pPr>
        <w:pStyle w:val="CERbullets"/>
        <w:ind w:left="360" w:hanging="360"/>
      </w:pPr>
      <w:r w:rsidRPr="00F6717E">
        <w:t xml:space="preserve">an assessment as to the degree of uniformity of moisture levels between the representative zone and the remainder of the landfill, </w:t>
      </w:r>
      <w:proofErr w:type="gramStart"/>
      <w:r w:rsidRPr="00F6717E">
        <w:t>taking into account</w:t>
      </w:r>
      <w:proofErr w:type="gramEnd"/>
      <w:r w:rsidRPr="00F6717E">
        <w:t xml:space="preserve"> the technologies and processes used in the representative zone that affect moisture levels compared with other parts of the facility including the use of leachate recirculation and cell size</w:t>
      </w:r>
    </w:p>
    <w:p w14:paraId="44C072B3" w14:textId="77777777" w:rsidR="00D343D3" w:rsidRPr="00F6717E" w:rsidRDefault="00D343D3" w:rsidP="00D343D3">
      <w:pPr>
        <w:pStyle w:val="CERbullets"/>
        <w:ind w:left="360" w:hanging="360"/>
      </w:pPr>
      <w:r w:rsidRPr="00F6717E">
        <w:t xml:space="preserve">an assessment of the degree of uniformity of the depth of waste, </w:t>
      </w:r>
      <w:proofErr w:type="gramStart"/>
      <w:r w:rsidRPr="00F6717E">
        <w:t>taking into account</w:t>
      </w:r>
      <w:proofErr w:type="gramEnd"/>
      <w:r w:rsidRPr="00F6717E">
        <w:t xml:space="preserve"> the results of volumetric surveys conducted for the site, if any have been conducted.</w:t>
      </w:r>
    </w:p>
    <w:p w14:paraId="25FD2062" w14:textId="77777777" w:rsidR="00D343D3" w:rsidRPr="00F6717E" w:rsidRDefault="00D343D3" w:rsidP="00D343D3">
      <w:pPr>
        <w:rPr>
          <w:spacing w:val="-2"/>
          <w:lang w:val="en-GB"/>
        </w:rPr>
      </w:pPr>
      <w:r w:rsidRPr="00F6717E">
        <w:rPr>
          <w:spacing w:val="-2"/>
          <w:lang w:val="en-GB"/>
        </w:rPr>
        <w:t>The independent expert</w:t>
      </w:r>
      <w:r>
        <w:rPr>
          <w:spacing w:val="-2"/>
          <w:lang w:val="en-GB"/>
        </w:rPr>
        <w:t>’s report</w:t>
      </w:r>
      <w:r w:rsidRPr="00F6717E">
        <w:rPr>
          <w:spacing w:val="-2"/>
          <w:lang w:val="en-GB"/>
        </w:rPr>
        <w:t xml:space="preserve"> must also provide an assessment as to whether the boundaries of the representative zone are appropriate. The boundaries of the zone should define the volume of waste that is generating the gas captured by the collection system within the representative zone. </w:t>
      </w:r>
    </w:p>
    <w:p w14:paraId="7AD023E5" w14:textId="77777777" w:rsidR="00D343D3" w:rsidRPr="00F6717E" w:rsidRDefault="00D343D3" w:rsidP="00D343D3">
      <w:pPr>
        <w:pStyle w:val="CERbullets"/>
        <w:ind w:left="360" w:hanging="360"/>
        <w:rPr>
          <w:lang w:val="en-GB"/>
        </w:rPr>
      </w:pPr>
      <w:r w:rsidRPr="00F6717E">
        <w:rPr>
          <w:lang w:val="en-GB"/>
        </w:rPr>
        <w:t xml:space="preserve">For any given point on the boundary, the location of the boundary should be located by determining a distance between two adjacent wells - one well internal to the selected area and one well external to the selected area - which is proportional to the relative landfill gas flow rate of each well recorded over the test period. The data used must have been recorded during periods of operation of the collection system that reflect normal operating conditions (i.e. consistent with the operation of the system on days of flux box measurement). There must be no significant net flow of landfill gas across the representative zone boundary when the measurements are made. </w:t>
      </w:r>
    </w:p>
    <w:p w14:paraId="1DFDEF4C" w14:textId="77777777" w:rsidR="00D343D3" w:rsidRPr="00F6717E" w:rsidRDefault="00D343D3" w:rsidP="00D343D3">
      <w:pPr>
        <w:pStyle w:val="CERbullets"/>
        <w:ind w:left="360" w:hanging="360"/>
        <w:rPr>
          <w:lang w:val="en-GB"/>
        </w:rPr>
      </w:pPr>
      <w:r w:rsidRPr="00F6717E">
        <w:rPr>
          <w:lang w:val="en-GB"/>
        </w:rPr>
        <w:lastRenderedPageBreak/>
        <w:t xml:space="preserve">For zones with vertical well systems in place, the boundary can be assumed to be a vertical surface extending from the landfill surface to the base of the waste. </w:t>
      </w:r>
    </w:p>
    <w:p w14:paraId="31D1E7B0" w14:textId="77777777" w:rsidR="00D343D3" w:rsidRPr="005340B5" w:rsidRDefault="00D343D3" w:rsidP="00D343D3">
      <w:pPr>
        <w:pStyle w:val="CERbullets"/>
        <w:ind w:left="360" w:hanging="360"/>
        <w:rPr>
          <w:lang w:val="en-GB"/>
        </w:rPr>
      </w:pPr>
      <w:r w:rsidRPr="3E2E7358">
        <w:rPr>
          <w:lang w:val="en-GB"/>
        </w:rPr>
        <w:t xml:space="preserve">For zones with horizontal well systems in place, the representative zone may be estimated on the zone of influence of the horizontal well system. </w:t>
      </w:r>
    </w:p>
    <w:p w14:paraId="5CB223CD" w14:textId="77777777" w:rsidR="00D343D3" w:rsidRPr="00F6717E" w:rsidRDefault="00D343D3" w:rsidP="00D343D3">
      <w:pPr>
        <w:rPr>
          <w:spacing w:val="-2"/>
          <w:lang w:val="en-GB"/>
        </w:rPr>
      </w:pPr>
      <w:r w:rsidRPr="00F6717E">
        <w:rPr>
          <w:spacing w:val="-2"/>
          <w:lang w:val="en-GB"/>
        </w:rPr>
        <w:t xml:space="preserve">Detailed technical information and data should be included in the report if their understanding is important to </w:t>
      </w:r>
      <w:r>
        <w:rPr>
          <w:spacing w:val="-2"/>
          <w:lang w:val="en-GB"/>
        </w:rPr>
        <w:t xml:space="preserve">any of </w:t>
      </w:r>
      <w:r w:rsidRPr="00F6717E">
        <w:rPr>
          <w:spacing w:val="-2"/>
          <w:lang w:val="en-GB"/>
        </w:rPr>
        <w:t>the</w:t>
      </w:r>
      <w:r>
        <w:rPr>
          <w:spacing w:val="-2"/>
          <w:lang w:val="en-GB"/>
        </w:rPr>
        <w:t xml:space="preserve"> required</w:t>
      </w:r>
      <w:r w:rsidRPr="00F6717E">
        <w:rPr>
          <w:spacing w:val="-2"/>
          <w:lang w:val="en-GB"/>
        </w:rPr>
        <w:t xml:space="preserve"> assessment</w:t>
      </w:r>
      <w:r>
        <w:rPr>
          <w:spacing w:val="-2"/>
          <w:lang w:val="en-GB"/>
        </w:rPr>
        <w:t>s</w:t>
      </w:r>
      <w:r w:rsidRPr="00F6717E">
        <w:rPr>
          <w:spacing w:val="-2"/>
          <w:lang w:val="en-GB"/>
        </w:rPr>
        <w:t xml:space="preserve">. Explanations of unusual or new technical processes and activities that may be material to the understanding of the assessment should be included, where commercial confidentiality considerations allow. </w:t>
      </w:r>
    </w:p>
    <w:p w14:paraId="391459A6" w14:textId="77777777" w:rsidR="00D343D3" w:rsidRPr="00F6717E" w:rsidRDefault="00D343D3" w:rsidP="00D343D3">
      <w:pPr>
        <w:rPr>
          <w:spacing w:val="-2"/>
          <w:lang w:val="en-GB"/>
        </w:rPr>
      </w:pPr>
      <w:r w:rsidRPr="00F6717E">
        <w:rPr>
          <w:spacing w:val="-2"/>
          <w:lang w:val="en-GB"/>
        </w:rPr>
        <w:t xml:space="preserve">Experts must not rely uncritically on the data and other information provided, either by the operator of the facility or obtained otherwise. They must undertake suitable checks, enquiries, analyses and verification procedures to establish reasonable grounds for establishing the soundness of the contents and conclusions of the report. </w:t>
      </w:r>
    </w:p>
    <w:p w14:paraId="4B370000" w14:textId="29EDBC83" w:rsidR="00D343D3" w:rsidRDefault="00D343D3" w:rsidP="00D343D3">
      <w:pPr>
        <w:rPr>
          <w:spacing w:val="-2"/>
          <w:lang w:val="en-GB"/>
        </w:rPr>
      </w:pPr>
      <w:r w:rsidRPr="00F6717E">
        <w:rPr>
          <w:spacing w:val="-2"/>
          <w:lang w:val="en-GB"/>
        </w:rPr>
        <w:t>The expert must either certify that the representative zone has been selected in accordance with</w:t>
      </w:r>
      <w:r>
        <w:rPr>
          <w:spacing w:val="-2"/>
          <w:lang w:val="en-GB"/>
        </w:rPr>
        <w:t xml:space="preserve"> the requirements set out in</w:t>
      </w:r>
      <w:r w:rsidRPr="00F6717E">
        <w:rPr>
          <w:spacing w:val="-2"/>
          <w:lang w:val="en-GB"/>
        </w:rPr>
        <w:t xml:space="preserve"> th</w:t>
      </w:r>
      <w:r>
        <w:rPr>
          <w:spacing w:val="-2"/>
          <w:lang w:val="en-GB"/>
        </w:rPr>
        <w:t>is</w:t>
      </w:r>
      <w:r w:rsidRPr="00F6717E">
        <w:rPr>
          <w:spacing w:val="-2"/>
          <w:lang w:val="en-GB"/>
        </w:rPr>
        <w:t xml:space="preserve"> </w:t>
      </w:r>
      <w:r>
        <w:rPr>
          <w:spacing w:val="-2"/>
          <w:lang w:val="en-GB"/>
        </w:rPr>
        <w:t>document</w:t>
      </w:r>
      <w:r w:rsidRPr="00F6717E">
        <w:rPr>
          <w:spacing w:val="-2"/>
          <w:lang w:val="en-GB"/>
        </w:rPr>
        <w:t xml:space="preserve"> and the </w:t>
      </w:r>
      <w:r>
        <w:rPr>
          <w:spacing w:val="-2"/>
          <w:lang w:val="en-GB"/>
        </w:rPr>
        <w:t>NGER</w:t>
      </w:r>
      <w:r w:rsidRPr="005E3154">
        <w:rPr>
          <w:spacing w:val="-2"/>
          <w:lang w:val="en-GB"/>
        </w:rPr>
        <w:t xml:space="preserve"> Measurement</w:t>
      </w:r>
      <w:r>
        <w:rPr>
          <w:spacing w:val="-2"/>
          <w:lang w:val="en-GB"/>
        </w:rPr>
        <w:t xml:space="preserve"> </w:t>
      </w:r>
      <w:r w:rsidRPr="005E3154">
        <w:rPr>
          <w:spacing w:val="-2"/>
          <w:lang w:val="en-GB"/>
        </w:rPr>
        <w:t>Determination</w:t>
      </w:r>
      <w:r w:rsidRPr="00F6717E">
        <w:rPr>
          <w:spacing w:val="-2"/>
          <w:lang w:val="en-GB"/>
        </w:rPr>
        <w:t>, or the contrary, and</w:t>
      </w:r>
      <w:r>
        <w:rPr>
          <w:spacing w:val="-2"/>
          <w:lang w:val="en-GB"/>
        </w:rPr>
        <w:t xml:space="preserve"> </w:t>
      </w:r>
      <w:r w:rsidRPr="00F6717E">
        <w:rPr>
          <w:spacing w:val="-2"/>
          <w:lang w:val="en-GB"/>
        </w:rPr>
        <w:t>personally sign the report.</w:t>
      </w:r>
      <w:bookmarkEnd w:id="2"/>
    </w:p>
    <w:p w14:paraId="11982C95" w14:textId="77777777" w:rsidR="008257F2" w:rsidRDefault="008257F2" w:rsidP="008257F2">
      <w:pPr>
        <w:pStyle w:val="Heading1"/>
      </w:pPr>
      <w:bookmarkStart w:id="11" w:name="_Toc510679827"/>
      <w:bookmarkStart w:id="12" w:name="_Toc46145227"/>
      <w:bookmarkStart w:id="13" w:name="_Toc106199265"/>
      <w:bookmarkStart w:id="14" w:name="_Toc163206669"/>
      <w:bookmarkStart w:id="15" w:name="_Toc172556716"/>
      <w:bookmarkStart w:id="16" w:name="_Toc173503712"/>
      <w:r>
        <w:t>More information</w:t>
      </w:r>
      <w:bookmarkEnd w:id="11"/>
      <w:bookmarkEnd w:id="12"/>
      <w:bookmarkEnd w:id="13"/>
      <w:bookmarkEnd w:id="14"/>
      <w:bookmarkEnd w:id="15"/>
      <w:bookmarkEnd w:id="16"/>
    </w:p>
    <w:p w14:paraId="15F3057B" w14:textId="77777777" w:rsidR="008257F2" w:rsidRDefault="008257F2" w:rsidP="008257F2">
      <w:r>
        <w:t>For more information, please contact CER:</w:t>
      </w:r>
    </w:p>
    <w:p w14:paraId="2725FFC0" w14:textId="77777777" w:rsidR="008257F2" w:rsidRDefault="008257F2" w:rsidP="008257F2">
      <w:r>
        <w:t xml:space="preserve">Email: </w:t>
      </w:r>
      <w:hyperlink r:id="rId21" w:history="1">
        <w:r>
          <w:rPr>
            <w:rStyle w:val="Hyperlink"/>
            <w:szCs w:val="22"/>
          </w:rPr>
          <w:t>reporting@cleanenergyregulator.gov.au</w:t>
        </w:r>
      </w:hyperlink>
    </w:p>
    <w:p w14:paraId="77D127D6" w14:textId="77777777" w:rsidR="008257F2" w:rsidRDefault="008257F2" w:rsidP="008257F2">
      <w:r>
        <w:t>Phone:</w:t>
      </w:r>
      <w:r>
        <w:tab/>
      </w:r>
      <w:r w:rsidRPr="00A44BD9">
        <w:t>1300 553 542</w:t>
      </w:r>
      <w:r>
        <w:rPr>
          <w:b/>
        </w:rPr>
        <w:t xml:space="preserve"> </w:t>
      </w:r>
      <w:r>
        <w:t xml:space="preserve">within Australia </w:t>
      </w:r>
    </w:p>
    <w:p w14:paraId="2DF23AB3" w14:textId="77777777" w:rsidR="008257F2" w:rsidRDefault="008257F2" w:rsidP="008257F2">
      <w:r>
        <w:t xml:space="preserve">Website: </w:t>
      </w:r>
      <w:hyperlink r:id="rId22" w:history="1">
        <w:r>
          <w:rPr>
            <w:rStyle w:val="Hyperlink"/>
          </w:rPr>
          <w:t>www.cer.gov.au</w:t>
        </w:r>
      </w:hyperlink>
    </w:p>
    <w:p w14:paraId="127896D9" w14:textId="77777777" w:rsidR="008257F2" w:rsidRDefault="008257F2" w:rsidP="00D343D3"/>
    <w:sectPr w:rsidR="008257F2" w:rsidSect="00E349EF">
      <w:headerReference w:type="default" r:id="rId23"/>
      <w:footerReference w:type="even" r:id="rId24"/>
      <w:footerReference w:type="default" r:id="rId25"/>
      <w:headerReference w:type="first" r:id="rId26"/>
      <w:footerReference w:type="first" r:id="rId27"/>
      <w:pgSz w:w="11900" w:h="16840" w:code="9"/>
      <w:pgMar w:top="1447" w:right="1080" w:bottom="993" w:left="1080" w:header="227" w:footer="232"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D7A152" w14:textId="77777777" w:rsidR="00DB450D" w:rsidRDefault="00DB450D" w:rsidP="00176C28">
      <w:r>
        <w:separator/>
      </w:r>
    </w:p>
    <w:p w14:paraId="1154A128" w14:textId="77777777" w:rsidR="00DB450D" w:rsidRDefault="00DB450D"/>
  </w:endnote>
  <w:endnote w:type="continuationSeparator" w:id="0">
    <w:p w14:paraId="6CE96D84" w14:textId="77777777" w:rsidR="00DB450D" w:rsidRDefault="00DB450D" w:rsidP="00176C28">
      <w:r>
        <w:continuationSeparator/>
      </w:r>
    </w:p>
    <w:p w14:paraId="521B582A" w14:textId="77777777" w:rsidR="00DB450D" w:rsidRDefault="00DB45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Body)">
    <w:altName w:val="Calibri"/>
    <w:panose1 w:val="00000000000000000000"/>
    <w:charset w:val="00"/>
    <w:family w:val="roman"/>
    <w:notTrueType/>
    <w:pitch w:val="default"/>
  </w:font>
  <w:font w:name="Times New Roman (Headings CS)">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9826918"/>
      <w:docPartObj>
        <w:docPartGallery w:val="Page Numbers (Bottom of Page)"/>
        <w:docPartUnique/>
      </w:docPartObj>
    </w:sdtPr>
    <w:sdtEndPr>
      <w:rPr>
        <w:rStyle w:val="PageNumber"/>
      </w:rPr>
    </w:sdtEndPr>
    <w:sdtContent>
      <w:p w14:paraId="681D7FF0" w14:textId="77777777" w:rsidR="009633DE" w:rsidRDefault="009633DE" w:rsidP="009E2E5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EC1FF44" w14:textId="77777777" w:rsidR="00977234" w:rsidRDefault="00977234" w:rsidP="009633DE">
    <w:pPr>
      <w:pStyle w:val="Footer"/>
      <w:ind w:right="360"/>
      <w:rPr>
        <w:rStyle w:val="PageNumber"/>
      </w:rPr>
    </w:pPr>
  </w:p>
  <w:p w14:paraId="036AAED2" w14:textId="77777777" w:rsidR="00977234" w:rsidRDefault="00977234" w:rsidP="009633DE">
    <w:pPr>
      <w:pStyle w:val="Footer"/>
    </w:pPr>
  </w:p>
  <w:p w14:paraId="2EC15CF9" w14:textId="77777777" w:rsidR="006C58B9" w:rsidRDefault="006C58B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98AC4" w14:textId="3226F83A" w:rsidR="00F76419" w:rsidRPr="00E613C9" w:rsidRDefault="002D18F3" w:rsidP="00E613C9">
    <w:pPr>
      <w:pStyle w:val="Footer"/>
      <w:tabs>
        <w:tab w:val="clear" w:pos="2694"/>
        <w:tab w:val="clear" w:pos="3969"/>
        <w:tab w:val="clear" w:pos="6946"/>
        <w:tab w:val="clear" w:pos="9498"/>
        <w:tab w:val="center" w:pos="9639"/>
      </w:tabs>
      <w:spacing w:before="360" w:after="0"/>
      <w:ind w:left="0"/>
      <w:rPr>
        <w:rStyle w:val="Protectivemarker"/>
        <w:b w:val="0"/>
        <w:color w:val="000000" w:themeColor="text1"/>
        <w:sz w:val="18"/>
        <w:szCs w:val="18"/>
      </w:rPr>
    </w:pPr>
    <w:r w:rsidRPr="002D18F3">
      <w:rPr>
        <w:b/>
        <w:bCs/>
      </w:rPr>
      <w:t>W:</w:t>
    </w:r>
    <w:r w:rsidRPr="002D18F3">
      <w:t xml:space="preserve"> </w:t>
    </w:r>
    <w:r w:rsidR="00B708DE">
      <w:t>ce</w:t>
    </w:r>
    <w:r w:rsidR="006E3CA9" w:rsidRPr="002D18F3">
      <w:t>r.gov.au</w:t>
    </w:r>
    <w:r w:rsidR="006E3CA9" w:rsidRPr="002D18F3">
      <w:rPr>
        <w:rStyle w:val="PageNumber"/>
      </w:rPr>
      <w:t xml:space="preserve"> </w:t>
    </w:r>
    <w:r w:rsidR="00223676" w:rsidRPr="002D18F3">
      <w:rPr>
        <w:rStyle w:val="PageNumber"/>
      </w:rPr>
      <w:t xml:space="preserve">| </w:t>
    </w:r>
    <w:r w:rsidR="00223676" w:rsidRPr="002D18F3">
      <w:rPr>
        <w:rStyle w:val="PageNumber"/>
        <w:b/>
        <w:bCs/>
      </w:rPr>
      <w:t>T:</w:t>
    </w:r>
    <w:r w:rsidR="00223676" w:rsidRPr="002D18F3">
      <w:rPr>
        <w:rStyle w:val="PageNumber"/>
      </w:rPr>
      <w:t xml:space="preserve"> 1300 553 542</w:t>
    </w:r>
    <w:r w:rsidRPr="002D18F3">
      <w:rPr>
        <w:rStyle w:val="PageNumber"/>
      </w:rPr>
      <w:t xml:space="preserve"> | </w:t>
    </w:r>
    <w:r w:rsidRPr="002D18F3">
      <w:rPr>
        <w:rStyle w:val="PageNumber"/>
        <w:b/>
        <w:bCs/>
      </w:rPr>
      <w:t>E:</w:t>
    </w:r>
    <w:r w:rsidRPr="002D18F3">
      <w:rPr>
        <w:rStyle w:val="PageNumber"/>
      </w:rPr>
      <w:t xml:space="preserve"> enquiries@</w:t>
    </w:r>
    <w:r w:rsidR="009E389A">
      <w:rPr>
        <w:rStyle w:val="PageNumber"/>
      </w:rPr>
      <w:t>ce</w:t>
    </w:r>
    <w:r w:rsidR="009E389A" w:rsidRPr="002D18F3">
      <w:rPr>
        <w:rStyle w:val="PageNumber"/>
      </w:rPr>
      <w:t>r</w:t>
    </w:r>
    <w:r w:rsidRPr="002D18F3">
      <w:rPr>
        <w:rStyle w:val="PageNumber"/>
      </w:rPr>
      <w:t>.gov.au</w:t>
    </w:r>
    <w:r w:rsidR="006E3CA9">
      <w:rPr>
        <w:rStyle w:val="PageNumber"/>
      </w:rPr>
      <w:tab/>
    </w:r>
    <w:sdt>
      <w:sdtPr>
        <w:rPr>
          <w:rStyle w:val="PageNumber"/>
        </w:rPr>
        <w:id w:val="1597057790"/>
        <w:docPartObj>
          <w:docPartGallery w:val="Page Numbers (Bottom of Page)"/>
          <w:docPartUnique/>
        </w:docPartObj>
      </w:sdtPr>
      <w:sdtEndPr>
        <w:rPr>
          <w:rStyle w:val="PageNumber"/>
          <w:sz w:val="20"/>
          <w:szCs w:val="20"/>
        </w:rPr>
      </w:sdtEndPr>
      <w:sdtContent>
        <w:r w:rsidR="006E3CA9" w:rsidRPr="00E349EF">
          <w:rPr>
            <w:rStyle w:val="PageNumber"/>
            <w:sz w:val="20"/>
            <w:szCs w:val="20"/>
          </w:rPr>
          <w:fldChar w:fldCharType="begin"/>
        </w:r>
        <w:r w:rsidR="006E3CA9" w:rsidRPr="00E349EF">
          <w:rPr>
            <w:rStyle w:val="PageNumber"/>
            <w:sz w:val="20"/>
            <w:szCs w:val="20"/>
          </w:rPr>
          <w:instrText xml:space="preserve"> PAGE </w:instrText>
        </w:r>
        <w:r w:rsidR="006E3CA9" w:rsidRPr="00E349EF">
          <w:rPr>
            <w:rStyle w:val="PageNumber"/>
            <w:sz w:val="20"/>
            <w:szCs w:val="20"/>
          </w:rPr>
          <w:fldChar w:fldCharType="separate"/>
        </w:r>
        <w:r w:rsidR="006E3CA9">
          <w:rPr>
            <w:rStyle w:val="PageNumber"/>
            <w:sz w:val="20"/>
            <w:szCs w:val="20"/>
          </w:rPr>
          <w:t>3</w:t>
        </w:r>
        <w:r w:rsidR="006E3CA9" w:rsidRPr="00E349EF">
          <w:rPr>
            <w:rStyle w:val="PageNumber"/>
            <w:sz w:val="20"/>
            <w:szCs w:val="20"/>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33325" w14:textId="3BC19FED" w:rsidR="0065750A" w:rsidRPr="009C30B4" w:rsidRDefault="004744CC" w:rsidP="00AA2792">
    <w:pPr>
      <w:tabs>
        <w:tab w:val="left" w:pos="2694"/>
        <w:tab w:val="left" w:pos="3969"/>
        <w:tab w:val="left" w:pos="6946"/>
        <w:tab w:val="right" w:pos="9498"/>
      </w:tabs>
      <w:spacing w:after="720"/>
      <w:ind w:right="242"/>
      <w:rPr>
        <w:color w:val="005874"/>
        <w:sz w:val="16"/>
        <w:szCs w:val="16"/>
      </w:rPr>
    </w:pPr>
    <w:r>
      <w:rPr>
        <w:noProof/>
      </w:rPr>
      <w:drawing>
        <wp:inline distT="0" distB="0" distL="0" distR="0" wp14:anchorId="01730C08" wp14:editId="35A15138">
          <wp:extent cx="2567474" cy="781050"/>
          <wp:effectExtent l="0" t="0" r="444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98801" cy="79058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D2E464" w14:textId="77777777" w:rsidR="00DB450D" w:rsidRDefault="00DB450D" w:rsidP="00176C28">
      <w:r>
        <w:separator/>
      </w:r>
    </w:p>
    <w:p w14:paraId="2E90AF7D" w14:textId="77777777" w:rsidR="00DB450D" w:rsidRDefault="00DB450D"/>
  </w:footnote>
  <w:footnote w:type="continuationSeparator" w:id="0">
    <w:p w14:paraId="15A845E0" w14:textId="77777777" w:rsidR="00DB450D" w:rsidRDefault="00DB450D" w:rsidP="00176C28">
      <w:r>
        <w:continuationSeparator/>
      </w:r>
    </w:p>
    <w:p w14:paraId="738D64D5" w14:textId="77777777" w:rsidR="00DB450D" w:rsidRDefault="00DB450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92C6F" w14:textId="77777777" w:rsidR="00D81782" w:rsidRPr="00BE0DA3" w:rsidRDefault="00407A97" w:rsidP="00E349EF">
    <w:pPr>
      <w:pStyle w:val="LegislativesecrecyACT"/>
    </w:pPr>
    <w:r>
      <w:rPr>
        <w:noProof/>
      </w:rPr>
      <w:drawing>
        <wp:anchor distT="0" distB="0" distL="114300" distR="114300" simplePos="0" relativeHeight="251658240" behindDoc="0" locked="0" layoutInCell="1" allowOverlap="1" wp14:anchorId="028CDE93" wp14:editId="0DE67114">
          <wp:simplePos x="0" y="0"/>
          <wp:positionH relativeFrom="column">
            <wp:posOffset>4721225</wp:posOffset>
          </wp:positionH>
          <wp:positionV relativeFrom="paragraph">
            <wp:posOffset>76200</wp:posOffset>
          </wp:positionV>
          <wp:extent cx="1424451" cy="469454"/>
          <wp:effectExtent l="0" t="0" r="4445" b="6985"/>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
                  <a:stretch>
                    <a:fillRect/>
                  </a:stretch>
                </pic:blipFill>
                <pic:spPr>
                  <a:xfrm>
                    <a:off x="0" y="0"/>
                    <a:ext cx="1424451" cy="469454"/>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6AD72" w14:textId="77777777" w:rsidR="00CA2954" w:rsidRDefault="008352D1" w:rsidP="00E349EF">
    <w:pPr>
      <w:pStyle w:val="Header"/>
      <w:spacing w:before="600"/>
    </w:pPr>
    <w:r>
      <w:rPr>
        <w:noProof/>
      </w:rPr>
      <w:t xml:space="preserve">  </w:t>
    </w:r>
    <w:r w:rsidR="00CA2954">
      <w:rPr>
        <w:noProof/>
      </w:rPr>
      <w:drawing>
        <wp:inline distT="0" distB="0" distL="0" distR="0" wp14:anchorId="43806B8A" wp14:editId="30AA5E48">
          <wp:extent cx="2628000" cy="617737"/>
          <wp:effectExtent l="0" t="0" r="1270" b="5080"/>
          <wp:docPr id="4" name="Picture 4" descr="Australian Government Crest - Clean Energy Regul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ustralian Government Crest - Clean Energy Regulator"/>
                  <pic:cNvPicPr/>
                </pic:nvPicPr>
                <pic:blipFill>
                  <a:blip r:embed="rId1"/>
                  <a:stretch>
                    <a:fillRect/>
                  </a:stretch>
                </pic:blipFill>
                <pic:spPr>
                  <a:xfrm>
                    <a:off x="0" y="0"/>
                    <a:ext cx="2628000" cy="61773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83E6B3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D8611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D3A06B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8246B0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B3EB8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986988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64A28E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CA63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0E40B3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66E05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F11FF7"/>
    <w:multiLevelType w:val="multilevel"/>
    <w:tmpl w:val="1BAAA8A2"/>
    <w:lvl w:ilvl="0">
      <w:start w:val="1"/>
      <w:numFmt w:val="bullet"/>
      <w:lvlText w:val=""/>
      <w:lvlJc w:val="left"/>
      <w:pPr>
        <w:ind w:left="360" w:hanging="360"/>
      </w:pPr>
      <w:rPr>
        <w:rFonts w:ascii="Symbol" w:hAnsi="Symbol" w:hint="default"/>
        <w:color w:val="006EA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3297344"/>
    <w:multiLevelType w:val="hybridMultilevel"/>
    <w:tmpl w:val="7EF4B3D6"/>
    <w:lvl w:ilvl="0" w:tplc="36248844">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4A5520B"/>
    <w:multiLevelType w:val="hybridMultilevel"/>
    <w:tmpl w:val="7AC65EE0"/>
    <w:lvl w:ilvl="0" w:tplc="9B3E1C20">
      <w:start w:val="1"/>
      <w:numFmt w:val="decimal"/>
      <w:lvlText w:val="%1."/>
      <w:lvlJc w:val="left"/>
      <w:pPr>
        <w:ind w:left="720" w:hanging="360"/>
      </w:pPr>
      <w:rPr>
        <w:rFonts w:ascii="Calibri" w:eastAsiaTheme="minorEastAsia" w:hAnsi="Calibri" w:cs="Calibri" w:hint="default"/>
        <w:sz w:val="4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05AA77D3"/>
    <w:multiLevelType w:val="hybridMultilevel"/>
    <w:tmpl w:val="440E48D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07254ADB"/>
    <w:multiLevelType w:val="hybridMultilevel"/>
    <w:tmpl w:val="71EE4F1E"/>
    <w:lvl w:ilvl="0" w:tplc="BDF6037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7A452B8"/>
    <w:multiLevelType w:val="hybridMultilevel"/>
    <w:tmpl w:val="E988AB44"/>
    <w:lvl w:ilvl="0" w:tplc="6ABE5874">
      <w:start w:val="1"/>
      <w:numFmt w:val="bullet"/>
      <w:lvlText w:val=""/>
      <w:lvlJc w:val="left"/>
      <w:pPr>
        <w:ind w:left="360" w:hanging="360"/>
      </w:pPr>
      <w:rPr>
        <w:rFonts w:ascii="Symbol" w:hAnsi="Symbol" w:hint="default"/>
        <w:color w:val="006EA6"/>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6" w15:restartNumberingAfterBreak="0">
    <w:nsid w:val="19FF740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D061B89"/>
    <w:multiLevelType w:val="multilevel"/>
    <w:tmpl w:val="FCEE04B8"/>
    <w:lvl w:ilvl="0">
      <w:start w:val="1"/>
      <w:numFmt w:val="decimal"/>
      <w:lvlText w:val="%1."/>
      <w:lvlJc w:val="left"/>
      <w:pPr>
        <w:ind w:left="357" w:hanging="357"/>
      </w:pPr>
      <w:rPr>
        <w:rFonts w:ascii="Calibri" w:hAnsi="Calibri" w:hint="default"/>
        <w:i w:val="0"/>
        <w:iCs w:val="0"/>
        <w:caps w:val="0"/>
        <w:smallCaps w:val="0"/>
        <w:strike w:val="0"/>
        <w:dstrike w:val="0"/>
        <w:noProof w:val="0"/>
        <w:vanish w:val="0"/>
        <w:color w:val="516231" w:themeColor="accent1" w:themeShade="8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isLgl/>
      <w:lvlText w:val="%1.%2"/>
      <w:lvlJc w:val="left"/>
      <w:pPr>
        <w:ind w:left="680" w:hanging="680"/>
      </w:pPr>
      <w:rPr>
        <w:rFonts w:ascii="Calibri" w:hAnsi="Calibri" w:hint="default"/>
      </w:rPr>
    </w:lvl>
    <w:lvl w:ilvl="2">
      <w:start w:val="1"/>
      <w:numFmt w:val="decimal"/>
      <w:isLgl/>
      <w:lvlText w:val="%1.%2.%3"/>
      <w:lvlJc w:val="left"/>
      <w:pPr>
        <w:ind w:left="1248" w:hanging="680"/>
      </w:pPr>
      <w:rPr>
        <w:rFonts w:ascii="Calibri" w:hAnsi="Calibri" w:hint="default"/>
        <w:sz w:val="25"/>
        <w:szCs w:val="25"/>
      </w:rPr>
    </w:lvl>
    <w:lvl w:ilvl="3">
      <w:start w:val="1"/>
      <w:numFmt w:val="decimal"/>
      <w:isLgl/>
      <w:lvlText w:val="%1.%2.%3.%4"/>
      <w:lvlJc w:val="left"/>
      <w:pPr>
        <w:ind w:left="1532" w:hanging="680"/>
      </w:pPr>
      <w:rPr>
        <w:rFonts w:ascii="Calibri" w:hAnsi="Calibri" w:hint="default"/>
      </w:rPr>
    </w:lvl>
    <w:lvl w:ilvl="4">
      <w:start w:val="1"/>
      <w:numFmt w:val="decimal"/>
      <w:isLgl/>
      <w:lvlText w:val="%1.%2.%3.%4.%5"/>
      <w:lvlJc w:val="left"/>
      <w:pPr>
        <w:ind w:left="1816" w:hanging="680"/>
      </w:pPr>
      <w:rPr>
        <w:rFonts w:hint="default"/>
      </w:rPr>
    </w:lvl>
    <w:lvl w:ilvl="5">
      <w:start w:val="1"/>
      <w:numFmt w:val="decimal"/>
      <w:isLgl/>
      <w:lvlText w:val="%1.%2.%3.%4.%5.%6"/>
      <w:lvlJc w:val="left"/>
      <w:pPr>
        <w:ind w:left="2100" w:hanging="680"/>
      </w:pPr>
      <w:rPr>
        <w:rFonts w:hint="default"/>
      </w:rPr>
    </w:lvl>
    <w:lvl w:ilvl="6">
      <w:start w:val="1"/>
      <w:numFmt w:val="decimal"/>
      <w:isLgl/>
      <w:lvlText w:val="%1.%2.%3.%4.%5.%6.%7"/>
      <w:lvlJc w:val="left"/>
      <w:pPr>
        <w:ind w:left="2384" w:hanging="680"/>
      </w:pPr>
      <w:rPr>
        <w:rFonts w:hint="default"/>
      </w:rPr>
    </w:lvl>
    <w:lvl w:ilvl="7">
      <w:start w:val="1"/>
      <w:numFmt w:val="decimal"/>
      <w:isLgl/>
      <w:lvlText w:val="%1.%2.%3.%4.%5.%6.%7.%8"/>
      <w:lvlJc w:val="left"/>
      <w:pPr>
        <w:ind w:left="2668" w:hanging="680"/>
      </w:pPr>
      <w:rPr>
        <w:rFonts w:hint="default"/>
      </w:rPr>
    </w:lvl>
    <w:lvl w:ilvl="8">
      <w:start w:val="1"/>
      <w:numFmt w:val="decimal"/>
      <w:isLgl/>
      <w:lvlText w:val="%1.%2.%3.%4.%5.%6.%7.%8.%9"/>
      <w:lvlJc w:val="left"/>
      <w:pPr>
        <w:ind w:left="2952" w:hanging="680"/>
      </w:pPr>
      <w:rPr>
        <w:rFonts w:hint="default"/>
      </w:rPr>
    </w:lvl>
  </w:abstractNum>
  <w:abstractNum w:abstractNumId="18" w15:restartNumberingAfterBreak="0">
    <w:nsid w:val="1E9F0306"/>
    <w:multiLevelType w:val="multilevel"/>
    <w:tmpl w:val="A73AF6F4"/>
    <w:lvl w:ilvl="0">
      <w:start w:val="1"/>
      <w:numFmt w:val="decimal"/>
      <w:lvlText w:val="%1."/>
      <w:lvlJc w:val="left"/>
      <w:pPr>
        <w:ind w:left="360" w:hanging="360"/>
      </w:pPr>
      <w:rPr>
        <w:rFonts w:asciiTheme="minorHAnsi" w:hAnsiTheme="minorHAnsi" w:hint="default"/>
        <w:color w:val="006C93" w:themeColor="accent3"/>
        <w:sz w:val="22"/>
      </w:rPr>
    </w:lvl>
    <w:lvl w:ilvl="1">
      <w:start w:val="1"/>
      <w:numFmt w:val="bullet"/>
      <w:lvlText w:val="»"/>
      <w:lvlJc w:val="left"/>
      <w:pPr>
        <w:ind w:left="720" w:hanging="360"/>
      </w:pPr>
      <w:rPr>
        <w:rFonts w:ascii="Arial" w:hAnsi="Arial" w:hint="default"/>
        <w:color w:val="005874"/>
      </w:rPr>
    </w:lvl>
    <w:lvl w:ilvl="2">
      <w:start w:val="1"/>
      <w:numFmt w:val="bullet"/>
      <w:lvlText w:val="›"/>
      <w:lvlJc w:val="left"/>
      <w:pPr>
        <w:ind w:left="1080" w:hanging="360"/>
      </w:pPr>
      <w:rPr>
        <w:rFonts w:ascii="Arial" w:hAnsi="Arial" w:hint="default"/>
        <w:color w:val="00587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23244624"/>
    <w:multiLevelType w:val="hybridMultilevel"/>
    <w:tmpl w:val="9252EA40"/>
    <w:lvl w:ilvl="0" w:tplc="10968BB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258066C7"/>
    <w:multiLevelType w:val="multilevel"/>
    <w:tmpl w:val="CA7A5ED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1440"/>
        </w:tabs>
        <w:ind w:left="1440" w:hanging="720"/>
      </w:pPr>
      <w:rPr>
        <w:rFonts w:hint="default"/>
      </w:rPr>
    </w:lvl>
    <w:lvl w:ilvl="3">
      <w:start w:val="1"/>
      <w:numFmt w:val="lowerRoman"/>
      <w:lvlText w:val="(%4)"/>
      <w:lvlJc w:val="left"/>
      <w:pPr>
        <w:tabs>
          <w:tab w:val="num" w:pos="2160"/>
        </w:tabs>
        <w:ind w:left="2160" w:hanging="720"/>
      </w:pPr>
      <w:rPr>
        <w:rFonts w:hint="default"/>
      </w:rPr>
    </w:lvl>
    <w:lvl w:ilvl="4">
      <w:start w:val="1"/>
      <w:numFmt w:val="upperLetter"/>
      <w:lvlText w:val="%5."/>
      <w:lvlJc w:val="left"/>
      <w:pPr>
        <w:tabs>
          <w:tab w:val="num" w:pos="2880"/>
        </w:tabs>
        <w:ind w:left="2880" w:hanging="720"/>
      </w:pPr>
      <w:rPr>
        <w:rFonts w:hint="default"/>
        <w:b w:val="0"/>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26B0558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29706B91"/>
    <w:multiLevelType w:val="multilevel"/>
    <w:tmpl w:val="F3BAC700"/>
    <w:name w:val="CERBullets22"/>
    <w:lvl w:ilvl="0">
      <w:start w:val="1"/>
      <w:numFmt w:val="bullet"/>
      <w:lvlText w:val=""/>
      <w:lvlJc w:val="left"/>
      <w:pPr>
        <w:ind w:left="360" w:hanging="360"/>
      </w:pPr>
      <w:rPr>
        <w:rFonts w:ascii="Symbol" w:hAnsi="Symbol" w:hint="default"/>
        <w:color w:val="006EA6"/>
      </w:rPr>
    </w:lvl>
    <w:lvl w:ilvl="1">
      <w:start w:val="1"/>
      <w:numFmt w:val="bullet"/>
      <w:lvlText w:val="»"/>
      <w:lvlJc w:val="left"/>
      <w:pPr>
        <w:ind w:left="720" w:hanging="360"/>
      </w:pPr>
      <w:rPr>
        <w:rFonts w:ascii="Arial" w:hAnsi="Arial" w:hint="default"/>
        <w:color w:val="006EA6"/>
      </w:rPr>
    </w:lvl>
    <w:lvl w:ilvl="2">
      <w:start w:val="1"/>
      <w:numFmt w:val="bullet"/>
      <w:lvlText w:val="›"/>
      <w:lvlJc w:val="left"/>
      <w:pPr>
        <w:ind w:left="1080" w:hanging="360"/>
      </w:pPr>
      <w:rPr>
        <w:rFonts w:ascii="Arial" w:hAnsi="Arial" w:hint="default"/>
        <w:color w:val="006EA6"/>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37C5FE0"/>
    <w:multiLevelType w:val="multilevel"/>
    <w:tmpl w:val="00C014A2"/>
    <w:lvl w:ilvl="0">
      <w:start w:val="1"/>
      <w:numFmt w:val="bullet"/>
      <w:lvlText w:val=""/>
      <w:lvlJc w:val="left"/>
      <w:pPr>
        <w:ind w:left="360" w:hanging="360"/>
      </w:pPr>
      <w:rPr>
        <w:rFonts w:ascii="Symbol" w:hAnsi="Symbol" w:hint="default"/>
        <w:color w:val="005874"/>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Arial" w:hAnsi="Arial" w:hint="default"/>
        <w:color w:val="005874"/>
      </w:rPr>
    </w:lvl>
    <w:lvl w:ilvl="3">
      <w:start w:val="1"/>
      <w:numFmt w:val="decimal"/>
      <w:lvlText w:val="(%4)"/>
      <w:lvlJc w:val="left"/>
      <w:pPr>
        <w:ind w:left="1440" w:hanging="360"/>
      </w:pPr>
      <w:rPr>
        <w:rFonts w:hint="default"/>
      </w:rPr>
    </w:lvl>
    <w:lvl w:ilvl="4">
      <w:start w:val="1"/>
      <w:numFmt w:val="lowerLetter"/>
      <w:lvlText w:val="(%5)"/>
      <w:lvlJc w:val="left"/>
      <w:pPr>
        <w:ind w:left="357" w:hanging="35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7795568"/>
    <w:multiLevelType w:val="multilevel"/>
    <w:tmpl w:val="4FEC8D3C"/>
    <w:lvl w:ilvl="0">
      <w:start w:val="1"/>
      <w:numFmt w:val="bullet"/>
      <w:lvlText w:val=""/>
      <w:lvlJc w:val="left"/>
      <w:pPr>
        <w:ind w:left="360" w:hanging="360"/>
      </w:pPr>
      <w:rPr>
        <w:rFonts w:ascii="Symbol" w:hAnsi="Symbol" w:hint="default"/>
        <w:color w:val="005874"/>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Arial" w:hAnsi="Arial" w:hint="default"/>
        <w:color w:val="005874"/>
      </w:rPr>
    </w:lvl>
    <w:lvl w:ilvl="3">
      <w:start w:val="1"/>
      <w:numFmt w:val="decimal"/>
      <w:lvlText w:val="(%4)"/>
      <w:lvlJc w:val="left"/>
      <w:pPr>
        <w:ind w:left="1440" w:hanging="360"/>
      </w:pPr>
      <w:rPr>
        <w:rFonts w:hint="default"/>
      </w:rPr>
    </w:lvl>
    <w:lvl w:ilvl="4">
      <w:start w:val="1"/>
      <w:numFmt w:val="lowerLetter"/>
      <w:lvlText w:val="(%5)"/>
      <w:lvlJc w:val="left"/>
      <w:pPr>
        <w:ind w:left="357" w:hanging="35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38A675ED"/>
    <w:multiLevelType w:val="hybridMultilevel"/>
    <w:tmpl w:val="DD582AC6"/>
    <w:lvl w:ilvl="0" w:tplc="504A93CE">
      <w:start w:val="1"/>
      <w:numFmt w:val="bullet"/>
      <w:lvlText w:val="»"/>
      <w:lvlJc w:val="left"/>
      <w:pPr>
        <w:ind w:left="558" w:hanging="360"/>
      </w:pPr>
      <w:rPr>
        <w:rFonts w:ascii="Arial" w:hAnsi="Arial" w:hint="default"/>
        <w:color w:val="006EA6"/>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26" w15:restartNumberingAfterBreak="0">
    <w:nsid w:val="3F5A1BD5"/>
    <w:multiLevelType w:val="hybridMultilevel"/>
    <w:tmpl w:val="EB304E1A"/>
    <w:name w:val="CERBullets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4CE530F0"/>
    <w:multiLevelType w:val="multilevel"/>
    <w:tmpl w:val="5AC8F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DE34D8E"/>
    <w:multiLevelType w:val="multilevel"/>
    <w:tmpl w:val="EBE0AFD0"/>
    <w:lvl w:ilvl="0">
      <w:start w:val="1"/>
      <w:numFmt w:val="bullet"/>
      <w:lvlText w:val=""/>
      <w:lvlJc w:val="left"/>
      <w:pPr>
        <w:ind w:left="360" w:hanging="360"/>
      </w:pPr>
      <w:rPr>
        <w:rFonts w:ascii="Symbol" w:hAnsi="Symbo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4F5B111B"/>
    <w:multiLevelType w:val="multilevel"/>
    <w:tmpl w:val="CA7A5ED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1440"/>
        </w:tabs>
        <w:ind w:left="1440" w:hanging="720"/>
      </w:pPr>
      <w:rPr>
        <w:rFonts w:hint="default"/>
      </w:rPr>
    </w:lvl>
    <w:lvl w:ilvl="3">
      <w:start w:val="1"/>
      <w:numFmt w:val="lowerRoman"/>
      <w:lvlText w:val="(%4)"/>
      <w:lvlJc w:val="left"/>
      <w:pPr>
        <w:tabs>
          <w:tab w:val="num" w:pos="2160"/>
        </w:tabs>
        <w:ind w:left="2160" w:hanging="720"/>
      </w:pPr>
      <w:rPr>
        <w:rFonts w:hint="default"/>
      </w:rPr>
    </w:lvl>
    <w:lvl w:ilvl="4">
      <w:start w:val="1"/>
      <w:numFmt w:val="upperLetter"/>
      <w:lvlText w:val="%5."/>
      <w:lvlJc w:val="left"/>
      <w:pPr>
        <w:tabs>
          <w:tab w:val="num" w:pos="2880"/>
        </w:tabs>
        <w:ind w:left="2880" w:hanging="720"/>
      </w:pPr>
      <w:rPr>
        <w:rFonts w:hint="default"/>
        <w:b w:val="0"/>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51394C88"/>
    <w:multiLevelType w:val="hybridMultilevel"/>
    <w:tmpl w:val="8E7A8B00"/>
    <w:lvl w:ilvl="0" w:tplc="25769398">
      <w:start w:val="1"/>
      <w:numFmt w:val="decimal"/>
      <w:pStyle w:val="CERnumbering"/>
      <w:lvlText w:val="%1."/>
      <w:lvlJc w:val="left"/>
      <w:pPr>
        <w:ind w:left="360" w:hanging="360"/>
      </w:pPr>
      <w:rPr>
        <w:color w:val="006C93" w:themeColor="accent3"/>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56FF48AB"/>
    <w:multiLevelType w:val="hybridMultilevel"/>
    <w:tmpl w:val="3544BC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AFF30DD"/>
    <w:multiLevelType w:val="hybridMultilevel"/>
    <w:tmpl w:val="F3C0C4A8"/>
    <w:lvl w:ilvl="0" w:tplc="7242BB74">
      <w:start w:val="1"/>
      <w:numFmt w:val="bullet"/>
      <w:lvlText w:val="›"/>
      <w:lvlJc w:val="left"/>
      <w:pPr>
        <w:ind w:left="757" w:hanging="360"/>
      </w:pPr>
      <w:rPr>
        <w:rFonts w:ascii="Arial" w:hAnsi="Arial" w:hint="default"/>
        <w:color w:val="006EA6"/>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33" w15:restartNumberingAfterBreak="0">
    <w:nsid w:val="5CFD18CA"/>
    <w:multiLevelType w:val="multilevel"/>
    <w:tmpl w:val="D5A239B8"/>
    <w:lvl w:ilvl="0">
      <w:start w:val="1"/>
      <w:numFmt w:val="decimal"/>
      <w:lvlText w:val="%1."/>
      <w:lvlJc w:val="left"/>
      <w:pPr>
        <w:ind w:left="360" w:hanging="360"/>
      </w:pPr>
      <w:rPr>
        <w:rFonts w:hint="default"/>
        <w:color w:val="006C93" w:themeColor="accent3"/>
      </w:rPr>
    </w:lvl>
    <w:lvl w:ilvl="1">
      <w:start w:val="1"/>
      <w:numFmt w:val="bullet"/>
      <w:lvlText w:val="»"/>
      <w:lvlJc w:val="left"/>
      <w:pPr>
        <w:ind w:left="720" w:hanging="360"/>
      </w:pPr>
      <w:rPr>
        <w:rFonts w:ascii="Arial" w:hAnsi="Arial" w:hint="default"/>
        <w:color w:val="005874"/>
      </w:rPr>
    </w:lvl>
    <w:lvl w:ilvl="2">
      <w:start w:val="1"/>
      <w:numFmt w:val="bullet"/>
      <w:lvlText w:val="›"/>
      <w:lvlJc w:val="left"/>
      <w:pPr>
        <w:ind w:left="1080" w:hanging="360"/>
      </w:pPr>
      <w:rPr>
        <w:rFonts w:ascii="Arial" w:hAnsi="Arial" w:hint="default"/>
        <w:color w:val="00587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5D3B6431"/>
    <w:multiLevelType w:val="hybridMultilevel"/>
    <w:tmpl w:val="10167BD6"/>
    <w:lvl w:ilvl="0" w:tplc="454E1C40">
      <w:start w:val="1"/>
      <w:numFmt w:val="decimal"/>
      <w:lvlText w:val="%1."/>
      <w:lvlJc w:val="left"/>
      <w:pPr>
        <w:ind w:left="360" w:hanging="360"/>
      </w:pPr>
      <w:rPr>
        <w:rFonts w:hint="default"/>
        <w:color w:val="4FC2CC" w:themeColor="accent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0AD0F06"/>
    <w:multiLevelType w:val="hybridMultilevel"/>
    <w:tmpl w:val="F678DF4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650B16ED"/>
    <w:multiLevelType w:val="multilevel"/>
    <w:tmpl w:val="A73AF6F4"/>
    <w:lvl w:ilvl="0">
      <w:start w:val="1"/>
      <w:numFmt w:val="decimal"/>
      <w:lvlText w:val="%1."/>
      <w:lvlJc w:val="left"/>
      <w:pPr>
        <w:ind w:left="360" w:hanging="360"/>
      </w:pPr>
      <w:rPr>
        <w:rFonts w:asciiTheme="minorHAnsi" w:hAnsiTheme="minorHAnsi" w:hint="default"/>
        <w:color w:val="006C93" w:themeColor="accent3"/>
        <w:sz w:val="22"/>
      </w:rPr>
    </w:lvl>
    <w:lvl w:ilvl="1">
      <w:start w:val="1"/>
      <w:numFmt w:val="bullet"/>
      <w:lvlText w:val="»"/>
      <w:lvlJc w:val="left"/>
      <w:pPr>
        <w:ind w:left="720" w:hanging="360"/>
      </w:pPr>
      <w:rPr>
        <w:rFonts w:ascii="Arial" w:hAnsi="Arial" w:hint="default"/>
        <w:color w:val="005874"/>
      </w:rPr>
    </w:lvl>
    <w:lvl w:ilvl="2">
      <w:start w:val="1"/>
      <w:numFmt w:val="bullet"/>
      <w:lvlText w:val="›"/>
      <w:lvlJc w:val="left"/>
      <w:pPr>
        <w:ind w:left="1080" w:hanging="360"/>
      </w:pPr>
      <w:rPr>
        <w:rFonts w:ascii="Arial" w:hAnsi="Arial" w:hint="default"/>
        <w:color w:val="00587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6AB321E6"/>
    <w:multiLevelType w:val="hybridMultilevel"/>
    <w:tmpl w:val="1F520E5C"/>
    <w:lvl w:ilvl="0" w:tplc="4442E63C">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790622B3"/>
    <w:multiLevelType w:val="multilevel"/>
    <w:tmpl w:val="8E2A4A94"/>
    <w:lvl w:ilvl="0">
      <w:start w:val="1"/>
      <w:numFmt w:val="bullet"/>
      <w:lvlText w:val=""/>
      <w:lvlJc w:val="left"/>
      <w:pPr>
        <w:ind w:left="360" w:hanging="360"/>
      </w:pPr>
      <w:rPr>
        <w:rFonts w:ascii="Symbol" w:hAnsi="Symbol" w:hint="default"/>
        <w:color w:val="005874"/>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Arial" w:hAnsi="Arial" w:hint="default"/>
        <w:color w:val="005874"/>
      </w:rPr>
    </w:lvl>
    <w:lvl w:ilvl="3">
      <w:start w:val="1"/>
      <w:numFmt w:val="decimal"/>
      <w:lvlText w:val="(%4)"/>
      <w:lvlJc w:val="left"/>
      <w:pPr>
        <w:ind w:left="1440" w:hanging="360"/>
      </w:pPr>
      <w:rPr>
        <w:rFonts w:hint="default"/>
      </w:rPr>
    </w:lvl>
    <w:lvl w:ilvl="4">
      <w:start w:val="1"/>
      <w:numFmt w:val="lowerLetter"/>
      <w:lvlText w:val="(%5)"/>
      <w:lvlJc w:val="left"/>
      <w:pPr>
        <w:ind w:left="357" w:hanging="35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79DB23C0"/>
    <w:multiLevelType w:val="multilevel"/>
    <w:tmpl w:val="11A43BFC"/>
    <w:name w:val="CERBullets22"/>
    <w:lvl w:ilvl="0">
      <w:start w:val="1"/>
      <w:numFmt w:val="bullet"/>
      <w:pStyle w:val="CERbullets"/>
      <w:lvlText w:val=""/>
      <w:lvlJc w:val="left"/>
      <w:pPr>
        <w:ind w:left="360" w:hanging="360"/>
      </w:pPr>
      <w:rPr>
        <w:rFonts w:ascii="Symbol" w:hAnsi="Symbol" w:hint="default"/>
        <w:color w:val="006C93" w:themeColor="accent3"/>
      </w:rPr>
    </w:lvl>
    <w:lvl w:ilvl="1">
      <w:start w:val="1"/>
      <w:numFmt w:val="bullet"/>
      <w:lvlText w:val="»"/>
      <w:lvlJc w:val="left"/>
      <w:pPr>
        <w:ind w:left="720" w:hanging="360"/>
      </w:pPr>
      <w:rPr>
        <w:rFonts w:ascii="Arial" w:hAnsi="Arial" w:hint="default"/>
        <w:color w:val="006C93" w:themeColor="accent3"/>
      </w:rPr>
    </w:lvl>
    <w:lvl w:ilvl="2">
      <w:start w:val="1"/>
      <w:numFmt w:val="bullet"/>
      <w:lvlText w:val="›"/>
      <w:lvlJc w:val="left"/>
      <w:pPr>
        <w:ind w:left="1080" w:hanging="360"/>
      </w:pPr>
      <w:rPr>
        <w:rFonts w:ascii="Arial" w:hAnsi="Arial" w:hint="default"/>
        <w:color w:val="006C93" w:themeColor="accent3"/>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7D6E3F1C"/>
    <w:multiLevelType w:val="multilevel"/>
    <w:tmpl w:val="32AA175E"/>
    <w:lvl w:ilvl="0">
      <w:start w:val="1"/>
      <w:numFmt w:val="bullet"/>
      <w:lvlText w:val=""/>
      <w:lvlJc w:val="left"/>
      <w:pPr>
        <w:ind w:left="360" w:hanging="360"/>
      </w:pPr>
      <w:rPr>
        <w:rFonts w:ascii="Symbol" w:hAnsi="Symbol" w:hint="default"/>
        <w:color w:val="006EA6"/>
      </w:rPr>
    </w:lvl>
    <w:lvl w:ilvl="1">
      <w:start w:val="1"/>
      <w:numFmt w:val="bullet"/>
      <w:lvlText w:val="»"/>
      <w:lvlJc w:val="left"/>
      <w:pPr>
        <w:ind w:left="720" w:hanging="360"/>
      </w:pPr>
      <w:rPr>
        <w:rFonts w:ascii="Arial" w:hAnsi="Arial" w:hint="default"/>
        <w:color w:val="006EA6"/>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927805863">
    <w:abstractNumId w:val="29"/>
  </w:num>
  <w:num w:numId="2" w16cid:durableId="1677421621">
    <w:abstractNumId w:val="20"/>
  </w:num>
  <w:num w:numId="3" w16cid:durableId="314264641">
    <w:abstractNumId w:val="21"/>
  </w:num>
  <w:num w:numId="4" w16cid:durableId="634217554">
    <w:abstractNumId w:val="14"/>
  </w:num>
  <w:num w:numId="5" w16cid:durableId="1183086077">
    <w:abstractNumId w:val="15"/>
  </w:num>
  <w:num w:numId="6" w16cid:durableId="297995192">
    <w:abstractNumId w:val="25"/>
  </w:num>
  <w:num w:numId="7" w16cid:durableId="827787854">
    <w:abstractNumId w:val="32"/>
  </w:num>
  <w:num w:numId="8" w16cid:durableId="2125419898">
    <w:abstractNumId w:val="15"/>
  </w:num>
  <w:num w:numId="9" w16cid:durableId="1515075159">
    <w:abstractNumId w:val="9"/>
  </w:num>
  <w:num w:numId="10" w16cid:durableId="342242980">
    <w:abstractNumId w:val="7"/>
  </w:num>
  <w:num w:numId="11" w16cid:durableId="853692999">
    <w:abstractNumId w:val="6"/>
  </w:num>
  <w:num w:numId="12" w16cid:durableId="1733502950">
    <w:abstractNumId w:val="5"/>
  </w:num>
  <w:num w:numId="13" w16cid:durableId="1142769445">
    <w:abstractNumId w:val="4"/>
  </w:num>
  <w:num w:numId="14" w16cid:durableId="1985960435">
    <w:abstractNumId w:val="8"/>
  </w:num>
  <w:num w:numId="15" w16cid:durableId="1029843999">
    <w:abstractNumId w:val="3"/>
  </w:num>
  <w:num w:numId="16" w16cid:durableId="1026832892">
    <w:abstractNumId w:val="2"/>
  </w:num>
  <w:num w:numId="17" w16cid:durableId="1859999247">
    <w:abstractNumId w:val="1"/>
  </w:num>
  <w:num w:numId="18" w16cid:durableId="813716413">
    <w:abstractNumId w:val="0"/>
  </w:num>
  <w:num w:numId="19" w16cid:durableId="1311901635">
    <w:abstractNumId w:val="13"/>
  </w:num>
  <w:num w:numId="20" w16cid:durableId="652180745">
    <w:abstractNumId w:val="16"/>
  </w:num>
  <w:num w:numId="21" w16cid:durableId="2008441560">
    <w:abstractNumId w:val="39"/>
  </w:num>
  <w:num w:numId="22" w16cid:durableId="1365443445">
    <w:abstractNumId w:val="10"/>
  </w:num>
  <w:num w:numId="23" w16cid:durableId="722560168">
    <w:abstractNumId w:val="40"/>
  </w:num>
  <w:num w:numId="24" w16cid:durableId="611669113">
    <w:abstractNumId w:val="26"/>
  </w:num>
  <w:num w:numId="25" w16cid:durableId="231933564">
    <w:abstractNumId w:val="22"/>
  </w:num>
  <w:num w:numId="26" w16cid:durableId="510486660">
    <w:abstractNumId w:val="19"/>
  </w:num>
  <w:num w:numId="27" w16cid:durableId="1026441764">
    <w:abstractNumId w:val="37"/>
  </w:num>
  <w:num w:numId="28" w16cid:durableId="1132871333">
    <w:abstractNumId w:val="31"/>
  </w:num>
  <w:num w:numId="29" w16cid:durableId="2099862374">
    <w:abstractNumId w:val="28"/>
  </w:num>
  <w:num w:numId="30" w16cid:durableId="531458699">
    <w:abstractNumId w:val="33"/>
  </w:num>
  <w:num w:numId="31" w16cid:durableId="1408840386">
    <w:abstractNumId w:val="36"/>
  </w:num>
  <w:num w:numId="32" w16cid:durableId="394594093">
    <w:abstractNumId w:val="11"/>
  </w:num>
  <w:num w:numId="33" w16cid:durableId="824205291">
    <w:abstractNumId w:val="34"/>
  </w:num>
  <w:num w:numId="34" w16cid:durableId="585269195">
    <w:abstractNumId w:val="18"/>
  </w:num>
  <w:num w:numId="35" w16cid:durableId="199516975">
    <w:abstractNumId w:val="30"/>
  </w:num>
  <w:num w:numId="36" w16cid:durableId="140576124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241333567">
    <w:abstractNumId w:val="39"/>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021468170">
    <w:abstractNumId w:val="35"/>
  </w:num>
  <w:num w:numId="39" w16cid:durableId="378820064">
    <w:abstractNumId w:val="17"/>
  </w:num>
  <w:num w:numId="40" w16cid:durableId="661549369">
    <w:abstractNumId w:val="24"/>
  </w:num>
  <w:num w:numId="41" w16cid:durableId="1921675541">
    <w:abstractNumId w:val="23"/>
  </w:num>
  <w:num w:numId="42" w16cid:durableId="218518229">
    <w:abstractNumId w:val="38"/>
  </w:num>
  <w:num w:numId="43" w16cid:durableId="1800414077">
    <w:abstractNumId w:val="27"/>
  </w:num>
  <w:num w:numId="44" w16cid:durableId="149895845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ocumentProtection w:formatting="1" w:enforcement="0"/>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DC3"/>
    <w:rsid w:val="0002468B"/>
    <w:rsid w:val="00031090"/>
    <w:rsid w:val="00035321"/>
    <w:rsid w:val="0003582F"/>
    <w:rsid w:val="000378B6"/>
    <w:rsid w:val="000416BC"/>
    <w:rsid w:val="000442F7"/>
    <w:rsid w:val="00056FF0"/>
    <w:rsid w:val="000678AA"/>
    <w:rsid w:val="00083FFC"/>
    <w:rsid w:val="00086205"/>
    <w:rsid w:val="000873E6"/>
    <w:rsid w:val="000906DE"/>
    <w:rsid w:val="000948D5"/>
    <w:rsid w:val="00096878"/>
    <w:rsid w:val="000A0DD5"/>
    <w:rsid w:val="000B2225"/>
    <w:rsid w:val="000B6DE5"/>
    <w:rsid w:val="000C7DB2"/>
    <w:rsid w:val="000E5A13"/>
    <w:rsid w:val="000F6B44"/>
    <w:rsid w:val="0010259D"/>
    <w:rsid w:val="00112E29"/>
    <w:rsid w:val="00121DC3"/>
    <w:rsid w:val="001276AA"/>
    <w:rsid w:val="00146369"/>
    <w:rsid w:val="00146FC8"/>
    <w:rsid w:val="001512C0"/>
    <w:rsid w:val="00157175"/>
    <w:rsid w:val="001651F7"/>
    <w:rsid w:val="00172F37"/>
    <w:rsid w:val="00176871"/>
    <w:rsid w:val="00176C28"/>
    <w:rsid w:val="001813DE"/>
    <w:rsid w:val="00193A6C"/>
    <w:rsid w:val="00197461"/>
    <w:rsid w:val="00197F43"/>
    <w:rsid w:val="001B66AA"/>
    <w:rsid w:val="001C191F"/>
    <w:rsid w:val="001C5A02"/>
    <w:rsid w:val="001D1528"/>
    <w:rsid w:val="001D2DB3"/>
    <w:rsid w:val="001D5E01"/>
    <w:rsid w:val="001E0481"/>
    <w:rsid w:val="00202782"/>
    <w:rsid w:val="002118E5"/>
    <w:rsid w:val="00216E5D"/>
    <w:rsid w:val="0021782A"/>
    <w:rsid w:val="00221723"/>
    <w:rsid w:val="00223676"/>
    <w:rsid w:val="00231DE2"/>
    <w:rsid w:val="00235B98"/>
    <w:rsid w:val="00240C7C"/>
    <w:rsid w:val="002537CF"/>
    <w:rsid w:val="00253FFC"/>
    <w:rsid w:val="0025515A"/>
    <w:rsid w:val="002622E9"/>
    <w:rsid w:val="0027299E"/>
    <w:rsid w:val="00290E3D"/>
    <w:rsid w:val="0029262D"/>
    <w:rsid w:val="002A7EA6"/>
    <w:rsid w:val="002C427B"/>
    <w:rsid w:val="002C702A"/>
    <w:rsid w:val="002D18F3"/>
    <w:rsid w:val="002D30B2"/>
    <w:rsid w:val="002F1986"/>
    <w:rsid w:val="00303251"/>
    <w:rsid w:val="003135AB"/>
    <w:rsid w:val="00337CCB"/>
    <w:rsid w:val="003456B2"/>
    <w:rsid w:val="00365CD3"/>
    <w:rsid w:val="00370CE8"/>
    <w:rsid w:val="00371059"/>
    <w:rsid w:val="0038212C"/>
    <w:rsid w:val="003A0D22"/>
    <w:rsid w:val="003A5739"/>
    <w:rsid w:val="003A760B"/>
    <w:rsid w:val="003C46C8"/>
    <w:rsid w:val="00400BA0"/>
    <w:rsid w:val="00400D4D"/>
    <w:rsid w:val="00407A97"/>
    <w:rsid w:val="00413EF6"/>
    <w:rsid w:val="00420BF6"/>
    <w:rsid w:val="00424CC6"/>
    <w:rsid w:val="00426275"/>
    <w:rsid w:val="004458B4"/>
    <w:rsid w:val="00455455"/>
    <w:rsid w:val="004559EF"/>
    <w:rsid w:val="00465287"/>
    <w:rsid w:val="00471682"/>
    <w:rsid w:val="004744CC"/>
    <w:rsid w:val="00480154"/>
    <w:rsid w:val="00483F09"/>
    <w:rsid w:val="00494F07"/>
    <w:rsid w:val="004972AD"/>
    <w:rsid w:val="004A581F"/>
    <w:rsid w:val="004A5F95"/>
    <w:rsid w:val="004B6AF5"/>
    <w:rsid w:val="004C6DF4"/>
    <w:rsid w:val="004D0162"/>
    <w:rsid w:val="004D3F8B"/>
    <w:rsid w:val="004D70CF"/>
    <w:rsid w:val="00516089"/>
    <w:rsid w:val="00521016"/>
    <w:rsid w:val="005230BD"/>
    <w:rsid w:val="0052457E"/>
    <w:rsid w:val="00531F3B"/>
    <w:rsid w:val="0054199F"/>
    <w:rsid w:val="005430A4"/>
    <w:rsid w:val="00565BAA"/>
    <w:rsid w:val="005768B9"/>
    <w:rsid w:val="00585D42"/>
    <w:rsid w:val="005A266D"/>
    <w:rsid w:val="005B3FE3"/>
    <w:rsid w:val="005C0A94"/>
    <w:rsid w:val="005D4D95"/>
    <w:rsid w:val="005F1A54"/>
    <w:rsid w:val="005F4BE4"/>
    <w:rsid w:val="00602E93"/>
    <w:rsid w:val="0061010A"/>
    <w:rsid w:val="006111DC"/>
    <w:rsid w:val="006173D4"/>
    <w:rsid w:val="0062080A"/>
    <w:rsid w:val="00622DA5"/>
    <w:rsid w:val="00632E89"/>
    <w:rsid w:val="006423DF"/>
    <w:rsid w:val="006530B0"/>
    <w:rsid w:val="0065750A"/>
    <w:rsid w:val="00662ED8"/>
    <w:rsid w:val="00674932"/>
    <w:rsid w:val="00680B5A"/>
    <w:rsid w:val="006A1906"/>
    <w:rsid w:val="006A37D7"/>
    <w:rsid w:val="006A7A4E"/>
    <w:rsid w:val="006B28D7"/>
    <w:rsid w:val="006C121A"/>
    <w:rsid w:val="006C58B9"/>
    <w:rsid w:val="006D3694"/>
    <w:rsid w:val="006E20EA"/>
    <w:rsid w:val="006E3CA9"/>
    <w:rsid w:val="0071018B"/>
    <w:rsid w:val="00711CEF"/>
    <w:rsid w:val="00724B10"/>
    <w:rsid w:val="007270A5"/>
    <w:rsid w:val="00733C45"/>
    <w:rsid w:val="0076397A"/>
    <w:rsid w:val="00767FAB"/>
    <w:rsid w:val="007773D1"/>
    <w:rsid w:val="007813EC"/>
    <w:rsid w:val="00790E79"/>
    <w:rsid w:val="007A5CF8"/>
    <w:rsid w:val="007B2652"/>
    <w:rsid w:val="007B31E7"/>
    <w:rsid w:val="007B6EED"/>
    <w:rsid w:val="007B7A52"/>
    <w:rsid w:val="007C310C"/>
    <w:rsid w:val="007C7046"/>
    <w:rsid w:val="007D40F4"/>
    <w:rsid w:val="007F3928"/>
    <w:rsid w:val="00801EDE"/>
    <w:rsid w:val="00805956"/>
    <w:rsid w:val="00816D8B"/>
    <w:rsid w:val="00817934"/>
    <w:rsid w:val="008257F2"/>
    <w:rsid w:val="00826A84"/>
    <w:rsid w:val="008352D1"/>
    <w:rsid w:val="0083796D"/>
    <w:rsid w:val="008444A8"/>
    <w:rsid w:val="00861BA4"/>
    <w:rsid w:val="008814DC"/>
    <w:rsid w:val="00885AB6"/>
    <w:rsid w:val="00890472"/>
    <w:rsid w:val="008A33BA"/>
    <w:rsid w:val="008A4F2A"/>
    <w:rsid w:val="008B0D79"/>
    <w:rsid w:val="008B434A"/>
    <w:rsid w:val="008C2C3D"/>
    <w:rsid w:val="008C63A1"/>
    <w:rsid w:val="008D423E"/>
    <w:rsid w:val="008E15DF"/>
    <w:rsid w:val="008E6CE0"/>
    <w:rsid w:val="008F548E"/>
    <w:rsid w:val="008F6BA7"/>
    <w:rsid w:val="00904C75"/>
    <w:rsid w:val="00906DED"/>
    <w:rsid w:val="0092568B"/>
    <w:rsid w:val="00930D2E"/>
    <w:rsid w:val="0093226C"/>
    <w:rsid w:val="009633DE"/>
    <w:rsid w:val="009757EB"/>
    <w:rsid w:val="00977234"/>
    <w:rsid w:val="009801E4"/>
    <w:rsid w:val="00990C52"/>
    <w:rsid w:val="009A2199"/>
    <w:rsid w:val="009A2E7F"/>
    <w:rsid w:val="009C094A"/>
    <w:rsid w:val="009C30B4"/>
    <w:rsid w:val="009D01EB"/>
    <w:rsid w:val="009D4D75"/>
    <w:rsid w:val="009E2209"/>
    <w:rsid w:val="009E389A"/>
    <w:rsid w:val="009E7076"/>
    <w:rsid w:val="009F4AB1"/>
    <w:rsid w:val="00A05325"/>
    <w:rsid w:val="00A114F2"/>
    <w:rsid w:val="00A23C1D"/>
    <w:rsid w:val="00A2582D"/>
    <w:rsid w:val="00A3493F"/>
    <w:rsid w:val="00A41A11"/>
    <w:rsid w:val="00A44C0C"/>
    <w:rsid w:val="00A4532D"/>
    <w:rsid w:val="00A50A9D"/>
    <w:rsid w:val="00A97046"/>
    <w:rsid w:val="00AA2792"/>
    <w:rsid w:val="00AA574B"/>
    <w:rsid w:val="00AA705A"/>
    <w:rsid w:val="00AB04A4"/>
    <w:rsid w:val="00AB1D66"/>
    <w:rsid w:val="00AD1541"/>
    <w:rsid w:val="00AD3999"/>
    <w:rsid w:val="00AD649E"/>
    <w:rsid w:val="00AF5F77"/>
    <w:rsid w:val="00B00AA4"/>
    <w:rsid w:val="00B0737B"/>
    <w:rsid w:val="00B16D30"/>
    <w:rsid w:val="00B22144"/>
    <w:rsid w:val="00B4052B"/>
    <w:rsid w:val="00B42777"/>
    <w:rsid w:val="00B44479"/>
    <w:rsid w:val="00B531D4"/>
    <w:rsid w:val="00B60670"/>
    <w:rsid w:val="00B708DE"/>
    <w:rsid w:val="00B832A4"/>
    <w:rsid w:val="00B95611"/>
    <w:rsid w:val="00BA27FC"/>
    <w:rsid w:val="00BA3D6B"/>
    <w:rsid w:val="00BD5ED5"/>
    <w:rsid w:val="00BE6FBC"/>
    <w:rsid w:val="00C033D8"/>
    <w:rsid w:val="00C067A3"/>
    <w:rsid w:val="00C06FDE"/>
    <w:rsid w:val="00C13A44"/>
    <w:rsid w:val="00C27341"/>
    <w:rsid w:val="00C3122E"/>
    <w:rsid w:val="00C33420"/>
    <w:rsid w:val="00C371E3"/>
    <w:rsid w:val="00C40CF0"/>
    <w:rsid w:val="00C47609"/>
    <w:rsid w:val="00C73199"/>
    <w:rsid w:val="00C86B48"/>
    <w:rsid w:val="00CA2954"/>
    <w:rsid w:val="00CA3DBC"/>
    <w:rsid w:val="00CA63D2"/>
    <w:rsid w:val="00CB5502"/>
    <w:rsid w:val="00CB7ED6"/>
    <w:rsid w:val="00CE3E30"/>
    <w:rsid w:val="00CF18F4"/>
    <w:rsid w:val="00D07937"/>
    <w:rsid w:val="00D102D0"/>
    <w:rsid w:val="00D343D3"/>
    <w:rsid w:val="00D435BB"/>
    <w:rsid w:val="00D5130D"/>
    <w:rsid w:val="00D722FC"/>
    <w:rsid w:val="00D81782"/>
    <w:rsid w:val="00DB16FB"/>
    <w:rsid w:val="00DB450D"/>
    <w:rsid w:val="00DC3A30"/>
    <w:rsid w:val="00DD4141"/>
    <w:rsid w:val="00DD61F7"/>
    <w:rsid w:val="00DE1D09"/>
    <w:rsid w:val="00DE47AB"/>
    <w:rsid w:val="00DF0E0A"/>
    <w:rsid w:val="00DF0F4C"/>
    <w:rsid w:val="00DF4814"/>
    <w:rsid w:val="00E12286"/>
    <w:rsid w:val="00E17A35"/>
    <w:rsid w:val="00E349EF"/>
    <w:rsid w:val="00E613C9"/>
    <w:rsid w:val="00E71BAE"/>
    <w:rsid w:val="00E770EC"/>
    <w:rsid w:val="00E85BF6"/>
    <w:rsid w:val="00E94FFF"/>
    <w:rsid w:val="00E956A9"/>
    <w:rsid w:val="00EA2792"/>
    <w:rsid w:val="00EA7A28"/>
    <w:rsid w:val="00EB0A89"/>
    <w:rsid w:val="00EB5C6C"/>
    <w:rsid w:val="00EB73C5"/>
    <w:rsid w:val="00EB7F5F"/>
    <w:rsid w:val="00EC0480"/>
    <w:rsid w:val="00F066F5"/>
    <w:rsid w:val="00F1084B"/>
    <w:rsid w:val="00F13B2A"/>
    <w:rsid w:val="00F220E4"/>
    <w:rsid w:val="00F2767A"/>
    <w:rsid w:val="00F32404"/>
    <w:rsid w:val="00F3522B"/>
    <w:rsid w:val="00F3676E"/>
    <w:rsid w:val="00F67F4E"/>
    <w:rsid w:val="00F7000C"/>
    <w:rsid w:val="00F70B17"/>
    <w:rsid w:val="00F71D97"/>
    <w:rsid w:val="00F72BA8"/>
    <w:rsid w:val="00F76419"/>
    <w:rsid w:val="00F8070C"/>
    <w:rsid w:val="00F831A1"/>
    <w:rsid w:val="00F94571"/>
    <w:rsid w:val="00FA7635"/>
    <w:rsid w:val="00FB26CE"/>
    <w:rsid w:val="00FC0CE2"/>
    <w:rsid w:val="00FC20CB"/>
    <w:rsid w:val="00FC3CD6"/>
    <w:rsid w:val="00FC5CAA"/>
    <w:rsid w:val="00FD2635"/>
    <w:rsid w:val="00FE07BB"/>
    <w:rsid w:val="00FE08CE"/>
    <w:rsid w:val="00FE2F68"/>
  </w:rsids>
  <m:mathPr>
    <m:mathFont m:val="Cambria Math"/>
    <m:brkBin m:val="before"/>
    <m:brkBinSub m:val="--"/>
    <m:smallFrac m:val="0"/>
    <m:dispDef m:val="0"/>
    <m:lMargin m:val="0"/>
    <m:rMargin m:val="0"/>
    <m:defJc m:val="centerGroup"/>
    <m:wrapRight/>
    <m:intLim m:val="subSup"/>
    <m:naryLim m:val="subSup"/>
  </m:mathPr>
  <w:themeFontLang w:val="en-AU"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D9EF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 w:qFormat="1"/>
    <w:lsdException w:name="heading 2" w:qFormat="1"/>
    <w:lsdException w:name="heading 3" w:qFormat="1"/>
    <w:lsdException w:name="heading 4" w:semiHidden="1" w:unhideWhenUsed="1" w:qFormat="1"/>
    <w:lsdException w:name="heading 5" w:semiHidden="1" w:uiPriority="6" w:unhideWhenUsed="1" w:qFormat="1"/>
    <w:lsdException w:name="heading 6" w:semiHidden="1" w:unhideWhenUsed="1"/>
    <w:lsdException w:name="heading 7" w:semiHidden="1" w:unhideWhenUsed="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iPriority="99"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iPriority="99" w:unhideWhenUsed="1"/>
    <w:lsdException w:name="annotation reference" w:semiHidden="1" w:unhideWhenUsed="1"/>
    <w:lsdException w:name="line number" w:semiHidden="1" w:uiPriority="99"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semiHidden="1" w:uiPriority="99" w:unhideWhenUsed="1"/>
    <w:lsdException w:name="List Number" w:uiPriority="99"/>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99"/>
    <w:lsdException w:name="Closing" w:semiHidden="1" w:uiPriority="99" w:unhideWhenUsed="1"/>
    <w:lsdException w:name="Signature" w:semiHidden="1" w:uiPriority="99"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uiPriority="99"/>
    <w:lsdException w:name="Salutation" w:uiPriority="99"/>
    <w:lsdException w:name="Date" w:uiPriority="99"/>
    <w:lsdException w:name="Body Text First Indent" w:uiPriority="99"/>
    <w:lsdException w:name="Body Text First Indent 2" w:semiHidden="1" w:uiPriority="99" w:unhideWhenUsed="1"/>
    <w:lsdException w:name="Note Heading" w:semiHidden="1" w:uiPriority="99"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99"/>
    <w:lsdException w:name="Emphasis" w:uiPriority="99"/>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lsdException w:name="Quote" w:uiPriority="99"/>
    <w:lsdException w:name="Intense Quote" w:uiPriority="99"/>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99"/>
    <w:lsdException w:name="Intense Emphasis" w:uiPriority="99"/>
    <w:lsdException w:name="Subtle Reference" w:uiPriority="99"/>
    <w:lsdException w:name="Intense Reference" w:uiPriority="99"/>
    <w:lsdException w:name="Book Title" w:uiPriority="99"/>
    <w:lsdException w:name="Bibliography" w:semiHidden="1" w:uiPriority="99" w:unhideWhenUsed="1"/>
    <w:lsdException w:name="TOC Heading" w:semiHidden="1" w:uiPriority="9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8"/>
    <w:qFormat/>
    <w:rsid w:val="00F3676E"/>
    <w:pPr>
      <w:spacing w:after="200"/>
    </w:pPr>
    <w:rPr>
      <w:rFonts w:asciiTheme="minorHAnsi" w:hAnsiTheme="minorHAnsi" w:cstheme="minorHAnsi"/>
      <w:color w:val="000000" w:themeColor="text1"/>
      <w:sz w:val="22"/>
      <w:szCs w:val="24"/>
      <w:lang w:eastAsia="en-US"/>
    </w:rPr>
  </w:style>
  <w:style w:type="paragraph" w:styleId="Heading1">
    <w:name w:val="heading 1"/>
    <w:aliases w:val="CER Heading 1"/>
    <w:basedOn w:val="Contents"/>
    <w:next w:val="Heading2"/>
    <w:link w:val="Heading1Char"/>
    <w:uiPriority w:val="1"/>
    <w:qFormat/>
    <w:rsid w:val="002D18F3"/>
    <w:pPr>
      <w:spacing w:before="360" w:after="0"/>
      <w:outlineLvl w:val="0"/>
    </w:pPr>
    <w:rPr>
      <w:b/>
      <w:bCs/>
    </w:rPr>
  </w:style>
  <w:style w:type="paragraph" w:styleId="Heading2">
    <w:name w:val="heading 2"/>
    <w:aliases w:val="CER Heading 2"/>
    <w:basedOn w:val="Normal"/>
    <w:next w:val="Normal"/>
    <w:link w:val="Heading2Char"/>
    <w:uiPriority w:val="3"/>
    <w:qFormat/>
    <w:rsid w:val="002D18F3"/>
    <w:pPr>
      <w:keepNext/>
      <w:keepLines/>
      <w:spacing w:before="280" w:after="0"/>
      <w:outlineLvl w:val="1"/>
    </w:pPr>
    <w:rPr>
      <w:rFonts w:asciiTheme="majorHAnsi" w:eastAsia="Times New Roman" w:hAnsiTheme="majorHAnsi"/>
      <w:b/>
      <w:bCs/>
      <w:sz w:val="32"/>
      <w:szCs w:val="32"/>
    </w:rPr>
  </w:style>
  <w:style w:type="paragraph" w:styleId="Heading3">
    <w:name w:val="heading 3"/>
    <w:aliases w:val="CER Heading 3"/>
    <w:next w:val="Normal"/>
    <w:link w:val="Heading3Char"/>
    <w:uiPriority w:val="4"/>
    <w:qFormat/>
    <w:rsid w:val="005C0A94"/>
    <w:pPr>
      <w:keepNext/>
      <w:keepLines/>
      <w:spacing w:before="240"/>
      <w:outlineLvl w:val="2"/>
    </w:pPr>
    <w:rPr>
      <w:rFonts w:asciiTheme="majorHAnsi" w:eastAsia="Times New Roman" w:hAnsiTheme="majorHAnsi" w:cstheme="majorHAnsi"/>
      <w:b/>
      <w:bCs/>
      <w:color w:val="000000" w:themeColor="text1"/>
      <w:sz w:val="27"/>
      <w:szCs w:val="27"/>
      <w:lang w:eastAsia="en-US"/>
    </w:rPr>
  </w:style>
  <w:style w:type="paragraph" w:styleId="Heading4">
    <w:name w:val="heading 4"/>
    <w:aliases w:val="CER Heading 4"/>
    <w:basedOn w:val="Normal"/>
    <w:next w:val="Normal"/>
    <w:link w:val="Heading4Char"/>
    <w:uiPriority w:val="5"/>
    <w:unhideWhenUsed/>
    <w:qFormat/>
    <w:rsid w:val="005C0A94"/>
    <w:pPr>
      <w:keepNext/>
      <w:spacing w:before="240" w:after="0"/>
      <w:outlineLvl w:val="3"/>
    </w:pPr>
    <w:rPr>
      <w:rFonts w:asciiTheme="majorHAnsi" w:eastAsiaTheme="minorEastAsia" w:hAnsiTheme="majorHAnsi" w:cstheme="minorBidi"/>
      <w:b/>
      <w:sz w:val="24"/>
    </w:rPr>
  </w:style>
  <w:style w:type="paragraph" w:styleId="Heading5">
    <w:name w:val="heading 5"/>
    <w:aliases w:val="CER Heading 5"/>
    <w:basedOn w:val="Normal"/>
    <w:next w:val="Normal"/>
    <w:link w:val="Heading5Char"/>
    <w:uiPriority w:val="6"/>
    <w:unhideWhenUsed/>
    <w:qFormat/>
    <w:rsid w:val="00FA7635"/>
    <w:pPr>
      <w:keepNext/>
      <w:keepLines/>
      <w:spacing w:before="240"/>
      <w:outlineLvl w:val="4"/>
    </w:pPr>
    <w:rPr>
      <w:rFonts w:eastAsiaTheme="majorEastAsia" w:cstheme="majorBidi"/>
      <w:b/>
    </w:rPr>
  </w:style>
  <w:style w:type="paragraph" w:styleId="Heading6">
    <w:name w:val="heading 6"/>
    <w:aliases w:val="CER Heading 6"/>
    <w:basedOn w:val="Normal"/>
    <w:next w:val="Normal"/>
    <w:link w:val="Heading6Char"/>
    <w:uiPriority w:val="99"/>
    <w:unhideWhenUsed/>
    <w:rsid w:val="00674932"/>
    <w:pPr>
      <w:tabs>
        <w:tab w:val="left" w:pos="1633"/>
      </w:tabs>
      <w:spacing w:before="240"/>
      <w:outlineLvl w:val="5"/>
    </w:pPr>
    <w:rPr>
      <w:rFonts w:eastAsiaTheme="minorEastAsia" w:cstheme="minorBidi"/>
      <w:b/>
      <w:bCs/>
      <w:sz w:val="21"/>
      <w:szCs w:val="22"/>
    </w:rPr>
  </w:style>
  <w:style w:type="paragraph" w:styleId="Heading7">
    <w:name w:val="heading 7"/>
    <w:basedOn w:val="Normal"/>
    <w:next w:val="Normal"/>
    <w:link w:val="Heading7Char"/>
    <w:uiPriority w:val="99"/>
    <w:unhideWhenUsed/>
    <w:rsid w:val="00521016"/>
    <w:pPr>
      <w:keepNext/>
      <w:keepLines/>
      <w:spacing w:before="200" w:after="0"/>
      <w:outlineLvl w:val="6"/>
    </w:pPr>
    <w:rPr>
      <w:rFonts w:eastAsiaTheme="majorEastAsia" w:cstheme="majorBidi"/>
      <w:b/>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CER Heading 2 Char"/>
    <w:basedOn w:val="DefaultParagraphFont"/>
    <w:link w:val="Heading2"/>
    <w:uiPriority w:val="3"/>
    <w:rsid w:val="002D18F3"/>
    <w:rPr>
      <w:rFonts w:asciiTheme="majorHAnsi" w:eastAsia="Times New Roman" w:hAnsiTheme="majorHAnsi" w:cstheme="minorHAnsi"/>
      <w:b/>
      <w:bCs/>
      <w:color w:val="000000" w:themeColor="text1"/>
      <w:sz w:val="32"/>
      <w:szCs w:val="32"/>
      <w:lang w:eastAsia="en-US"/>
    </w:rPr>
  </w:style>
  <w:style w:type="character" w:customStyle="1" w:styleId="Heading1Char">
    <w:name w:val="Heading 1 Char"/>
    <w:aliases w:val="CER Heading 1 Char"/>
    <w:basedOn w:val="DefaultParagraphFont"/>
    <w:link w:val="Heading1"/>
    <w:uiPriority w:val="2"/>
    <w:rsid w:val="002D18F3"/>
    <w:rPr>
      <w:rFonts w:ascii="Calibri" w:eastAsia="Times New Roman" w:hAnsi="Calibri" w:cs="Calibri"/>
      <w:b/>
      <w:bCs/>
      <w:color w:val="000000" w:themeColor="text1"/>
      <w:kern w:val="32"/>
      <w:sz w:val="40"/>
      <w:szCs w:val="24"/>
      <w:lang w:eastAsia="en-US"/>
    </w:rPr>
  </w:style>
  <w:style w:type="character" w:customStyle="1" w:styleId="Heading3Char">
    <w:name w:val="Heading 3 Char"/>
    <w:aliases w:val="CER Heading 3 Char"/>
    <w:basedOn w:val="DefaultParagraphFont"/>
    <w:link w:val="Heading3"/>
    <w:uiPriority w:val="4"/>
    <w:rsid w:val="005C0A94"/>
    <w:rPr>
      <w:rFonts w:asciiTheme="majorHAnsi" w:eastAsia="Times New Roman" w:hAnsiTheme="majorHAnsi" w:cstheme="majorHAnsi"/>
      <w:b/>
      <w:bCs/>
      <w:color w:val="000000" w:themeColor="text1"/>
      <w:sz w:val="27"/>
      <w:szCs w:val="27"/>
      <w:lang w:eastAsia="en-US"/>
    </w:rPr>
  </w:style>
  <w:style w:type="character" w:customStyle="1" w:styleId="Heading4Char">
    <w:name w:val="Heading 4 Char"/>
    <w:aliases w:val="CER Heading 4 Char"/>
    <w:basedOn w:val="DefaultParagraphFont"/>
    <w:link w:val="Heading4"/>
    <w:uiPriority w:val="5"/>
    <w:rsid w:val="005C0A94"/>
    <w:rPr>
      <w:rFonts w:asciiTheme="majorHAnsi" w:eastAsiaTheme="minorEastAsia" w:hAnsiTheme="majorHAnsi" w:cstheme="minorBidi"/>
      <w:b/>
      <w:color w:val="000000" w:themeColor="text1"/>
      <w:sz w:val="24"/>
      <w:szCs w:val="24"/>
      <w:lang w:eastAsia="en-US"/>
    </w:rPr>
  </w:style>
  <w:style w:type="character" w:customStyle="1" w:styleId="Heading6Char">
    <w:name w:val="Heading 6 Char"/>
    <w:aliases w:val="CER Heading 6 Char"/>
    <w:basedOn w:val="DefaultParagraphFont"/>
    <w:link w:val="Heading6"/>
    <w:uiPriority w:val="99"/>
    <w:rsid w:val="00674932"/>
    <w:rPr>
      <w:rFonts w:ascii="Arial" w:eastAsiaTheme="minorEastAsia" w:hAnsi="Arial" w:cstheme="minorBidi"/>
      <w:b/>
      <w:bCs/>
      <w:color w:val="000000" w:themeColor="text1"/>
      <w:sz w:val="21"/>
      <w:szCs w:val="22"/>
      <w:lang w:val="en-US" w:eastAsia="en-US"/>
    </w:rPr>
  </w:style>
  <w:style w:type="paragraph" w:styleId="Header">
    <w:name w:val="header"/>
    <w:basedOn w:val="Normal"/>
    <w:link w:val="HeaderChar"/>
    <w:uiPriority w:val="99"/>
    <w:unhideWhenUsed/>
    <w:rsid w:val="00471682"/>
    <w:pPr>
      <w:tabs>
        <w:tab w:val="center" w:pos="4320"/>
        <w:tab w:val="right" w:pos="8640"/>
      </w:tabs>
    </w:pPr>
  </w:style>
  <w:style w:type="character" w:customStyle="1" w:styleId="HeaderChar">
    <w:name w:val="Header Char"/>
    <w:basedOn w:val="DefaultParagraphFont"/>
    <w:link w:val="Header"/>
    <w:uiPriority w:val="99"/>
    <w:rsid w:val="002C427B"/>
    <w:rPr>
      <w:rFonts w:ascii="Arial" w:hAnsi="Arial"/>
      <w:color w:val="000000" w:themeColor="text1"/>
      <w:sz w:val="22"/>
      <w:szCs w:val="24"/>
      <w:lang w:val="en-US" w:eastAsia="en-US"/>
    </w:rPr>
  </w:style>
  <w:style w:type="paragraph" w:styleId="Footer">
    <w:name w:val="footer"/>
    <w:basedOn w:val="Normal"/>
    <w:link w:val="FooterChar"/>
    <w:uiPriority w:val="99"/>
    <w:unhideWhenUsed/>
    <w:rsid w:val="009633DE"/>
    <w:pPr>
      <w:tabs>
        <w:tab w:val="left" w:pos="2694"/>
        <w:tab w:val="left" w:pos="3969"/>
        <w:tab w:val="left" w:pos="6946"/>
        <w:tab w:val="right" w:pos="9498"/>
      </w:tabs>
      <w:spacing w:before="120"/>
      <w:ind w:left="284" w:right="242"/>
    </w:pPr>
    <w:rPr>
      <w:rFonts w:cs="Calibri (Body)"/>
      <w:spacing w:val="2"/>
      <w:sz w:val="18"/>
      <w:szCs w:val="18"/>
    </w:rPr>
  </w:style>
  <w:style w:type="character" w:customStyle="1" w:styleId="FooterChar">
    <w:name w:val="Footer Char"/>
    <w:basedOn w:val="DefaultParagraphFont"/>
    <w:link w:val="Footer"/>
    <w:uiPriority w:val="99"/>
    <w:rsid w:val="009633DE"/>
    <w:rPr>
      <w:rFonts w:asciiTheme="minorHAnsi" w:hAnsiTheme="minorHAnsi" w:cs="Calibri (Body)"/>
      <w:color w:val="000000" w:themeColor="text1"/>
      <w:spacing w:val="2"/>
      <w:sz w:val="18"/>
      <w:szCs w:val="18"/>
      <w:lang w:eastAsia="en-US"/>
    </w:rPr>
  </w:style>
  <w:style w:type="character" w:styleId="Hyperlink">
    <w:name w:val="Hyperlink"/>
    <w:basedOn w:val="DefaultParagraphFont"/>
    <w:uiPriority w:val="99"/>
    <w:unhideWhenUsed/>
    <w:rsid w:val="00521016"/>
    <w:rPr>
      <w:rFonts w:ascii="Calibri" w:hAnsi="Calibri"/>
      <w:color w:val="006C93" w:themeColor="accent3"/>
      <w:sz w:val="22"/>
      <w:u w:val="single"/>
    </w:rPr>
  </w:style>
  <w:style w:type="paragraph" w:customStyle="1" w:styleId="CERbullets">
    <w:name w:val="CER bullets"/>
    <w:basedOn w:val="Normal"/>
    <w:link w:val="CERbulletsChar"/>
    <w:uiPriority w:val="7"/>
    <w:qFormat/>
    <w:rsid w:val="004458B4"/>
    <w:pPr>
      <w:numPr>
        <w:numId w:val="21"/>
      </w:numPr>
      <w:spacing w:before="120" w:after="120"/>
      <w:ind w:left="357" w:hanging="357"/>
    </w:pPr>
    <w:rPr>
      <w:color w:val="auto"/>
    </w:rPr>
  </w:style>
  <w:style w:type="character" w:customStyle="1" w:styleId="CERbulletsChar">
    <w:name w:val="CER bullets Char"/>
    <w:basedOn w:val="DefaultParagraphFont"/>
    <w:link w:val="CERbullets"/>
    <w:uiPriority w:val="7"/>
    <w:rsid w:val="004458B4"/>
    <w:rPr>
      <w:rFonts w:asciiTheme="minorHAnsi" w:hAnsiTheme="minorHAnsi" w:cstheme="minorHAnsi"/>
      <w:sz w:val="22"/>
      <w:szCs w:val="24"/>
      <w:lang w:eastAsia="en-US"/>
    </w:rPr>
  </w:style>
  <w:style w:type="table" w:customStyle="1" w:styleId="CERTable">
    <w:name w:val="CER Table"/>
    <w:basedOn w:val="TableNormal"/>
    <w:uiPriority w:val="99"/>
    <w:rsid w:val="004458B4"/>
    <w:pPr>
      <w:spacing w:before="120"/>
    </w:pPr>
    <w:rPr>
      <w:rFonts w:ascii="Calibri" w:hAnsi="Calibri"/>
      <w:color w:val="000000" w:themeColor="text1"/>
      <w:kern w:val="2"/>
    </w:rPr>
    <w:tblPr>
      <w:tblStyleRowBandSize w:val="1"/>
      <w:tblBorders>
        <w:top w:val="single" w:sz="8" w:space="0" w:color="FCBA5C" w:themeColor="accent2"/>
        <w:bottom w:val="single" w:sz="8" w:space="0" w:color="FCBA5C" w:themeColor="accent2"/>
        <w:insideH w:val="single" w:sz="8" w:space="0" w:color="E8E8E8" w:themeColor="background2"/>
      </w:tblBorders>
    </w:tblPr>
    <w:trPr>
      <w:cantSplit/>
    </w:trPr>
    <w:tcPr>
      <w:shd w:val="clear" w:color="auto" w:fill="auto"/>
    </w:tcPr>
    <w:tblStylePr w:type="firstRow">
      <w:pPr>
        <w:wordWrap/>
        <w:spacing w:beforeLines="0" w:before="120" w:beforeAutospacing="0" w:afterLines="0" w:after="0" w:afterAutospacing="0" w:line="240" w:lineRule="auto"/>
        <w:ind w:leftChars="0" w:left="0" w:rightChars="0" w:right="0"/>
        <w:contextualSpacing w:val="0"/>
        <w:mirrorIndents w:val="0"/>
        <w:jc w:val="left"/>
        <w:outlineLvl w:val="9"/>
      </w:pPr>
      <w:rPr>
        <w:rFonts w:asciiTheme="minorHAnsi" w:hAnsiTheme="minorHAnsi"/>
        <w:b/>
        <w:color w:val="auto"/>
        <w:sz w:val="20"/>
      </w:rPr>
      <w:tblPr/>
      <w:tcPr>
        <w:tcBorders>
          <w:top w:val="nil"/>
          <w:left w:val="nil"/>
          <w:bottom w:val="single" w:sz="18" w:space="0" w:color="FCBA5C" w:themeColor="accent2"/>
          <w:right w:val="nil"/>
          <w:insideH w:val="nil"/>
          <w:insideV w:val="nil"/>
          <w:tl2br w:val="nil"/>
          <w:tr2bl w:val="nil"/>
        </w:tcBorders>
        <w:shd w:val="clear" w:color="auto" w:fill="E8E8E8" w:themeFill="background2"/>
      </w:tcPr>
    </w:tblStylePr>
    <w:tblStylePr w:type="lastRow">
      <w:pPr>
        <w:wordWrap/>
        <w:spacing w:beforeLines="0" w:before="10" w:beforeAutospacing="0" w:afterLines="0" w:after="10" w:afterAutospacing="0"/>
      </w:pPr>
      <w:rPr>
        <w:rFonts w:asciiTheme="minorHAnsi" w:hAnsiTheme="minorHAnsi"/>
        <w:b/>
      </w:rPr>
      <w:tblPr/>
      <w:tcPr>
        <w:vAlign w:val="center"/>
      </w:tcPr>
    </w:tblStylePr>
    <w:tblStylePr w:type="firstCol">
      <w:pPr>
        <w:wordWrap/>
        <w:ind w:leftChars="0" w:left="0" w:rightChars="0" w:right="0"/>
        <w:contextualSpacing w:val="0"/>
      </w:pPr>
      <w:rPr>
        <w:rFonts w:ascii="Calibri" w:hAnsi="Calibri"/>
        <w:b/>
        <w:i w:val="0"/>
        <w:color w:val="000000" w:themeColor="text1"/>
      </w:rPr>
      <w:tblPr/>
      <w:tcPr>
        <w:shd w:val="clear" w:color="auto" w:fill="F2F2F2" w:themeFill="background1" w:themeFillShade="F2"/>
      </w:tcPr>
    </w:tblStylePr>
    <w:tblStylePr w:type="band1Horz">
      <w:rPr>
        <w:rFonts w:asciiTheme="minorHAnsi" w:hAnsiTheme="minorHAnsi"/>
      </w:rPr>
      <w:tblPr/>
      <w:tcPr>
        <w:tcBorders>
          <w:top w:val="nil"/>
          <w:left w:val="nil"/>
          <w:bottom w:val="single" w:sz="4" w:space="0" w:color="D1D1D1" w:themeColor="background2" w:themeShade="E6"/>
          <w:right w:val="nil"/>
          <w:insideH w:val="nil"/>
          <w:insideV w:val="nil"/>
          <w:tl2br w:val="nil"/>
          <w:tr2bl w:val="nil"/>
        </w:tcBorders>
      </w:tcPr>
    </w:tblStylePr>
    <w:tblStylePr w:type="band2Horz">
      <w:rPr>
        <w:rFonts w:asciiTheme="minorHAnsi" w:hAnsiTheme="minorHAnsi"/>
      </w:rPr>
      <w:tblPr/>
      <w:tcPr>
        <w:tcBorders>
          <w:insideH w:val="nil"/>
        </w:tcBorders>
      </w:tcPr>
    </w:tblStylePr>
  </w:style>
  <w:style w:type="character" w:customStyle="1" w:styleId="Heading5Char">
    <w:name w:val="Heading 5 Char"/>
    <w:aliases w:val="CER Heading 5 Char"/>
    <w:basedOn w:val="DefaultParagraphFont"/>
    <w:link w:val="Heading5"/>
    <w:uiPriority w:val="6"/>
    <w:rsid w:val="00FA7635"/>
    <w:rPr>
      <w:rFonts w:asciiTheme="minorHAnsi" w:eastAsiaTheme="majorEastAsia" w:hAnsiTheme="minorHAnsi" w:cstheme="majorBidi"/>
      <w:b/>
      <w:color w:val="000000" w:themeColor="text1"/>
      <w:sz w:val="22"/>
      <w:szCs w:val="24"/>
      <w:lang w:eastAsia="en-US"/>
    </w:rPr>
  </w:style>
  <w:style w:type="table" w:styleId="TableGrid">
    <w:name w:val="Table Grid"/>
    <w:basedOn w:val="TableNormal"/>
    <w:rsid w:val="00A41A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ERCallout">
    <w:name w:val="CER Callout"/>
    <w:basedOn w:val="TableNormal"/>
    <w:uiPriority w:val="99"/>
    <w:rsid w:val="00C13A44"/>
    <w:pPr>
      <w:spacing w:before="100" w:beforeAutospacing="1" w:after="240"/>
      <w:ind w:left="284" w:right="284"/>
    </w:pPr>
    <w:rPr>
      <w:rFonts w:asciiTheme="minorHAnsi" w:hAnsiTheme="minorHAnsi"/>
    </w:rPr>
    <w:tblPr>
      <w:tblBorders>
        <w:left w:val="single" w:sz="24" w:space="0" w:color="9FB76F" w:themeColor="accent1"/>
      </w:tblBorders>
      <w:tblCellMar>
        <w:left w:w="0" w:type="dxa"/>
        <w:right w:w="0" w:type="dxa"/>
      </w:tblCellMar>
    </w:tblPr>
    <w:trPr>
      <w:cantSplit/>
    </w:trPr>
    <w:tcPr>
      <w:shd w:val="pct5" w:color="auto" w:fill="auto"/>
      <w:tcMar>
        <w:top w:w="284" w:type="dxa"/>
        <w:left w:w="284" w:type="dxa"/>
        <w:bottom w:w="284" w:type="dxa"/>
        <w:right w:w="284" w:type="dxa"/>
      </w:tcMar>
    </w:tcPr>
    <w:tblStylePr w:type="firstRow">
      <w:pPr>
        <w:wordWrap/>
        <w:spacing w:beforeLines="0" w:afterLines="0" w:line="240" w:lineRule="auto"/>
      </w:pPr>
      <w:rPr>
        <w:rFonts w:asciiTheme="minorHAnsi" w:hAnsiTheme="minorHAnsi"/>
        <w:b/>
        <w:sz w:val="24"/>
      </w:rPr>
      <w:tblPr/>
      <w:trPr>
        <w:cantSplit w:val="0"/>
      </w:trPr>
      <w:tcPr>
        <w:tcBorders>
          <w:top w:val="nil"/>
          <w:left w:val="single" w:sz="24" w:space="0" w:color="9FB76F" w:themeColor="accent1"/>
          <w:bottom w:val="nil"/>
          <w:right w:val="nil"/>
          <w:insideH w:val="nil"/>
          <w:insideV w:val="nil"/>
          <w:tl2br w:val="nil"/>
          <w:tr2bl w:val="nil"/>
        </w:tcBorders>
        <w:noWrap/>
      </w:tcPr>
    </w:tblStylePr>
  </w:style>
  <w:style w:type="character" w:customStyle="1" w:styleId="Heading7Char">
    <w:name w:val="Heading 7 Char"/>
    <w:basedOn w:val="DefaultParagraphFont"/>
    <w:link w:val="Heading7"/>
    <w:uiPriority w:val="99"/>
    <w:rsid w:val="00521016"/>
    <w:rPr>
      <w:rFonts w:asciiTheme="minorHAnsi" w:eastAsiaTheme="majorEastAsia" w:hAnsiTheme="minorHAnsi" w:cstheme="majorBidi"/>
      <w:b/>
      <w:i/>
      <w:iCs/>
      <w:color w:val="404040" w:themeColor="text1" w:themeTint="BF"/>
      <w:sz w:val="22"/>
      <w:szCs w:val="24"/>
      <w:lang w:eastAsia="en-US"/>
    </w:rPr>
  </w:style>
  <w:style w:type="character" w:styleId="FollowedHyperlink">
    <w:name w:val="FollowedHyperlink"/>
    <w:basedOn w:val="DefaultParagraphFont"/>
    <w:uiPriority w:val="99"/>
    <w:rsid w:val="002537CF"/>
    <w:rPr>
      <w:rFonts w:asciiTheme="minorHAnsi" w:hAnsiTheme="minorHAnsi"/>
      <w:color w:val="7F7F7F" w:themeColor="text1" w:themeTint="80"/>
      <w:sz w:val="22"/>
      <w:u w:val="single"/>
    </w:rPr>
  </w:style>
  <w:style w:type="paragraph" w:customStyle="1" w:styleId="CERcovertitle">
    <w:name w:val="CER cover title"/>
    <w:basedOn w:val="Title"/>
    <w:link w:val="CERcovertitleChar"/>
    <w:uiPriority w:val="8"/>
    <w:rsid w:val="00521016"/>
    <w:pPr>
      <w:spacing w:before="2760"/>
      <w:ind w:right="5204"/>
    </w:pPr>
    <w:rPr>
      <w:rFonts w:cs="Times New Roman (Headings CS)"/>
      <w:b/>
      <w:noProof/>
      <w:spacing w:val="0"/>
      <w:lang w:eastAsia="en-AU"/>
    </w:rPr>
  </w:style>
  <w:style w:type="paragraph" w:customStyle="1" w:styleId="CERcoversubtitle">
    <w:name w:val="CER cover subtitle"/>
    <w:basedOn w:val="Subtitle"/>
    <w:link w:val="CERcoversubtitleChar"/>
    <w:uiPriority w:val="8"/>
    <w:rsid w:val="00253FFC"/>
    <w:pPr>
      <w:spacing w:before="120" w:after="120"/>
      <w:ind w:right="5062"/>
    </w:pPr>
    <w:rPr>
      <w:rFonts w:ascii="Calibri Light" w:eastAsia="Times New Roman" w:hAnsi="Calibri Light" w:cs="Calibri Light"/>
      <w:color w:val="000000" w:themeColor="text1"/>
      <w:spacing w:val="0"/>
      <w:sz w:val="40"/>
      <w:szCs w:val="40"/>
    </w:rPr>
  </w:style>
  <w:style w:type="character" w:customStyle="1" w:styleId="CERcovertitleChar">
    <w:name w:val="CER cover title Char"/>
    <w:basedOn w:val="DefaultParagraphFont"/>
    <w:link w:val="CERcovertitle"/>
    <w:uiPriority w:val="8"/>
    <w:rsid w:val="00521016"/>
    <w:rPr>
      <w:rFonts w:asciiTheme="majorHAnsi" w:eastAsiaTheme="majorEastAsia" w:hAnsiTheme="majorHAnsi" w:cs="Times New Roman (Headings CS)"/>
      <w:b/>
      <w:noProof/>
      <w:kern w:val="28"/>
      <w:sz w:val="56"/>
      <w:szCs w:val="56"/>
    </w:rPr>
  </w:style>
  <w:style w:type="paragraph" w:customStyle="1" w:styleId="CERnumbering">
    <w:name w:val="CER numbering"/>
    <w:basedOn w:val="BodyText1"/>
    <w:link w:val="CERnumberingChar"/>
    <w:uiPriority w:val="8"/>
    <w:qFormat/>
    <w:rsid w:val="00A97046"/>
    <w:pPr>
      <w:numPr>
        <w:numId w:val="35"/>
      </w:numPr>
      <w:spacing w:before="120" w:after="120"/>
    </w:pPr>
  </w:style>
  <w:style w:type="character" w:customStyle="1" w:styleId="CERcoversubtitleChar">
    <w:name w:val="CER cover subtitle Char"/>
    <w:basedOn w:val="Heading2Char"/>
    <w:link w:val="CERcoversubtitle"/>
    <w:uiPriority w:val="8"/>
    <w:rsid w:val="00253FFC"/>
    <w:rPr>
      <w:rFonts w:ascii="Calibri Light" w:eastAsia="Times New Roman" w:hAnsi="Calibri Light" w:cs="Calibri Light"/>
      <w:b w:val="0"/>
      <w:bCs w:val="0"/>
      <w:color w:val="000000" w:themeColor="text1"/>
      <w:sz w:val="40"/>
      <w:szCs w:val="40"/>
      <w:lang w:eastAsia="en-US"/>
    </w:rPr>
  </w:style>
  <w:style w:type="character" w:customStyle="1" w:styleId="CERnumberingChar">
    <w:name w:val="CER numbering Char"/>
    <w:basedOn w:val="CERbulletsChar"/>
    <w:link w:val="CERnumbering"/>
    <w:uiPriority w:val="8"/>
    <w:rsid w:val="00A97046"/>
    <w:rPr>
      <w:rFonts w:asciiTheme="minorHAnsi" w:hAnsiTheme="minorHAnsi" w:cstheme="minorHAnsi"/>
      <w:color w:val="000000" w:themeColor="text1"/>
      <w:sz w:val="22"/>
      <w:szCs w:val="24"/>
      <w:lang w:eastAsia="en-US"/>
    </w:rPr>
  </w:style>
  <w:style w:type="character" w:styleId="PlaceholderText">
    <w:name w:val="Placeholder Text"/>
    <w:basedOn w:val="DefaultParagraphFont"/>
    <w:uiPriority w:val="99"/>
    <w:rsid w:val="00930D2E"/>
    <w:rPr>
      <w:rFonts w:asciiTheme="minorHAnsi" w:hAnsiTheme="minorHAnsi"/>
      <w:color w:val="808080"/>
    </w:rPr>
  </w:style>
  <w:style w:type="character" w:customStyle="1" w:styleId="Protectivemarker">
    <w:name w:val="Protective marker"/>
    <w:uiPriority w:val="1"/>
    <w:rsid w:val="00F3676E"/>
    <w:rPr>
      <w:rFonts w:asciiTheme="minorHAnsi" w:hAnsiTheme="minorHAnsi"/>
      <w:b/>
      <w:color w:val="FF0000"/>
      <w:sz w:val="28"/>
      <w:szCs w:val="24"/>
    </w:rPr>
  </w:style>
  <w:style w:type="paragraph" w:customStyle="1" w:styleId="LegislativesecrecyACT">
    <w:name w:val="Legislative secrecy ACT"/>
    <w:basedOn w:val="Heading5"/>
    <w:uiPriority w:val="8"/>
    <w:qFormat/>
    <w:rsid w:val="00F76419"/>
    <w:pPr>
      <w:tabs>
        <w:tab w:val="center" w:pos="4870"/>
        <w:tab w:val="left" w:pos="8745"/>
      </w:tabs>
      <w:spacing w:before="0" w:after="120"/>
      <w:jc w:val="center"/>
    </w:pPr>
    <w:rPr>
      <w:color w:val="auto"/>
      <w:sz w:val="24"/>
    </w:rPr>
  </w:style>
  <w:style w:type="character" w:styleId="PageNumber">
    <w:name w:val="page number"/>
    <w:basedOn w:val="DefaultParagraphFont"/>
    <w:uiPriority w:val="99"/>
    <w:semiHidden/>
    <w:unhideWhenUsed/>
    <w:rsid w:val="00977234"/>
    <w:rPr>
      <w:rFonts w:asciiTheme="minorHAnsi" w:hAnsiTheme="minorHAnsi"/>
    </w:rPr>
  </w:style>
  <w:style w:type="paragraph" w:styleId="Title">
    <w:name w:val="Title"/>
    <w:basedOn w:val="Normal"/>
    <w:next w:val="Normal"/>
    <w:link w:val="TitleChar"/>
    <w:uiPriority w:val="99"/>
    <w:rsid w:val="00977234"/>
    <w:pPr>
      <w:spacing w:after="0"/>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99"/>
    <w:rsid w:val="00977234"/>
    <w:rPr>
      <w:rFonts w:asciiTheme="majorHAnsi" w:eastAsiaTheme="majorEastAsia" w:hAnsiTheme="majorHAnsi" w:cstheme="majorBidi"/>
      <w:spacing w:val="-10"/>
      <w:kern w:val="28"/>
      <w:sz w:val="56"/>
      <w:szCs w:val="56"/>
      <w:lang w:eastAsia="en-US"/>
    </w:rPr>
  </w:style>
  <w:style w:type="paragraph" w:styleId="TOC2">
    <w:name w:val="toc 2"/>
    <w:basedOn w:val="Normal"/>
    <w:next w:val="Normal"/>
    <w:autoRedefine/>
    <w:uiPriority w:val="39"/>
    <w:unhideWhenUsed/>
    <w:rsid w:val="00056FF0"/>
    <w:pPr>
      <w:spacing w:after="100"/>
      <w:ind w:left="220"/>
    </w:pPr>
  </w:style>
  <w:style w:type="paragraph" w:styleId="TOC1">
    <w:name w:val="toc 1"/>
    <w:basedOn w:val="Normal"/>
    <w:next w:val="Normal"/>
    <w:autoRedefine/>
    <w:uiPriority w:val="39"/>
    <w:unhideWhenUsed/>
    <w:rsid w:val="00EA2792"/>
    <w:pPr>
      <w:tabs>
        <w:tab w:val="right" w:leader="dot" w:pos="9730"/>
      </w:tabs>
      <w:spacing w:after="100"/>
    </w:pPr>
    <w:rPr>
      <w:b/>
    </w:rPr>
  </w:style>
  <w:style w:type="paragraph" w:styleId="TOC3">
    <w:name w:val="toc 3"/>
    <w:basedOn w:val="Normal"/>
    <w:next w:val="Normal"/>
    <w:autoRedefine/>
    <w:uiPriority w:val="39"/>
    <w:unhideWhenUsed/>
    <w:rsid w:val="007270A5"/>
    <w:pPr>
      <w:tabs>
        <w:tab w:val="right" w:leader="dot" w:pos="9730"/>
      </w:tabs>
      <w:spacing w:after="100"/>
      <w:ind w:left="440"/>
    </w:pPr>
  </w:style>
  <w:style w:type="paragraph" w:styleId="TOC4">
    <w:name w:val="toc 4"/>
    <w:basedOn w:val="Normal"/>
    <w:next w:val="Normal"/>
    <w:autoRedefine/>
    <w:uiPriority w:val="99"/>
    <w:semiHidden/>
    <w:unhideWhenUsed/>
    <w:rsid w:val="00EB7F5F"/>
    <w:pPr>
      <w:spacing w:after="100"/>
      <w:ind w:left="660"/>
    </w:pPr>
  </w:style>
  <w:style w:type="paragraph" w:styleId="Subtitle">
    <w:name w:val="Subtitle"/>
    <w:basedOn w:val="Normal"/>
    <w:next w:val="Normal"/>
    <w:link w:val="SubtitleChar"/>
    <w:uiPriority w:val="99"/>
    <w:rsid w:val="002C702A"/>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99"/>
    <w:rsid w:val="002C702A"/>
    <w:rPr>
      <w:rFonts w:asciiTheme="minorHAnsi" w:eastAsiaTheme="minorEastAsia" w:hAnsiTheme="minorHAnsi" w:cstheme="minorBidi"/>
      <w:color w:val="5A5A5A" w:themeColor="text1" w:themeTint="A5"/>
      <w:spacing w:val="15"/>
      <w:sz w:val="22"/>
      <w:szCs w:val="22"/>
      <w:lang w:eastAsia="en-US"/>
    </w:rPr>
  </w:style>
  <w:style w:type="paragraph" w:styleId="Caption">
    <w:name w:val="caption"/>
    <w:basedOn w:val="Normal"/>
    <w:next w:val="Normal"/>
    <w:uiPriority w:val="35"/>
    <w:unhideWhenUsed/>
    <w:qFormat/>
    <w:rsid w:val="004D0162"/>
    <w:rPr>
      <w:rFonts w:ascii="Calibri Light" w:eastAsiaTheme="minorHAnsi" w:hAnsi="Calibri Light" w:cs="Calibri Light"/>
      <w:i/>
      <w:iCs/>
      <w:sz w:val="18"/>
      <w:szCs w:val="18"/>
    </w:rPr>
  </w:style>
  <w:style w:type="paragraph" w:customStyle="1" w:styleId="Contents">
    <w:name w:val="Contents"/>
    <w:uiPriority w:val="8"/>
    <w:qFormat/>
    <w:rsid w:val="00521016"/>
    <w:pPr>
      <w:spacing w:after="360"/>
    </w:pPr>
    <w:rPr>
      <w:rFonts w:ascii="Calibri" w:eastAsia="Times New Roman" w:hAnsi="Calibri" w:cs="Calibri"/>
      <w:color w:val="000000" w:themeColor="text1"/>
      <w:kern w:val="32"/>
      <w:sz w:val="40"/>
      <w:szCs w:val="24"/>
      <w:lang w:eastAsia="en-US"/>
    </w:rPr>
  </w:style>
  <w:style w:type="paragraph" w:customStyle="1" w:styleId="BodyText1">
    <w:name w:val="Body Text1"/>
    <w:basedOn w:val="Normal"/>
    <w:uiPriority w:val="8"/>
    <w:qFormat/>
    <w:rsid w:val="002D18F3"/>
    <w:pPr>
      <w:spacing w:before="200"/>
    </w:pPr>
  </w:style>
  <w:style w:type="paragraph" w:styleId="NormalWeb">
    <w:name w:val="Normal (Web)"/>
    <w:basedOn w:val="Normal"/>
    <w:uiPriority w:val="99"/>
    <w:semiHidden/>
    <w:unhideWhenUsed/>
    <w:rsid w:val="00E12286"/>
    <w:rPr>
      <w:rFonts w:cs="Times New Roman"/>
      <w:sz w:val="24"/>
    </w:rPr>
  </w:style>
  <w:style w:type="character" w:styleId="CommentReference">
    <w:name w:val="annotation reference"/>
    <w:basedOn w:val="DefaultParagraphFont"/>
    <w:rsid w:val="00D343D3"/>
    <w:rPr>
      <w:sz w:val="16"/>
      <w:szCs w:val="16"/>
    </w:rPr>
  </w:style>
  <w:style w:type="paragraph" w:styleId="CommentText">
    <w:name w:val="annotation text"/>
    <w:basedOn w:val="Normal"/>
    <w:link w:val="CommentTextChar"/>
    <w:unhideWhenUsed/>
    <w:rsid w:val="00D343D3"/>
    <w:pPr>
      <w:widowControl w:val="0"/>
      <w:spacing w:after="0"/>
    </w:pPr>
    <w:rPr>
      <w:rFonts w:eastAsiaTheme="minorHAnsi" w:cstheme="minorBidi"/>
      <w:color w:val="auto"/>
      <w:sz w:val="20"/>
      <w:szCs w:val="20"/>
      <w:lang w:val="en-GB"/>
    </w:rPr>
  </w:style>
  <w:style w:type="character" w:customStyle="1" w:styleId="CommentTextChar">
    <w:name w:val="Comment Text Char"/>
    <w:basedOn w:val="DefaultParagraphFont"/>
    <w:link w:val="CommentText"/>
    <w:rsid w:val="00D343D3"/>
    <w:rPr>
      <w:rFonts w:asciiTheme="minorHAnsi" w:eastAsiaTheme="minorHAnsi" w:hAnsiTheme="minorHAnsi" w:cstheme="minorBidi"/>
      <w:lang w:val="en-GB" w:eastAsia="en-US"/>
    </w:rPr>
  </w:style>
  <w:style w:type="paragraph" w:styleId="Revision">
    <w:name w:val="Revision"/>
    <w:hidden/>
    <w:semiHidden/>
    <w:rsid w:val="006111DC"/>
    <w:rPr>
      <w:rFonts w:asciiTheme="minorHAnsi" w:hAnsiTheme="minorHAnsi" w:cstheme="minorHAnsi"/>
      <w:color w:val="000000" w:themeColor="text1"/>
      <w:sz w:val="22"/>
      <w:szCs w:val="24"/>
      <w:lang w:eastAsia="en-US"/>
    </w:rPr>
  </w:style>
  <w:style w:type="paragraph" w:styleId="CommentSubject">
    <w:name w:val="annotation subject"/>
    <w:basedOn w:val="CommentText"/>
    <w:next w:val="CommentText"/>
    <w:link w:val="CommentSubjectChar"/>
    <w:uiPriority w:val="99"/>
    <w:semiHidden/>
    <w:unhideWhenUsed/>
    <w:rsid w:val="006B28D7"/>
    <w:pPr>
      <w:widowControl/>
      <w:spacing w:after="200"/>
    </w:pPr>
    <w:rPr>
      <w:rFonts w:eastAsia="Cambria" w:cstheme="minorHAnsi"/>
      <w:b/>
      <w:bCs/>
      <w:color w:val="000000" w:themeColor="text1"/>
      <w:lang w:val="en-AU"/>
    </w:rPr>
  </w:style>
  <w:style w:type="character" w:customStyle="1" w:styleId="CommentSubjectChar">
    <w:name w:val="Comment Subject Char"/>
    <w:basedOn w:val="CommentTextChar"/>
    <w:link w:val="CommentSubject"/>
    <w:uiPriority w:val="99"/>
    <w:semiHidden/>
    <w:rsid w:val="006B28D7"/>
    <w:rPr>
      <w:rFonts w:asciiTheme="minorHAnsi" w:eastAsiaTheme="minorHAnsi" w:hAnsiTheme="minorHAnsi" w:cstheme="minorHAnsi"/>
      <w:b/>
      <w:bCs/>
      <w:color w:val="000000" w:themeColor="text1"/>
      <w:lang w:val="en-GB" w:eastAsia="en-US"/>
    </w:rPr>
  </w:style>
  <w:style w:type="paragraph" w:customStyle="1" w:styleId="paragraph">
    <w:name w:val="paragraph"/>
    <w:basedOn w:val="Normal"/>
    <w:rsid w:val="00EA2792"/>
    <w:pPr>
      <w:spacing w:before="100" w:beforeAutospacing="1" w:after="100" w:afterAutospacing="1"/>
    </w:pPr>
    <w:rPr>
      <w:rFonts w:ascii="Times New Roman" w:eastAsia="Times New Roman" w:hAnsi="Times New Roman" w:cs="Times New Roman"/>
      <w:color w:val="auto"/>
      <w:sz w:val="24"/>
      <w:lang w:eastAsia="en-AU"/>
    </w:rPr>
  </w:style>
  <w:style w:type="character" w:customStyle="1" w:styleId="normaltextrun">
    <w:name w:val="normaltextrun"/>
    <w:basedOn w:val="DefaultParagraphFont"/>
    <w:rsid w:val="00EA2792"/>
  </w:style>
  <w:style w:type="character" w:customStyle="1" w:styleId="eop">
    <w:name w:val="eop"/>
    <w:basedOn w:val="DefaultParagraphFont"/>
    <w:rsid w:val="00EA2792"/>
  </w:style>
  <w:style w:type="character" w:customStyle="1" w:styleId="scxw106093333">
    <w:name w:val="scxw106093333"/>
    <w:basedOn w:val="DefaultParagraphFont"/>
    <w:rsid w:val="00EA2792"/>
  </w:style>
  <w:style w:type="character" w:styleId="UnresolvedMention">
    <w:name w:val="Unresolved Mention"/>
    <w:basedOn w:val="DefaultParagraphFont"/>
    <w:uiPriority w:val="99"/>
    <w:semiHidden/>
    <w:unhideWhenUsed/>
    <w:rsid w:val="001D1528"/>
    <w:rPr>
      <w:color w:val="605E5C"/>
      <w:shd w:val="clear" w:color="auto" w:fill="E1DFDD"/>
    </w:rPr>
  </w:style>
  <w:style w:type="paragraph" w:styleId="FootnoteText">
    <w:name w:val="footnote text"/>
    <w:basedOn w:val="Normal"/>
    <w:link w:val="FootnoteTextChar"/>
    <w:uiPriority w:val="99"/>
    <w:semiHidden/>
    <w:unhideWhenUsed/>
    <w:rsid w:val="001D1528"/>
    <w:pPr>
      <w:spacing w:after="0"/>
    </w:pPr>
    <w:rPr>
      <w:sz w:val="20"/>
      <w:szCs w:val="20"/>
    </w:rPr>
  </w:style>
  <w:style w:type="character" w:customStyle="1" w:styleId="FootnoteTextChar">
    <w:name w:val="Footnote Text Char"/>
    <w:basedOn w:val="DefaultParagraphFont"/>
    <w:link w:val="FootnoteText"/>
    <w:uiPriority w:val="99"/>
    <w:semiHidden/>
    <w:rsid w:val="001D1528"/>
    <w:rPr>
      <w:rFonts w:asciiTheme="minorHAnsi" w:hAnsiTheme="minorHAnsi" w:cstheme="minorHAnsi"/>
      <w:color w:val="000000" w:themeColor="text1"/>
      <w:lang w:eastAsia="en-US"/>
    </w:rPr>
  </w:style>
  <w:style w:type="character" w:styleId="FootnoteReference">
    <w:name w:val="footnote reference"/>
    <w:basedOn w:val="DefaultParagraphFont"/>
    <w:uiPriority w:val="99"/>
    <w:semiHidden/>
    <w:unhideWhenUsed/>
    <w:rsid w:val="001D152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565015">
      <w:bodyDiv w:val="1"/>
      <w:marLeft w:val="0"/>
      <w:marRight w:val="0"/>
      <w:marTop w:val="0"/>
      <w:marBottom w:val="0"/>
      <w:divBdr>
        <w:top w:val="none" w:sz="0" w:space="0" w:color="auto"/>
        <w:left w:val="none" w:sz="0" w:space="0" w:color="auto"/>
        <w:bottom w:val="none" w:sz="0" w:space="0" w:color="auto"/>
        <w:right w:val="none" w:sz="0" w:space="0" w:color="auto"/>
      </w:divBdr>
      <w:divsChild>
        <w:div w:id="1998610837">
          <w:marLeft w:val="0"/>
          <w:marRight w:val="0"/>
          <w:marTop w:val="0"/>
          <w:marBottom w:val="0"/>
          <w:divBdr>
            <w:top w:val="none" w:sz="0" w:space="0" w:color="auto"/>
            <w:left w:val="none" w:sz="0" w:space="0" w:color="auto"/>
            <w:bottom w:val="none" w:sz="0" w:space="0" w:color="auto"/>
            <w:right w:val="none" w:sz="0" w:space="0" w:color="auto"/>
          </w:divBdr>
        </w:div>
        <w:div w:id="613636561">
          <w:marLeft w:val="0"/>
          <w:marRight w:val="0"/>
          <w:marTop w:val="0"/>
          <w:marBottom w:val="0"/>
          <w:divBdr>
            <w:top w:val="none" w:sz="0" w:space="0" w:color="auto"/>
            <w:left w:val="none" w:sz="0" w:space="0" w:color="auto"/>
            <w:bottom w:val="none" w:sz="0" w:space="0" w:color="auto"/>
            <w:right w:val="none" w:sz="0" w:space="0" w:color="auto"/>
          </w:divBdr>
        </w:div>
        <w:div w:id="536744866">
          <w:marLeft w:val="0"/>
          <w:marRight w:val="0"/>
          <w:marTop w:val="0"/>
          <w:marBottom w:val="0"/>
          <w:divBdr>
            <w:top w:val="none" w:sz="0" w:space="0" w:color="auto"/>
            <w:left w:val="none" w:sz="0" w:space="0" w:color="auto"/>
            <w:bottom w:val="none" w:sz="0" w:space="0" w:color="auto"/>
            <w:right w:val="none" w:sz="0" w:space="0" w:color="auto"/>
          </w:divBdr>
        </w:div>
        <w:div w:id="1102451820">
          <w:marLeft w:val="0"/>
          <w:marRight w:val="0"/>
          <w:marTop w:val="0"/>
          <w:marBottom w:val="0"/>
          <w:divBdr>
            <w:top w:val="none" w:sz="0" w:space="0" w:color="auto"/>
            <w:left w:val="none" w:sz="0" w:space="0" w:color="auto"/>
            <w:bottom w:val="none" w:sz="0" w:space="0" w:color="auto"/>
            <w:right w:val="none" w:sz="0" w:space="0" w:color="auto"/>
          </w:divBdr>
        </w:div>
      </w:divsChild>
    </w:div>
    <w:div w:id="959342230">
      <w:bodyDiv w:val="1"/>
      <w:marLeft w:val="0"/>
      <w:marRight w:val="0"/>
      <w:marTop w:val="0"/>
      <w:marBottom w:val="0"/>
      <w:divBdr>
        <w:top w:val="none" w:sz="0" w:space="0" w:color="auto"/>
        <w:left w:val="none" w:sz="0" w:space="0" w:color="auto"/>
        <w:bottom w:val="none" w:sz="0" w:space="0" w:color="auto"/>
        <w:right w:val="none" w:sz="0" w:space="0" w:color="auto"/>
      </w:divBdr>
    </w:div>
    <w:div w:id="1429352936">
      <w:bodyDiv w:val="1"/>
      <w:marLeft w:val="0"/>
      <w:marRight w:val="0"/>
      <w:marTop w:val="0"/>
      <w:marBottom w:val="0"/>
      <w:divBdr>
        <w:top w:val="none" w:sz="0" w:space="0" w:color="auto"/>
        <w:left w:val="none" w:sz="0" w:space="0" w:color="auto"/>
        <w:bottom w:val="none" w:sz="0" w:space="0" w:color="auto"/>
        <w:right w:val="none" w:sz="0" w:space="0" w:color="auto"/>
      </w:divBdr>
    </w:div>
    <w:div w:id="1760566516">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svg"/><Relationship Id="rId26"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hyperlink" Target="mailto:reporting@cleanenergyregulator.gov.au" TargetMode="External"/><Relationship Id="rId7" Type="http://schemas.openxmlformats.org/officeDocument/2006/relationships/footnotes" Target="footnotes.xml"/><Relationship Id="rId12" Type="http://schemas.openxmlformats.org/officeDocument/2006/relationships/image" Target="media/image4.svg"/><Relationship Id="rId17" Type="http://schemas.openxmlformats.org/officeDocument/2006/relationships/image" Target="media/image9.png"/><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8.svg"/><Relationship Id="rId20" Type="http://schemas.openxmlformats.org/officeDocument/2006/relationships/image" Target="media/image12.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header" Target="header1.xml"/><Relationship Id="rId28" Type="http://schemas.openxmlformats.org/officeDocument/2006/relationships/fontTable" Target="fontTable.xml"/><Relationship Id="rId10" Type="http://schemas.openxmlformats.org/officeDocument/2006/relationships/image" Target="media/image2.svg"/><Relationship Id="rId19" Type="http://schemas.openxmlformats.org/officeDocument/2006/relationships/image" Target="media/image11.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svg"/><Relationship Id="rId22" Type="http://schemas.openxmlformats.org/officeDocument/2006/relationships/hyperlink" Target="https://cer.gov.au/" TargetMode="External"/><Relationship Id="rId27"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15.png"/></Relationships>
</file>

<file path=word/_rels/header1.xml.rels><?xml version="1.0" encoding="UTF-8" standalone="yes"?>
<Relationships xmlns="http://schemas.openxmlformats.org/package/2006/relationships"><Relationship Id="rId1" Type="http://schemas.openxmlformats.org/officeDocument/2006/relationships/image" Target="media/image13.png"/></Relationships>
</file>

<file path=word/_rels/header2.xml.rels><?xml version="1.0" encoding="UTF-8" standalone="yes"?>
<Relationships xmlns="http://schemas.openxmlformats.org/package/2006/relationships"><Relationship Id="rId1" Type="http://schemas.openxmlformats.org/officeDocument/2006/relationships/image" Target="media/image14.png"/></Relationships>
</file>

<file path=word/theme/theme1.xml><?xml version="1.0" encoding="utf-8"?>
<a:theme xmlns:a="http://schemas.openxmlformats.org/drawingml/2006/main" name="CER - 2022 theme">
  <a:themeElements>
    <a:clrScheme name="CER 2022">
      <a:dk1>
        <a:sysClr val="windowText" lastClr="000000"/>
      </a:dk1>
      <a:lt1>
        <a:sysClr val="window" lastClr="FFFFFF"/>
      </a:lt1>
      <a:dk2>
        <a:srgbClr val="454743"/>
      </a:dk2>
      <a:lt2>
        <a:srgbClr val="E8E8E8"/>
      </a:lt2>
      <a:accent1>
        <a:srgbClr val="9FB76F"/>
      </a:accent1>
      <a:accent2>
        <a:srgbClr val="FCBA5C"/>
      </a:accent2>
      <a:accent3>
        <a:srgbClr val="006C93"/>
      </a:accent3>
      <a:accent4>
        <a:srgbClr val="4FC2CC"/>
      </a:accent4>
      <a:accent5>
        <a:srgbClr val="C34D33"/>
      </a:accent5>
      <a:accent6>
        <a:srgbClr val="969696"/>
      </a:accent6>
      <a:hlink>
        <a:srgbClr val="00516E"/>
      </a:hlink>
      <a:folHlink>
        <a:srgbClr val="747474"/>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CER-updated fonts and colours" id="{D0ED4916-A0D3-4FB3-9E63-AD9D1DD4368E}" vid="{A1269B48-6600-4777-8E01-42A1278B1AA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A52B748-A2D0-4474-9CD3-10B76C2A17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1301</Words>
  <Characters>7106</Characters>
  <Application>Microsoft Office Word</Application>
  <DocSecurity>0</DocSecurity>
  <Lines>148</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2026-06-29T06:12:00Z</dcterms:created>
  <dcterms:modified xsi:type="dcterms:W3CDTF">2026-06-29T06:12:00Z</dcterms:modified>
  <cp:contentStatus/>
</cp:coreProperties>
</file>