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C6D65" w14:textId="4E0C4BD6" w:rsidR="0008093B" w:rsidRDefault="004F5ACE">
      <w:pPr>
        <w:pStyle w:val="Title"/>
        <w:spacing w:line="645" w:lineRule="exact"/>
      </w:pPr>
      <w:r>
        <w:rPr>
          <w:spacing w:val="-16"/>
        </w:rPr>
        <w:t>Gateway</w:t>
      </w:r>
      <w:r>
        <w:rPr>
          <w:spacing w:val="-9"/>
        </w:rPr>
        <w:t xml:space="preserve"> </w:t>
      </w:r>
      <w:r>
        <w:rPr>
          <w:spacing w:val="-16"/>
        </w:rPr>
        <w:t>Regeneration</w:t>
      </w:r>
      <w:r>
        <w:rPr>
          <w:spacing w:val="-8"/>
        </w:rPr>
        <w:t xml:space="preserve"> </w:t>
      </w:r>
      <w:r>
        <w:rPr>
          <w:spacing w:val="-16"/>
        </w:rPr>
        <w:t>Checks</w:t>
      </w:r>
      <w:r>
        <w:rPr>
          <w:spacing w:val="-9"/>
        </w:rPr>
        <w:t xml:space="preserve"> </w:t>
      </w:r>
      <w:r>
        <w:rPr>
          <w:spacing w:val="-16"/>
        </w:rPr>
        <w:t>for</w:t>
      </w:r>
      <w:r>
        <w:rPr>
          <w:spacing w:val="-9"/>
        </w:rPr>
        <w:t xml:space="preserve"> </w:t>
      </w:r>
      <w:r>
        <w:rPr>
          <w:spacing w:val="-16"/>
        </w:rPr>
        <w:t>Human</w:t>
      </w:r>
      <w:r w:rsidR="00660433">
        <w:rPr>
          <w:spacing w:val="-16"/>
        </w:rPr>
        <w:t xml:space="preserve"> </w:t>
      </w:r>
    </w:p>
    <w:p w14:paraId="29DD8E57" w14:textId="77777777" w:rsidR="0008093B" w:rsidRDefault="004F5ACE">
      <w:pPr>
        <w:pStyle w:val="Title"/>
      </w:pPr>
      <w:r>
        <w:rPr>
          <w:spacing w:val="-14"/>
        </w:rPr>
        <w:t>Induced</w:t>
      </w:r>
      <w:r>
        <w:rPr>
          <w:spacing w:val="-13"/>
        </w:rPr>
        <w:t xml:space="preserve"> </w:t>
      </w:r>
      <w:r>
        <w:rPr>
          <w:spacing w:val="-14"/>
        </w:rPr>
        <w:t>Regeneration</w:t>
      </w:r>
      <w:r>
        <w:rPr>
          <w:spacing w:val="-16"/>
        </w:rPr>
        <w:t xml:space="preserve"> </w:t>
      </w:r>
      <w:r>
        <w:rPr>
          <w:spacing w:val="-14"/>
        </w:rPr>
        <w:t>projects</w:t>
      </w:r>
    </w:p>
    <w:p w14:paraId="33AA607F" w14:textId="46692AF2" w:rsidR="0008093B" w:rsidRDefault="004F5ACE" w:rsidP="001023AA">
      <w:pPr>
        <w:pStyle w:val="BodyText"/>
      </w:pPr>
      <w:r>
        <w:rPr>
          <w:spacing w:val="10"/>
        </w:rPr>
        <w:t>ANUE</w:t>
      </w:r>
      <w:r>
        <w:rPr>
          <w:spacing w:val="30"/>
        </w:rPr>
        <w:t xml:space="preserve"> </w:t>
      </w:r>
      <w:r w:rsidR="009359A7" w:rsidRPr="009359A7">
        <w:rPr>
          <w:spacing w:val="15"/>
        </w:rPr>
        <w:t xml:space="preserve">Project #1-1035 (Phase </w:t>
      </w:r>
      <w:r w:rsidR="00F65B3B">
        <w:rPr>
          <w:spacing w:val="15"/>
        </w:rPr>
        <w:t>3</w:t>
      </w:r>
      <w:r w:rsidR="00F92BB5">
        <w:rPr>
          <w:spacing w:val="15"/>
        </w:rPr>
        <w:t xml:space="preserve"> part 2 for 2024</w:t>
      </w:r>
      <w:r w:rsidR="009359A7" w:rsidRPr="009359A7">
        <w:rPr>
          <w:spacing w:val="15"/>
        </w:rPr>
        <w:t>)</w:t>
      </w:r>
      <w:r w:rsidR="00AE5D4E">
        <w:rPr>
          <w:spacing w:val="15"/>
        </w:rPr>
        <w:t xml:space="preserve"> </w:t>
      </w:r>
    </w:p>
    <w:p w14:paraId="2A44A727" w14:textId="465317E2" w:rsidR="0008093B" w:rsidRDefault="004F5ACE" w:rsidP="001023AA">
      <w:pPr>
        <w:pStyle w:val="BodyText"/>
      </w:pPr>
      <w:r>
        <w:t>C.L.</w:t>
      </w:r>
      <w:r>
        <w:rPr>
          <w:spacing w:val="-4"/>
        </w:rPr>
        <w:t xml:space="preserve"> </w:t>
      </w:r>
      <w:r>
        <w:t>Brack.</w:t>
      </w:r>
      <w:r>
        <w:rPr>
          <w:spacing w:val="-5"/>
        </w:rPr>
        <w:t xml:space="preserve"> </w:t>
      </w:r>
    </w:p>
    <w:p w14:paraId="26CD53CB" w14:textId="77777777" w:rsidR="0008093B" w:rsidRDefault="0008093B" w:rsidP="001023AA">
      <w:pPr>
        <w:pStyle w:val="BodyText"/>
      </w:pPr>
    </w:p>
    <w:p w14:paraId="1B1A9D40" w14:textId="6552460E" w:rsidR="00EB28BD" w:rsidRDefault="00EB28BD" w:rsidP="00002FCB">
      <w:pPr>
        <w:pStyle w:val="Heading1"/>
        <w:numPr>
          <w:ilvl w:val="0"/>
          <w:numId w:val="0"/>
        </w:numPr>
      </w:pPr>
      <w:r>
        <w:t>Summary</w:t>
      </w:r>
    </w:p>
    <w:p w14:paraId="53255A31" w14:textId="6CF92180" w:rsidR="0073341C" w:rsidRDefault="00071F69" w:rsidP="005600C3">
      <w:pPr>
        <w:pStyle w:val="BodyText"/>
      </w:pPr>
      <w:r>
        <w:t>This</w:t>
      </w:r>
      <w:r>
        <w:rPr>
          <w:spacing w:val="-2"/>
        </w:rPr>
        <w:t xml:space="preserve"> </w:t>
      </w:r>
      <w:r w:rsidR="004D55EF">
        <w:t>report c</w:t>
      </w:r>
      <w:r w:rsidR="00544A46">
        <w:rPr>
          <w:spacing w:val="-2"/>
        </w:rPr>
        <w:t>ontinues the</w:t>
      </w:r>
      <w:r>
        <w:rPr>
          <w:spacing w:val="-2"/>
        </w:rPr>
        <w:t xml:space="preserve"> </w:t>
      </w:r>
      <w:r>
        <w:t>series</w:t>
      </w:r>
      <w:r>
        <w:rPr>
          <w:spacing w:val="-1"/>
        </w:rPr>
        <w:t xml:space="preserve"> </w:t>
      </w:r>
      <w:r w:rsidR="00544A46">
        <w:t>of</w:t>
      </w:r>
      <w:r>
        <w:rPr>
          <w:spacing w:val="-2"/>
        </w:rPr>
        <w:t xml:space="preserve"> independent </w:t>
      </w:r>
      <w:r>
        <w:t>reviews</w:t>
      </w:r>
      <w:r w:rsidR="00303941">
        <w:t xml:space="preserve"> th</w:t>
      </w:r>
      <w:r w:rsidR="00696F4B">
        <w:t>at began in 2023</w:t>
      </w:r>
      <w:r>
        <w:rPr>
          <w:spacing w:val="-2"/>
        </w:rPr>
        <w:t xml:space="preserve"> </w:t>
      </w:r>
      <w:r w:rsidR="00544A46">
        <w:rPr>
          <w:spacing w:val="-2"/>
        </w:rPr>
        <w:t xml:space="preserve">of </w:t>
      </w:r>
      <w:r>
        <w:t>the</w:t>
      </w:r>
      <w:r>
        <w:rPr>
          <w:spacing w:val="-4"/>
        </w:rPr>
        <w:t xml:space="preserve"> </w:t>
      </w:r>
      <w:r>
        <w:t>process</w:t>
      </w:r>
      <w:r>
        <w:rPr>
          <w:spacing w:val="-4"/>
        </w:rPr>
        <w:t xml:space="preserve"> </w:t>
      </w:r>
      <w:r>
        <w:t>and</w:t>
      </w:r>
      <w:r>
        <w:rPr>
          <w:spacing w:val="-3"/>
        </w:rPr>
        <w:t xml:space="preserve"> </w:t>
      </w:r>
      <w:r>
        <w:t>outcomes</w:t>
      </w:r>
      <w:r>
        <w:rPr>
          <w:spacing w:val="-4"/>
        </w:rPr>
        <w:t xml:space="preserve"> </w:t>
      </w:r>
      <w:r>
        <w:t>of</w:t>
      </w:r>
      <w:r>
        <w:rPr>
          <w:spacing w:val="-5"/>
        </w:rPr>
        <w:t xml:space="preserve"> </w:t>
      </w:r>
      <w:r>
        <w:t xml:space="preserve">the </w:t>
      </w:r>
      <w:r w:rsidR="004D55EF">
        <w:t xml:space="preserve">Human Induced </w:t>
      </w:r>
      <w:r w:rsidR="00865B24">
        <w:t xml:space="preserve">Regeneration (HIR) </w:t>
      </w:r>
      <w:r>
        <w:t>Regeneration Gateway Checks</w:t>
      </w:r>
      <w:r w:rsidR="00F72006">
        <w:t xml:space="preserve">. The report </w:t>
      </w:r>
      <w:r w:rsidR="0042210C">
        <w:t xml:space="preserve">completed in 2023 </w:t>
      </w:r>
      <w:r w:rsidR="00F72006">
        <w:t xml:space="preserve">reviewed </w:t>
      </w:r>
      <w:r w:rsidR="00936942">
        <w:t xml:space="preserve">25 </w:t>
      </w:r>
      <w:r w:rsidR="00F72006">
        <w:t>projects that ha</w:t>
      </w:r>
      <w:r w:rsidR="00A978E6">
        <w:t>d</w:t>
      </w:r>
      <w:r w:rsidR="00F72006">
        <w:t xml:space="preserve"> </w:t>
      </w:r>
      <w:r w:rsidR="00085B68">
        <w:t>passed Regeneration Gateway Checks prior to May 2023</w:t>
      </w:r>
      <w:r w:rsidR="00E36AB3">
        <w:t>. T</w:t>
      </w:r>
      <w:r w:rsidR="0081676B">
        <w:t xml:space="preserve">his </w:t>
      </w:r>
      <w:r w:rsidR="00AA07E6">
        <w:t>is</w:t>
      </w:r>
      <w:r w:rsidR="008A6743">
        <w:t xml:space="preserve"> the second report for </w:t>
      </w:r>
      <w:r w:rsidR="001C45AA">
        <w:t xml:space="preserve">2024 </w:t>
      </w:r>
      <w:r w:rsidR="008A6743">
        <w:t>and</w:t>
      </w:r>
      <w:r w:rsidR="0081676B">
        <w:t xml:space="preserve"> </w:t>
      </w:r>
      <w:r w:rsidR="002C1BD4">
        <w:t xml:space="preserve">completes the </w:t>
      </w:r>
      <w:r w:rsidR="0081676B">
        <w:t>review</w:t>
      </w:r>
      <w:r w:rsidR="002C1BD4">
        <w:t xml:space="preserve"> of </w:t>
      </w:r>
      <w:r w:rsidR="00524843">
        <w:t>3</w:t>
      </w:r>
      <w:r w:rsidR="001C45AA">
        <w:t>3</w:t>
      </w:r>
      <w:r w:rsidR="0081676B">
        <w:t xml:space="preserve"> Projects that </w:t>
      </w:r>
      <w:r w:rsidR="00EB38B0">
        <w:t>had</w:t>
      </w:r>
      <w:r w:rsidR="009959AE">
        <w:t xml:space="preserve"> Regeneration Checks after the guidelines had been updated </w:t>
      </w:r>
      <w:r w:rsidR="001C45AA">
        <w:t>to include</w:t>
      </w:r>
      <w:r w:rsidR="00705C52">
        <w:t xml:space="preserve"> the</w:t>
      </w:r>
      <w:r w:rsidR="009959AE">
        <w:t xml:space="preserve"> new s</w:t>
      </w:r>
      <w:r w:rsidR="009066AB">
        <w:t>215 audit processes.</w:t>
      </w:r>
    </w:p>
    <w:p w14:paraId="0BB4D66F" w14:textId="06C10BE8" w:rsidR="00EB53F5" w:rsidRDefault="0073341C" w:rsidP="0073341C">
      <w:pPr>
        <w:pStyle w:val="BodyText"/>
      </w:pPr>
      <w:r>
        <w:t xml:space="preserve">HIR Proponents are </w:t>
      </w:r>
      <w:r w:rsidRPr="23AACF3B">
        <w:rPr>
          <w:i/>
          <w:iCs/>
        </w:rPr>
        <w:t>expected to select techniques that best increase certainty in their situation for assessing pre-existing forest cover, the forest potential and its subsequent regeneration toward forest cover (collectively forest regeneration) and attainment of forest cover</w:t>
      </w:r>
      <w:r w:rsidR="00EC1AC2">
        <w:rPr>
          <w:i/>
          <w:iCs/>
        </w:rPr>
        <w:t xml:space="preserve"> </w:t>
      </w:r>
      <w:r w:rsidR="00E15DEF">
        <w:rPr>
          <w:i/>
          <w:iCs/>
        </w:rPr>
        <w:t xml:space="preserve">(Australian Government </w:t>
      </w:r>
      <w:r w:rsidR="00F67826">
        <w:rPr>
          <w:i/>
          <w:iCs/>
        </w:rPr>
        <w:t>(</w:t>
      </w:r>
      <w:r w:rsidR="00E15DEF">
        <w:rPr>
          <w:i/>
          <w:iCs/>
        </w:rPr>
        <w:t>2019</w:t>
      </w:r>
      <w:r w:rsidR="00F67826">
        <w:rPr>
          <w:i/>
          <w:iCs/>
        </w:rPr>
        <w:t>)</w:t>
      </w:r>
      <w:r w:rsidR="009B1D9F">
        <w:rPr>
          <w:i/>
          <w:iCs/>
        </w:rPr>
        <w:t xml:space="preserve">, </w:t>
      </w:r>
      <w:r w:rsidR="00AA3179">
        <w:rPr>
          <w:i/>
          <w:iCs/>
        </w:rPr>
        <w:t>page 9</w:t>
      </w:r>
      <w:r w:rsidR="00A97E95">
        <w:rPr>
          <w:rStyle w:val="FootnoteReference"/>
          <w:i/>
          <w:iCs/>
        </w:rPr>
        <w:footnoteReference w:id="2"/>
      </w:r>
      <w:r w:rsidR="00E15DEF">
        <w:rPr>
          <w:i/>
          <w:iCs/>
        </w:rPr>
        <w:t>).</w:t>
      </w:r>
      <w:r w:rsidRPr="23AACF3B">
        <w:rPr>
          <w:i/>
          <w:iCs/>
        </w:rPr>
        <w:t xml:space="preserve"> </w:t>
      </w:r>
      <w:r w:rsidR="00F67826">
        <w:t>I</w:t>
      </w:r>
      <w:r w:rsidR="00EA5288">
        <w:t>n most cases, th</w:t>
      </w:r>
      <w:r w:rsidR="00F67826">
        <w:t>ese techniques</w:t>
      </w:r>
      <w:r w:rsidR="00EA5288">
        <w:t xml:space="preserve"> include h</w:t>
      </w:r>
      <w:r w:rsidR="007C5BB7">
        <w:t>igh resolution remotely sensed data (</w:t>
      </w:r>
      <w:r w:rsidR="00E717D4">
        <w:t xml:space="preserve">1 – 10 m resolution) </w:t>
      </w:r>
      <w:r w:rsidR="00651621">
        <w:t xml:space="preserve">and locally acquired </w:t>
      </w:r>
      <w:r w:rsidR="00A043FC">
        <w:t>algorithm training data</w:t>
      </w:r>
      <w:r w:rsidR="00E717D4">
        <w:t xml:space="preserve"> to classify </w:t>
      </w:r>
      <w:r w:rsidR="00D00942">
        <w:t xml:space="preserve">areas </w:t>
      </w:r>
      <w:r w:rsidR="00F25EBD">
        <w:t>as</w:t>
      </w:r>
      <w:r w:rsidR="00D00942">
        <w:t xml:space="preserve"> non-</w:t>
      </w:r>
      <w:r w:rsidR="006408FF">
        <w:t>potential</w:t>
      </w:r>
      <w:r w:rsidR="00D00942">
        <w:t xml:space="preserve">, baseline </w:t>
      </w:r>
      <w:r w:rsidR="006408FF">
        <w:t xml:space="preserve">forest </w:t>
      </w:r>
      <w:r w:rsidR="00F25EBD">
        <w:t>or</w:t>
      </w:r>
      <w:r w:rsidR="00D00942">
        <w:t xml:space="preserve"> </w:t>
      </w:r>
      <w:r w:rsidR="005F3DA9">
        <w:t xml:space="preserve">successfully </w:t>
      </w:r>
      <w:r w:rsidR="00D00942">
        <w:t xml:space="preserve">regenerating </w:t>
      </w:r>
      <w:r w:rsidR="005F3DA9">
        <w:t>Carbon Estimation Areas (</w:t>
      </w:r>
      <w:r w:rsidR="00D00942">
        <w:t>CEAs</w:t>
      </w:r>
      <w:r w:rsidR="005F3DA9">
        <w:t>)</w:t>
      </w:r>
      <w:r w:rsidR="00D00942">
        <w:t xml:space="preserve">. </w:t>
      </w:r>
      <w:r w:rsidR="00413B30">
        <w:t xml:space="preserve">Independent checks by qualified auditors confirm </w:t>
      </w:r>
      <w:r w:rsidR="00B22CD7">
        <w:t>good practice</w:t>
      </w:r>
      <w:r w:rsidR="00413B30">
        <w:t xml:space="preserve"> </w:t>
      </w:r>
      <w:r w:rsidR="00B22CD7">
        <w:t xml:space="preserve">methods were </w:t>
      </w:r>
      <w:proofErr w:type="gramStart"/>
      <w:r w:rsidR="00B22CD7">
        <w:t>used</w:t>
      </w:r>
      <w:proofErr w:type="gramEnd"/>
      <w:r w:rsidR="00EE0DC1">
        <w:t xml:space="preserve"> and the strata boundaries were r</w:t>
      </w:r>
      <w:r w:rsidR="000C148E">
        <w:t xml:space="preserve">eliable. </w:t>
      </w:r>
      <w:r w:rsidR="00DA1AAA">
        <w:t xml:space="preserve">On average, </w:t>
      </w:r>
      <w:r w:rsidR="00B562B2">
        <w:t xml:space="preserve">about </w:t>
      </w:r>
      <w:r w:rsidR="004D225C">
        <w:t>1,9</w:t>
      </w:r>
      <w:r w:rsidR="00B562B2">
        <w:t xml:space="preserve">00 ha </w:t>
      </w:r>
      <w:r w:rsidR="004D225C">
        <w:t xml:space="preserve">or 6.5% </w:t>
      </w:r>
      <w:r w:rsidR="00B562B2">
        <w:t>was removed from the CEA of each project</w:t>
      </w:r>
      <w:r w:rsidR="00EE6668">
        <w:t xml:space="preserve"> reviewed </w:t>
      </w:r>
      <w:proofErr w:type="gramStart"/>
      <w:r w:rsidR="00EE6668">
        <w:t>as a consequence of</w:t>
      </w:r>
      <w:proofErr w:type="gramEnd"/>
      <w:r w:rsidR="00EE6668">
        <w:t xml:space="preserve"> </w:t>
      </w:r>
      <w:r w:rsidR="00345BA1">
        <w:t xml:space="preserve">improved mapping or a </w:t>
      </w:r>
      <w:r w:rsidR="00EE6668">
        <w:t xml:space="preserve">failure to </w:t>
      </w:r>
      <w:r w:rsidR="00345BA1">
        <w:t xml:space="preserve">demonstrate </w:t>
      </w:r>
      <w:r w:rsidR="00EE6668">
        <w:t>meet</w:t>
      </w:r>
      <w:r w:rsidR="00345BA1">
        <w:t>ing</w:t>
      </w:r>
      <w:r w:rsidR="00EE6668">
        <w:t xml:space="preserve"> the minimum </w:t>
      </w:r>
      <w:r w:rsidR="008B3D6A">
        <w:t xml:space="preserve">5-year </w:t>
      </w:r>
      <w:r w:rsidR="006926F5">
        <w:t>threshold</w:t>
      </w:r>
      <w:r w:rsidR="005600C3">
        <w:t>s</w:t>
      </w:r>
      <w:r w:rsidR="006926F5">
        <w:t xml:space="preserve"> of regeneration</w:t>
      </w:r>
      <w:r w:rsidR="005600C3">
        <w:t xml:space="preserve"> success</w:t>
      </w:r>
      <w:r w:rsidR="006926F5">
        <w:t>.</w:t>
      </w:r>
      <w:r w:rsidR="000928F5">
        <w:t xml:space="preserve"> Such removals </w:t>
      </w:r>
      <w:r w:rsidR="00E05594">
        <w:t xml:space="preserve">could be reasonably expected given the heterogenous nature of the original CEA </w:t>
      </w:r>
      <w:r w:rsidR="00351824">
        <w:t>areas.</w:t>
      </w:r>
    </w:p>
    <w:p w14:paraId="0EDD89B9" w14:textId="41D5FE42" w:rsidR="009066AB" w:rsidRDefault="00CC6E1D" w:rsidP="00002FCB">
      <w:pPr>
        <w:pStyle w:val="BodyText"/>
      </w:pPr>
      <w:r>
        <w:t>Analyses of</w:t>
      </w:r>
      <w:r w:rsidR="003B7260">
        <w:t xml:space="preserve"> </w:t>
      </w:r>
      <w:r w:rsidR="00866950">
        <w:t xml:space="preserve">data collected from </w:t>
      </w:r>
      <w:r w:rsidR="003B7260">
        <w:t xml:space="preserve">projects reviewed in this report </w:t>
      </w:r>
      <w:r w:rsidR="00EB6342">
        <w:t xml:space="preserve">demonstrate that national-scale models of tree cover </w:t>
      </w:r>
      <w:r w:rsidR="00B22F77">
        <w:t>are</w:t>
      </w:r>
      <w:r w:rsidR="00EB6342">
        <w:t xml:space="preserve"> unreliable </w:t>
      </w:r>
      <w:r w:rsidR="00B22F77">
        <w:t>in</w:t>
      </w:r>
      <w:r w:rsidR="003B7260">
        <w:t xml:space="preserve"> </w:t>
      </w:r>
      <w:r w:rsidR="00AF316A">
        <w:t>substantial areas</w:t>
      </w:r>
      <w:r w:rsidR="00351824">
        <w:t>, especially</w:t>
      </w:r>
      <w:r w:rsidR="00AF316A">
        <w:t xml:space="preserve"> in Western Australia</w:t>
      </w:r>
      <w:r w:rsidR="00284B48">
        <w:t>.</w:t>
      </w:r>
      <w:r w:rsidR="00B22F77">
        <w:t xml:space="preserve"> This lack of reliability is </w:t>
      </w:r>
      <w:r w:rsidR="00721B3D">
        <w:t xml:space="preserve">significant because some recent </w:t>
      </w:r>
      <w:r w:rsidR="00E05050">
        <w:t>jo</w:t>
      </w:r>
      <w:r w:rsidR="00EC0907">
        <w:t xml:space="preserve">urnal </w:t>
      </w:r>
      <w:r w:rsidR="00721B3D">
        <w:t>publications</w:t>
      </w:r>
      <w:r w:rsidR="00EC0907">
        <w:t xml:space="preserve"> and media</w:t>
      </w:r>
      <w:r w:rsidR="00721B3D">
        <w:t xml:space="preserve"> have been relying on national-scale models to </w:t>
      </w:r>
      <w:r w:rsidR="001168D8">
        <w:t>make conclusions about the success of the HIR program.</w:t>
      </w:r>
      <w:r w:rsidR="00284B48">
        <w:t xml:space="preserve"> </w:t>
      </w:r>
      <w:r w:rsidR="004A7F08">
        <w:t xml:space="preserve">National-scale models use spatial resolution data that </w:t>
      </w:r>
      <w:r w:rsidR="00C307FE">
        <w:t>is</w:t>
      </w:r>
      <w:r w:rsidR="004A7F08">
        <w:t xml:space="preserve"> 2 – 20 times poorer than the resolution used by project proponents and </w:t>
      </w:r>
      <w:r w:rsidR="00C307FE">
        <w:t>do</w:t>
      </w:r>
      <w:r w:rsidR="004A7F08">
        <w:t xml:space="preserve"> not have many (or any) local data points for calibration or verification. </w:t>
      </w:r>
      <w:r w:rsidR="00066CB3">
        <w:t>O</w:t>
      </w:r>
      <w:r w:rsidR="008C78F7">
        <w:t xml:space="preserve">ver 200 field measurement observation conducted by </w:t>
      </w:r>
      <w:r w:rsidR="00EC090A">
        <w:t>independent auditors and ecologists under exp</w:t>
      </w:r>
      <w:r w:rsidR="002656D9">
        <w:t>anded s215 audits confirm</w:t>
      </w:r>
      <w:r w:rsidR="0014428B">
        <w:t xml:space="preserve"> that proponent stratification</w:t>
      </w:r>
      <w:r w:rsidR="00331E15">
        <w:t>s</w:t>
      </w:r>
      <w:r w:rsidR="0014428B">
        <w:t xml:space="preserve"> </w:t>
      </w:r>
      <w:r w:rsidR="00690E39">
        <w:t>are significantly more</w:t>
      </w:r>
      <w:r w:rsidR="00E576EB">
        <w:t xml:space="preserve"> accura</w:t>
      </w:r>
      <w:r w:rsidR="007F0E9E">
        <w:t>te than the national-scale model</w:t>
      </w:r>
      <w:r w:rsidR="00331E15">
        <w:t>s</w:t>
      </w:r>
      <w:r w:rsidR="00AA7E24">
        <w:t xml:space="preserve">, </w:t>
      </w:r>
      <w:r w:rsidR="00FD3868">
        <w:t>although some areas were identified for e</w:t>
      </w:r>
      <w:r w:rsidR="0044527B">
        <w:t>xclusion or follow up.</w:t>
      </w:r>
      <w:r w:rsidR="002656D9">
        <w:t xml:space="preserve"> </w:t>
      </w:r>
      <w:r w:rsidR="001A1B2F">
        <w:t xml:space="preserve">Hundreds of georeferenced photographs </w:t>
      </w:r>
      <w:r w:rsidR="00CD3663">
        <w:t xml:space="preserve">and </w:t>
      </w:r>
      <w:r w:rsidR="00CD3663" w:rsidRPr="7E8F61DB">
        <w:rPr>
          <w:i/>
          <w:iCs/>
        </w:rPr>
        <w:t>in situ</w:t>
      </w:r>
      <w:r w:rsidR="00CD3663">
        <w:t xml:space="preserve"> measurements </w:t>
      </w:r>
      <w:r w:rsidR="00C307FE">
        <w:t>have been</w:t>
      </w:r>
      <w:r w:rsidR="00CD3663">
        <w:t xml:space="preserve"> </w:t>
      </w:r>
      <w:r w:rsidR="00352E77">
        <w:t xml:space="preserve">used by </w:t>
      </w:r>
      <w:r w:rsidR="006D6C16">
        <w:t>the Clean Energy Regulator (CER) t</w:t>
      </w:r>
      <w:r w:rsidR="00352E77">
        <w:t xml:space="preserve">o confirm </w:t>
      </w:r>
      <w:r w:rsidR="00C237C9">
        <w:t xml:space="preserve">regeneration thresholds were being met when </w:t>
      </w:r>
      <w:r w:rsidR="00826FD2">
        <w:t>national-scale models</w:t>
      </w:r>
      <w:r w:rsidR="00C237C9">
        <w:t xml:space="preserve"> </w:t>
      </w:r>
      <w:r w:rsidR="002C7228">
        <w:t>otherwise suggest unsuccessful regeneration</w:t>
      </w:r>
      <w:r w:rsidR="00C237C9">
        <w:t>.</w:t>
      </w:r>
    </w:p>
    <w:p w14:paraId="62FFE4C3" w14:textId="587D4DC7" w:rsidR="008026FB" w:rsidRDefault="008026FB" w:rsidP="00002FCB">
      <w:pPr>
        <w:pStyle w:val="BodyText"/>
      </w:pPr>
      <w:r>
        <w:t xml:space="preserve">The independent audit reports and the CER reviews continue to provide strong assurance that projects are being managed </w:t>
      </w:r>
      <w:r w:rsidR="008F52A0">
        <w:t xml:space="preserve">appropriately </w:t>
      </w:r>
      <w:r>
        <w:t>and that appropriate methods have been used by the proponents or their agents in classifying the CEA and identifying changes in regeneration cover</w:t>
      </w:r>
      <w:r w:rsidR="00A179AF">
        <w:t>.</w:t>
      </w:r>
    </w:p>
    <w:p w14:paraId="2735D7B8" w14:textId="3BBAE7A5" w:rsidR="00A179AF" w:rsidRDefault="00A179AF" w:rsidP="00002FCB">
      <w:pPr>
        <w:pStyle w:val="BodyText"/>
      </w:pPr>
      <w:r>
        <w:lastRenderedPageBreak/>
        <w:t xml:space="preserve">An increased focus on </w:t>
      </w:r>
      <w:r w:rsidR="00AE189B">
        <w:t>objectively located</w:t>
      </w:r>
      <w:r w:rsidR="000E679D">
        <w:t>,</w:t>
      </w:r>
      <w:r w:rsidR="00AE189B">
        <w:t xml:space="preserve"> </w:t>
      </w:r>
      <w:r w:rsidR="00A51189">
        <w:t>field-based</w:t>
      </w:r>
      <w:r>
        <w:t xml:space="preserve"> measurements </w:t>
      </w:r>
      <w:r w:rsidR="00AE189B">
        <w:t xml:space="preserve">and georeferenced photographs is required </w:t>
      </w:r>
      <w:r w:rsidR="009966C2">
        <w:t xml:space="preserve">until national-scale models of tree cover become more reliable in the areas </w:t>
      </w:r>
      <w:r w:rsidR="005C1C0C">
        <w:t>of</w:t>
      </w:r>
      <w:r w:rsidR="009966C2">
        <w:t xml:space="preserve"> large HIR projects</w:t>
      </w:r>
      <w:r w:rsidR="005C1C0C">
        <w:t>.</w:t>
      </w:r>
    </w:p>
    <w:p w14:paraId="2E14574F" w14:textId="25CF41C3" w:rsidR="0008093B" w:rsidRDefault="004F5ACE" w:rsidP="001023AA">
      <w:pPr>
        <w:pStyle w:val="Heading1"/>
      </w:pPr>
      <w:r>
        <w:t>Context</w:t>
      </w:r>
    </w:p>
    <w:p w14:paraId="2F48F38B" w14:textId="2B6ED574" w:rsidR="00B34009" w:rsidRDefault="004F5ACE" w:rsidP="001023AA">
      <w:pPr>
        <w:pStyle w:val="BodyText"/>
      </w:pPr>
      <w:r>
        <w:t>Sequestering</w:t>
      </w:r>
      <w:r>
        <w:rPr>
          <w:spacing w:val="-3"/>
        </w:rPr>
        <w:t xml:space="preserve"> </w:t>
      </w:r>
      <w:r>
        <w:t>carbon</w:t>
      </w:r>
      <w:r>
        <w:rPr>
          <w:spacing w:val="-3"/>
        </w:rPr>
        <w:t xml:space="preserve"> </w:t>
      </w:r>
      <w:r>
        <w:t>in</w:t>
      </w:r>
      <w:r>
        <w:rPr>
          <w:spacing w:val="-2"/>
        </w:rPr>
        <w:t xml:space="preserve"> </w:t>
      </w:r>
      <w:r>
        <w:t>trees</w:t>
      </w:r>
      <w:r>
        <w:rPr>
          <w:spacing w:val="-1"/>
        </w:rPr>
        <w:t xml:space="preserve"> </w:t>
      </w:r>
      <w:r>
        <w:t>and</w:t>
      </w:r>
      <w:r>
        <w:rPr>
          <w:spacing w:val="-3"/>
        </w:rPr>
        <w:t xml:space="preserve"> </w:t>
      </w:r>
      <w:r>
        <w:t>forests</w:t>
      </w:r>
      <w:r>
        <w:rPr>
          <w:spacing w:val="-2"/>
        </w:rPr>
        <w:t xml:space="preserve"> </w:t>
      </w:r>
      <w:r>
        <w:t>is</w:t>
      </w:r>
      <w:r>
        <w:rPr>
          <w:spacing w:val="-2"/>
        </w:rPr>
        <w:t xml:space="preserve"> </w:t>
      </w:r>
      <w:r>
        <w:t>a</w:t>
      </w:r>
      <w:r>
        <w:rPr>
          <w:spacing w:val="-5"/>
        </w:rPr>
        <w:t xml:space="preserve"> </w:t>
      </w:r>
      <w:r>
        <w:t>significant</w:t>
      </w:r>
      <w:r>
        <w:rPr>
          <w:spacing w:val="-2"/>
        </w:rPr>
        <w:t xml:space="preserve"> </w:t>
      </w:r>
      <w:r>
        <w:t>tool</w:t>
      </w:r>
      <w:r>
        <w:rPr>
          <w:spacing w:val="-2"/>
        </w:rPr>
        <w:t xml:space="preserve"> </w:t>
      </w:r>
      <w:r>
        <w:t>for</w:t>
      </w:r>
      <w:r>
        <w:rPr>
          <w:spacing w:val="-4"/>
        </w:rPr>
        <w:t xml:space="preserve"> </w:t>
      </w:r>
      <w:r>
        <w:t>keeping</w:t>
      </w:r>
      <w:r>
        <w:rPr>
          <w:spacing w:val="-2"/>
        </w:rPr>
        <w:t xml:space="preserve"> </w:t>
      </w:r>
      <w:r>
        <w:t>atmospheric</w:t>
      </w:r>
      <w:r>
        <w:rPr>
          <w:spacing w:val="-2"/>
        </w:rPr>
        <w:t xml:space="preserve"> </w:t>
      </w:r>
      <w:r>
        <w:t>levels</w:t>
      </w:r>
      <w:r>
        <w:rPr>
          <w:spacing w:val="-4"/>
        </w:rPr>
        <w:t xml:space="preserve"> </w:t>
      </w:r>
      <w:r>
        <w:t>of</w:t>
      </w:r>
      <w:r>
        <w:rPr>
          <w:spacing w:val="-4"/>
        </w:rPr>
        <w:t xml:space="preserve"> </w:t>
      </w:r>
      <w:r>
        <w:t xml:space="preserve">carbon dioxide within the thresholds required to avoid dangerous climate change. </w:t>
      </w:r>
      <w:r w:rsidR="002C7826">
        <w:t>Under the Australian Carbon Credit Unit (ACCU) Scheme (formerly known as the Emissions Reduction Fund), t</w:t>
      </w:r>
      <w:r>
        <w:t xml:space="preserve">he Australian Government </w:t>
      </w:r>
      <w:r w:rsidR="002C7826" w:rsidRPr="002C7826">
        <w:t>offers landholders, communities and businesses the opportunity to run projects in Australia that avoid the release of greenhouse gas emissions or remove and sequester carbon from the atmosphere.</w:t>
      </w:r>
      <w:r w:rsidR="002C7826">
        <w:t xml:space="preserve"> The ACCU Scheme is legislated under the </w:t>
      </w:r>
      <w:r w:rsidR="002C7826" w:rsidRPr="7F7D31E5">
        <w:rPr>
          <w:i/>
          <w:iCs/>
        </w:rPr>
        <w:t>Carbon Credits (Carbon Farming Initiative) Act 2011</w:t>
      </w:r>
      <w:r w:rsidR="002C7826">
        <w:t xml:space="preserve"> and is administered by the Clean Energy Regulator (CER).</w:t>
      </w:r>
    </w:p>
    <w:p w14:paraId="1330FDE3" w14:textId="7C9C8699" w:rsidR="00B34009" w:rsidRDefault="002C7826" w:rsidP="00A65930">
      <w:pPr>
        <w:pStyle w:val="BodyText"/>
      </w:pPr>
      <w:r>
        <w:t xml:space="preserve">One method under the ACCU Scheme is the </w:t>
      </w:r>
      <w:r w:rsidR="004F5ACE">
        <w:t>Human</w:t>
      </w:r>
      <w:r w:rsidR="00EA76C1">
        <w:t>-</w:t>
      </w:r>
      <w:r w:rsidR="004F5ACE">
        <w:t>Induced Regeneration (HIR)</w:t>
      </w:r>
      <w:r>
        <w:t xml:space="preserve"> method</w:t>
      </w:r>
      <w:r w:rsidR="0072125B">
        <w:t>. Th</w:t>
      </w:r>
      <w:r w:rsidR="004E7CB9">
        <w:t>is method</w:t>
      </w:r>
      <w:r>
        <w:t xml:space="preserve"> aims to improve the forest cover on degraded and deforested land. </w:t>
      </w:r>
      <w:r w:rsidR="004F5ACE">
        <w:t>In</w:t>
      </w:r>
      <w:r w:rsidR="004F5ACE">
        <w:rPr>
          <w:spacing w:val="40"/>
        </w:rPr>
        <w:t xml:space="preserve"> </w:t>
      </w:r>
      <w:r w:rsidR="004F5ACE">
        <w:t xml:space="preserve">essence, HIR projects identify land </w:t>
      </w:r>
      <w:r w:rsidR="006135AA">
        <w:t xml:space="preserve">that has no </w:t>
      </w:r>
      <w:r w:rsidR="004F5ACE">
        <w:t>forest cover</w:t>
      </w:r>
      <w:r w:rsidR="006135AA">
        <w:t xml:space="preserve"> </w:t>
      </w:r>
      <w:r w:rsidR="006B4975">
        <w:t xml:space="preserve">prior to project commencement but </w:t>
      </w:r>
      <w:r w:rsidR="00A27090">
        <w:t xml:space="preserve">has potential to </w:t>
      </w:r>
      <w:r w:rsidR="00D75518">
        <w:t xml:space="preserve">be regenerated </w:t>
      </w:r>
      <w:r w:rsidR="00912251">
        <w:t xml:space="preserve">to forest </w:t>
      </w:r>
      <w:r w:rsidR="004F5ACE">
        <w:t xml:space="preserve">through undertaking approved activity or activities. Successful HIR projects are awarded Australian </w:t>
      </w:r>
      <w:r w:rsidR="00EA76C1">
        <w:t>c</w:t>
      </w:r>
      <w:r w:rsidR="004F5ACE">
        <w:t xml:space="preserve">arbon </w:t>
      </w:r>
      <w:r w:rsidR="00EA76C1">
        <w:t>c</w:t>
      </w:r>
      <w:r w:rsidR="004F5ACE">
        <w:t xml:space="preserve">redit </w:t>
      </w:r>
      <w:r w:rsidR="00EA76C1">
        <w:t>u</w:t>
      </w:r>
      <w:r w:rsidR="004F5ACE">
        <w:t xml:space="preserve">nits </w:t>
      </w:r>
      <w:r>
        <w:t>(ACCUs)</w:t>
      </w:r>
      <w:r w:rsidR="005C2577">
        <w:t xml:space="preserve"> </w:t>
      </w:r>
      <w:r>
        <w:t>for each tonne of carbon dioxide equivalent sequestered by regenerating vegetation</w:t>
      </w:r>
      <w:r w:rsidR="004F5ACE">
        <w:t>.</w:t>
      </w:r>
    </w:p>
    <w:p w14:paraId="6D3F28D4" w14:textId="33561AAB" w:rsidR="00C45EA0" w:rsidRDefault="00952FD1" w:rsidP="00CB7B4E">
      <w:pPr>
        <w:pStyle w:val="BodyText"/>
        <w:rPr>
          <w:spacing w:val="-2"/>
        </w:rPr>
      </w:pPr>
      <w:r>
        <w:t>This</w:t>
      </w:r>
      <w:r>
        <w:rPr>
          <w:spacing w:val="-2"/>
        </w:rPr>
        <w:t xml:space="preserve"> </w:t>
      </w:r>
      <w:r>
        <w:t>report</w:t>
      </w:r>
      <w:r>
        <w:rPr>
          <w:spacing w:val="-2"/>
        </w:rPr>
        <w:t xml:space="preserve"> </w:t>
      </w:r>
      <w:r>
        <w:t>is</w:t>
      </w:r>
      <w:r>
        <w:rPr>
          <w:spacing w:val="-5"/>
        </w:rPr>
        <w:t xml:space="preserve"> </w:t>
      </w:r>
      <w:r w:rsidR="00AF3B02">
        <w:rPr>
          <w:spacing w:val="-2"/>
        </w:rPr>
        <w:t xml:space="preserve">a </w:t>
      </w:r>
      <w:r w:rsidR="00172ED2">
        <w:rPr>
          <w:spacing w:val="-2"/>
        </w:rPr>
        <w:t xml:space="preserve">part </w:t>
      </w:r>
      <w:r w:rsidR="00A34020">
        <w:rPr>
          <w:spacing w:val="-2"/>
        </w:rPr>
        <w:t xml:space="preserve">of </w:t>
      </w:r>
      <w:r w:rsidR="002203EB">
        <w:rPr>
          <w:spacing w:val="-2"/>
        </w:rPr>
        <w:t xml:space="preserve">a series of reviews that began in 2023 </w:t>
      </w:r>
      <w:r w:rsidR="00BB329F">
        <w:rPr>
          <w:spacing w:val="-2"/>
        </w:rPr>
        <w:t xml:space="preserve">to </w:t>
      </w:r>
      <w:r>
        <w:t>review</w:t>
      </w:r>
      <w:r>
        <w:rPr>
          <w:spacing w:val="-2"/>
        </w:rPr>
        <w:t xml:space="preserve"> </w:t>
      </w:r>
      <w:r>
        <w:t>the</w:t>
      </w:r>
      <w:r>
        <w:rPr>
          <w:spacing w:val="-4"/>
        </w:rPr>
        <w:t xml:space="preserve"> </w:t>
      </w:r>
      <w:r>
        <w:t>process</w:t>
      </w:r>
      <w:r w:rsidR="00764C54">
        <w:t>es</w:t>
      </w:r>
      <w:r>
        <w:rPr>
          <w:spacing w:val="-4"/>
        </w:rPr>
        <w:t xml:space="preserve"> </w:t>
      </w:r>
      <w:r>
        <w:t>and</w:t>
      </w:r>
      <w:r>
        <w:rPr>
          <w:spacing w:val="-3"/>
        </w:rPr>
        <w:t xml:space="preserve"> </w:t>
      </w:r>
      <w:r>
        <w:t>outcomes</w:t>
      </w:r>
      <w:r>
        <w:rPr>
          <w:spacing w:val="-4"/>
        </w:rPr>
        <w:t xml:space="preserve"> </w:t>
      </w:r>
      <w:r>
        <w:t>of</w:t>
      </w:r>
      <w:r>
        <w:rPr>
          <w:spacing w:val="-5"/>
        </w:rPr>
        <w:t xml:space="preserve"> </w:t>
      </w:r>
      <w:r>
        <w:t xml:space="preserve">HIR Regeneration </w:t>
      </w:r>
      <w:r w:rsidR="00A31851">
        <w:t>Gateway C</w:t>
      </w:r>
      <w:r>
        <w:t>hecks</w:t>
      </w:r>
      <w:r w:rsidR="007911B1">
        <w:t xml:space="preserve">. The </w:t>
      </w:r>
      <w:r w:rsidR="007B2769">
        <w:t>2023</w:t>
      </w:r>
      <w:r w:rsidR="007911B1">
        <w:t xml:space="preserve"> report reviewed </w:t>
      </w:r>
      <w:r w:rsidR="00FE50FD">
        <w:t xml:space="preserve">a representative sample of </w:t>
      </w:r>
      <w:r w:rsidR="004A1B02">
        <w:t xml:space="preserve">25 </w:t>
      </w:r>
      <w:r w:rsidR="00FE50FD">
        <w:t>projects that had completed regeneration checks prior to May 2023</w:t>
      </w:r>
      <w:r w:rsidR="002F5165">
        <w:t>. Th</w:t>
      </w:r>
      <w:r w:rsidR="00C92580">
        <w:t>o</w:t>
      </w:r>
      <w:r w:rsidR="002F5165">
        <w:t xml:space="preserve">se </w:t>
      </w:r>
      <w:r w:rsidR="007911B1">
        <w:t xml:space="preserve">projects had completed regeneration checks </w:t>
      </w:r>
      <w:r w:rsidR="007B2769">
        <w:t>prior to the ne</w:t>
      </w:r>
      <w:r w:rsidR="009F7E24">
        <w:t>w</w:t>
      </w:r>
      <w:r w:rsidR="007B2769">
        <w:t xml:space="preserve"> s215 audit program</w:t>
      </w:r>
      <w:r w:rsidR="00DB047B">
        <w:t xml:space="preserve"> </w:t>
      </w:r>
      <w:r w:rsidR="007911B1">
        <w:t xml:space="preserve">and had been accepted by the CER as meeting </w:t>
      </w:r>
      <w:r w:rsidR="000B2FC8">
        <w:t xml:space="preserve">the </w:t>
      </w:r>
      <w:r w:rsidR="007911B1">
        <w:t xml:space="preserve">requirements of the HIR method. The projects </w:t>
      </w:r>
      <w:proofErr w:type="gramStart"/>
      <w:r w:rsidR="007911B1">
        <w:t>were located in</w:t>
      </w:r>
      <w:proofErr w:type="gramEnd"/>
      <w:r w:rsidR="007911B1">
        <w:t xml:space="preserve"> south-western Queensland, western New South Wales and parts of South Australia</w:t>
      </w:r>
      <w:r w:rsidR="002530A9">
        <w:rPr>
          <w:spacing w:val="-2"/>
        </w:rPr>
        <w:t xml:space="preserve">. </w:t>
      </w:r>
      <w:r w:rsidR="00C45EA0">
        <w:rPr>
          <w:spacing w:val="-2"/>
        </w:rPr>
        <w:t>The findings from the 2023 report included:</w:t>
      </w:r>
    </w:p>
    <w:p w14:paraId="5D82D92E" w14:textId="1DAF6840" w:rsidR="009F7E24" w:rsidRPr="00C45EA0" w:rsidRDefault="000B2FC8" w:rsidP="00C45EA0">
      <w:pPr>
        <w:pStyle w:val="BodyText"/>
        <w:ind w:left="720"/>
        <w:rPr>
          <w:i/>
          <w:iCs/>
          <w:spacing w:val="-2"/>
        </w:rPr>
      </w:pPr>
      <w:r w:rsidRPr="00C45EA0">
        <w:rPr>
          <w:i/>
          <w:iCs/>
          <w:spacing w:val="-2"/>
        </w:rPr>
        <w:t>The independent audit reports and the CER reviews provide strong assurance that projects are being managed as per the legislative requirements and that appropriate methods have been used by the proponents or their agents in classifying the CEA and identifying changes in regeneration canopy cover…</w:t>
      </w:r>
    </w:p>
    <w:p w14:paraId="687DB3A2" w14:textId="0B8B07A4" w:rsidR="00952FD1" w:rsidRDefault="00661FEA" w:rsidP="00CB7B4E">
      <w:pPr>
        <w:pStyle w:val="BodyText"/>
      </w:pPr>
      <w:r>
        <w:rPr>
          <w:spacing w:val="-2"/>
        </w:rPr>
        <w:t>Th</w:t>
      </w:r>
      <w:r w:rsidR="006C4DB6">
        <w:rPr>
          <w:spacing w:val="-2"/>
        </w:rPr>
        <w:t xml:space="preserve">is </w:t>
      </w:r>
      <w:r w:rsidR="00727DC6">
        <w:rPr>
          <w:spacing w:val="-2"/>
        </w:rPr>
        <w:t xml:space="preserve">2024 </w:t>
      </w:r>
      <w:r w:rsidR="006C4DB6">
        <w:rPr>
          <w:spacing w:val="-2"/>
        </w:rPr>
        <w:t xml:space="preserve">report </w:t>
      </w:r>
      <w:r w:rsidR="00031A91">
        <w:t>reviews</w:t>
      </w:r>
      <w:r w:rsidR="006C4DB6">
        <w:t xml:space="preserve"> </w:t>
      </w:r>
      <w:r w:rsidR="00781731">
        <w:t xml:space="preserve">an additional </w:t>
      </w:r>
      <w:r w:rsidR="006C4DB6">
        <w:t>3</w:t>
      </w:r>
      <w:r w:rsidR="00727DC6">
        <w:t>3</w:t>
      </w:r>
      <w:r w:rsidR="006C4DB6">
        <w:t xml:space="preserve"> projects </w:t>
      </w:r>
      <w:r w:rsidR="00383435">
        <w:t>that have completed</w:t>
      </w:r>
      <w:r w:rsidR="009F01BD">
        <w:t xml:space="preserve"> </w:t>
      </w:r>
      <w:r w:rsidR="00131F72">
        <w:t xml:space="preserve">CER </w:t>
      </w:r>
      <w:r w:rsidR="0059267A">
        <w:t>process</w:t>
      </w:r>
      <w:r w:rsidR="00AE5162">
        <w:t>es</w:t>
      </w:r>
      <w:r w:rsidR="00781731">
        <w:t xml:space="preserve">, including </w:t>
      </w:r>
      <w:r w:rsidR="009F01BD">
        <w:t>the new s215 audit</w:t>
      </w:r>
      <w:r w:rsidR="0059267A">
        <w:t>s</w:t>
      </w:r>
      <w:r w:rsidR="00952FD1">
        <w:t>.</w:t>
      </w:r>
    </w:p>
    <w:p w14:paraId="6951EBF8" w14:textId="1552322E" w:rsidR="0008093B" w:rsidRDefault="001A4DD2" w:rsidP="00F31F21">
      <w:pPr>
        <w:pStyle w:val="Heading1"/>
      </w:pPr>
      <w:r>
        <w:t xml:space="preserve">2024 </w:t>
      </w:r>
      <w:r w:rsidR="00AB0328">
        <w:t>Review</w:t>
      </w:r>
      <w:r w:rsidR="00AB0328">
        <w:rPr>
          <w:spacing w:val="-9"/>
        </w:rPr>
        <w:t xml:space="preserve"> </w:t>
      </w:r>
      <w:r>
        <w:rPr>
          <w:spacing w:val="-9"/>
        </w:rPr>
        <w:t xml:space="preserve">data and </w:t>
      </w:r>
      <w:r>
        <w:t>method</w:t>
      </w:r>
    </w:p>
    <w:p w14:paraId="7E67D6D6" w14:textId="6C0C02F7" w:rsidR="00C726E1" w:rsidRDefault="00EF080C" w:rsidP="007C0C05">
      <w:pPr>
        <w:pStyle w:val="BodyText"/>
      </w:pPr>
      <w:proofErr w:type="gramStart"/>
      <w:r>
        <w:t>Similar to</w:t>
      </w:r>
      <w:proofErr w:type="gramEnd"/>
      <w:r>
        <w:t xml:space="preserve"> the </w:t>
      </w:r>
      <w:r w:rsidR="008D1AE3">
        <w:t>2023</w:t>
      </w:r>
      <w:r w:rsidR="00BD745B">
        <w:t xml:space="preserve"> </w:t>
      </w:r>
      <w:r w:rsidR="00932543">
        <w:t>review</w:t>
      </w:r>
      <w:r w:rsidR="00BD745B">
        <w:t xml:space="preserve">, CER provided details </w:t>
      </w:r>
      <w:r w:rsidR="00C871DB">
        <w:t xml:space="preserve">they had used to evaluate projects </w:t>
      </w:r>
      <w:r w:rsidR="00214FFD">
        <w:t>completing</w:t>
      </w:r>
      <w:r w:rsidR="00C871DB">
        <w:t xml:space="preserve"> their 5-year regeneration </w:t>
      </w:r>
      <w:r w:rsidR="0017555E">
        <w:t>check</w:t>
      </w:r>
      <w:r w:rsidR="001A317C">
        <w:t xml:space="preserve"> (</w:t>
      </w:r>
      <w:r w:rsidR="006B32EE">
        <w:fldChar w:fldCharType="begin"/>
      </w:r>
      <w:r w:rsidR="006B32EE">
        <w:instrText xml:space="preserve"> REF _Ref180759253 \h </w:instrText>
      </w:r>
      <w:r w:rsidR="006B32EE">
        <w:fldChar w:fldCharType="separate"/>
      </w:r>
      <w:r w:rsidR="00127CAB">
        <w:t xml:space="preserve">Table </w:t>
      </w:r>
      <w:r w:rsidR="00127CAB">
        <w:rPr>
          <w:noProof/>
        </w:rPr>
        <w:t>1</w:t>
      </w:r>
      <w:r w:rsidR="006B32EE">
        <w:fldChar w:fldCharType="end"/>
      </w:r>
      <w:r w:rsidR="001A317C">
        <w:t>).</w:t>
      </w:r>
      <w:r w:rsidR="0017555E">
        <w:t xml:space="preserve"> </w:t>
      </w:r>
    </w:p>
    <w:p w14:paraId="130FCA5E" w14:textId="1EC30D2D" w:rsidR="00C1670A" w:rsidRDefault="00C1670A" w:rsidP="007C0C05">
      <w:pPr>
        <w:pStyle w:val="BodyText"/>
      </w:pPr>
      <w:r>
        <w:t>A total of 3</w:t>
      </w:r>
      <w:r w:rsidR="006579C0">
        <w:t>3</w:t>
      </w:r>
      <w:r>
        <w:t xml:space="preserve"> projects were reviewed in 2024</w:t>
      </w:r>
      <w:r w:rsidR="000C3925">
        <w:t xml:space="preserve"> (including </w:t>
      </w:r>
      <w:r w:rsidR="00CD09D1">
        <w:t>18</w:t>
      </w:r>
      <w:r w:rsidR="000C3925">
        <w:t xml:space="preserve"> reported </w:t>
      </w:r>
      <w:r w:rsidR="00237688">
        <w:t>previously in</w:t>
      </w:r>
      <w:r w:rsidR="00BA01F4">
        <w:t xml:space="preserve"> mid-</w:t>
      </w:r>
      <w:r w:rsidR="00237688">
        <w:t>2024</w:t>
      </w:r>
      <w:r w:rsidR="000C3925">
        <w:t>):</w:t>
      </w:r>
    </w:p>
    <w:p w14:paraId="01C3E526" w14:textId="15B62A33" w:rsidR="000C3925" w:rsidRDefault="009B71B6" w:rsidP="000E5AB8">
      <w:pPr>
        <w:pStyle w:val="ListParagraph"/>
        <w:numPr>
          <w:ilvl w:val="0"/>
          <w:numId w:val="11"/>
        </w:numPr>
      </w:pPr>
      <w:r>
        <w:t xml:space="preserve">Queensland: </w:t>
      </w:r>
      <w:r w:rsidR="00431635">
        <w:t>14 projects</w:t>
      </w:r>
      <w:r w:rsidR="006579C0">
        <w:t xml:space="preserve">, mean CEA of 17,000 ha </w:t>
      </w:r>
    </w:p>
    <w:p w14:paraId="78571776" w14:textId="2057A015" w:rsidR="009B71B6" w:rsidRDefault="009B71B6" w:rsidP="000E5AB8">
      <w:pPr>
        <w:pStyle w:val="ListParagraph"/>
        <w:numPr>
          <w:ilvl w:val="0"/>
          <w:numId w:val="11"/>
        </w:numPr>
      </w:pPr>
      <w:r>
        <w:t xml:space="preserve">New South Wales: </w:t>
      </w:r>
      <w:r w:rsidR="00AC5C07">
        <w:t>5</w:t>
      </w:r>
      <w:r w:rsidR="006579C0">
        <w:t xml:space="preserve"> projects, mean CEA of </w:t>
      </w:r>
      <w:r w:rsidR="00237688">
        <w:t>8</w:t>
      </w:r>
      <w:r w:rsidR="006579C0">
        <w:t>,000 ha</w:t>
      </w:r>
    </w:p>
    <w:p w14:paraId="611D4196" w14:textId="0ABABFBB" w:rsidR="009B71B6" w:rsidRDefault="009B71B6" w:rsidP="000E5AB8">
      <w:pPr>
        <w:pStyle w:val="ListParagraph"/>
        <w:numPr>
          <w:ilvl w:val="0"/>
          <w:numId w:val="11"/>
        </w:numPr>
      </w:pPr>
      <w:r>
        <w:t xml:space="preserve">Western Australia: </w:t>
      </w:r>
      <w:r w:rsidR="006579C0">
        <w:t xml:space="preserve">14 projects, mean CEA of </w:t>
      </w:r>
      <w:r w:rsidR="00237688">
        <w:t>41</w:t>
      </w:r>
      <w:r w:rsidR="006579C0">
        <w:t>,000 ha</w:t>
      </w:r>
    </w:p>
    <w:p w14:paraId="50E6D593" w14:textId="58BF4C80" w:rsidR="00BA01F4" w:rsidRDefault="0075510A" w:rsidP="0075510A">
      <w:r>
        <w:br w:type="page"/>
      </w:r>
    </w:p>
    <w:p w14:paraId="2C95E3A6" w14:textId="28F8FD5E" w:rsidR="004D42EF" w:rsidRDefault="004D42EF" w:rsidP="004D42EF">
      <w:pPr>
        <w:pStyle w:val="Caption"/>
      </w:pPr>
      <w:bookmarkStart w:id="0" w:name="_Ref180759253"/>
      <w:r>
        <w:lastRenderedPageBreak/>
        <w:t xml:space="preserve">Table </w:t>
      </w:r>
      <w:r>
        <w:fldChar w:fldCharType="begin"/>
      </w:r>
      <w:r>
        <w:instrText>SEQ Table \* ARABIC</w:instrText>
      </w:r>
      <w:r>
        <w:fldChar w:fldCharType="separate"/>
      </w:r>
      <w:r w:rsidR="00127CAB">
        <w:rPr>
          <w:noProof/>
        </w:rPr>
        <w:t>1</w:t>
      </w:r>
      <w:r>
        <w:fldChar w:fldCharType="end"/>
      </w:r>
      <w:bookmarkEnd w:id="0"/>
      <w:r>
        <w:t xml:space="preserve">: List of data / dataset (and sources) provided </w:t>
      </w:r>
      <w:r w:rsidR="00B33BC1">
        <w:t>for</w:t>
      </w:r>
      <w:r>
        <w:t xml:space="preserve"> Brack 2023, 2024 review</w:t>
      </w:r>
    </w:p>
    <w:tbl>
      <w:tblPr>
        <w:tblStyle w:val="TableGrid"/>
        <w:tblW w:w="9209" w:type="dxa"/>
        <w:tblLook w:val="04A0" w:firstRow="1" w:lastRow="0" w:firstColumn="1" w:lastColumn="0" w:noHBand="0" w:noVBand="1"/>
      </w:tblPr>
      <w:tblGrid>
        <w:gridCol w:w="9209"/>
      </w:tblGrid>
      <w:tr w:rsidR="004D42EF" w:rsidRPr="001E0DCB" w14:paraId="15EEC329" w14:textId="77777777" w:rsidTr="406C52DA">
        <w:tc>
          <w:tcPr>
            <w:tcW w:w="9209" w:type="dxa"/>
          </w:tcPr>
          <w:p w14:paraId="0D4B10C7" w14:textId="77777777" w:rsidR="004D42EF" w:rsidRPr="001E0DCB" w:rsidRDefault="004D42EF" w:rsidP="00CB7B4E">
            <w:pPr>
              <w:rPr>
                <w:b/>
                <w:bCs/>
              </w:rPr>
            </w:pPr>
            <w:r w:rsidRPr="001E0DCB">
              <w:rPr>
                <w:b/>
                <w:bCs/>
              </w:rPr>
              <w:t xml:space="preserve">Data, documents (and sources) </w:t>
            </w:r>
            <w:r>
              <w:rPr>
                <w:b/>
                <w:bCs/>
              </w:rPr>
              <w:t xml:space="preserve">for each project </w:t>
            </w:r>
            <w:r w:rsidRPr="001E0DCB">
              <w:rPr>
                <w:b/>
                <w:bCs/>
              </w:rPr>
              <w:t>examined or processed in Brack 2023, 2024 reviews of HIR</w:t>
            </w:r>
            <w:r>
              <w:rPr>
                <w:b/>
                <w:bCs/>
              </w:rPr>
              <w:t xml:space="preserve"> </w:t>
            </w:r>
          </w:p>
        </w:tc>
      </w:tr>
      <w:tr w:rsidR="004D42EF" w14:paraId="03A4B8AE" w14:textId="77777777" w:rsidTr="406C52DA">
        <w:tc>
          <w:tcPr>
            <w:tcW w:w="9209" w:type="dxa"/>
          </w:tcPr>
          <w:p w14:paraId="03C1C1BB" w14:textId="77777777" w:rsidR="004D42EF" w:rsidRDefault="004D42EF" w:rsidP="00CB7B4E">
            <w:pPr>
              <w:spacing w:after="160" w:line="278" w:lineRule="auto"/>
            </w:pPr>
            <w:r>
              <w:t>Reasonable Assurance Audits of CEA establishment and meeting requirements (independent, registered auditors)</w:t>
            </w:r>
          </w:p>
        </w:tc>
      </w:tr>
      <w:tr w:rsidR="004D42EF" w14:paraId="2A753F3B" w14:textId="77777777" w:rsidTr="406C52DA">
        <w:tc>
          <w:tcPr>
            <w:tcW w:w="9209" w:type="dxa"/>
          </w:tcPr>
          <w:p w14:paraId="614DA222" w14:textId="77777777" w:rsidR="004D42EF" w:rsidRDefault="004D42EF" w:rsidP="00CB7B4E">
            <w:r>
              <w:t>Documents including invoices, sales dockets and other material to demonstrate project</w:t>
            </w:r>
          </w:p>
          <w:p w14:paraId="7A51D1A8" w14:textId="77777777" w:rsidR="004D42EF" w:rsidRDefault="004D42EF" w:rsidP="00CB7B4E">
            <w:r>
              <w:t xml:space="preserve">proponents met their requirements to fence; trap or otherwise remove feral </w:t>
            </w:r>
            <w:proofErr w:type="gramStart"/>
            <w:r>
              <w:t>animals;</w:t>
            </w:r>
            <w:proofErr w:type="gramEnd"/>
          </w:p>
          <w:p w14:paraId="2FE51C08" w14:textId="77777777" w:rsidR="004D42EF" w:rsidRDefault="004D42EF" w:rsidP="00CB7B4E">
            <w:r>
              <w:t>reduce/manage grazing/browsing to demonstrably safe level; etc. (Proponents, Agents)</w:t>
            </w:r>
          </w:p>
        </w:tc>
      </w:tr>
      <w:tr w:rsidR="004D42EF" w14:paraId="54B86BAD" w14:textId="77777777" w:rsidTr="406C52DA">
        <w:tc>
          <w:tcPr>
            <w:tcW w:w="9209" w:type="dxa"/>
          </w:tcPr>
          <w:p w14:paraId="6F078D87" w14:textId="77777777" w:rsidR="004D42EF" w:rsidRDefault="004D42EF" w:rsidP="00CB7B4E">
            <w:r>
              <w:t xml:space="preserve">Maps of stratification into baseline/pre-existing forest; non-project; and carbon estimation areas including details of satellite resolution (usually 1.5 – 10 m), supervised/unsupervised techniques, training sites and </w:t>
            </w:r>
            <w:r w:rsidRPr="00BE29EC">
              <w:rPr>
                <w:i/>
              </w:rPr>
              <w:t>in situ</w:t>
            </w:r>
            <w:r>
              <w:t xml:space="preserve"> data collection (Proponent, Agents)</w:t>
            </w:r>
          </w:p>
        </w:tc>
      </w:tr>
      <w:tr w:rsidR="004D42EF" w14:paraId="51E41C3B" w14:textId="77777777" w:rsidTr="406C52DA">
        <w:tc>
          <w:tcPr>
            <w:tcW w:w="9209" w:type="dxa"/>
          </w:tcPr>
          <w:p w14:paraId="42079EB8" w14:textId="77777777" w:rsidR="004D42EF" w:rsidRDefault="004D42EF" w:rsidP="00CB7B4E">
            <w:r>
              <w:t>Confusion / error matrix of stratification accuracy, with evidence that accuracy exceeds 85% (Proponent, Agents, Independent Auditors)</w:t>
            </w:r>
          </w:p>
        </w:tc>
      </w:tr>
      <w:tr w:rsidR="004D42EF" w14:paraId="1C974AA5" w14:textId="77777777" w:rsidTr="406C52DA">
        <w:tc>
          <w:tcPr>
            <w:tcW w:w="9209" w:type="dxa"/>
          </w:tcPr>
          <w:p w14:paraId="371BD52E" w14:textId="77777777" w:rsidR="004D42EF" w:rsidRDefault="004D42EF" w:rsidP="00CB7B4E">
            <w:r>
              <w:t>Maps of CEA strata with canopy cover estimates generated by good practice methods in 100 ha cells for comparison with minimum threshold values (Proponent, Agent)</w:t>
            </w:r>
          </w:p>
        </w:tc>
      </w:tr>
      <w:tr w:rsidR="004D42EF" w14:paraId="7916FCFC" w14:textId="77777777" w:rsidTr="406C52DA">
        <w:tc>
          <w:tcPr>
            <w:tcW w:w="9209" w:type="dxa"/>
          </w:tcPr>
          <w:p w14:paraId="73176811" w14:textId="4EC8C8FE" w:rsidR="004D42EF" w:rsidRDefault="004D42EF" w:rsidP="00CB7B4E">
            <w:r>
              <w:t>Georeferenced photographs</w:t>
            </w:r>
            <w:r w:rsidR="009242AE">
              <w:t>, measurements and descriptions</w:t>
            </w:r>
            <w:r>
              <w:t xml:space="preserve"> of Permanent Observation Points </w:t>
            </w:r>
            <w:r w:rsidR="00044C2A">
              <w:t xml:space="preserve">(POPs) or Temporary Observation Points (TOPs) </w:t>
            </w:r>
            <w:r>
              <w:t>a</w:t>
            </w:r>
            <w:r w:rsidR="002769EA">
              <w:t>s volunteered</w:t>
            </w:r>
            <w:r>
              <w:t xml:space="preserve"> (Proponent, Agent)</w:t>
            </w:r>
          </w:p>
        </w:tc>
      </w:tr>
      <w:tr w:rsidR="004D42EF" w14:paraId="3CBB1B3B" w14:textId="77777777" w:rsidTr="406C52DA">
        <w:tc>
          <w:tcPr>
            <w:tcW w:w="9209" w:type="dxa"/>
          </w:tcPr>
          <w:p w14:paraId="01F45346" w14:textId="218B636B" w:rsidR="004D42EF" w:rsidRDefault="004D42EF" w:rsidP="00CB7B4E">
            <w:r>
              <w:t>Maps of NFSW</w:t>
            </w:r>
            <w:r w:rsidR="004378AF">
              <w:rPr>
                <w:rStyle w:val="FootnoteReference"/>
              </w:rPr>
              <w:footnoteReference w:id="3"/>
            </w:r>
            <w:r>
              <w:t xml:space="preserve"> canopy cover estimates in 100 ha cells for comparison with minimum threshold values (TERN, via CER)</w:t>
            </w:r>
          </w:p>
        </w:tc>
      </w:tr>
      <w:tr w:rsidR="004D42EF" w14:paraId="2213BD9B" w14:textId="77777777" w:rsidTr="406C52DA">
        <w:tc>
          <w:tcPr>
            <w:tcW w:w="9209" w:type="dxa"/>
          </w:tcPr>
          <w:p w14:paraId="71106EA9" w14:textId="0B2AB65A" w:rsidR="004D42EF" w:rsidRDefault="004D42EF" w:rsidP="00CB7B4E">
            <w:r>
              <w:t>Maps of Persistent Green</w:t>
            </w:r>
            <w:r w:rsidR="00731155">
              <w:rPr>
                <w:rStyle w:val="FootnoteReference"/>
              </w:rPr>
              <w:footnoteReference w:id="4"/>
            </w:r>
            <w:r w:rsidR="00731155">
              <w:t xml:space="preserve"> (PG),</w:t>
            </w:r>
            <w:r>
              <w:t xml:space="preserve"> (Auscover) estimates in 100 ha cells for comparison with minimum threshold values (TERN, via CER)</w:t>
            </w:r>
          </w:p>
        </w:tc>
      </w:tr>
      <w:tr w:rsidR="004D42EF" w14:paraId="2AD70300" w14:textId="77777777" w:rsidTr="406C52DA">
        <w:tc>
          <w:tcPr>
            <w:tcW w:w="9209" w:type="dxa"/>
          </w:tcPr>
          <w:p w14:paraId="6A5DAD30" w14:textId="50904642" w:rsidR="004D42EF" w:rsidRDefault="004D42EF" w:rsidP="00CB7B4E">
            <w:r>
              <w:t xml:space="preserve">Mega Forest Cover Tool </w:t>
            </w:r>
            <w:r w:rsidR="008A434B">
              <w:t xml:space="preserve">– a </w:t>
            </w:r>
            <w:proofErr w:type="gramStart"/>
            <w:r w:rsidR="008A434B">
              <w:t>purpose built</w:t>
            </w:r>
            <w:proofErr w:type="gramEnd"/>
            <w:r w:rsidR="008A434B">
              <w:t xml:space="preserve"> analytical spreadsheet tool</w:t>
            </w:r>
            <w:r w:rsidR="00864627">
              <w:t xml:space="preserve"> tracking change in vegetation</w:t>
            </w:r>
            <w:r w:rsidR="00A978E6">
              <w:t xml:space="preserve"> c</w:t>
            </w:r>
            <w:r w:rsidR="00864627">
              <w:t xml:space="preserve">over within CEAs and project area </w:t>
            </w:r>
            <w:r w:rsidR="00AE1FAA">
              <w:t>using multiple data sources including each version of the m</w:t>
            </w:r>
            <w:r w:rsidR="00E12EE1">
              <w:t>aps that inf</w:t>
            </w:r>
            <w:r w:rsidR="00A978E6">
              <w:t>o</w:t>
            </w:r>
            <w:r w:rsidR="00E12EE1">
              <w:t>rm the National inventory from 2015 to present</w:t>
            </w:r>
            <w:r>
              <w:t xml:space="preserve"> (CER)</w:t>
            </w:r>
          </w:p>
        </w:tc>
      </w:tr>
      <w:tr w:rsidR="004D42EF" w14:paraId="25CA4E1D" w14:textId="77777777" w:rsidTr="406C52DA">
        <w:tc>
          <w:tcPr>
            <w:tcW w:w="9209" w:type="dxa"/>
          </w:tcPr>
          <w:p w14:paraId="159AE228" w14:textId="77777777" w:rsidR="004D42EF" w:rsidRDefault="004D42EF" w:rsidP="00CB7B4E">
            <w:r>
              <w:t>Discussion of any substantive differences between NFSW, Persistent Green and Proponent values at 100 ha scale, and requests for further evidence as required (CER)</w:t>
            </w:r>
          </w:p>
        </w:tc>
      </w:tr>
      <w:tr w:rsidR="004D42EF" w14:paraId="6FC80046" w14:textId="77777777" w:rsidTr="406C52DA">
        <w:tc>
          <w:tcPr>
            <w:tcW w:w="9209" w:type="dxa"/>
          </w:tcPr>
          <w:p w14:paraId="5D238021" w14:textId="77777777" w:rsidR="004D42EF" w:rsidRDefault="004D42EF" w:rsidP="00CB7B4E">
            <w:r>
              <w:t>Historic / archive remote sensing images for cells where there is concern that thresholds not being met (Wayback imagery via CER)</w:t>
            </w:r>
          </w:p>
        </w:tc>
      </w:tr>
      <w:tr w:rsidR="004D42EF" w14:paraId="24BCB5EA" w14:textId="77777777" w:rsidTr="406C52DA">
        <w:tc>
          <w:tcPr>
            <w:tcW w:w="9209" w:type="dxa"/>
          </w:tcPr>
          <w:p w14:paraId="66BF6F2B" w14:textId="77777777" w:rsidR="004D42EF" w:rsidRDefault="004D42EF" w:rsidP="00CB7B4E">
            <w:r>
              <w:t>Georeferenced photographs and/or in-situ measurements of canopy cover / number of trees capable of achieving 2+ m height for cells identified by CER as points of interest (Proponent, Agent)</w:t>
            </w:r>
          </w:p>
        </w:tc>
      </w:tr>
      <w:tr w:rsidR="004D42EF" w14:paraId="1B2B79C7" w14:textId="77777777" w:rsidTr="406C52DA">
        <w:tc>
          <w:tcPr>
            <w:tcW w:w="9209" w:type="dxa"/>
          </w:tcPr>
          <w:p w14:paraId="769B9C69" w14:textId="7556AF2D" w:rsidR="004D42EF" w:rsidRDefault="004D42EF" w:rsidP="00CB7B4E">
            <w:r>
              <w:t>20 – 30 points / project (600 points overall) systematically examined using remotely sensed imagery [2023], 100 points of interest [2024]. Estimates of current/historic weather; soil condition; fire; social/management; environmental condition and Woody Cover Fraction</w:t>
            </w:r>
            <w:r w:rsidR="00A14981">
              <w:rPr>
                <w:rStyle w:val="FootnoteReference"/>
              </w:rPr>
              <w:footnoteReference w:id="5"/>
            </w:r>
            <w:r w:rsidR="00A14981">
              <w:t xml:space="preserve"> </w:t>
            </w:r>
            <w:r>
              <w:t>(WCF) (Australian Environment Explorer, data via TERN)</w:t>
            </w:r>
          </w:p>
        </w:tc>
      </w:tr>
      <w:tr w:rsidR="004D42EF" w14:paraId="21E19240" w14:textId="77777777" w:rsidTr="406C52DA">
        <w:tc>
          <w:tcPr>
            <w:tcW w:w="9209" w:type="dxa"/>
          </w:tcPr>
          <w:p w14:paraId="6DEB9511" w14:textId="77777777" w:rsidR="004D42EF" w:rsidRDefault="004D42EF" w:rsidP="00CB7B4E">
            <w:r>
              <w:t>Estimates of woody vegetation cover, vegetation height and biomass over project and surrounding areas (</w:t>
            </w:r>
            <w:r w:rsidRPr="00941419">
              <w:rPr>
                <w:i/>
                <w:iCs/>
              </w:rPr>
              <w:t>TreeChange</w:t>
            </w:r>
            <w:r>
              <w:t>, ANU Water and Landscape Dynamics)</w:t>
            </w:r>
          </w:p>
        </w:tc>
      </w:tr>
      <w:tr w:rsidR="004D42EF" w14:paraId="505FCE0B" w14:textId="77777777" w:rsidTr="406C52DA">
        <w:tc>
          <w:tcPr>
            <w:tcW w:w="9209" w:type="dxa"/>
          </w:tcPr>
          <w:p w14:paraId="65B4607D" w14:textId="77777777" w:rsidR="004D42EF" w:rsidRDefault="004D42EF" w:rsidP="00CB7B4E">
            <w:r>
              <w:t>Offsets reports, with details of modelling and any changes in stratification (Proponent, Agent)</w:t>
            </w:r>
          </w:p>
        </w:tc>
      </w:tr>
      <w:tr w:rsidR="004D42EF" w14:paraId="2A4482F0" w14:textId="77777777" w:rsidTr="406C52DA">
        <w:tc>
          <w:tcPr>
            <w:tcW w:w="9209" w:type="dxa"/>
          </w:tcPr>
          <w:p w14:paraId="200C93BC" w14:textId="25E5A156" w:rsidR="004D42EF" w:rsidRDefault="004D42EF" w:rsidP="00CB7B4E">
            <w:r>
              <w:t>s215 audit data including georeferenced photographs, in situ measurements of tree canopy, regeneration and comments on likelihood of achieving forests status at Points of Interest (identified by CER) and Temporary or Permanent Sample Points (Independent, registered auditors, including ecologists) [2024]</w:t>
            </w:r>
          </w:p>
        </w:tc>
      </w:tr>
    </w:tbl>
    <w:p w14:paraId="34F0F141" w14:textId="77777777" w:rsidR="00B33BC1" w:rsidRDefault="00B33BC1" w:rsidP="004D42EF"/>
    <w:p w14:paraId="01B63772" w14:textId="731CDA55" w:rsidR="003840CA" w:rsidRDefault="00C635EA" w:rsidP="004D42EF">
      <w:r>
        <w:lastRenderedPageBreak/>
        <w:t>Permanent Observation Points (POPs) or Temporary Observation Points (TOPs)</w:t>
      </w:r>
      <w:r w:rsidR="009D6883">
        <w:t xml:space="preserve"> were provided for most projects (e.g., </w:t>
      </w:r>
      <w:r>
        <w:fldChar w:fldCharType="begin"/>
      </w:r>
      <w:r>
        <w:instrText xml:space="preserve"> REF _Ref169818011 \h </w:instrText>
      </w:r>
      <w:r>
        <w:fldChar w:fldCharType="separate"/>
      </w:r>
      <w:r w:rsidR="00127CAB">
        <w:t xml:space="preserve">Figure </w:t>
      </w:r>
      <w:r w:rsidR="00127CAB">
        <w:rPr>
          <w:noProof/>
        </w:rPr>
        <w:t>1</w:t>
      </w:r>
      <w:r>
        <w:fldChar w:fldCharType="end"/>
      </w:r>
      <w:r w:rsidR="009D6883">
        <w:t xml:space="preserve">). </w:t>
      </w:r>
      <w:r w:rsidR="004A2BA0">
        <w:t xml:space="preserve">There are no “HIR standardized” requirements for these </w:t>
      </w:r>
      <w:r w:rsidR="00DB1F8D">
        <w:t xml:space="preserve">observations points and the various teams </w:t>
      </w:r>
      <w:r w:rsidR="006C56FB">
        <w:t xml:space="preserve">use different measurement techniques and approaches. </w:t>
      </w:r>
      <w:r w:rsidR="00483FEF">
        <w:t xml:space="preserve">Most points collect quantitative data (tree canopy, species and </w:t>
      </w:r>
      <w:r w:rsidR="00F42C56">
        <w:t xml:space="preserve">height) along one or more transects </w:t>
      </w:r>
      <w:r w:rsidR="00AA27BC">
        <w:t>at</w:t>
      </w:r>
      <w:r w:rsidR="00F42C56">
        <w:t xml:space="preserve"> each point. </w:t>
      </w:r>
      <w:r w:rsidR="004519C3">
        <w:t>The total transect area at each point is at least 0.10 ha</w:t>
      </w:r>
      <w:r w:rsidR="00D87B06">
        <w:t xml:space="preserve"> although this can be made up from 1 – 3 transects established as a cluster. </w:t>
      </w:r>
      <w:r w:rsidR="00BF2566">
        <w:t xml:space="preserve">Georeferenced photographs </w:t>
      </w:r>
      <w:r w:rsidR="007C3E3C">
        <w:t xml:space="preserve">are taken from cardinal directions or other systematic approaches. </w:t>
      </w:r>
      <w:r w:rsidR="006E1C09">
        <w:t>Most o</w:t>
      </w:r>
      <w:r w:rsidR="00FA7615">
        <w:t xml:space="preserve">bservation points are </w:t>
      </w:r>
      <w:r w:rsidR="005629A3">
        <w:t>selected</w:t>
      </w:r>
      <w:r w:rsidR="00FA7615">
        <w:t xml:space="preserve"> </w:t>
      </w:r>
      <w:r w:rsidR="000505C8">
        <w:t>using a</w:t>
      </w:r>
      <w:r w:rsidR="00FA7615">
        <w:t xml:space="preserve"> “restricted sampling</w:t>
      </w:r>
      <w:r w:rsidR="000505C8">
        <w:t>”</w:t>
      </w:r>
      <w:r w:rsidR="004519C3">
        <w:t xml:space="preserve"> </w:t>
      </w:r>
      <w:r w:rsidR="000505C8">
        <w:t xml:space="preserve">approach that avoids </w:t>
      </w:r>
      <w:r w:rsidR="005629A3">
        <w:t xml:space="preserve">impractical travel time but still covers the </w:t>
      </w:r>
      <w:r w:rsidR="008B17A2">
        <w:t>heterogeneity of the CEA.</w:t>
      </w:r>
      <w:r w:rsidR="006E1C09">
        <w:t xml:space="preserve"> </w:t>
      </w:r>
      <w:r w:rsidR="00FF048C">
        <w:t>Agents use a variety of measurement tools, including LiDAR and Unmanned Aerial Vehicles</w:t>
      </w:r>
      <w:r w:rsidR="00765B47">
        <w:t xml:space="preserve"> (UAVs).</w:t>
      </w:r>
    </w:p>
    <w:p w14:paraId="0286790F" w14:textId="77777777" w:rsidR="003840CA" w:rsidRDefault="003840CA" w:rsidP="003840CA">
      <w:pPr>
        <w:pStyle w:val="BodyText"/>
      </w:pPr>
    </w:p>
    <w:tbl>
      <w:tblPr>
        <w:tblStyle w:val="TableGrid"/>
        <w:tblW w:w="0" w:type="auto"/>
        <w:tblInd w:w="220" w:type="dxa"/>
        <w:tblLook w:val="04A0" w:firstRow="1" w:lastRow="0" w:firstColumn="1" w:lastColumn="0" w:noHBand="0" w:noVBand="1"/>
      </w:tblPr>
      <w:tblGrid>
        <w:gridCol w:w="4453"/>
        <w:gridCol w:w="1707"/>
        <w:gridCol w:w="3080"/>
      </w:tblGrid>
      <w:tr w:rsidR="003840CA" w14:paraId="73279FBE" w14:textId="77777777" w:rsidTr="00CB7B4E">
        <w:tc>
          <w:tcPr>
            <w:tcW w:w="4453" w:type="dxa"/>
          </w:tcPr>
          <w:p w14:paraId="7BDEE693" w14:textId="77777777" w:rsidR="003840CA" w:rsidRDefault="003840CA" w:rsidP="00CB7B4E">
            <w:pPr>
              <w:pStyle w:val="BodyText"/>
              <w:ind w:left="0"/>
            </w:pPr>
            <w:r>
              <w:t>Descriptive data</w:t>
            </w:r>
          </w:p>
        </w:tc>
        <w:tc>
          <w:tcPr>
            <w:tcW w:w="1707" w:type="dxa"/>
          </w:tcPr>
          <w:p w14:paraId="3140831A" w14:textId="77777777" w:rsidR="003840CA" w:rsidRDefault="003840CA" w:rsidP="00CB7B4E">
            <w:pPr>
              <w:pStyle w:val="BodyText"/>
              <w:ind w:left="0"/>
            </w:pPr>
            <w:r>
              <w:t>Canopy and stocking</w:t>
            </w:r>
          </w:p>
        </w:tc>
        <w:tc>
          <w:tcPr>
            <w:tcW w:w="3080" w:type="dxa"/>
          </w:tcPr>
          <w:p w14:paraId="12F24401" w14:textId="77777777" w:rsidR="003840CA" w:rsidRDefault="003840CA" w:rsidP="00CB7B4E">
            <w:pPr>
              <w:pStyle w:val="BodyText"/>
              <w:ind w:left="0"/>
            </w:pPr>
            <w:r>
              <w:t>Photographs</w:t>
            </w:r>
          </w:p>
        </w:tc>
      </w:tr>
      <w:tr w:rsidR="003840CA" w14:paraId="08FF7D13" w14:textId="77777777" w:rsidTr="00CB7B4E">
        <w:tc>
          <w:tcPr>
            <w:tcW w:w="4453" w:type="dxa"/>
          </w:tcPr>
          <w:p w14:paraId="522843DE" w14:textId="77777777" w:rsidR="003840CA" w:rsidRDefault="003840CA" w:rsidP="00CB7B4E">
            <w:pPr>
              <w:rPr>
                <w:rFonts w:eastAsia="Times New Roman"/>
                <w:color w:val="000000"/>
              </w:rPr>
            </w:pPr>
            <w:r>
              <w:rPr>
                <w:color w:val="000000"/>
              </w:rPr>
              <w:t xml:space="preserve">Plot Description: Overstory of broad leaf mulga 3-5m, fine leaf mulga 3-5m, kurara 2-2.5m, wild lemon 3m, flat leaf bowgada 2.5m, hop mulga 4-4.5m. Scattered regen broadleaf mulga 0.6-1.6m, flat leaf bowgada 0.7-1.4m, kurara 0.4-2m, needle bush 0.8m, fine leaf mulga 1m. Majority of regen captured in site under 1m in height and under existing mature canopy. Understory of Wilcox shrub, cotton bush, cottony blue bush, blue bush, warty leaf eremophila, </w:t>
            </w:r>
            <w:proofErr w:type="gramStart"/>
            <w:r>
              <w:rPr>
                <w:color w:val="000000"/>
              </w:rPr>
              <w:t>cork screw</w:t>
            </w:r>
            <w:proofErr w:type="gramEnd"/>
            <w:r>
              <w:rPr>
                <w:color w:val="000000"/>
              </w:rPr>
              <w:t xml:space="preserve">, tall sida, occasional wooly butt grass. Located on a sandy surfaced hard pan. </w:t>
            </w:r>
          </w:p>
          <w:p w14:paraId="6DC081A0" w14:textId="77777777" w:rsidR="003840CA" w:rsidRDefault="003840CA" w:rsidP="00CB7B4E">
            <w:pPr>
              <w:pStyle w:val="BodyText"/>
              <w:ind w:left="0"/>
            </w:pPr>
            <w:r>
              <w:t xml:space="preserve">Regeneration Comments: </w:t>
            </w:r>
          </w:p>
          <w:p w14:paraId="0D39B922" w14:textId="77777777" w:rsidR="003840CA" w:rsidRPr="00920179" w:rsidRDefault="003840CA" w:rsidP="00CB7B4E">
            <w:pPr>
              <w:rPr>
                <w:rFonts w:eastAsia="Times New Roman"/>
                <w:color w:val="000000"/>
              </w:rPr>
            </w:pPr>
            <w:r>
              <w:rPr>
                <w:color w:val="000000"/>
              </w:rPr>
              <w:t xml:space="preserve">Scattered regen broadleaf mulga 0.6-1.6m, flat leaf bowgada 0.7-1.4m, kurara 0.4-2m, needle bush 0.8m. </w:t>
            </w:r>
          </w:p>
        </w:tc>
        <w:tc>
          <w:tcPr>
            <w:tcW w:w="1707" w:type="dxa"/>
          </w:tcPr>
          <w:p w14:paraId="7A80174D" w14:textId="77777777" w:rsidR="003840CA" w:rsidRDefault="003840CA" w:rsidP="00CB7B4E">
            <w:pPr>
              <w:pStyle w:val="BodyText"/>
              <w:ind w:left="0"/>
            </w:pPr>
            <w:r>
              <w:t>Canopy cover of woody vegetation over 2 m: 17%</w:t>
            </w:r>
          </w:p>
          <w:p w14:paraId="1F0AEFE4" w14:textId="77777777" w:rsidR="003840CA" w:rsidRDefault="003840CA" w:rsidP="00CB7B4E">
            <w:pPr>
              <w:pStyle w:val="BodyText"/>
              <w:ind w:left="0"/>
            </w:pPr>
            <w:r>
              <w:t>Regeneration stocking/ha: 489</w:t>
            </w:r>
          </w:p>
        </w:tc>
        <w:tc>
          <w:tcPr>
            <w:tcW w:w="3080" w:type="dxa"/>
          </w:tcPr>
          <w:p w14:paraId="01A1CEAE" w14:textId="77777777" w:rsidR="003840CA" w:rsidRDefault="003840CA" w:rsidP="00CB7B4E">
            <w:pPr>
              <w:pStyle w:val="BodyText"/>
              <w:ind w:left="0"/>
            </w:pPr>
            <w:r>
              <w:t>8 photographs taken in directions: N, NE, E, SE, S, SW, W, NW</w:t>
            </w:r>
          </w:p>
          <w:p w14:paraId="37829C50" w14:textId="77777777" w:rsidR="003840CA" w:rsidRDefault="003840CA" w:rsidP="00CB7B4E">
            <w:pPr>
              <w:pStyle w:val="BodyText"/>
              <w:ind w:left="0"/>
            </w:pPr>
            <w:r>
              <w:t>E.G.,</w:t>
            </w:r>
          </w:p>
          <w:p w14:paraId="28B37E42" w14:textId="77777777" w:rsidR="003840CA" w:rsidRDefault="003840CA" w:rsidP="00CB7B4E">
            <w:pPr>
              <w:pStyle w:val="BodyText"/>
              <w:ind w:left="0"/>
            </w:pPr>
            <w:r>
              <w:rPr>
                <w:noProof/>
              </w:rPr>
              <w:drawing>
                <wp:inline distT="0" distB="0" distL="0" distR="0" wp14:anchorId="33F21ED0" wp14:editId="6A94E46E">
                  <wp:extent cx="1568450" cy="1176420"/>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2713" cy="1187118"/>
                          </a:xfrm>
                          <a:prstGeom prst="rect">
                            <a:avLst/>
                          </a:prstGeom>
                          <a:noFill/>
                          <a:ln>
                            <a:noFill/>
                          </a:ln>
                        </pic:spPr>
                      </pic:pic>
                    </a:graphicData>
                  </a:graphic>
                </wp:inline>
              </w:drawing>
            </w:r>
          </w:p>
        </w:tc>
      </w:tr>
    </w:tbl>
    <w:p w14:paraId="4C6E063D" w14:textId="57AC10ED" w:rsidR="003840CA" w:rsidRDefault="003840CA" w:rsidP="003840CA">
      <w:pPr>
        <w:pStyle w:val="Caption"/>
      </w:pPr>
      <w:bookmarkStart w:id="1" w:name="_Ref169818011"/>
      <w:bookmarkStart w:id="2" w:name="_Ref181899062"/>
      <w:r>
        <w:t xml:space="preserve">Figure </w:t>
      </w:r>
      <w:r>
        <w:fldChar w:fldCharType="begin"/>
      </w:r>
      <w:r>
        <w:instrText>SEQ Figure \* ARABIC</w:instrText>
      </w:r>
      <w:r>
        <w:fldChar w:fldCharType="separate"/>
      </w:r>
      <w:r w:rsidR="00127CAB">
        <w:rPr>
          <w:noProof/>
        </w:rPr>
        <w:t>1</w:t>
      </w:r>
      <w:r>
        <w:fldChar w:fldCharType="end"/>
      </w:r>
      <w:bookmarkEnd w:id="1"/>
      <w:r>
        <w:t>: Example of data collected at one POP in Western Australia</w:t>
      </w:r>
      <w:bookmarkEnd w:id="2"/>
    </w:p>
    <w:p w14:paraId="721E3C6B" w14:textId="51727683" w:rsidR="00535965" w:rsidRDefault="00535965" w:rsidP="00535965">
      <w:pPr>
        <w:pStyle w:val="Heading1"/>
      </w:pPr>
      <w:r>
        <w:t>Results</w:t>
      </w:r>
    </w:p>
    <w:p w14:paraId="00DC9640" w14:textId="495F0985" w:rsidR="00BB06DC" w:rsidRDefault="00727E73" w:rsidP="00727E73">
      <w:pPr>
        <w:pStyle w:val="Heading2"/>
      </w:pPr>
      <w:r>
        <w:t>Management actions</w:t>
      </w:r>
    </w:p>
    <w:p w14:paraId="63E261DD" w14:textId="56E80F6E" w:rsidR="000679DA" w:rsidRDefault="00AE72FF" w:rsidP="000679DA">
      <w:pPr>
        <w:pStyle w:val="BodyText"/>
      </w:pPr>
      <w:r>
        <w:t xml:space="preserve">HIR relevant management actions </w:t>
      </w:r>
      <w:r w:rsidR="00987401">
        <w:t>include</w:t>
      </w:r>
      <w:r w:rsidR="00AD2277">
        <w:t>d</w:t>
      </w:r>
      <w:r w:rsidR="00987401">
        <w:t xml:space="preserve"> </w:t>
      </w:r>
      <w:r w:rsidR="007F3FBC">
        <w:t>reducing</w:t>
      </w:r>
      <w:r w:rsidR="00987401">
        <w:t xml:space="preserve"> stock numbers</w:t>
      </w:r>
      <w:r w:rsidR="003702C4">
        <w:t>, fencing</w:t>
      </w:r>
      <w:r w:rsidR="00D070CB">
        <w:t xml:space="preserve">, </w:t>
      </w:r>
      <w:r w:rsidR="002D53C5">
        <w:t>supplementary feeding</w:t>
      </w:r>
      <w:r w:rsidR="00987401">
        <w:t xml:space="preserve"> and </w:t>
      </w:r>
      <w:r w:rsidR="007F3FBC">
        <w:t xml:space="preserve">using controlled </w:t>
      </w:r>
      <w:r w:rsidR="003702C4">
        <w:t xml:space="preserve">water point management to </w:t>
      </w:r>
      <w:r w:rsidR="00AD2277">
        <w:t xml:space="preserve">effectively </w:t>
      </w:r>
      <w:r w:rsidR="004F5D05">
        <w:t xml:space="preserve">control over-grazing and other </w:t>
      </w:r>
      <w:r w:rsidR="00CE4506">
        <w:t xml:space="preserve">degradations caused by large numbers of (hooved) animals. </w:t>
      </w:r>
      <w:r w:rsidR="00861D56">
        <w:t xml:space="preserve">Evidence of these actions included </w:t>
      </w:r>
      <w:r w:rsidR="000D70C6">
        <w:t>the auditors</w:t>
      </w:r>
      <w:r w:rsidR="00127D75">
        <w:t>’</w:t>
      </w:r>
      <w:r w:rsidR="000D70C6">
        <w:t xml:space="preserve"> reports</w:t>
      </w:r>
      <w:r w:rsidR="00A02C75">
        <w:t xml:space="preserve"> and personal</w:t>
      </w:r>
      <w:r w:rsidR="005C0D12">
        <w:t>ly</w:t>
      </w:r>
      <w:r w:rsidR="000D70C6">
        <w:t xml:space="preserve"> </w:t>
      </w:r>
      <w:r w:rsidR="002002C0">
        <w:t>sighting</w:t>
      </w:r>
      <w:r w:rsidR="000D70C6">
        <w:t xml:space="preserve"> copies of relevant bills of sale</w:t>
      </w:r>
      <w:r w:rsidR="00A711BA">
        <w:t xml:space="preserve">, invoices for fencing materials and </w:t>
      </w:r>
      <w:r w:rsidR="00127D75">
        <w:t xml:space="preserve">water point maintenance. During </w:t>
      </w:r>
      <w:r w:rsidR="005C0D12">
        <w:t>a</w:t>
      </w:r>
      <w:r w:rsidR="00127D75">
        <w:t xml:space="preserve"> field trip, I observed </w:t>
      </w:r>
      <w:r w:rsidR="005A5F1B">
        <w:t xml:space="preserve">damage to tree canopies caused by </w:t>
      </w:r>
      <w:r w:rsidR="00887459">
        <w:t xml:space="preserve">heavy </w:t>
      </w:r>
      <w:r w:rsidR="005A5F1B">
        <w:t>cattle browsing</w:t>
      </w:r>
      <w:r w:rsidR="00887459">
        <w:t xml:space="preserve"> in non-project areas</w:t>
      </w:r>
      <w:r w:rsidR="00FD6335">
        <w:t xml:space="preserve">, including </w:t>
      </w:r>
      <w:r w:rsidR="00046895">
        <w:t xml:space="preserve">canopies over 2 m in height damaged as cattle broke branches </w:t>
      </w:r>
      <w:r w:rsidR="00024BC9">
        <w:t>to gain access to new/young growth</w:t>
      </w:r>
      <w:r w:rsidR="00B846BF">
        <w:t xml:space="preserve"> (</w:t>
      </w:r>
      <w:r>
        <w:fldChar w:fldCharType="begin"/>
      </w:r>
      <w:r>
        <w:instrText xml:space="preserve"> REF _Ref169624456 \h </w:instrText>
      </w:r>
      <w:r>
        <w:fldChar w:fldCharType="separate"/>
      </w:r>
      <w:r w:rsidR="00127CAB">
        <w:t xml:space="preserve">Figure </w:t>
      </w:r>
      <w:r w:rsidR="00127CAB">
        <w:rPr>
          <w:noProof/>
        </w:rPr>
        <w:t>2</w:t>
      </w:r>
      <w:r>
        <w:fldChar w:fldCharType="end"/>
      </w:r>
      <w:r w:rsidR="00B846BF">
        <w:t>)</w:t>
      </w:r>
      <w:r w:rsidR="00024BC9">
        <w:t xml:space="preserve">. </w:t>
      </w:r>
      <w:r w:rsidR="00B91266">
        <w:t>I also observed areas where over-stocking had impacted the soil chemistry and structure</w:t>
      </w:r>
      <w:r w:rsidR="00833600">
        <w:t xml:space="preserve"> – adding too much urine/nitrogen and compacting the surface into relatively </w:t>
      </w:r>
      <w:r w:rsidR="00F74E89">
        <w:t>impermeable</w:t>
      </w:r>
      <w:r w:rsidR="00833600">
        <w:t xml:space="preserve"> </w:t>
      </w:r>
      <w:r w:rsidR="00F74E89">
        <w:t xml:space="preserve">layers. </w:t>
      </w:r>
      <w:r w:rsidR="00C77F18">
        <w:t xml:space="preserve">Independent auditors </w:t>
      </w:r>
      <w:r w:rsidR="00756C9B">
        <w:t>also regularly reported on the impact on soil of historical stocking levels</w:t>
      </w:r>
      <w:r w:rsidR="00CA3DF5">
        <w:t xml:space="preserve"> (</w:t>
      </w:r>
      <w:r>
        <w:fldChar w:fldCharType="begin"/>
      </w:r>
      <w:r>
        <w:instrText xml:space="preserve"> REF _Ref182061825 \h </w:instrText>
      </w:r>
      <w:r>
        <w:fldChar w:fldCharType="separate"/>
      </w:r>
      <w:r w:rsidR="00127CAB">
        <w:t xml:space="preserve">Table </w:t>
      </w:r>
      <w:r w:rsidR="00127CAB">
        <w:rPr>
          <w:noProof/>
        </w:rPr>
        <w:t>4</w:t>
      </w:r>
      <w:r>
        <w:fldChar w:fldCharType="end"/>
      </w:r>
      <w:r w:rsidR="00CA3DF5">
        <w:t>).</w:t>
      </w:r>
      <w:r w:rsidR="00756C9B">
        <w:t xml:space="preserve"> </w:t>
      </w:r>
      <w:r w:rsidR="005E448B">
        <w:t xml:space="preserve">A significant reduction in stocking numbers </w:t>
      </w:r>
      <w:r w:rsidR="0048677E">
        <w:t xml:space="preserve">reduced the direct damage to canopies as well as </w:t>
      </w:r>
      <w:r w:rsidR="00CD76FC">
        <w:t>allowing for natural restoration of soil chemistry and structure</w:t>
      </w:r>
      <w:r w:rsidR="00BA6951">
        <w:t xml:space="preserve"> necessary for regeneration.</w:t>
      </w:r>
    </w:p>
    <w:p w14:paraId="4C51C0A0" w14:textId="62FAB75E" w:rsidR="006147BA" w:rsidRDefault="00A3306F" w:rsidP="000679DA">
      <w:pPr>
        <w:pStyle w:val="BodyText"/>
      </w:pPr>
      <w:r>
        <w:rPr>
          <w:noProof/>
        </w:rPr>
        <w:lastRenderedPageBreak/>
        <w:drawing>
          <wp:inline distT="0" distB="0" distL="0" distR="0" wp14:anchorId="57AB7EE4" wp14:editId="46165D01">
            <wp:extent cx="6010910" cy="8016875"/>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0910" cy="8016875"/>
                    </a:xfrm>
                    <a:prstGeom prst="rect">
                      <a:avLst/>
                    </a:prstGeom>
                    <a:noFill/>
                  </pic:spPr>
                </pic:pic>
              </a:graphicData>
            </a:graphic>
          </wp:inline>
        </w:drawing>
      </w:r>
    </w:p>
    <w:p w14:paraId="2B8C3BEB" w14:textId="5D417407" w:rsidR="00491C8E" w:rsidRDefault="00491C8E" w:rsidP="00491C8E">
      <w:pPr>
        <w:pStyle w:val="Caption"/>
      </w:pPr>
      <w:bookmarkStart w:id="3" w:name="_Ref169624456"/>
      <w:r>
        <w:t xml:space="preserve">Figure </w:t>
      </w:r>
      <w:r>
        <w:fldChar w:fldCharType="begin"/>
      </w:r>
      <w:r>
        <w:instrText>SEQ Figure \* ARABIC</w:instrText>
      </w:r>
      <w:r>
        <w:fldChar w:fldCharType="separate"/>
      </w:r>
      <w:r w:rsidR="00127CAB">
        <w:rPr>
          <w:noProof/>
        </w:rPr>
        <w:t>2</w:t>
      </w:r>
      <w:r>
        <w:fldChar w:fldCharType="end"/>
      </w:r>
      <w:bookmarkEnd w:id="3"/>
      <w:r>
        <w:t xml:space="preserve">: Example of </w:t>
      </w:r>
      <w:r w:rsidR="006022C5">
        <w:t xml:space="preserve">a non-CEA location where </w:t>
      </w:r>
      <w:r>
        <w:t xml:space="preserve">the leading branch of a tree (originally over 2 m height) </w:t>
      </w:r>
      <w:r w:rsidR="000153FF">
        <w:t xml:space="preserve">has been </w:t>
      </w:r>
      <w:r>
        <w:t>broken by cattle as they seek the tender, younger leaves</w:t>
      </w:r>
      <w:r w:rsidR="00E744F3">
        <w:t xml:space="preserve">. Note </w:t>
      </w:r>
      <w:proofErr w:type="spellStart"/>
      <w:r w:rsidR="00E744F3">
        <w:t>too</w:t>
      </w:r>
      <w:proofErr w:type="spellEnd"/>
      <w:r w:rsidR="00E744F3">
        <w:t xml:space="preserve"> the number of other branches broken </w:t>
      </w:r>
      <w:proofErr w:type="gramStart"/>
      <w:r w:rsidR="00E744F3">
        <w:t>and on the ground,</w:t>
      </w:r>
      <w:proofErr w:type="gramEnd"/>
      <w:r w:rsidR="00E744F3">
        <w:t xml:space="preserve"> and lack of any regeneration.</w:t>
      </w:r>
    </w:p>
    <w:p w14:paraId="5789655F" w14:textId="2A919544" w:rsidR="00BA6951" w:rsidRDefault="610E134E" w:rsidP="000679DA">
      <w:pPr>
        <w:pStyle w:val="BodyText"/>
      </w:pPr>
      <w:r>
        <w:t>Other management actions included feral animal control (</w:t>
      </w:r>
      <w:r w:rsidR="52FE1DD7">
        <w:t xml:space="preserve">pigs, goats, horses and camels), again as evidenced by the auditors’ reports and </w:t>
      </w:r>
      <w:r w:rsidR="7B3B4953">
        <w:t>personal</w:t>
      </w:r>
      <w:r w:rsidR="6BDB17C7">
        <w:t>ly</w:t>
      </w:r>
      <w:r w:rsidR="7B3B4953">
        <w:t xml:space="preserve"> sighting o</w:t>
      </w:r>
      <w:r w:rsidR="67BF5475">
        <w:t>f</w:t>
      </w:r>
      <w:r w:rsidR="7B3B4953">
        <w:t xml:space="preserve"> </w:t>
      </w:r>
      <w:r w:rsidR="47B0383B">
        <w:t>copies of invoices/sales documents.</w:t>
      </w:r>
      <w:r w:rsidR="007863D3">
        <w:t xml:space="preserve"> </w:t>
      </w:r>
      <w:r w:rsidR="007863D3">
        <w:lastRenderedPageBreak/>
        <w:t>Evidence of fire trail construction</w:t>
      </w:r>
      <w:r w:rsidR="00485466">
        <w:t xml:space="preserve"> and maintenance </w:t>
      </w:r>
      <w:r w:rsidR="00142BCD">
        <w:t xml:space="preserve">to help ensure permanence of the carbon stock and mitigate against the </w:t>
      </w:r>
      <w:r w:rsidR="00423045">
        <w:t xml:space="preserve">risk of significant reversal, </w:t>
      </w:r>
      <w:r w:rsidR="00485466">
        <w:t>was also sighted</w:t>
      </w:r>
      <w:r w:rsidR="00423045">
        <w:t>.</w:t>
      </w:r>
      <w:r w:rsidR="47B0383B">
        <w:t xml:space="preserve"> Th</w:t>
      </w:r>
      <w:r w:rsidR="0ED653D0">
        <w:t xml:space="preserve">e controlled water point management also reduced the free availability of water across the </w:t>
      </w:r>
      <w:r w:rsidR="48D6FE30">
        <w:t xml:space="preserve">entire </w:t>
      </w:r>
      <w:r w:rsidR="0ED653D0">
        <w:t>project</w:t>
      </w:r>
      <w:r w:rsidR="48D6FE30">
        <w:t xml:space="preserve"> area</w:t>
      </w:r>
      <w:r w:rsidR="0ED653D0">
        <w:t xml:space="preserve"> which </w:t>
      </w:r>
      <w:r w:rsidR="407D0182">
        <w:t xml:space="preserve">would </w:t>
      </w:r>
      <w:r w:rsidR="0166554C">
        <w:t xml:space="preserve">help control </w:t>
      </w:r>
      <w:r w:rsidR="407D0182">
        <w:t>feral animal</w:t>
      </w:r>
      <w:r w:rsidR="0A160E2C">
        <w:t xml:space="preserve"> numbers inside and outside the CEAs</w:t>
      </w:r>
      <w:r w:rsidR="12490F95">
        <w:t>.</w:t>
      </w:r>
      <w:r w:rsidR="4438332F">
        <w:t xml:space="preserve"> Similarly, improved wildfire </w:t>
      </w:r>
      <w:r w:rsidR="570E1017">
        <w:t xml:space="preserve">control or </w:t>
      </w:r>
      <w:r w:rsidR="4438332F">
        <w:t xml:space="preserve">management would potentially help </w:t>
      </w:r>
      <w:r w:rsidR="0F0E1470">
        <w:t>reduce</w:t>
      </w:r>
      <w:r w:rsidR="00FB694D">
        <w:t xml:space="preserve"> </w:t>
      </w:r>
      <w:r w:rsidR="009321BC">
        <w:t>potential</w:t>
      </w:r>
      <w:r w:rsidR="0F0E1470">
        <w:t xml:space="preserve"> carbon losses over the entire project area.</w:t>
      </w:r>
    </w:p>
    <w:p w14:paraId="39A01615" w14:textId="30647194" w:rsidR="005A7391" w:rsidRDefault="00D32FEE" w:rsidP="00D32FEE">
      <w:pPr>
        <w:pStyle w:val="Heading2"/>
      </w:pPr>
      <w:r>
        <w:t>Stratification</w:t>
      </w:r>
    </w:p>
    <w:p w14:paraId="29F1082C" w14:textId="3C596660" w:rsidR="005A7391" w:rsidRDefault="4819A1B9" w:rsidP="000679DA">
      <w:pPr>
        <w:pStyle w:val="BodyText"/>
      </w:pPr>
      <w:r>
        <w:t>P</w:t>
      </w:r>
      <w:r w:rsidR="2E6EB308">
        <w:t xml:space="preserve">rojects </w:t>
      </w:r>
      <w:r>
        <w:t xml:space="preserve">generally </w:t>
      </w:r>
      <w:r w:rsidR="783FFE6F">
        <w:t>re</w:t>
      </w:r>
      <w:r w:rsidR="4A004276">
        <w:t>-</w:t>
      </w:r>
      <w:r w:rsidR="2E6EB308">
        <w:t>stratif</w:t>
      </w:r>
      <w:r w:rsidR="049620EC">
        <w:t>y</w:t>
      </w:r>
      <w:r w:rsidR="2E6EB308">
        <w:t xml:space="preserve"> their </w:t>
      </w:r>
      <w:r w:rsidR="6C048241">
        <w:t>CEAs</w:t>
      </w:r>
      <w:r w:rsidR="63B8EC8B">
        <w:t xml:space="preserve"> as part of their first regeneration check</w:t>
      </w:r>
      <w:r w:rsidR="049620EC">
        <w:t xml:space="preserve"> </w:t>
      </w:r>
      <w:r w:rsidR="2E6EB308">
        <w:t xml:space="preserve">into </w:t>
      </w:r>
      <w:r w:rsidR="7FEC918E">
        <w:t xml:space="preserve">forest, </w:t>
      </w:r>
      <w:r w:rsidR="2E6EB308">
        <w:t>non-woody</w:t>
      </w:r>
      <w:r w:rsidR="6EEB7116">
        <w:t xml:space="preserve"> and areas </w:t>
      </w:r>
      <w:r w:rsidR="58F94625">
        <w:t xml:space="preserve">that had reached </w:t>
      </w:r>
      <w:r w:rsidR="3077076F">
        <w:t>specific</w:t>
      </w:r>
      <w:r w:rsidR="6C048241">
        <w:t xml:space="preserve"> canopy cover</w:t>
      </w:r>
      <w:r w:rsidR="3077076F">
        <w:t xml:space="preserve"> classes (e.g., </w:t>
      </w:r>
      <w:r w:rsidR="03B43F6E">
        <w:t>the 7.5% minimum threshold</w:t>
      </w:r>
      <w:r w:rsidR="5572DDFC">
        <w:t>)</w:t>
      </w:r>
      <w:r w:rsidR="05DC619B">
        <w:t xml:space="preserve">. All the projects </w:t>
      </w:r>
      <w:r w:rsidR="0BC6EEA1">
        <w:t xml:space="preserve">reviewed </w:t>
      </w:r>
      <w:r w:rsidR="020218E7">
        <w:t xml:space="preserve">in 2024 </w:t>
      </w:r>
      <w:r w:rsidR="05DC619B">
        <w:t>used high resolution</w:t>
      </w:r>
      <w:r w:rsidR="5986475D">
        <w:t xml:space="preserve"> satellite imagery (</w:t>
      </w:r>
      <w:r w:rsidR="1AF9EA67">
        <w:t xml:space="preserve">SPOT with 1 </w:t>
      </w:r>
      <w:r w:rsidR="03833F1E">
        <w:t>/</w:t>
      </w:r>
      <w:r w:rsidR="22154466">
        <w:t xml:space="preserve"> 1.5 </w:t>
      </w:r>
      <w:r w:rsidR="1AF9EA67">
        <w:t xml:space="preserve">m resolution or </w:t>
      </w:r>
      <w:r w:rsidR="6AFAE726">
        <w:t>Sentinel</w:t>
      </w:r>
      <w:r w:rsidR="1AF9EA67">
        <w:t xml:space="preserve"> </w:t>
      </w:r>
      <w:r w:rsidR="6AFAE726">
        <w:t xml:space="preserve">2 with 10 m resolution). </w:t>
      </w:r>
      <w:r w:rsidR="3B708B16">
        <w:t>This satellite resolution is superior to</w:t>
      </w:r>
      <w:r w:rsidR="5EBAEEFF">
        <w:t xml:space="preserve"> the National Forest and Sparse Woody</w:t>
      </w:r>
      <w:r w:rsidR="3B708B16">
        <w:t xml:space="preserve"> </w:t>
      </w:r>
      <w:r w:rsidR="5EBAEEFF">
        <w:t>(</w:t>
      </w:r>
      <w:r w:rsidR="3B708B16">
        <w:t>NFSW</w:t>
      </w:r>
      <w:r w:rsidR="5EBAEEFF">
        <w:t>)</w:t>
      </w:r>
      <w:r w:rsidR="3B708B16">
        <w:t xml:space="preserve"> and other national-scale models for these regions. </w:t>
      </w:r>
      <w:r w:rsidR="419F1DB2">
        <w:t>Good practice techniques</w:t>
      </w:r>
      <w:r w:rsidR="4B92DF0F">
        <w:t xml:space="preserve"> (mainly supervised, but </w:t>
      </w:r>
      <w:r w:rsidR="796DC8A3">
        <w:t>occasionally</w:t>
      </w:r>
      <w:r w:rsidR="4B92DF0F">
        <w:t xml:space="preserve"> unsupervised</w:t>
      </w:r>
      <w:r w:rsidR="5D197F7A">
        <w:t xml:space="preserve"> classification</w:t>
      </w:r>
      <w:r w:rsidR="4B92DF0F">
        <w:t xml:space="preserve">) </w:t>
      </w:r>
      <w:r w:rsidR="67B66C75">
        <w:t xml:space="preserve">were confirmed as being used </w:t>
      </w:r>
      <w:r w:rsidR="5D197F7A">
        <w:t>to group</w:t>
      </w:r>
      <w:r w:rsidR="4D380EAC">
        <w:t xml:space="preserve"> the </w:t>
      </w:r>
      <w:r w:rsidR="6ABCD270">
        <w:t>project area</w:t>
      </w:r>
      <w:r w:rsidR="1C9F8180">
        <w:t>s</w:t>
      </w:r>
      <w:r w:rsidR="4D380EAC">
        <w:t xml:space="preserve"> into </w:t>
      </w:r>
      <w:r w:rsidR="00BC8FF7">
        <w:t xml:space="preserve">relevant </w:t>
      </w:r>
      <w:r w:rsidR="68815A1E">
        <w:t xml:space="preserve">canopy cover </w:t>
      </w:r>
      <w:r w:rsidR="00BC8FF7">
        <w:t xml:space="preserve">classes. </w:t>
      </w:r>
      <w:r w:rsidR="6B70BABE">
        <w:t>Data used in the supervised classification</w:t>
      </w:r>
      <w:r w:rsidR="39EC3628">
        <w:t xml:space="preserve"> or to group the unclassified classes included </w:t>
      </w:r>
      <w:r w:rsidR="247B2358">
        <w:t xml:space="preserve">high resolution remote </w:t>
      </w:r>
      <w:r w:rsidR="1C891F34">
        <w:t>photographs, ground plots</w:t>
      </w:r>
      <w:r w:rsidR="4C69EE00">
        <w:t xml:space="preserve"> </w:t>
      </w:r>
      <w:r w:rsidR="5572DDFC">
        <w:t>(</w:t>
      </w:r>
      <w:r w:rsidR="79C8C90B">
        <w:t xml:space="preserve">including </w:t>
      </w:r>
      <w:r w:rsidR="5572DDFC">
        <w:t xml:space="preserve">TOPs, POPs) </w:t>
      </w:r>
      <w:r w:rsidR="4C69EE00">
        <w:t xml:space="preserve">and tree canopy maps (derived from </w:t>
      </w:r>
      <w:r w:rsidR="1C891F34">
        <w:t xml:space="preserve">LiDAR </w:t>
      </w:r>
      <w:r w:rsidR="64873A96">
        <w:t>or</w:t>
      </w:r>
      <w:r w:rsidR="1C891F34">
        <w:t xml:space="preserve"> </w:t>
      </w:r>
      <w:r w:rsidR="4C69EE00">
        <w:t xml:space="preserve">UAVs). </w:t>
      </w:r>
      <w:r w:rsidR="0D73878D">
        <w:t xml:space="preserve">Classifications </w:t>
      </w:r>
      <w:r w:rsidR="3587A24D">
        <w:t>were only accepted if the accuracy rate was greater than 85%</w:t>
      </w:r>
      <w:r w:rsidR="5ABA0DE7">
        <w:t xml:space="preserve">, but often the accuracy was greater than 90%. </w:t>
      </w:r>
    </w:p>
    <w:p w14:paraId="30BA0224" w14:textId="7A507D3E" w:rsidR="000C2C92" w:rsidRDefault="000C2C92" w:rsidP="000679DA">
      <w:pPr>
        <w:pStyle w:val="BodyText"/>
      </w:pPr>
      <w:r>
        <w:t xml:space="preserve">Independent auditors </w:t>
      </w:r>
      <w:r w:rsidR="00C75036">
        <w:t>confirmed</w:t>
      </w:r>
      <w:r w:rsidR="00B00D32">
        <w:t xml:space="preserve"> the classification methodologies </w:t>
      </w:r>
      <w:r w:rsidR="00071C8F">
        <w:t xml:space="preserve">met good practice standards and </w:t>
      </w:r>
      <w:r w:rsidR="00716C04">
        <w:t xml:space="preserve">that </w:t>
      </w:r>
      <w:r w:rsidR="00071C8F">
        <w:t>boundaries were reliable</w:t>
      </w:r>
      <w:r w:rsidR="00B00D32">
        <w:t>.</w:t>
      </w:r>
    </w:p>
    <w:p w14:paraId="62722F6B" w14:textId="00EF7BB3" w:rsidR="008B6DF6" w:rsidRDefault="00716C04" w:rsidP="000679DA">
      <w:pPr>
        <w:pStyle w:val="BodyText"/>
      </w:pPr>
      <w:r>
        <w:t>R</w:t>
      </w:r>
      <w:r w:rsidR="00373A71">
        <w:t xml:space="preserve">estratification </w:t>
      </w:r>
      <w:r w:rsidR="00672B6F">
        <w:t xml:space="preserve">occasionally </w:t>
      </w:r>
      <w:r w:rsidR="00373A71">
        <w:t xml:space="preserve">found </w:t>
      </w:r>
      <w:r w:rsidR="00EA6C8A">
        <w:t xml:space="preserve">parts of </w:t>
      </w:r>
      <w:r w:rsidR="00CE1E40">
        <w:t>a</w:t>
      </w:r>
      <w:r w:rsidR="00EA6C8A">
        <w:t xml:space="preserve"> CEA</w:t>
      </w:r>
      <w:r w:rsidR="00373A71">
        <w:t xml:space="preserve"> that </w:t>
      </w:r>
      <w:r w:rsidR="00F02BFE">
        <w:t>had not achieved</w:t>
      </w:r>
      <w:r w:rsidR="00373A71">
        <w:t xml:space="preserve"> </w:t>
      </w:r>
      <w:r w:rsidR="001D07B6">
        <w:t xml:space="preserve">the minimum canopy cover </w:t>
      </w:r>
      <w:r w:rsidR="00373A71">
        <w:t xml:space="preserve">originally </w:t>
      </w:r>
      <w:r w:rsidR="00EA6C8A">
        <w:t xml:space="preserve">predicted </w:t>
      </w:r>
      <w:r w:rsidR="00B87984">
        <w:t>as</w:t>
      </w:r>
      <w:r w:rsidR="00EA6C8A">
        <w:t xml:space="preserve"> capable </w:t>
      </w:r>
      <w:r w:rsidR="00B87984">
        <w:t>of</w:t>
      </w:r>
      <w:r w:rsidR="00EA6C8A">
        <w:t xml:space="preserve"> </w:t>
      </w:r>
      <w:r w:rsidR="00C250A8">
        <w:t>being met within 5 years</w:t>
      </w:r>
      <w:r w:rsidR="003C4104">
        <w:t>.</w:t>
      </w:r>
      <w:r w:rsidR="00CC3D04">
        <w:t xml:space="preserve"> For the projects reviewed to date, an average </w:t>
      </w:r>
      <w:r w:rsidR="006D4A5C">
        <w:t>of 1,900</w:t>
      </w:r>
      <w:r w:rsidR="001F73D4">
        <w:t xml:space="preserve"> ha or 6.5%</w:t>
      </w:r>
      <w:r w:rsidR="00577A62">
        <w:t xml:space="preserve"> of original CEA</w:t>
      </w:r>
      <w:r w:rsidR="00F92D58">
        <w:t xml:space="preserve"> areas </w:t>
      </w:r>
      <w:r w:rsidR="00507F2E">
        <w:t xml:space="preserve">(and any previously credited carbon) </w:t>
      </w:r>
      <w:r w:rsidR="00F92D58">
        <w:t xml:space="preserve">were removed </w:t>
      </w:r>
      <w:r w:rsidR="00577A62">
        <w:t xml:space="preserve">due to </w:t>
      </w:r>
      <w:proofErr w:type="spellStart"/>
      <w:r w:rsidR="00577A62">
        <w:t>restratification</w:t>
      </w:r>
      <w:proofErr w:type="spellEnd"/>
      <w:r w:rsidR="00200361">
        <w:t xml:space="preserve"> (</w:t>
      </w:r>
      <w:r>
        <w:fldChar w:fldCharType="begin"/>
      </w:r>
      <w:r>
        <w:instrText xml:space="preserve"> REF _Ref169611050 \h </w:instrText>
      </w:r>
      <w:r>
        <w:fldChar w:fldCharType="separate"/>
      </w:r>
      <w:r w:rsidR="00127CAB">
        <w:t xml:space="preserve">Figure </w:t>
      </w:r>
      <w:r w:rsidR="00127CAB">
        <w:rPr>
          <w:noProof/>
        </w:rPr>
        <w:t>3</w:t>
      </w:r>
      <w:r>
        <w:fldChar w:fldCharType="end"/>
      </w:r>
      <w:r w:rsidR="00200361">
        <w:t>)</w:t>
      </w:r>
      <w:r w:rsidR="00507F2E">
        <w:t>.</w:t>
      </w:r>
      <w:r w:rsidR="00054860">
        <w:t xml:space="preserve"> </w:t>
      </w:r>
      <w:r w:rsidR="00FD1186">
        <w:t>Given the accuracy of the original stratification</w:t>
      </w:r>
      <w:r w:rsidR="0071091B">
        <w:t xml:space="preserve"> into CEA</w:t>
      </w:r>
      <w:r w:rsidR="006C5BD0">
        <w:t xml:space="preserve"> and </w:t>
      </w:r>
      <w:r w:rsidR="0077474B">
        <w:t>the precision of estimating regeneration over 5 – 10 years</w:t>
      </w:r>
      <w:r w:rsidR="0071091B">
        <w:t>, s</w:t>
      </w:r>
      <w:r w:rsidR="00054860">
        <w:t>uch a reduction is not unanticipated</w:t>
      </w:r>
      <w:r w:rsidR="002D4EFC">
        <w:t xml:space="preserve"> and procedures</w:t>
      </w:r>
      <w:r w:rsidR="001B045B">
        <w:t xml:space="preserve"> for changing the CEA areas </w:t>
      </w:r>
      <w:r w:rsidR="0008016B">
        <w:t xml:space="preserve">and reimbursing any credits </w:t>
      </w:r>
      <w:r w:rsidR="001B045B">
        <w:t>are documented.</w:t>
      </w:r>
      <w:r w:rsidR="002F6538">
        <w:t xml:space="preserve"> </w:t>
      </w:r>
      <w:r w:rsidR="00AB17F2">
        <w:t>Some CEA reduc</w:t>
      </w:r>
      <w:r w:rsidR="009F74D1">
        <w:t>tion</w:t>
      </w:r>
      <w:r w:rsidR="00AB17F2">
        <w:t xml:space="preserve"> </w:t>
      </w:r>
      <w:r w:rsidR="001B2D56">
        <w:t>is the result of</w:t>
      </w:r>
      <w:r w:rsidR="00AB17F2">
        <w:t xml:space="preserve"> improved mapping identif</w:t>
      </w:r>
      <w:r w:rsidR="001B2D56">
        <w:t>ying</w:t>
      </w:r>
      <w:r w:rsidR="00AB17F2">
        <w:t xml:space="preserve"> area as </w:t>
      </w:r>
      <w:r w:rsidR="00D9062D">
        <w:t>baseline or pre-existing forest</w:t>
      </w:r>
      <w:r w:rsidR="00FE79EF">
        <w:t xml:space="preserve"> that are not eligible CEAs</w:t>
      </w:r>
      <w:r w:rsidR="00D9062D">
        <w:t>.</w:t>
      </w:r>
    </w:p>
    <w:p w14:paraId="0F32D173" w14:textId="77777777" w:rsidR="00D9062D" w:rsidRDefault="00D9062D" w:rsidP="000679DA">
      <w:pPr>
        <w:pStyle w:val="BodyText"/>
      </w:pPr>
    </w:p>
    <w:tbl>
      <w:tblPr>
        <w:tblStyle w:val="TableGrid"/>
        <w:tblW w:w="0" w:type="auto"/>
        <w:tblInd w:w="220" w:type="dxa"/>
        <w:tblLook w:val="04A0" w:firstRow="1" w:lastRow="0" w:firstColumn="1" w:lastColumn="0" w:noHBand="0" w:noVBand="1"/>
      </w:tblPr>
      <w:tblGrid>
        <w:gridCol w:w="4588"/>
        <w:gridCol w:w="4652"/>
      </w:tblGrid>
      <w:tr w:rsidR="005928AD" w14:paraId="22F74D3E" w14:textId="77777777" w:rsidTr="005928AD">
        <w:tc>
          <w:tcPr>
            <w:tcW w:w="4730" w:type="dxa"/>
          </w:tcPr>
          <w:p w14:paraId="2C25151B" w14:textId="1B478ADC" w:rsidR="005928AD" w:rsidRDefault="008866E5" w:rsidP="000679DA">
            <w:pPr>
              <w:pStyle w:val="BodyText"/>
              <w:ind w:left="0"/>
            </w:pPr>
            <w:r>
              <w:t xml:space="preserve">a) </w:t>
            </w:r>
            <w:r w:rsidR="007D7FF8">
              <w:t>Area (ha) of CEA reduced</w:t>
            </w:r>
          </w:p>
        </w:tc>
        <w:tc>
          <w:tcPr>
            <w:tcW w:w="4730" w:type="dxa"/>
          </w:tcPr>
          <w:p w14:paraId="25A76C6D" w14:textId="6453D748" w:rsidR="005928AD" w:rsidRDefault="008866E5" w:rsidP="000679DA">
            <w:pPr>
              <w:pStyle w:val="BodyText"/>
              <w:ind w:left="0"/>
            </w:pPr>
            <w:r>
              <w:t xml:space="preserve">b) </w:t>
            </w:r>
            <w:r w:rsidR="007D7FF8">
              <w:t>Area (%) of CEA reduced</w:t>
            </w:r>
          </w:p>
        </w:tc>
      </w:tr>
      <w:tr w:rsidR="005928AD" w14:paraId="6D1F9312" w14:textId="77777777" w:rsidTr="005928AD">
        <w:tc>
          <w:tcPr>
            <w:tcW w:w="4730" w:type="dxa"/>
          </w:tcPr>
          <w:p w14:paraId="045B0D7B" w14:textId="12D7B0E2" w:rsidR="005928AD" w:rsidRDefault="00371D3A" w:rsidP="000679DA">
            <w:pPr>
              <w:pStyle w:val="BodyText"/>
              <w:ind w:left="0"/>
            </w:pPr>
            <w:r w:rsidRPr="00371D3A">
              <w:rPr>
                <w:noProof/>
              </w:rPr>
              <w:drawing>
                <wp:inline distT="0" distB="0" distL="0" distR="0" wp14:anchorId="77A990C9" wp14:editId="3F24622F">
                  <wp:extent cx="2682472" cy="161558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82472" cy="1615580"/>
                          </a:xfrm>
                          <a:prstGeom prst="rect">
                            <a:avLst/>
                          </a:prstGeom>
                        </pic:spPr>
                      </pic:pic>
                    </a:graphicData>
                  </a:graphic>
                </wp:inline>
              </w:drawing>
            </w:r>
          </w:p>
        </w:tc>
        <w:tc>
          <w:tcPr>
            <w:tcW w:w="4730" w:type="dxa"/>
          </w:tcPr>
          <w:p w14:paraId="3420E5E0" w14:textId="4AAD47FA" w:rsidR="005928AD" w:rsidRDefault="0045301F" w:rsidP="000679DA">
            <w:pPr>
              <w:pStyle w:val="BodyText"/>
              <w:ind w:left="0"/>
            </w:pPr>
            <w:r w:rsidRPr="0045301F">
              <w:rPr>
                <w:noProof/>
              </w:rPr>
              <w:drawing>
                <wp:inline distT="0" distB="0" distL="0" distR="0" wp14:anchorId="74AF1C42" wp14:editId="7CDBF307">
                  <wp:extent cx="2728196" cy="161558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28196" cy="1615580"/>
                          </a:xfrm>
                          <a:prstGeom prst="rect">
                            <a:avLst/>
                          </a:prstGeom>
                        </pic:spPr>
                      </pic:pic>
                    </a:graphicData>
                  </a:graphic>
                </wp:inline>
              </w:drawing>
            </w:r>
          </w:p>
        </w:tc>
      </w:tr>
    </w:tbl>
    <w:p w14:paraId="457F25E2" w14:textId="79BC9A25" w:rsidR="00B874F2" w:rsidRDefault="00921B36" w:rsidP="1BF84286">
      <w:pPr>
        <w:pStyle w:val="Caption"/>
        <w:rPr>
          <w:i w:val="0"/>
          <w:iCs w:val="0"/>
        </w:rPr>
      </w:pPr>
      <w:bookmarkStart w:id="4" w:name="_Ref169611050"/>
      <w:r>
        <w:t xml:space="preserve">Figure </w:t>
      </w:r>
      <w:r>
        <w:fldChar w:fldCharType="begin"/>
      </w:r>
      <w:r>
        <w:instrText>SEQ Figure \* ARABIC</w:instrText>
      </w:r>
      <w:r>
        <w:fldChar w:fldCharType="separate"/>
      </w:r>
      <w:r w:rsidR="00127CAB">
        <w:rPr>
          <w:noProof/>
        </w:rPr>
        <w:t>3</w:t>
      </w:r>
      <w:r>
        <w:fldChar w:fldCharType="end"/>
      </w:r>
      <w:bookmarkEnd w:id="4"/>
      <w:r>
        <w:t xml:space="preserve">: </w:t>
      </w:r>
      <w:proofErr w:type="gramStart"/>
      <w:r w:rsidR="00333AD7">
        <w:t>Whiskers</w:t>
      </w:r>
      <w:proofErr w:type="gramEnd"/>
      <w:r w:rsidR="00333AD7">
        <w:t xml:space="preserve"> diagram and histogram of the r</w:t>
      </w:r>
      <w:r>
        <w:t>eduction in original CEA area as a result of proponent restratification</w:t>
      </w:r>
      <w:r w:rsidR="00541390">
        <w:t xml:space="preserve"> to exclude non-performing are</w:t>
      </w:r>
      <w:r w:rsidR="00795E9E">
        <w:t>as</w:t>
      </w:r>
      <w:r w:rsidR="009F3AAE">
        <w:t xml:space="preserve">. </w:t>
      </w:r>
      <w:r w:rsidR="009F3AAE" w:rsidRPr="1BF84286">
        <w:rPr>
          <w:i w:val="0"/>
          <w:iCs w:val="0"/>
        </w:rPr>
        <w:t xml:space="preserve">[The box in the </w:t>
      </w:r>
      <w:r w:rsidR="001E2725" w:rsidRPr="1BF84286">
        <w:rPr>
          <w:i w:val="0"/>
          <w:iCs w:val="0"/>
        </w:rPr>
        <w:t xml:space="preserve">center of </w:t>
      </w:r>
      <w:r w:rsidR="009F3AAE" w:rsidRPr="1BF84286">
        <w:rPr>
          <w:i w:val="0"/>
          <w:iCs w:val="0"/>
        </w:rPr>
        <w:t>Whiskers plot contains 50% of the data – from the 2</w:t>
      </w:r>
      <w:r w:rsidR="00BC075B" w:rsidRPr="1BF84286">
        <w:rPr>
          <w:i w:val="0"/>
          <w:iCs w:val="0"/>
        </w:rPr>
        <w:t>5</w:t>
      </w:r>
      <w:r w:rsidR="00BC075B" w:rsidRPr="1BF84286">
        <w:rPr>
          <w:i w:val="0"/>
          <w:iCs w:val="0"/>
          <w:vertAlign w:val="superscript"/>
        </w:rPr>
        <w:t>th</w:t>
      </w:r>
      <w:r w:rsidR="00BC075B" w:rsidRPr="1BF84286">
        <w:rPr>
          <w:i w:val="0"/>
          <w:iCs w:val="0"/>
        </w:rPr>
        <w:t xml:space="preserve"> </w:t>
      </w:r>
      <w:r w:rsidR="009F3AAE" w:rsidRPr="1BF84286">
        <w:rPr>
          <w:i w:val="0"/>
          <w:iCs w:val="0"/>
        </w:rPr>
        <w:t>percentile to the 7</w:t>
      </w:r>
      <w:r w:rsidR="00BC075B" w:rsidRPr="1BF84286">
        <w:rPr>
          <w:i w:val="0"/>
          <w:iCs w:val="0"/>
        </w:rPr>
        <w:t>5</w:t>
      </w:r>
      <w:r w:rsidR="00BC075B" w:rsidRPr="1BF84286">
        <w:rPr>
          <w:i w:val="0"/>
          <w:iCs w:val="0"/>
          <w:vertAlign w:val="superscript"/>
        </w:rPr>
        <w:t>th</w:t>
      </w:r>
      <w:r w:rsidR="00BC075B" w:rsidRPr="1BF84286">
        <w:rPr>
          <w:i w:val="0"/>
          <w:iCs w:val="0"/>
        </w:rPr>
        <w:t xml:space="preserve"> </w:t>
      </w:r>
      <w:r w:rsidR="009F3AAE" w:rsidRPr="1BF84286">
        <w:rPr>
          <w:i w:val="0"/>
          <w:iCs w:val="0"/>
        </w:rPr>
        <w:t>percentile and is divided by a vertical line at the 5</w:t>
      </w:r>
      <w:r w:rsidR="006A5018" w:rsidRPr="1BF84286">
        <w:rPr>
          <w:i w:val="0"/>
          <w:iCs w:val="0"/>
        </w:rPr>
        <w:t>0</w:t>
      </w:r>
      <w:r w:rsidR="006A5018" w:rsidRPr="1BF84286">
        <w:rPr>
          <w:i w:val="0"/>
          <w:iCs w:val="0"/>
          <w:vertAlign w:val="superscript"/>
        </w:rPr>
        <w:t>th</w:t>
      </w:r>
      <w:r w:rsidR="006A5018" w:rsidRPr="1BF84286">
        <w:rPr>
          <w:i w:val="0"/>
          <w:iCs w:val="0"/>
        </w:rPr>
        <w:t xml:space="preserve"> </w:t>
      </w:r>
      <w:r w:rsidR="009F3AAE" w:rsidRPr="1BF84286">
        <w:rPr>
          <w:i w:val="0"/>
          <w:iCs w:val="0"/>
        </w:rPr>
        <w:t>percentile or median value. The diamond is centered on the mean with a width of ± standard error of the mean. The “whiskers” extend to the furthest observation that is not assumed to be an outlier</w:t>
      </w:r>
      <w:r w:rsidR="006A5018" w:rsidRPr="1BF84286">
        <w:rPr>
          <w:i w:val="0"/>
          <w:iCs w:val="0"/>
        </w:rPr>
        <w:t>. The</w:t>
      </w:r>
      <w:r w:rsidR="00F44B65" w:rsidRPr="1BF84286">
        <w:rPr>
          <w:i w:val="0"/>
          <w:iCs w:val="0"/>
        </w:rPr>
        <w:t xml:space="preserve"> ●</w:t>
      </w:r>
      <w:r w:rsidR="006A5018" w:rsidRPr="1BF84286">
        <w:rPr>
          <w:i w:val="0"/>
          <w:iCs w:val="0"/>
        </w:rPr>
        <w:t xml:space="preserve"> </w:t>
      </w:r>
      <w:r w:rsidR="00F44B65" w:rsidRPr="1BF84286">
        <w:rPr>
          <w:i w:val="0"/>
          <w:iCs w:val="0"/>
        </w:rPr>
        <w:t>is a potential outlier</w:t>
      </w:r>
      <w:r w:rsidR="009F3AAE" w:rsidRPr="1BF84286">
        <w:rPr>
          <w:i w:val="0"/>
          <w:iCs w:val="0"/>
        </w:rPr>
        <w:t>]</w:t>
      </w:r>
    </w:p>
    <w:p w14:paraId="67810C85" w14:textId="77777777" w:rsidR="00DD3FF5" w:rsidRPr="00DD3FF5" w:rsidRDefault="00DD3FF5" w:rsidP="00DD3FF5"/>
    <w:p w14:paraId="47F48DF1" w14:textId="2A2D22F3" w:rsidR="00535965" w:rsidRDefault="00F12C76" w:rsidP="00B25388">
      <w:pPr>
        <w:pStyle w:val="Heading2"/>
      </w:pPr>
      <w:r>
        <w:lastRenderedPageBreak/>
        <w:t>Regeneration checks</w:t>
      </w:r>
    </w:p>
    <w:p w14:paraId="159684BE" w14:textId="1E9D4CEC" w:rsidR="00F12C76" w:rsidRDefault="00747DE1" w:rsidP="00B25388">
      <w:pPr>
        <w:pStyle w:val="BodyText"/>
      </w:pPr>
      <w:r>
        <w:t xml:space="preserve">The 5– year regeneration checks require </w:t>
      </w:r>
      <w:r w:rsidR="0042511D">
        <w:t>proponents to demonstrate that the CEAs have increased canopy cover by at least 5%; achieved a canopy cover of at least 7.5%</w:t>
      </w:r>
      <w:r w:rsidR="004257F3">
        <w:t xml:space="preserve">; or have sufficient stems of appropriate species that they will </w:t>
      </w:r>
      <w:r w:rsidR="00331BAF">
        <w:t xml:space="preserve">be at least 2 m in height and achieve a canopy cover of 20%. </w:t>
      </w:r>
    </w:p>
    <w:p w14:paraId="24E14627" w14:textId="57E900A7" w:rsidR="00175186" w:rsidRDefault="00F73D32" w:rsidP="00A57226">
      <w:pPr>
        <w:pStyle w:val="BodyText"/>
      </w:pPr>
      <w:r>
        <w:t xml:space="preserve">As </w:t>
      </w:r>
      <w:r w:rsidR="00BA5E27">
        <w:t>a cross-check</w:t>
      </w:r>
      <w:r w:rsidR="00296264">
        <w:t>, CER compare</w:t>
      </w:r>
      <w:r w:rsidR="00BA5E27">
        <w:t>s</w:t>
      </w:r>
      <w:r w:rsidR="00296264">
        <w:t xml:space="preserve"> proponent </w:t>
      </w:r>
      <w:r w:rsidR="00E2716D">
        <w:t>stratification</w:t>
      </w:r>
      <w:r w:rsidR="00296264">
        <w:t xml:space="preserve"> of </w:t>
      </w:r>
      <w:r w:rsidR="00E2716D">
        <w:t xml:space="preserve">successfully </w:t>
      </w:r>
      <w:r w:rsidR="00296264">
        <w:t>regeneratin</w:t>
      </w:r>
      <w:r w:rsidR="00E2716D">
        <w:t>g CEAs</w:t>
      </w:r>
      <w:r w:rsidR="00296264">
        <w:t xml:space="preserve"> with </w:t>
      </w:r>
      <w:r w:rsidR="005374E9">
        <w:t xml:space="preserve">several </w:t>
      </w:r>
      <w:r w:rsidR="006F776D">
        <w:t xml:space="preserve">national-scale models </w:t>
      </w:r>
      <w:r w:rsidR="005374E9">
        <w:t>and databases</w:t>
      </w:r>
      <w:r w:rsidR="000C5044">
        <w:t xml:space="preserve">. </w:t>
      </w:r>
      <w:r w:rsidR="00DB3761">
        <w:t xml:space="preserve">The </w:t>
      </w:r>
      <w:r w:rsidR="00C2782D">
        <w:t>area</w:t>
      </w:r>
      <w:r w:rsidR="00DB3761">
        <w:t xml:space="preserve"> </w:t>
      </w:r>
      <w:r w:rsidR="00C2782D">
        <w:t xml:space="preserve">in the </w:t>
      </w:r>
      <w:r w:rsidR="00DB3761">
        <w:t xml:space="preserve">(updated) CEA stratification </w:t>
      </w:r>
      <w:proofErr w:type="gramStart"/>
      <w:r w:rsidR="00C2782D">
        <w:t>are</w:t>
      </w:r>
      <w:proofErr w:type="gramEnd"/>
      <w:r w:rsidR="00C2782D">
        <w:t xml:space="preserve"> intersect</w:t>
      </w:r>
      <w:r w:rsidR="00687538">
        <w:t>ed with</w:t>
      </w:r>
      <w:r w:rsidR="00DB3761">
        <w:t xml:space="preserve"> </w:t>
      </w:r>
      <w:r w:rsidR="00377C14">
        <w:t>cover estimates generated by the national-scale model</w:t>
      </w:r>
      <w:r w:rsidR="00F86C29">
        <w:t xml:space="preserve"> </w:t>
      </w:r>
      <w:r w:rsidR="002973FD">
        <w:t>at a 100-ha cell level</w:t>
      </w:r>
      <w:r w:rsidR="00D4322B">
        <w:t xml:space="preserve"> to confirm the cover is at least 7.5%</w:t>
      </w:r>
      <w:r w:rsidR="00377C14">
        <w:t xml:space="preserve">. </w:t>
      </w:r>
      <w:r w:rsidR="000C5044">
        <w:t>H</w:t>
      </w:r>
      <w:r w:rsidR="00345F2E">
        <w:t>owever</w:t>
      </w:r>
      <w:r w:rsidR="00BC6242">
        <w:t xml:space="preserve">, </w:t>
      </w:r>
      <w:r w:rsidR="00584B13">
        <w:t xml:space="preserve">the national-scale models have </w:t>
      </w:r>
      <w:r w:rsidR="00746FE9">
        <w:t xml:space="preserve">different levels of </w:t>
      </w:r>
      <w:r w:rsidR="00BC6242">
        <w:t>precision</w:t>
      </w:r>
      <w:r w:rsidR="00003AD2">
        <w:t>,</w:t>
      </w:r>
      <w:r w:rsidR="00BC6242">
        <w:t xml:space="preserve"> </w:t>
      </w:r>
      <w:r w:rsidR="00003AD2">
        <w:t xml:space="preserve">different </w:t>
      </w:r>
      <w:r w:rsidR="00EF4A59">
        <w:t>relative biases</w:t>
      </w:r>
      <w:r w:rsidR="00003AD2">
        <w:t xml:space="preserve">, and </w:t>
      </w:r>
      <w:r w:rsidR="00D44E67">
        <w:t>in some cases are estimating different things.</w:t>
      </w:r>
      <w:r w:rsidR="00BC6242">
        <w:t xml:space="preserve"> </w:t>
      </w:r>
      <w:r w:rsidR="00A84FD9">
        <w:t xml:space="preserve">Persistent Green, for example, estimates the cover of persistent (non-annual) </w:t>
      </w:r>
      <w:r w:rsidR="007705E3">
        <w:t>vegetation cover</w:t>
      </w:r>
      <w:r w:rsidR="00913405">
        <w:t xml:space="preserve">, </w:t>
      </w:r>
      <w:r w:rsidR="008772C6">
        <w:t>regardless of height,</w:t>
      </w:r>
      <w:r w:rsidR="007705E3">
        <w:t xml:space="preserve"> </w:t>
      </w:r>
      <w:r w:rsidR="0008254B">
        <w:t xml:space="preserve">but Gill et al </w:t>
      </w:r>
      <w:r w:rsidR="004A78CC">
        <w:t>(2017)</w:t>
      </w:r>
      <w:r w:rsidR="00A314B2">
        <w:rPr>
          <w:rStyle w:val="FootnoteReference"/>
        </w:rPr>
        <w:footnoteReference w:id="6"/>
      </w:r>
      <w:r w:rsidR="004A78CC">
        <w:t xml:space="preserve"> </w:t>
      </w:r>
      <w:r w:rsidR="0008254B">
        <w:t xml:space="preserve">warn that it may not be </w:t>
      </w:r>
      <w:r w:rsidR="004A78CC">
        <w:t xml:space="preserve">reliable when cover is </w:t>
      </w:r>
      <w:r w:rsidR="00DB1037">
        <w:t>in the range of 3% - 17%</w:t>
      </w:r>
      <w:r w:rsidR="001B2419">
        <w:t xml:space="preserve">. </w:t>
      </w:r>
      <w:r w:rsidR="004F5434">
        <w:t xml:space="preserve">NFSW on the other hand, </w:t>
      </w:r>
      <w:r w:rsidR="00A44996">
        <w:t>identifies</w:t>
      </w:r>
      <w:r w:rsidR="00EF64BC">
        <w:t xml:space="preserve"> three classes based on </w:t>
      </w:r>
      <w:r w:rsidR="009D6316">
        <w:t xml:space="preserve">the canopy cover of trees greater than 2 m height: </w:t>
      </w:r>
      <w:r w:rsidR="008F30B5">
        <w:t>non-woody (</w:t>
      </w:r>
      <w:r w:rsidR="009B68BE">
        <w:t>l</w:t>
      </w:r>
      <w:r w:rsidR="008F30B5">
        <w:t xml:space="preserve">ess than 5%, nominally 2.5% </w:t>
      </w:r>
      <w:r w:rsidR="0063657B">
        <w:t xml:space="preserve">average </w:t>
      </w:r>
      <w:r w:rsidR="008F30B5">
        <w:t>cover); sparse-woody (5</w:t>
      </w:r>
      <w:r w:rsidR="00FA1A8C">
        <w:t>% - 20%, nominally 12.5%); and woody (greater than 20%, nominally 20%).</w:t>
      </w:r>
      <w:r w:rsidR="00C338D3">
        <w:t xml:space="preserve"> </w:t>
      </w:r>
      <w:r w:rsidR="00952A08">
        <w:t xml:space="preserve">The accuracy rates for correctly </w:t>
      </w:r>
      <w:r w:rsidR="008D1D0D">
        <w:t xml:space="preserve">identifying non-woody and woody </w:t>
      </w:r>
      <w:r w:rsidR="009D7BAF">
        <w:t xml:space="preserve">in </w:t>
      </w:r>
      <w:r w:rsidR="00116AAC">
        <w:t xml:space="preserve">NFSW </w:t>
      </w:r>
      <w:r w:rsidR="008D1D0D">
        <w:t xml:space="preserve">are high (95% or greater), but </w:t>
      </w:r>
      <w:r w:rsidR="00782469">
        <w:t xml:space="preserve">there is much </w:t>
      </w:r>
      <w:r w:rsidR="008E55BB">
        <w:t>poorer</w:t>
      </w:r>
      <w:r w:rsidR="00782469">
        <w:t xml:space="preserve"> accuracy </w:t>
      </w:r>
      <w:r w:rsidR="008E55BB">
        <w:t>reported</w:t>
      </w:r>
      <w:r w:rsidR="008E55BB">
        <w:rPr>
          <w:rStyle w:val="FootnoteReference"/>
        </w:rPr>
        <w:footnoteReference w:id="7"/>
      </w:r>
      <w:r w:rsidR="008E55BB">
        <w:t xml:space="preserve"> for</w:t>
      </w:r>
      <w:r w:rsidR="00782469">
        <w:t xml:space="preserve"> identifying </w:t>
      </w:r>
      <w:proofErr w:type="gramStart"/>
      <w:r w:rsidR="00782469">
        <w:t>sparse-woody</w:t>
      </w:r>
      <w:proofErr w:type="gramEnd"/>
      <w:r w:rsidR="00782469">
        <w:t xml:space="preserve"> (only 66%)</w:t>
      </w:r>
      <w:r w:rsidR="00D1712A">
        <w:t>.</w:t>
      </w:r>
      <w:r w:rsidR="002C38F6">
        <w:t xml:space="preserve"> Notably, most of the CEAs </w:t>
      </w:r>
      <w:r w:rsidR="00E44589">
        <w:t>could be expected to be in the 3% - 17</w:t>
      </w:r>
      <w:r w:rsidR="008B66B5">
        <w:t>% cover o</w:t>
      </w:r>
      <w:r w:rsidR="00776C06">
        <w:t>r</w:t>
      </w:r>
      <w:r w:rsidR="008B66B5">
        <w:t xml:space="preserve"> sparse-woody</w:t>
      </w:r>
      <w:r w:rsidR="002C38F6">
        <w:t xml:space="preserve"> </w:t>
      </w:r>
      <w:r w:rsidR="00052C6B">
        <w:t xml:space="preserve">class </w:t>
      </w:r>
      <w:r w:rsidR="002C38F6">
        <w:t xml:space="preserve">during the 5 – </w:t>
      </w:r>
      <w:proofErr w:type="gramStart"/>
      <w:r w:rsidR="002C38F6">
        <w:t>10 year</w:t>
      </w:r>
      <w:proofErr w:type="gramEnd"/>
      <w:r w:rsidR="002C38F6">
        <w:t xml:space="preserve"> regeneration check</w:t>
      </w:r>
      <w:r w:rsidR="008B66B5">
        <w:t xml:space="preserve"> period.</w:t>
      </w:r>
    </w:p>
    <w:p w14:paraId="0719A172" w14:textId="5A3864D9" w:rsidR="000F6CAA" w:rsidRDefault="00397544" w:rsidP="00A57226">
      <w:pPr>
        <w:pStyle w:val="BodyText"/>
      </w:pPr>
      <w:r>
        <w:t xml:space="preserve">The </w:t>
      </w:r>
      <w:r w:rsidR="004F27CD">
        <w:t xml:space="preserve">national-scale </w:t>
      </w:r>
      <w:r w:rsidR="00BC6242">
        <w:t>model</w:t>
      </w:r>
      <w:r>
        <w:t xml:space="preserve"> difference</w:t>
      </w:r>
      <w:r w:rsidR="00BC6242">
        <w:t xml:space="preserve">s and the heterogeneous </w:t>
      </w:r>
      <w:r w:rsidR="00EF4A59">
        <w:t>nature of the areas</w:t>
      </w:r>
      <w:r>
        <w:t xml:space="preserve"> often meant that</w:t>
      </w:r>
      <w:r w:rsidR="00345F2E">
        <w:t xml:space="preserve"> results were </w:t>
      </w:r>
      <w:r w:rsidR="00CD50B3">
        <w:t xml:space="preserve">not consistent </w:t>
      </w:r>
      <w:r w:rsidR="0037161D">
        <w:t>across models or States</w:t>
      </w:r>
      <w:r w:rsidR="004E07C0">
        <w:t xml:space="preserve"> (</w:t>
      </w:r>
      <w:r w:rsidR="00322DFA">
        <w:fldChar w:fldCharType="begin"/>
      </w:r>
      <w:r w:rsidR="00322DFA">
        <w:instrText xml:space="preserve"> REF _Ref181906019 \h </w:instrText>
      </w:r>
      <w:r w:rsidR="00322DFA">
        <w:fldChar w:fldCharType="separate"/>
      </w:r>
      <w:r w:rsidR="00127CAB">
        <w:t xml:space="preserve">Table </w:t>
      </w:r>
      <w:r w:rsidR="00127CAB">
        <w:rPr>
          <w:noProof/>
        </w:rPr>
        <w:t>2</w:t>
      </w:r>
      <w:r w:rsidR="00322DFA">
        <w:fldChar w:fldCharType="end"/>
      </w:r>
      <w:r w:rsidR="004E07C0">
        <w:t>)</w:t>
      </w:r>
      <w:r w:rsidR="00345F2E">
        <w:t>.</w:t>
      </w:r>
      <w:r w:rsidR="00B96261">
        <w:t xml:space="preserve"> Where there were major </w:t>
      </w:r>
      <w:r w:rsidR="00C76EDB">
        <w:t xml:space="preserve">inconsistencies or it appeared likely that there were substantive areas </w:t>
      </w:r>
      <w:r w:rsidR="00D20839">
        <w:t xml:space="preserve">without adequate regeneration, CER examined </w:t>
      </w:r>
      <w:r w:rsidR="00AA50EE">
        <w:t xml:space="preserve">time series of remotely sensed images </w:t>
      </w:r>
      <w:r w:rsidR="00A57226">
        <w:t>(Wayback</w:t>
      </w:r>
      <w:r w:rsidR="006A69AE">
        <w:rPr>
          <w:rStyle w:val="FootnoteReference"/>
        </w:rPr>
        <w:footnoteReference w:id="8"/>
      </w:r>
      <w:r w:rsidR="00A57226">
        <w:t xml:space="preserve">). Animated </w:t>
      </w:r>
      <w:r w:rsidR="00C7692F">
        <w:t xml:space="preserve">gifs of these images allowed CER to </w:t>
      </w:r>
      <w:r w:rsidR="00C07AFE">
        <w:t>observe whether regeneration</w:t>
      </w:r>
      <w:r w:rsidR="00687CB8">
        <w:t xml:space="preserve"> was happening. In locations where the national-scale models </w:t>
      </w:r>
      <w:r w:rsidR="00067BB6">
        <w:t>suggested a lack of regeneration</w:t>
      </w:r>
      <w:r w:rsidR="00416488" w:rsidRPr="00416488">
        <w:t xml:space="preserve"> </w:t>
      </w:r>
      <w:r w:rsidR="00917424">
        <w:t xml:space="preserve">or stagnation </w:t>
      </w:r>
      <w:r w:rsidR="00067BB6">
        <w:t xml:space="preserve">of </w:t>
      </w:r>
      <w:r w:rsidR="00416488">
        <w:t>growth</w:t>
      </w:r>
      <w:r w:rsidR="00067BB6">
        <w:t>, stud</w:t>
      </w:r>
      <w:r w:rsidR="00AA40FB">
        <w:t>ie</w:t>
      </w:r>
      <w:r w:rsidR="002D6EF1">
        <w:t>s</w:t>
      </w:r>
      <w:r w:rsidR="00067BB6">
        <w:t xml:space="preserve"> of Wayback images </w:t>
      </w:r>
      <w:r w:rsidR="000F1674">
        <w:t xml:space="preserve">found </w:t>
      </w:r>
      <w:r w:rsidR="00743FDD">
        <w:t xml:space="preserve">evidence </w:t>
      </w:r>
      <w:r w:rsidR="00AA40FB">
        <w:t>of positive</w:t>
      </w:r>
      <w:r w:rsidR="00743FDD">
        <w:t xml:space="preserve"> </w:t>
      </w:r>
      <w:r w:rsidR="00917424">
        <w:t>regeneration</w:t>
      </w:r>
      <w:r w:rsidR="00AA40FB">
        <w:t xml:space="preserve"> trends</w:t>
      </w:r>
      <w:r w:rsidR="00630F33">
        <w:t xml:space="preserve"> in about </w:t>
      </w:r>
      <w:r w:rsidR="00D32EE0">
        <w:t>75</w:t>
      </w:r>
      <w:r w:rsidR="00215924">
        <w:t>% of cases in Queensland; 50% in NSW</w:t>
      </w:r>
      <w:r w:rsidR="00E011D8">
        <w:t xml:space="preserve">; and </w:t>
      </w:r>
      <w:r w:rsidR="000574DD">
        <w:t xml:space="preserve">85% </w:t>
      </w:r>
      <w:r w:rsidR="00A64B10">
        <w:t>in Western Australia.</w:t>
      </w:r>
      <w:r w:rsidR="009E6096">
        <w:t xml:space="preserve"> Proponents usually also provided georeferenced photographs</w:t>
      </w:r>
      <w:r w:rsidR="003108A6">
        <w:rPr>
          <w:rStyle w:val="FootnoteReference"/>
        </w:rPr>
        <w:footnoteReference w:id="9"/>
      </w:r>
      <w:r w:rsidR="009E6096">
        <w:t xml:space="preserve"> of “representative” areas of the CEA which CER could use to identify </w:t>
      </w:r>
      <w:r w:rsidR="001C13FA">
        <w:t xml:space="preserve">trees and regeneration </w:t>
      </w:r>
      <w:r w:rsidR="00204859">
        <w:t xml:space="preserve">success </w:t>
      </w:r>
      <w:r w:rsidR="00BE5082">
        <w:t>contrary to</w:t>
      </w:r>
      <w:r w:rsidR="001C13FA">
        <w:t xml:space="preserve"> </w:t>
      </w:r>
      <w:r w:rsidR="00BE5082">
        <w:t>national-scale estimates.</w:t>
      </w:r>
      <w:r w:rsidR="001C13FA">
        <w:t xml:space="preserve"> </w:t>
      </w:r>
    </w:p>
    <w:p w14:paraId="4D4F9843" w14:textId="7F5B9005" w:rsidR="001F6939" w:rsidRDefault="00A64B10" w:rsidP="00A57226">
      <w:pPr>
        <w:pStyle w:val="BodyText"/>
      </w:pPr>
      <w:r>
        <w:t>If</w:t>
      </w:r>
      <w:r w:rsidR="00AB69CA">
        <w:t xml:space="preserve"> </w:t>
      </w:r>
      <w:r w:rsidR="0089505C">
        <w:t>substantial</w:t>
      </w:r>
      <w:r w:rsidR="00AB69CA">
        <w:t xml:space="preserve"> concerns remained</w:t>
      </w:r>
      <w:r w:rsidR="00BA1780">
        <w:t xml:space="preserve"> after these cross-checks</w:t>
      </w:r>
      <w:r w:rsidR="00AB69CA">
        <w:t xml:space="preserve">, CER </w:t>
      </w:r>
      <w:r w:rsidR="0089505C">
        <w:t>required an</w:t>
      </w:r>
      <w:r w:rsidR="00AB69CA">
        <w:t xml:space="preserve"> expanded s215 audit </w:t>
      </w:r>
      <w:r w:rsidR="00EF18A2">
        <w:t>and</w:t>
      </w:r>
      <w:r w:rsidR="00400439">
        <w:t xml:space="preserve"> professional teams of auditors </w:t>
      </w:r>
      <w:r w:rsidR="00F15785">
        <w:t>with</w:t>
      </w:r>
      <w:r w:rsidR="00400439">
        <w:t xml:space="preserve"> ecologists</w:t>
      </w:r>
      <w:r w:rsidR="00FD3177">
        <w:t>/foresters</w:t>
      </w:r>
      <w:r w:rsidR="00400439">
        <w:t xml:space="preserve"> collect</w:t>
      </w:r>
      <w:r w:rsidR="00F77920">
        <w:t>ed</w:t>
      </w:r>
      <w:r w:rsidR="001F5902">
        <w:t xml:space="preserve"> field</w:t>
      </w:r>
      <w:r w:rsidR="00400439">
        <w:t xml:space="preserve"> data</w:t>
      </w:r>
      <w:r w:rsidR="00A66E0C">
        <w:t xml:space="preserve"> </w:t>
      </w:r>
      <w:r w:rsidR="000C1BA0">
        <w:t xml:space="preserve">at points of interest (POI) </w:t>
      </w:r>
      <w:r w:rsidR="00A66E0C">
        <w:t xml:space="preserve">to clarify regeneration success and </w:t>
      </w:r>
      <w:r w:rsidR="00E23B5D">
        <w:t xml:space="preserve">forest </w:t>
      </w:r>
      <w:r w:rsidR="00A66E0C">
        <w:t>p</w:t>
      </w:r>
      <w:r w:rsidR="002B3589">
        <w:t>otential (</w:t>
      </w:r>
      <w:r w:rsidR="00EF18A2">
        <w:t xml:space="preserve">e.g., </w:t>
      </w:r>
      <w:r>
        <w:fldChar w:fldCharType="begin"/>
      </w:r>
      <w:r>
        <w:instrText xml:space="preserve"> REF _Ref169818011 \h </w:instrText>
      </w:r>
      <w:r>
        <w:fldChar w:fldCharType="separate"/>
      </w:r>
      <w:r w:rsidR="00127CAB">
        <w:t xml:space="preserve">Figure </w:t>
      </w:r>
      <w:r w:rsidR="00127CAB">
        <w:rPr>
          <w:noProof/>
        </w:rPr>
        <w:t>1</w:t>
      </w:r>
      <w:r>
        <w:fldChar w:fldCharType="end"/>
      </w:r>
      <w:r w:rsidR="002B3589">
        <w:t>)</w:t>
      </w:r>
      <w:r w:rsidR="00460E39">
        <w:t>.</w:t>
      </w:r>
    </w:p>
    <w:p w14:paraId="5245007A" w14:textId="1AC9611A" w:rsidR="00A3306F" w:rsidRDefault="0093430F" w:rsidP="004A7D25">
      <w:pPr>
        <w:pStyle w:val="BodyText"/>
      </w:pPr>
      <w:r>
        <w:t xml:space="preserve">Field data, collected voluntarily or as a requirement of an expanded s215 audit, includes georeferenced photographs, descriptions by qualified ecologists </w:t>
      </w:r>
      <w:r w:rsidR="00672B6F">
        <w:t>(</w:t>
      </w:r>
      <w:r>
        <w:fldChar w:fldCharType="begin"/>
      </w:r>
      <w:r>
        <w:instrText xml:space="preserve"> REF _Ref169818011 \h </w:instrText>
      </w:r>
      <w:r>
        <w:fldChar w:fldCharType="separate"/>
      </w:r>
      <w:r w:rsidR="00127CAB">
        <w:t xml:space="preserve">Figure </w:t>
      </w:r>
      <w:r w:rsidR="00127CAB">
        <w:rPr>
          <w:noProof/>
        </w:rPr>
        <w:t>1</w:t>
      </w:r>
      <w:r>
        <w:fldChar w:fldCharType="end"/>
      </w:r>
      <w:r>
        <w:t xml:space="preserve">) and extensive measurements of trees, shrubs and regeneration along one or more transects. Transects were established at POI selected by CER, or at Temporary and Permanent Observation Points (TOPs, POPs) established as part of an audit processes. The POIs are often located at parts of the CEA where CER has identified potential issues with proponent stratification or other issues. </w:t>
      </w:r>
    </w:p>
    <w:p w14:paraId="56BC71B3" w14:textId="24844991" w:rsidR="004E5D44" w:rsidRDefault="00A3306F" w:rsidP="00A3306F">
      <w:r>
        <w:br w:type="page"/>
      </w:r>
    </w:p>
    <w:p w14:paraId="28B8B79A" w14:textId="4C4E5A03" w:rsidR="002B3589" w:rsidRDefault="004E5D44" w:rsidP="004E5D44">
      <w:pPr>
        <w:pStyle w:val="Caption"/>
      </w:pPr>
      <w:bookmarkStart w:id="5" w:name="_Ref181906019"/>
      <w:r>
        <w:lastRenderedPageBreak/>
        <w:t xml:space="preserve">Table </w:t>
      </w:r>
      <w:r w:rsidR="00127CAB">
        <w:fldChar w:fldCharType="begin"/>
      </w:r>
      <w:r w:rsidR="00127CAB">
        <w:instrText xml:space="preserve"> SEQ Table \* ARABIC </w:instrText>
      </w:r>
      <w:r w:rsidR="00127CAB">
        <w:fldChar w:fldCharType="separate"/>
      </w:r>
      <w:r w:rsidR="00127CAB">
        <w:rPr>
          <w:noProof/>
        </w:rPr>
        <w:t>2</w:t>
      </w:r>
      <w:r w:rsidR="00127CAB">
        <w:rPr>
          <w:noProof/>
        </w:rPr>
        <w:fldChar w:fldCharType="end"/>
      </w:r>
      <w:bookmarkEnd w:id="5"/>
      <w:r>
        <w:t xml:space="preserve">: </w:t>
      </w:r>
      <w:r w:rsidR="001C2A57">
        <w:t>R</w:t>
      </w:r>
      <w:r>
        <w:t>esults from</w:t>
      </w:r>
      <w:r w:rsidR="001C2A57">
        <w:t xml:space="preserve"> example</w:t>
      </w:r>
      <w:r>
        <w:t xml:space="preserve"> CER checks </w:t>
      </w:r>
      <w:r w:rsidR="006505F0">
        <w:t xml:space="preserve">where national-scale models </w:t>
      </w:r>
      <w:r w:rsidR="005978EA">
        <w:t xml:space="preserve">resulted in inconsistent </w:t>
      </w:r>
      <w:r w:rsidR="00514FE6">
        <w:t>predictions about</w:t>
      </w:r>
      <w:r>
        <w:t xml:space="preserve"> meeting regeneration thresholds at 100 ha scale</w:t>
      </w:r>
    </w:p>
    <w:tbl>
      <w:tblPr>
        <w:tblStyle w:val="TableGrid"/>
        <w:tblW w:w="9240" w:type="dxa"/>
        <w:tblInd w:w="220" w:type="dxa"/>
        <w:tblLook w:val="04A0" w:firstRow="1" w:lastRow="0" w:firstColumn="1" w:lastColumn="0" w:noHBand="0" w:noVBand="1"/>
      </w:tblPr>
      <w:tblGrid>
        <w:gridCol w:w="1335"/>
        <w:gridCol w:w="2574"/>
        <w:gridCol w:w="2665"/>
        <w:gridCol w:w="2666"/>
      </w:tblGrid>
      <w:tr w:rsidR="00E17DD1" w:rsidRPr="00A26929" w14:paraId="3EAC48B7" w14:textId="77777777" w:rsidTr="66C6EC81">
        <w:tc>
          <w:tcPr>
            <w:tcW w:w="1335" w:type="dxa"/>
            <w:vMerge w:val="restart"/>
            <w:shd w:val="clear" w:color="auto" w:fill="D9D9D9" w:themeFill="background1" w:themeFillShade="D9"/>
          </w:tcPr>
          <w:p w14:paraId="2420B32C" w14:textId="052962D5" w:rsidR="00E17DD1" w:rsidRPr="00A26929" w:rsidRDefault="00E17DD1" w:rsidP="00B25388">
            <w:pPr>
              <w:pStyle w:val="BodyText"/>
              <w:ind w:left="0"/>
              <w:rPr>
                <w:b/>
                <w:bCs/>
                <w:sz w:val="20"/>
                <w:szCs w:val="20"/>
              </w:rPr>
            </w:pPr>
            <w:r w:rsidRPr="00A26929">
              <w:rPr>
                <w:b/>
                <w:bCs/>
                <w:sz w:val="20"/>
                <w:szCs w:val="20"/>
              </w:rPr>
              <w:t>State</w:t>
            </w:r>
            <w:r w:rsidR="009A4778" w:rsidRPr="00A26929">
              <w:rPr>
                <w:b/>
                <w:bCs/>
                <w:sz w:val="20"/>
                <w:szCs w:val="20"/>
              </w:rPr>
              <w:t xml:space="preserve"> and nominal project</w:t>
            </w:r>
            <w:r w:rsidR="00FE03AC" w:rsidRPr="00A26929">
              <w:rPr>
                <w:b/>
                <w:bCs/>
                <w:sz w:val="20"/>
                <w:szCs w:val="20"/>
              </w:rPr>
              <w:t xml:space="preserve"> number</w:t>
            </w:r>
          </w:p>
        </w:tc>
        <w:tc>
          <w:tcPr>
            <w:tcW w:w="7905" w:type="dxa"/>
            <w:gridSpan w:val="3"/>
            <w:shd w:val="clear" w:color="auto" w:fill="D9D9D9" w:themeFill="background1" w:themeFillShade="D9"/>
          </w:tcPr>
          <w:p w14:paraId="74501115" w14:textId="695FF947" w:rsidR="00E17DD1" w:rsidRPr="00A26929" w:rsidRDefault="00E17DD1" w:rsidP="00E51E8E">
            <w:pPr>
              <w:pStyle w:val="BodyText"/>
              <w:ind w:left="0"/>
              <w:jc w:val="center"/>
              <w:rPr>
                <w:b/>
                <w:bCs/>
                <w:sz w:val="20"/>
                <w:szCs w:val="20"/>
              </w:rPr>
            </w:pPr>
            <w:r w:rsidRPr="00A26929">
              <w:rPr>
                <w:b/>
                <w:bCs/>
                <w:sz w:val="20"/>
                <w:szCs w:val="20"/>
              </w:rPr>
              <w:t>CER analysis (sighted)</w:t>
            </w:r>
            <w:r w:rsidR="005F4155" w:rsidRPr="00A26929">
              <w:rPr>
                <w:b/>
                <w:bCs/>
                <w:sz w:val="20"/>
                <w:szCs w:val="20"/>
              </w:rPr>
              <w:t xml:space="preserve"> summary</w:t>
            </w:r>
          </w:p>
        </w:tc>
      </w:tr>
      <w:tr w:rsidR="00E17DD1" w:rsidRPr="00A26929" w14:paraId="78361CEA" w14:textId="77777777" w:rsidTr="66C6EC81">
        <w:tc>
          <w:tcPr>
            <w:tcW w:w="1335" w:type="dxa"/>
            <w:vMerge/>
          </w:tcPr>
          <w:p w14:paraId="3230896A" w14:textId="75D6B07D" w:rsidR="00E17DD1" w:rsidRPr="00A26929" w:rsidRDefault="00E17DD1" w:rsidP="00B25388">
            <w:pPr>
              <w:pStyle w:val="BodyText"/>
              <w:ind w:left="0"/>
              <w:rPr>
                <w:b/>
                <w:bCs/>
                <w:sz w:val="20"/>
                <w:szCs w:val="20"/>
              </w:rPr>
            </w:pPr>
          </w:p>
        </w:tc>
        <w:tc>
          <w:tcPr>
            <w:tcW w:w="2574" w:type="dxa"/>
            <w:shd w:val="clear" w:color="auto" w:fill="D9D9D9" w:themeFill="background1" w:themeFillShade="D9"/>
          </w:tcPr>
          <w:p w14:paraId="0B147091" w14:textId="449956CD" w:rsidR="00E17DD1" w:rsidRPr="00A26929" w:rsidRDefault="00E17DD1" w:rsidP="00B25388">
            <w:pPr>
              <w:pStyle w:val="BodyText"/>
              <w:ind w:left="0"/>
              <w:rPr>
                <w:b/>
                <w:bCs/>
                <w:sz w:val="20"/>
                <w:szCs w:val="20"/>
              </w:rPr>
            </w:pPr>
            <w:r w:rsidRPr="00A26929">
              <w:rPr>
                <w:b/>
                <w:bCs/>
                <w:sz w:val="20"/>
                <w:szCs w:val="20"/>
              </w:rPr>
              <w:t>Persistent Green / AUSCOVER at 100 ha grid cells</w:t>
            </w:r>
          </w:p>
        </w:tc>
        <w:tc>
          <w:tcPr>
            <w:tcW w:w="2665" w:type="dxa"/>
            <w:shd w:val="clear" w:color="auto" w:fill="D9D9D9" w:themeFill="background1" w:themeFillShade="D9"/>
          </w:tcPr>
          <w:p w14:paraId="2A2F21F9" w14:textId="62CD6BB3" w:rsidR="00E17DD1" w:rsidRPr="00A26929" w:rsidRDefault="00E17DD1" w:rsidP="00B25388">
            <w:pPr>
              <w:pStyle w:val="BodyText"/>
              <w:ind w:left="0"/>
              <w:rPr>
                <w:b/>
                <w:bCs/>
                <w:sz w:val="20"/>
                <w:szCs w:val="20"/>
              </w:rPr>
            </w:pPr>
            <w:r w:rsidRPr="00A26929">
              <w:rPr>
                <w:b/>
                <w:bCs/>
                <w:sz w:val="20"/>
                <w:szCs w:val="20"/>
              </w:rPr>
              <w:t>NFSW at 100 ha grid cells</w:t>
            </w:r>
          </w:p>
        </w:tc>
        <w:tc>
          <w:tcPr>
            <w:tcW w:w="2666" w:type="dxa"/>
            <w:shd w:val="clear" w:color="auto" w:fill="D9D9D9" w:themeFill="background1" w:themeFillShade="D9"/>
          </w:tcPr>
          <w:p w14:paraId="6D37293E" w14:textId="531C4419" w:rsidR="00E17DD1" w:rsidRPr="00A26929" w:rsidRDefault="47ACCABA" w:rsidP="00B25388">
            <w:pPr>
              <w:pStyle w:val="BodyText"/>
              <w:ind w:left="0"/>
              <w:rPr>
                <w:b/>
                <w:bCs/>
                <w:sz w:val="20"/>
                <w:szCs w:val="20"/>
              </w:rPr>
            </w:pPr>
            <w:r w:rsidRPr="00A26929">
              <w:rPr>
                <w:b/>
                <w:bCs/>
                <w:sz w:val="20"/>
                <w:szCs w:val="20"/>
              </w:rPr>
              <w:t>MegaForest tool</w:t>
            </w:r>
          </w:p>
        </w:tc>
      </w:tr>
      <w:tr w:rsidR="00EE52DB" w:rsidRPr="00A26929" w14:paraId="240772E3" w14:textId="77777777" w:rsidTr="66C6EC81">
        <w:tc>
          <w:tcPr>
            <w:tcW w:w="1335" w:type="dxa"/>
          </w:tcPr>
          <w:p w14:paraId="4F0044B4" w14:textId="2BB5A7BE" w:rsidR="004A475B" w:rsidRPr="00A26929" w:rsidRDefault="00B170E2" w:rsidP="008C1EB5">
            <w:pPr>
              <w:pStyle w:val="BodyText"/>
              <w:spacing w:before="0"/>
              <w:ind w:left="0"/>
              <w:rPr>
                <w:sz w:val="20"/>
                <w:szCs w:val="20"/>
              </w:rPr>
            </w:pPr>
            <w:r w:rsidRPr="00A26929">
              <w:rPr>
                <w:sz w:val="20"/>
                <w:szCs w:val="20"/>
              </w:rPr>
              <w:t>NSW</w:t>
            </w:r>
            <w:r w:rsidR="00E17DD1" w:rsidRPr="00A26929">
              <w:rPr>
                <w:sz w:val="20"/>
                <w:szCs w:val="20"/>
              </w:rPr>
              <w:t xml:space="preserve"> #1</w:t>
            </w:r>
          </w:p>
        </w:tc>
        <w:tc>
          <w:tcPr>
            <w:tcW w:w="2574" w:type="dxa"/>
          </w:tcPr>
          <w:p w14:paraId="5858856E" w14:textId="05C3D466" w:rsidR="004A475B" w:rsidRPr="00A26929" w:rsidRDefault="00B30364" w:rsidP="008C1EB5">
            <w:pPr>
              <w:pStyle w:val="BodyText"/>
              <w:spacing w:before="0"/>
              <w:ind w:left="0"/>
              <w:rPr>
                <w:sz w:val="20"/>
                <w:szCs w:val="20"/>
              </w:rPr>
            </w:pPr>
            <w:r w:rsidRPr="00A26929">
              <w:rPr>
                <w:sz w:val="20"/>
                <w:szCs w:val="20"/>
              </w:rPr>
              <w:t>P</w:t>
            </w:r>
            <w:r w:rsidR="001C0513" w:rsidRPr="00A26929">
              <w:rPr>
                <w:sz w:val="20"/>
                <w:szCs w:val="20"/>
              </w:rPr>
              <w:t xml:space="preserve">ositive trend with </w:t>
            </w:r>
            <w:r w:rsidRPr="00A26929">
              <w:rPr>
                <w:sz w:val="20"/>
                <w:szCs w:val="20"/>
              </w:rPr>
              <w:t>all cells</w:t>
            </w:r>
            <w:r w:rsidR="001C0513" w:rsidRPr="00A26929">
              <w:rPr>
                <w:sz w:val="20"/>
                <w:szCs w:val="20"/>
              </w:rPr>
              <w:t xml:space="preserve"> &gt; 7.5%</w:t>
            </w:r>
          </w:p>
        </w:tc>
        <w:tc>
          <w:tcPr>
            <w:tcW w:w="2665" w:type="dxa"/>
          </w:tcPr>
          <w:p w14:paraId="5703B735" w14:textId="35F73A33" w:rsidR="004A475B" w:rsidRPr="00A26929" w:rsidRDefault="00FC718D" w:rsidP="008C1EB5">
            <w:pPr>
              <w:pStyle w:val="BodyText"/>
              <w:spacing w:before="0"/>
              <w:ind w:left="0"/>
              <w:rPr>
                <w:sz w:val="20"/>
                <w:szCs w:val="20"/>
              </w:rPr>
            </w:pPr>
            <w:r w:rsidRPr="00A26929">
              <w:rPr>
                <w:sz w:val="20"/>
                <w:szCs w:val="20"/>
              </w:rPr>
              <w:t xml:space="preserve">All fail </w:t>
            </w:r>
            <w:r w:rsidR="00695F72" w:rsidRPr="00A26929">
              <w:rPr>
                <w:sz w:val="20"/>
                <w:szCs w:val="20"/>
              </w:rPr>
              <w:t>at 7.5%</w:t>
            </w:r>
          </w:p>
        </w:tc>
        <w:tc>
          <w:tcPr>
            <w:tcW w:w="2666" w:type="dxa"/>
          </w:tcPr>
          <w:p w14:paraId="44985BD2" w14:textId="55D323DD" w:rsidR="004A475B" w:rsidRPr="00A26929" w:rsidRDefault="00993FC3" w:rsidP="008C1EB5">
            <w:pPr>
              <w:pStyle w:val="BodyText"/>
              <w:spacing w:before="0"/>
              <w:ind w:left="0"/>
              <w:rPr>
                <w:sz w:val="20"/>
                <w:szCs w:val="20"/>
              </w:rPr>
            </w:pPr>
            <w:r w:rsidRPr="00A26929">
              <w:rPr>
                <w:sz w:val="20"/>
                <w:szCs w:val="20"/>
              </w:rPr>
              <w:t>CEA</w:t>
            </w:r>
            <w:r w:rsidR="00D20D74" w:rsidRPr="00A26929">
              <w:rPr>
                <w:sz w:val="20"/>
                <w:szCs w:val="20"/>
              </w:rPr>
              <w:t xml:space="preserve"> </w:t>
            </w:r>
            <w:r w:rsidR="00EE753A" w:rsidRPr="00A26929">
              <w:rPr>
                <w:sz w:val="20"/>
                <w:szCs w:val="20"/>
              </w:rPr>
              <w:t>woody</w:t>
            </w:r>
            <w:r w:rsidRPr="00A26929">
              <w:rPr>
                <w:sz w:val="20"/>
                <w:szCs w:val="20"/>
              </w:rPr>
              <w:t xml:space="preserve"> </w:t>
            </w:r>
            <w:r w:rsidR="000A01E7" w:rsidRPr="00A26929">
              <w:rPr>
                <w:sz w:val="20"/>
                <w:szCs w:val="20"/>
              </w:rPr>
              <w:t xml:space="preserve">cover </w:t>
            </w:r>
            <w:r w:rsidRPr="00A26929">
              <w:rPr>
                <w:sz w:val="20"/>
                <w:szCs w:val="20"/>
              </w:rPr>
              <w:t>increased from almost 0% to 1</w:t>
            </w:r>
            <w:r w:rsidR="00385D7D" w:rsidRPr="00A26929">
              <w:rPr>
                <w:sz w:val="20"/>
                <w:szCs w:val="20"/>
              </w:rPr>
              <w:t>2</w:t>
            </w:r>
            <w:r w:rsidRPr="00A26929">
              <w:rPr>
                <w:sz w:val="20"/>
                <w:szCs w:val="20"/>
              </w:rPr>
              <w:t>%</w:t>
            </w:r>
          </w:p>
        </w:tc>
      </w:tr>
      <w:tr w:rsidR="00EE52DB" w:rsidRPr="00A26929" w14:paraId="0F9F0D63" w14:textId="77777777" w:rsidTr="66C6EC81">
        <w:tc>
          <w:tcPr>
            <w:tcW w:w="1335" w:type="dxa"/>
          </w:tcPr>
          <w:p w14:paraId="4CCF4202" w14:textId="49F818B0" w:rsidR="004A475B" w:rsidRPr="00A26929" w:rsidRDefault="00E2395D" w:rsidP="008C1EB5">
            <w:pPr>
              <w:pStyle w:val="BodyText"/>
              <w:spacing w:before="0"/>
              <w:ind w:left="0"/>
              <w:rPr>
                <w:sz w:val="20"/>
                <w:szCs w:val="20"/>
              </w:rPr>
            </w:pPr>
            <w:r w:rsidRPr="00A26929">
              <w:rPr>
                <w:sz w:val="20"/>
                <w:szCs w:val="20"/>
              </w:rPr>
              <w:t>NSW #2</w:t>
            </w:r>
          </w:p>
        </w:tc>
        <w:tc>
          <w:tcPr>
            <w:tcW w:w="2574" w:type="dxa"/>
          </w:tcPr>
          <w:p w14:paraId="462434DF" w14:textId="48D5917F" w:rsidR="004A475B" w:rsidRPr="00A26929" w:rsidRDefault="009A4778" w:rsidP="008C1EB5">
            <w:pPr>
              <w:pStyle w:val="BodyText"/>
              <w:spacing w:before="0"/>
              <w:ind w:left="0"/>
              <w:rPr>
                <w:sz w:val="20"/>
                <w:szCs w:val="20"/>
              </w:rPr>
            </w:pPr>
            <w:r w:rsidRPr="00A26929">
              <w:rPr>
                <w:sz w:val="20"/>
                <w:szCs w:val="20"/>
              </w:rPr>
              <w:t xml:space="preserve">All cells </w:t>
            </w:r>
            <w:r w:rsidR="00C338CE" w:rsidRPr="00A26929">
              <w:rPr>
                <w:sz w:val="20"/>
                <w:szCs w:val="20"/>
              </w:rPr>
              <w:t xml:space="preserve">pass </w:t>
            </w:r>
            <w:r w:rsidRPr="00A26929">
              <w:rPr>
                <w:sz w:val="20"/>
                <w:szCs w:val="20"/>
              </w:rPr>
              <w:t>in north</w:t>
            </w:r>
            <w:r w:rsidR="00BA7030" w:rsidRPr="00A26929">
              <w:rPr>
                <w:sz w:val="20"/>
                <w:szCs w:val="20"/>
              </w:rPr>
              <w:t>ern CEA</w:t>
            </w:r>
            <w:r w:rsidRPr="00A26929">
              <w:rPr>
                <w:sz w:val="20"/>
                <w:szCs w:val="20"/>
              </w:rPr>
              <w:t>, but southern part 50% fail</w:t>
            </w:r>
          </w:p>
        </w:tc>
        <w:tc>
          <w:tcPr>
            <w:tcW w:w="2665" w:type="dxa"/>
          </w:tcPr>
          <w:p w14:paraId="760D294C" w14:textId="08866516" w:rsidR="004A475B" w:rsidRPr="00A26929" w:rsidRDefault="003B42C4" w:rsidP="008C1EB5">
            <w:pPr>
              <w:pStyle w:val="BodyText"/>
              <w:spacing w:before="0"/>
              <w:ind w:left="0"/>
              <w:rPr>
                <w:sz w:val="20"/>
                <w:szCs w:val="20"/>
              </w:rPr>
            </w:pPr>
            <w:r w:rsidRPr="00A26929">
              <w:rPr>
                <w:sz w:val="20"/>
                <w:szCs w:val="20"/>
              </w:rPr>
              <w:t>Increase in cover but most cells fail at 7.5%</w:t>
            </w:r>
          </w:p>
        </w:tc>
        <w:tc>
          <w:tcPr>
            <w:tcW w:w="2666" w:type="dxa"/>
          </w:tcPr>
          <w:p w14:paraId="71F64417" w14:textId="355FB1A0" w:rsidR="004A475B" w:rsidRPr="00A26929" w:rsidRDefault="00644FA2" w:rsidP="008C1EB5">
            <w:pPr>
              <w:pStyle w:val="BodyText"/>
              <w:spacing w:before="0"/>
              <w:ind w:left="0"/>
              <w:rPr>
                <w:sz w:val="20"/>
                <w:szCs w:val="20"/>
              </w:rPr>
            </w:pPr>
            <w:r w:rsidRPr="00A26929">
              <w:rPr>
                <w:sz w:val="20"/>
                <w:szCs w:val="20"/>
              </w:rPr>
              <w:t xml:space="preserve">CEA </w:t>
            </w:r>
            <w:r w:rsidR="00455BD2" w:rsidRPr="00A26929">
              <w:rPr>
                <w:sz w:val="20"/>
                <w:szCs w:val="20"/>
              </w:rPr>
              <w:t xml:space="preserve">woody </w:t>
            </w:r>
            <w:r w:rsidR="000A01E7" w:rsidRPr="00A26929">
              <w:rPr>
                <w:sz w:val="20"/>
                <w:szCs w:val="20"/>
              </w:rPr>
              <w:t xml:space="preserve">cover </w:t>
            </w:r>
            <w:r w:rsidRPr="00A26929">
              <w:rPr>
                <w:sz w:val="20"/>
                <w:szCs w:val="20"/>
              </w:rPr>
              <w:t>increased over 6%</w:t>
            </w:r>
          </w:p>
        </w:tc>
      </w:tr>
      <w:tr w:rsidR="00EE52DB" w:rsidRPr="00A26929" w14:paraId="38A19211" w14:textId="77777777" w:rsidTr="66C6EC81">
        <w:tc>
          <w:tcPr>
            <w:tcW w:w="1335" w:type="dxa"/>
          </w:tcPr>
          <w:p w14:paraId="63D13926" w14:textId="1746297F" w:rsidR="004A475B" w:rsidRPr="00A26929" w:rsidRDefault="001950F8" w:rsidP="008C1EB5">
            <w:pPr>
              <w:pStyle w:val="BodyText"/>
              <w:spacing w:before="0"/>
              <w:ind w:left="0"/>
              <w:rPr>
                <w:sz w:val="20"/>
                <w:szCs w:val="20"/>
              </w:rPr>
            </w:pPr>
            <w:r w:rsidRPr="00A26929">
              <w:rPr>
                <w:sz w:val="20"/>
                <w:szCs w:val="20"/>
              </w:rPr>
              <w:t>NSW #3</w:t>
            </w:r>
          </w:p>
        </w:tc>
        <w:tc>
          <w:tcPr>
            <w:tcW w:w="2574" w:type="dxa"/>
          </w:tcPr>
          <w:p w14:paraId="6C8A4AC2" w14:textId="7DC45EEE" w:rsidR="004A475B" w:rsidRPr="00A26929" w:rsidRDefault="00B04335" w:rsidP="008C1EB5">
            <w:pPr>
              <w:pStyle w:val="BodyText"/>
              <w:spacing w:before="0"/>
              <w:ind w:left="0"/>
              <w:rPr>
                <w:sz w:val="20"/>
                <w:szCs w:val="20"/>
              </w:rPr>
            </w:pPr>
            <w:r w:rsidRPr="00A26929">
              <w:rPr>
                <w:sz w:val="20"/>
                <w:szCs w:val="20"/>
              </w:rPr>
              <w:t>Positive trend with all cells &gt; 7.5%</w:t>
            </w:r>
          </w:p>
        </w:tc>
        <w:tc>
          <w:tcPr>
            <w:tcW w:w="2665" w:type="dxa"/>
          </w:tcPr>
          <w:p w14:paraId="1062DA28" w14:textId="5C9703F5" w:rsidR="004A475B" w:rsidRPr="00A26929" w:rsidRDefault="00DF3369" w:rsidP="008C1EB5">
            <w:pPr>
              <w:pStyle w:val="BodyText"/>
              <w:spacing w:before="0"/>
              <w:ind w:left="0"/>
              <w:rPr>
                <w:sz w:val="20"/>
                <w:szCs w:val="20"/>
              </w:rPr>
            </w:pPr>
            <w:r w:rsidRPr="00A26929">
              <w:rPr>
                <w:sz w:val="20"/>
                <w:szCs w:val="20"/>
              </w:rPr>
              <w:t>94% of cells pass 7.5%</w:t>
            </w:r>
            <w:r w:rsidR="00E802CA" w:rsidRPr="00A26929">
              <w:rPr>
                <w:sz w:val="20"/>
                <w:szCs w:val="20"/>
              </w:rPr>
              <w:t xml:space="preserve"> check</w:t>
            </w:r>
            <w:r w:rsidRPr="00A26929">
              <w:rPr>
                <w:sz w:val="20"/>
                <w:szCs w:val="20"/>
              </w:rPr>
              <w:t xml:space="preserve">. </w:t>
            </w:r>
          </w:p>
        </w:tc>
        <w:tc>
          <w:tcPr>
            <w:tcW w:w="2666" w:type="dxa"/>
          </w:tcPr>
          <w:p w14:paraId="3B57F6BD" w14:textId="0C2418F2" w:rsidR="004A475B" w:rsidRPr="00A26929" w:rsidRDefault="00EA55C2" w:rsidP="008C1EB5">
            <w:pPr>
              <w:pStyle w:val="BodyText"/>
              <w:spacing w:before="0"/>
              <w:ind w:left="0"/>
              <w:rPr>
                <w:sz w:val="20"/>
                <w:szCs w:val="20"/>
              </w:rPr>
            </w:pPr>
            <w:r w:rsidRPr="00A26929">
              <w:rPr>
                <w:sz w:val="20"/>
                <w:szCs w:val="20"/>
              </w:rPr>
              <w:t>Small positive trend</w:t>
            </w:r>
            <w:r w:rsidR="00F33C55" w:rsidRPr="00A26929">
              <w:rPr>
                <w:sz w:val="20"/>
                <w:szCs w:val="20"/>
              </w:rPr>
              <w:t xml:space="preserve"> with increase </w:t>
            </w:r>
            <w:r w:rsidRPr="00A26929">
              <w:rPr>
                <w:sz w:val="20"/>
                <w:szCs w:val="20"/>
              </w:rPr>
              <w:t>6</w:t>
            </w:r>
            <w:r w:rsidR="00F33C55" w:rsidRPr="00A26929">
              <w:rPr>
                <w:sz w:val="20"/>
                <w:szCs w:val="20"/>
              </w:rPr>
              <w:t>%</w:t>
            </w:r>
            <w:r w:rsidRPr="00A26929">
              <w:rPr>
                <w:sz w:val="20"/>
                <w:szCs w:val="20"/>
              </w:rPr>
              <w:t>-9%</w:t>
            </w:r>
          </w:p>
        </w:tc>
      </w:tr>
      <w:tr w:rsidR="00594B5F" w:rsidRPr="00A26929" w14:paraId="2C542ADC" w14:textId="77777777" w:rsidTr="66C6EC81">
        <w:tc>
          <w:tcPr>
            <w:tcW w:w="1335" w:type="dxa"/>
          </w:tcPr>
          <w:p w14:paraId="7399FD6A" w14:textId="33F7E0A1" w:rsidR="00594B5F" w:rsidRPr="00A26929" w:rsidRDefault="00594B5F" w:rsidP="008C1EB5">
            <w:pPr>
              <w:pStyle w:val="BodyText"/>
              <w:spacing w:before="0"/>
              <w:ind w:left="0"/>
              <w:rPr>
                <w:sz w:val="20"/>
                <w:szCs w:val="20"/>
              </w:rPr>
            </w:pPr>
            <w:r w:rsidRPr="00A26929">
              <w:rPr>
                <w:sz w:val="20"/>
                <w:szCs w:val="20"/>
              </w:rPr>
              <w:t>NSW #4</w:t>
            </w:r>
          </w:p>
        </w:tc>
        <w:tc>
          <w:tcPr>
            <w:tcW w:w="2574" w:type="dxa"/>
          </w:tcPr>
          <w:p w14:paraId="759BC03E" w14:textId="64784D26" w:rsidR="00594B5F" w:rsidRPr="00A26929" w:rsidRDefault="00A77D6E" w:rsidP="008C1EB5">
            <w:pPr>
              <w:pStyle w:val="BodyText"/>
              <w:spacing w:before="0"/>
              <w:ind w:left="0"/>
              <w:rPr>
                <w:sz w:val="20"/>
                <w:szCs w:val="20"/>
              </w:rPr>
            </w:pPr>
            <w:r w:rsidRPr="00A26929">
              <w:rPr>
                <w:sz w:val="20"/>
                <w:szCs w:val="20"/>
              </w:rPr>
              <w:t>Positive trend with all cells &gt; 7.5%</w:t>
            </w:r>
          </w:p>
        </w:tc>
        <w:tc>
          <w:tcPr>
            <w:tcW w:w="2665" w:type="dxa"/>
          </w:tcPr>
          <w:p w14:paraId="732B0AB9" w14:textId="696796F3" w:rsidR="00594B5F" w:rsidRPr="00A26929" w:rsidRDefault="00EB7EB2" w:rsidP="008C1EB5">
            <w:pPr>
              <w:pStyle w:val="BodyText"/>
              <w:spacing w:before="0"/>
              <w:ind w:left="0"/>
              <w:rPr>
                <w:sz w:val="20"/>
                <w:szCs w:val="20"/>
              </w:rPr>
            </w:pPr>
            <w:r w:rsidRPr="00A26929">
              <w:rPr>
                <w:sz w:val="20"/>
                <w:szCs w:val="20"/>
              </w:rPr>
              <w:t xml:space="preserve">87% of cells pass 7.5% check. </w:t>
            </w:r>
            <w:r w:rsidR="00E802CA" w:rsidRPr="00A26929">
              <w:rPr>
                <w:sz w:val="20"/>
                <w:szCs w:val="20"/>
              </w:rPr>
              <w:t>Cover</w:t>
            </w:r>
            <w:r w:rsidRPr="00A26929">
              <w:rPr>
                <w:sz w:val="20"/>
                <w:szCs w:val="20"/>
              </w:rPr>
              <w:t xml:space="preserve"> increased by 26%</w:t>
            </w:r>
          </w:p>
        </w:tc>
        <w:tc>
          <w:tcPr>
            <w:tcW w:w="2666" w:type="dxa"/>
          </w:tcPr>
          <w:p w14:paraId="55475351" w14:textId="66E51BBB" w:rsidR="00594B5F" w:rsidRPr="00A26929" w:rsidRDefault="00D5277D" w:rsidP="008C1EB5">
            <w:pPr>
              <w:pStyle w:val="BodyText"/>
              <w:spacing w:before="0"/>
              <w:ind w:left="0"/>
              <w:rPr>
                <w:sz w:val="20"/>
                <w:szCs w:val="20"/>
              </w:rPr>
            </w:pPr>
            <w:r w:rsidRPr="00A26929">
              <w:rPr>
                <w:sz w:val="20"/>
                <w:szCs w:val="20"/>
              </w:rPr>
              <w:t>P</w:t>
            </w:r>
            <w:r w:rsidR="005A08D1" w:rsidRPr="00A26929">
              <w:rPr>
                <w:sz w:val="20"/>
                <w:szCs w:val="20"/>
              </w:rPr>
              <w:t xml:space="preserve">ositive trend with </w:t>
            </w:r>
            <w:r w:rsidR="000C65DE" w:rsidRPr="00A26929">
              <w:rPr>
                <w:sz w:val="20"/>
                <w:szCs w:val="20"/>
              </w:rPr>
              <w:t>non</w:t>
            </w:r>
            <w:r w:rsidR="005A08D1" w:rsidRPr="00A26929">
              <w:rPr>
                <w:sz w:val="20"/>
                <w:szCs w:val="20"/>
              </w:rPr>
              <w:t xml:space="preserve">-woody </w:t>
            </w:r>
            <w:r w:rsidR="000C65DE" w:rsidRPr="00A26929">
              <w:rPr>
                <w:sz w:val="20"/>
                <w:szCs w:val="20"/>
              </w:rPr>
              <w:t>decreasing from 4</w:t>
            </w:r>
            <w:r w:rsidR="00C03C2B" w:rsidRPr="00A26929">
              <w:rPr>
                <w:sz w:val="20"/>
                <w:szCs w:val="20"/>
              </w:rPr>
              <w:t>8</w:t>
            </w:r>
            <w:r w:rsidR="000C65DE" w:rsidRPr="00A26929">
              <w:rPr>
                <w:sz w:val="20"/>
                <w:szCs w:val="20"/>
              </w:rPr>
              <w:t xml:space="preserve">% to </w:t>
            </w:r>
            <w:r w:rsidR="00C03C2B" w:rsidRPr="00A26929">
              <w:rPr>
                <w:sz w:val="20"/>
                <w:szCs w:val="20"/>
              </w:rPr>
              <w:t>38%</w:t>
            </w:r>
          </w:p>
        </w:tc>
      </w:tr>
      <w:tr w:rsidR="00D5277D" w:rsidRPr="00A26929" w14:paraId="1CAEF27D" w14:textId="77777777" w:rsidTr="66C6EC81">
        <w:tc>
          <w:tcPr>
            <w:tcW w:w="1335" w:type="dxa"/>
          </w:tcPr>
          <w:p w14:paraId="66B0C1B7" w14:textId="4EB6D6C1" w:rsidR="00D5277D" w:rsidRPr="00A26929" w:rsidRDefault="00BD365C" w:rsidP="008C1EB5">
            <w:pPr>
              <w:pStyle w:val="BodyText"/>
              <w:spacing w:before="0"/>
              <w:ind w:left="0"/>
              <w:rPr>
                <w:sz w:val="20"/>
                <w:szCs w:val="20"/>
              </w:rPr>
            </w:pPr>
            <w:r w:rsidRPr="00A26929">
              <w:rPr>
                <w:sz w:val="20"/>
                <w:szCs w:val="20"/>
              </w:rPr>
              <w:t>QLD #1</w:t>
            </w:r>
          </w:p>
        </w:tc>
        <w:tc>
          <w:tcPr>
            <w:tcW w:w="2574" w:type="dxa"/>
          </w:tcPr>
          <w:p w14:paraId="260465A5" w14:textId="6374922B" w:rsidR="00D5277D" w:rsidRPr="00A26929" w:rsidRDefault="00B34899" w:rsidP="008C1EB5">
            <w:pPr>
              <w:pStyle w:val="BodyText"/>
              <w:spacing w:before="0"/>
              <w:ind w:left="0"/>
              <w:rPr>
                <w:sz w:val="20"/>
                <w:szCs w:val="20"/>
              </w:rPr>
            </w:pPr>
            <w:r w:rsidRPr="00A26929">
              <w:rPr>
                <w:sz w:val="20"/>
                <w:szCs w:val="20"/>
              </w:rPr>
              <w:t>Negative</w:t>
            </w:r>
            <w:r w:rsidR="00BD365C" w:rsidRPr="00A26929">
              <w:rPr>
                <w:sz w:val="20"/>
                <w:szCs w:val="20"/>
              </w:rPr>
              <w:t xml:space="preserve"> trend </w:t>
            </w:r>
            <w:r w:rsidR="00D42FAD" w:rsidRPr="00A26929">
              <w:rPr>
                <w:sz w:val="20"/>
                <w:szCs w:val="20"/>
              </w:rPr>
              <w:t xml:space="preserve">with only </w:t>
            </w:r>
            <w:r w:rsidR="00BD365C" w:rsidRPr="00A26929">
              <w:rPr>
                <w:sz w:val="20"/>
                <w:szCs w:val="20"/>
              </w:rPr>
              <w:t xml:space="preserve">5% </w:t>
            </w:r>
            <w:r w:rsidR="00D42FAD" w:rsidRPr="00A26929">
              <w:rPr>
                <w:sz w:val="20"/>
                <w:szCs w:val="20"/>
              </w:rPr>
              <w:t xml:space="preserve">of cells </w:t>
            </w:r>
            <w:r w:rsidR="00BD365C" w:rsidRPr="00A26929">
              <w:rPr>
                <w:sz w:val="20"/>
                <w:szCs w:val="20"/>
              </w:rPr>
              <w:t xml:space="preserve">&gt; </w:t>
            </w:r>
            <w:r w:rsidR="00032D01" w:rsidRPr="00A26929">
              <w:rPr>
                <w:sz w:val="20"/>
                <w:szCs w:val="20"/>
              </w:rPr>
              <w:t>7.5%</w:t>
            </w:r>
          </w:p>
        </w:tc>
        <w:tc>
          <w:tcPr>
            <w:tcW w:w="2665" w:type="dxa"/>
          </w:tcPr>
          <w:p w14:paraId="11BC2E74" w14:textId="2A83D954" w:rsidR="00D5277D" w:rsidRPr="00A26929" w:rsidRDefault="00596825" w:rsidP="008C1EB5">
            <w:pPr>
              <w:pStyle w:val="BodyText"/>
              <w:spacing w:before="0"/>
              <w:ind w:left="0"/>
              <w:rPr>
                <w:sz w:val="20"/>
                <w:szCs w:val="20"/>
              </w:rPr>
            </w:pPr>
            <w:r w:rsidRPr="00A26929">
              <w:rPr>
                <w:sz w:val="20"/>
                <w:szCs w:val="20"/>
              </w:rPr>
              <w:t xml:space="preserve">50% of cells pass (but </w:t>
            </w:r>
            <w:r w:rsidR="00EE52DB" w:rsidRPr="00A26929">
              <w:rPr>
                <w:sz w:val="20"/>
                <w:szCs w:val="20"/>
              </w:rPr>
              <w:t xml:space="preserve">failures </w:t>
            </w:r>
            <w:r w:rsidRPr="00A26929">
              <w:rPr>
                <w:sz w:val="20"/>
                <w:szCs w:val="20"/>
              </w:rPr>
              <w:t xml:space="preserve">appear related to </w:t>
            </w:r>
            <w:r w:rsidR="00CF0D66" w:rsidRPr="00A26929">
              <w:rPr>
                <w:sz w:val="20"/>
                <w:szCs w:val="20"/>
              </w:rPr>
              <w:t>chang</w:t>
            </w:r>
            <w:r w:rsidR="008A0B1A" w:rsidRPr="00A26929">
              <w:rPr>
                <w:sz w:val="20"/>
                <w:szCs w:val="20"/>
              </w:rPr>
              <w:t>es</w:t>
            </w:r>
            <w:r w:rsidR="008877A4" w:rsidRPr="00A26929">
              <w:rPr>
                <w:sz w:val="20"/>
                <w:szCs w:val="20"/>
              </w:rPr>
              <w:t xml:space="preserve"> in</w:t>
            </w:r>
            <w:r w:rsidR="00CF0D66" w:rsidRPr="00A26929">
              <w:rPr>
                <w:sz w:val="20"/>
                <w:szCs w:val="20"/>
              </w:rPr>
              <w:t xml:space="preserve"> </w:t>
            </w:r>
            <w:r w:rsidRPr="00A26929">
              <w:rPr>
                <w:sz w:val="20"/>
                <w:szCs w:val="20"/>
              </w:rPr>
              <w:t xml:space="preserve">soil </w:t>
            </w:r>
            <w:r w:rsidR="00CF0D66" w:rsidRPr="00A26929">
              <w:rPr>
                <w:sz w:val="20"/>
                <w:szCs w:val="20"/>
              </w:rPr>
              <w:t>colour</w:t>
            </w:r>
            <w:r w:rsidR="005E4A88" w:rsidRPr="00A26929">
              <w:rPr>
                <w:sz w:val="20"/>
                <w:szCs w:val="20"/>
              </w:rPr>
              <w:t>)</w:t>
            </w:r>
          </w:p>
        </w:tc>
        <w:tc>
          <w:tcPr>
            <w:tcW w:w="2666" w:type="dxa"/>
          </w:tcPr>
          <w:p w14:paraId="470032F5" w14:textId="77777777" w:rsidR="00D5277D" w:rsidRPr="00A26929" w:rsidRDefault="005E4A88" w:rsidP="008C1EB5">
            <w:pPr>
              <w:pStyle w:val="BodyText"/>
              <w:spacing w:before="0"/>
              <w:ind w:left="0"/>
              <w:rPr>
                <w:sz w:val="20"/>
                <w:szCs w:val="20"/>
              </w:rPr>
            </w:pPr>
            <w:r w:rsidRPr="00A26929">
              <w:rPr>
                <w:sz w:val="20"/>
                <w:szCs w:val="20"/>
              </w:rPr>
              <w:t>Positive trend</w:t>
            </w:r>
            <w:r w:rsidR="00294240" w:rsidRPr="00A26929">
              <w:rPr>
                <w:sz w:val="20"/>
                <w:szCs w:val="20"/>
              </w:rPr>
              <w:t xml:space="preserve"> with 5% increase</w:t>
            </w:r>
          </w:p>
          <w:p w14:paraId="3724A3E4" w14:textId="77777777" w:rsidR="00CF0D66" w:rsidRPr="00A26929" w:rsidRDefault="00CF0D66" w:rsidP="008C1EB5">
            <w:pPr>
              <w:pStyle w:val="BodyText"/>
              <w:spacing w:before="0"/>
              <w:ind w:left="0"/>
              <w:rPr>
                <w:sz w:val="20"/>
                <w:szCs w:val="20"/>
              </w:rPr>
            </w:pPr>
          </w:p>
          <w:p w14:paraId="7B4EE4DD" w14:textId="612E3E36" w:rsidR="00294240" w:rsidRPr="00A26929" w:rsidRDefault="00294240" w:rsidP="008C1EB5">
            <w:pPr>
              <w:pStyle w:val="BodyText"/>
              <w:spacing w:before="0"/>
              <w:ind w:left="0"/>
              <w:rPr>
                <w:sz w:val="20"/>
                <w:szCs w:val="20"/>
              </w:rPr>
            </w:pPr>
            <w:r w:rsidRPr="00A26929">
              <w:rPr>
                <w:sz w:val="20"/>
                <w:szCs w:val="20"/>
              </w:rPr>
              <w:t>QLD SLATS database concludes 100% pass 7.5% cover</w:t>
            </w:r>
          </w:p>
        </w:tc>
      </w:tr>
      <w:tr w:rsidR="00166967" w:rsidRPr="00A26929" w14:paraId="609E10B1" w14:textId="77777777" w:rsidTr="66C6EC81">
        <w:tc>
          <w:tcPr>
            <w:tcW w:w="1335" w:type="dxa"/>
          </w:tcPr>
          <w:p w14:paraId="6B27E88D" w14:textId="2E9E9302" w:rsidR="00166967" w:rsidRPr="00A26929" w:rsidRDefault="00166967" w:rsidP="008C1EB5">
            <w:pPr>
              <w:pStyle w:val="BodyText"/>
              <w:spacing w:before="0"/>
              <w:ind w:left="0"/>
              <w:rPr>
                <w:sz w:val="20"/>
                <w:szCs w:val="20"/>
              </w:rPr>
            </w:pPr>
            <w:r w:rsidRPr="00A26929">
              <w:rPr>
                <w:sz w:val="20"/>
                <w:szCs w:val="20"/>
              </w:rPr>
              <w:t>QLD #2</w:t>
            </w:r>
          </w:p>
        </w:tc>
        <w:tc>
          <w:tcPr>
            <w:tcW w:w="2574" w:type="dxa"/>
          </w:tcPr>
          <w:p w14:paraId="1ED171D4" w14:textId="77777777" w:rsidR="00580677" w:rsidRPr="00A26929" w:rsidRDefault="00213711" w:rsidP="008C1EB5">
            <w:pPr>
              <w:rPr>
                <w:color w:val="000000"/>
                <w:sz w:val="20"/>
                <w:szCs w:val="20"/>
              </w:rPr>
            </w:pPr>
            <w:r w:rsidRPr="00A26929">
              <w:rPr>
                <w:color w:val="000000"/>
                <w:sz w:val="20"/>
                <w:szCs w:val="20"/>
              </w:rPr>
              <w:t xml:space="preserve">Positive trends with </w:t>
            </w:r>
            <w:r w:rsidR="000626DF" w:rsidRPr="00A26929">
              <w:rPr>
                <w:color w:val="000000"/>
                <w:sz w:val="20"/>
                <w:szCs w:val="20"/>
              </w:rPr>
              <w:t xml:space="preserve">70% </w:t>
            </w:r>
            <w:r w:rsidR="00580677" w:rsidRPr="00A26929">
              <w:rPr>
                <w:color w:val="000000"/>
                <w:sz w:val="20"/>
                <w:szCs w:val="20"/>
              </w:rPr>
              <w:t>of cells over 7.5%</w:t>
            </w:r>
          </w:p>
          <w:p w14:paraId="38FDF3D8" w14:textId="4D1148C6" w:rsidR="000626DF" w:rsidRPr="00A26929" w:rsidRDefault="00580677" w:rsidP="008C1EB5">
            <w:pPr>
              <w:rPr>
                <w:rFonts w:eastAsia="Times New Roman"/>
                <w:color w:val="000000"/>
                <w:sz w:val="20"/>
                <w:szCs w:val="20"/>
              </w:rPr>
            </w:pPr>
            <w:r w:rsidRPr="00A26929">
              <w:rPr>
                <w:color w:val="000000"/>
                <w:sz w:val="20"/>
                <w:szCs w:val="20"/>
              </w:rPr>
              <w:t xml:space="preserve"> </w:t>
            </w:r>
          </w:p>
          <w:p w14:paraId="7511593D" w14:textId="77777777" w:rsidR="00166967" w:rsidRPr="00A26929" w:rsidRDefault="00166967" w:rsidP="008C1EB5">
            <w:pPr>
              <w:pStyle w:val="BodyText"/>
              <w:spacing w:before="0"/>
              <w:ind w:left="0"/>
              <w:rPr>
                <w:sz w:val="20"/>
                <w:szCs w:val="20"/>
              </w:rPr>
            </w:pPr>
          </w:p>
        </w:tc>
        <w:tc>
          <w:tcPr>
            <w:tcW w:w="2665" w:type="dxa"/>
          </w:tcPr>
          <w:p w14:paraId="00BD8851" w14:textId="77777777" w:rsidR="00166967" w:rsidRPr="00A26929" w:rsidRDefault="00580677" w:rsidP="008C1EB5">
            <w:pPr>
              <w:pStyle w:val="BodyText"/>
              <w:spacing w:before="0"/>
              <w:ind w:left="0"/>
              <w:rPr>
                <w:sz w:val="20"/>
                <w:szCs w:val="20"/>
              </w:rPr>
            </w:pPr>
            <w:r w:rsidRPr="00A26929">
              <w:rPr>
                <w:sz w:val="20"/>
                <w:szCs w:val="20"/>
              </w:rPr>
              <w:t>90%</w:t>
            </w:r>
            <w:r w:rsidR="00C82EEF" w:rsidRPr="00A26929">
              <w:rPr>
                <w:sz w:val="20"/>
                <w:szCs w:val="20"/>
              </w:rPr>
              <w:t xml:space="preserve"> pass 7.5% check</w:t>
            </w:r>
          </w:p>
          <w:p w14:paraId="35996848" w14:textId="11833921" w:rsidR="00C82EEF" w:rsidRPr="00A26929" w:rsidRDefault="00C82EEF" w:rsidP="008C1EB5">
            <w:pPr>
              <w:pStyle w:val="BodyText"/>
              <w:spacing w:before="0"/>
              <w:ind w:left="0"/>
              <w:rPr>
                <w:sz w:val="20"/>
                <w:szCs w:val="20"/>
              </w:rPr>
            </w:pPr>
            <w:r w:rsidRPr="00A26929">
              <w:rPr>
                <w:sz w:val="20"/>
                <w:szCs w:val="20"/>
              </w:rPr>
              <w:t xml:space="preserve">Cover increases by </w:t>
            </w:r>
            <w:r w:rsidR="00F21D37" w:rsidRPr="00A26929">
              <w:rPr>
                <w:sz w:val="20"/>
                <w:szCs w:val="20"/>
              </w:rPr>
              <w:t>6.4%</w:t>
            </w:r>
          </w:p>
        </w:tc>
        <w:tc>
          <w:tcPr>
            <w:tcW w:w="2666" w:type="dxa"/>
          </w:tcPr>
          <w:p w14:paraId="6EA1F666" w14:textId="3083D864" w:rsidR="00F21D37" w:rsidRPr="00A26929" w:rsidRDefault="00F21D37" w:rsidP="008C1EB5">
            <w:pPr>
              <w:pStyle w:val="BodyText"/>
              <w:spacing w:before="0"/>
              <w:ind w:left="0"/>
              <w:rPr>
                <w:sz w:val="20"/>
                <w:szCs w:val="20"/>
              </w:rPr>
            </w:pPr>
            <w:r w:rsidRPr="00A26929">
              <w:rPr>
                <w:sz w:val="20"/>
                <w:szCs w:val="20"/>
              </w:rPr>
              <w:t>Positive trend with 4.5% increase</w:t>
            </w:r>
          </w:p>
          <w:p w14:paraId="59425404" w14:textId="5676974C" w:rsidR="00166967" w:rsidRPr="00A26929" w:rsidRDefault="00F21D37" w:rsidP="008C1EB5">
            <w:pPr>
              <w:pStyle w:val="BodyText"/>
              <w:spacing w:before="0"/>
              <w:ind w:left="0"/>
              <w:rPr>
                <w:sz w:val="20"/>
                <w:szCs w:val="20"/>
              </w:rPr>
            </w:pPr>
            <w:r w:rsidRPr="00A26929">
              <w:rPr>
                <w:sz w:val="20"/>
                <w:szCs w:val="20"/>
              </w:rPr>
              <w:t>QLD SLATS database concludes 100% pass 7.5% cover</w:t>
            </w:r>
          </w:p>
        </w:tc>
      </w:tr>
      <w:tr w:rsidR="00032D01" w:rsidRPr="00A26929" w14:paraId="35F2E3A8" w14:textId="77777777" w:rsidTr="66C6EC81">
        <w:tc>
          <w:tcPr>
            <w:tcW w:w="1335" w:type="dxa"/>
          </w:tcPr>
          <w:p w14:paraId="0FDFBA72" w14:textId="179D5703" w:rsidR="00032D01" w:rsidRPr="00A26929" w:rsidRDefault="00032D01" w:rsidP="008C1EB5">
            <w:pPr>
              <w:pStyle w:val="BodyText"/>
              <w:spacing w:before="0"/>
              <w:ind w:left="0"/>
              <w:rPr>
                <w:sz w:val="20"/>
                <w:szCs w:val="20"/>
              </w:rPr>
            </w:pPr>
            <w:r w:rsidRPr="00A26929">
              <w:rPr>
                <w:sz w:val="20"/>
                <w:szCs w:val="20"/>
              </w:rPr>
              <w:t>QLD#3</w:t>
            </w:r>
          </w:p>
        </w:tc>
        <w:tc>
          <w:tcPr>
            <w:tcW w:w="2574" w:type="dxa"/>
          </w:tcPr>
          <w:p w14:paraId="15005593" w14:textId="67FB8DCB" w:rsidR="00032D01" w:rsidRPr="00A26929" w:rsidRDefault="00936DC8" w:rsidP="008C1EB5">
            <w:pPr>
              <w:rPr>
                <w:color w:val="000000"/>
                <w:sz w:val="20"/>
                <w:szCs w:val="20"/>
              </w:rPr>
            </w:pPr>
            <w:r w:rsidRPr="00A26929">
              <w:rPr>
                <w:color w:val="000000"/>
                <w:sz w:val="20"/>
                <w:szCs w:val="20"/>
              </w:rPr>
              <w:t xml:space="preserve">No change. Majority of cell &lt; 7.5%. </w:t>
            </w:r>
          </w:p>
        </w:tc>
        <w:tc>
          <w:tcPr>
            <w:tcW w:w="2665" w:type="dxa"/>
          </w:tcPr>
          <w:p w14:paraId="7C53B6E5" w14:textId="77777777" w:rsidR="00FB4643" w:rsidRPr="00A26929" w:rsidRDefault="00963D3C" w:rsidP="008C1EB5">
            <w:pPr>
              <w:rPr>
                <w:sz w:val="20"/>
                <w:szCs w:val="20"/>
              </w:rPr>
            </w:pPr>
            <w:r w:rsidRPr="00A26929">
              <w:rPr>
                <w:sz w:val="20"/>
                <w:szCs w:val="20"/>
              </w:rPr>
              <w:t xml:space="preserve">27% </w:t>
            </w:r>
            <w:r w:rsidR="00FB4643" w:rsidRPr="00A26929">
              <w:rPr>
                <w:sz w:val="20"/>
                <w:szCs w:val="20"/>
              </w:rPr>
              <w:t>of cells pass</w:t>
            </w:r>
            <w:r w:rsidRPr="00A26929">
              <w:rPr>
                <w:sz w:val="20"/>
                <w:szCs w:val="20"/>
              </w:rPr>
              <w:t xml:space="preserve"> 7.5%</w:t>
            </w:r>
            <w:r w:rsidR="00FB4643" w:rsidRPr="00A26929">
              <w:rPr>
                <w:sz w:val="20"/>
                <w:szCs w:val="20"/>
              </w:rPr>
              <w:t xml:space="preserve"> check</w:t>
            </w:r>
          </w:p>
          <w:p w14:paraId="48DF97AF" w14:textId="08E5A248" w:rsidR="00032D01" w:rsidRPr="00A26929" w:rsidRDefault="00FB4643" w:rsidP="008C1EB5">
            <w:pPr>
              <w:rPr>
                <w:sz w:val="20"/>
                <w:szCs w:val="20"/>
              </w:rPr>
            </w:pPr>
            <w:r w:rsidRPr="00A26929">
              <w:rPr>
                <w:sz w:val="20"/>
                <w:szCs w:val="20"/>
              </w:rPr>
              <w:t>Cover i</w:t>
            </w:r>
            <w:r w:rsidR="00963D3C" w:rsidRPr="00A26929">
              <w:rPr>
                <w:sz w:val="20"/>
                <w:szCs w:val="20"/>
              </w:rPr>
              <w:t>ncreased by 7.</w:t>
            </w:r>
            <w:r w:rsidRPr="00A26929">
              <w:rPr>
                <w:sz w:val="20"/>
                <w:szCs w:val="20"/>
              </w:rPr>
              <w:t>7%</w:t>
            </w:r>
          </w:p>
        </w:tc>
        <w:tc>
          <w:tcPr>
            <w:tcW w:w="2666" w:type="dxa"/>
          </w:tcPr>
          <w:p w14:paraId="44CADFA7" w14:textId="100EECA5" w:rsidR="00032D01" w:rsidRPr="00A26929" w:rsidRDefault="00853AFC" w:rsidP="008C1EB5">
            <w:pPr>
              <w:pStyle w:val="BodyText"/>
              <w:spacing w:before="0"/>
              <w:ind w:left="0"/>
              <w:rPr>
                <w:sz w:val="20"/>
                <w:szCs w:val="20"/>
              </w:rPr>
            </w:pPr>
            <w:r w:rsidRPr="00A26929">
              <w:rPr>
                <w:sz w:val="20"/>
                <w:szCs w:val="20"/>
              </w:rPr>
              <w:t>P</w:t>
            </w:r>
            <w:r w:rsidR="008445C8" w:rsidRPr="00A26929">
              <w:rPr>
                <w:sz w:val="20"/>
                <w:szCs w:val="20"/>
              </w:rPr>
              <w:t>ositive trend</w:t>
            </w:r>
            <w:r w:rsidRPr="00A26929">
              <w:rPr>
                <w:sz w:val="20"/>
                <w:szCs w:val="20"/>
              </w:rPr>
              <w:t xml:space="preserve"> with cover </w:t>
            </w:r>
            <w:r w:rsidR="009D1474" w:rsidRPr="00A26929">
              <w:rPr>
                <w:sz w:val="20"/>
                <w:szCs w:val="20"/>
              </w:rPr>
              <w:t xml:space="preserve">increasing from </w:t>
            </w:r>
            <w:r w:rsidR="008445C8" w:rsidRPr="00A26929">
              <w:rPr>
                <w:sz w:val="20"/>
                <w:szCs w:val="20"/>
              </w:rPr>
              <w:t>6</w:t>
            </w:r>
            <w:r w:rsidR="009D1474" w:rsidRPr="00A26929">
              <w:rPr>
                <w:sz w:val="20"/>
                <w:szCs w:val="20"/>
              </w:rPr>
              <w:t xml:space="preserve">% to </w:t>
            </w:r>
            <w:r w:rsidR="008445C8" w:rsidRPr="00A26929">
              <w:rPr>
                <w:sz w:val="20"/>
                <w:szCs w:val="20"/>
              </w:rPr>
              <w:t>1</w:t>
            </w:r>
            <w:r w:rsidR="009D1474" w:rsidRPr="00A26929">
              <w:rPr>
                <w:sz w:val="20"/>
                <w:szCs w:val="20"/>
              </w:rPr>
              <w:t>1</w:t>
            </w:r>
            <w:r w:rsidR="008445C8" w:rsidRPr="00A26929">
              <w:rPr>
                <w:sz w:val="20"/>
                <w:szCs w:val="20"/>
              </w:rPr>
              <w:t>%</w:t>
            </w:r>
          </w:p>
        </w:tc>
      </w:tr>
      <w:tr w:rsidR="00673309" w:rsidRPr="00A26929" w14:paraId="775093D4" w14:textId="77777777" w:rsidTr="66C6EC81">
        <w:tc>
          <w:tcPr>
            <w:tcW w:w="1335" w:type="dxa"/>
          </w:tcPr>
          <w:p w14:paraId="5355640C" w14:textId="1870C3B2" w:rsidR="00673309" w:rsidRPr="00A26929" w:rsidRDefault="00673309" w:rsidP="008C1EB5">
            <w:pPr>
              <w:pStyle w:val="BodyText"/>
              <w:spacing w:before="0"/>
              <w:ind w:left="0"/>
              <w:rPr>
                <w:sz w:val="20"/>
                <w:szCs w:val="20"/>
              </w:rPr>
            </w:pPr>
            <w:r w:rsidRPr="00A26929">
              <w:rPr>
                <w:sz w:val="20"/>
                <w:szCs w:val="20"/>
              </w:rPr>
              <w:t>QLD #4</w:t>
            </w:r>
          </w:p>
        </w:tc>
        <w:tc>
          <w:tcPr>
            <w:tcW w:w="2574" w:type="dxa"/>
          </w:tcPr>
          <w:p w14:paraId="4B772927" w14:textId="77777777" w:rsidR="001A71E9" w:rsidRPr="00A26929" w:rsidRDefault="00272BBF" w:rsidP="008C1EB5">
            <w:pPr>
              <w:rPr>
                <w:color w:val="000000"/>
                <w:sz w:val="20"/>
                <w:szCs w:val="20"/>
              </w:rPr>
            </w:pPr>
            <w:r w:rsidRPr="00A26929">
              <w:rPr>
                <w:color w:val="000000"/>
                <w:sz w:val="20"/>
                <w:szCs w:val="20"/>
              </w:rPr>
              <w:t xml:space="preserve">50% </w:t>
            </w:r>
            <w:r w:rsidR="001A71E9" w:rsidRPr="00A26929">
              <w:rPr>
                <w:color w:val="000000"/>
                <w:sz w:val="20"/>
                <w:szCs w:val="20"/>
              </w:rPr>
              <w:t xml:space="preserve">of cells over 7.5% </w:t>
            </w:r>
          </w:p>
          <w:p w14:paraId="0651CDD6" w14:textId="77777777" w:rsidR="001A71E9" w:rsidRPr="00A26929" w:rsidRDefault="001A71E9" w:rsidP="008C1EB5">
            <w:pPr>
              <w:rPr>
                <w:color w:val="000000"/>
                <w:sz w:val="20"/>
                <w:szCs w:val="20"/>
              </w:rPr>
            </w:pPr>
          </w:p>
          <w:p w14:paraId="7EAA0FFB" w14:textId="2A3501A0" w:rsidR="00272BBF" w:rsidRPr="00A26929" w:rsidRDefault="001A71E9" w:rsidP="008C1EB5">
            <w:pPr>
              <w:rPr>
                <w:rFonts w:eastAsia="Times New Roman"/>
                <w:color w:val="000000"/>
                <w:sz w:val="20"/>
                <w:szCs w:val="20"/>
              </w:rPr>
            </w:pPr>
            <w:r w:rsidRPr="00A26929">
              <w:rPr>
                <w:color w:val="000000"/>
                <w:sz w:val="20"/>
                <w:szCs w:val="20"/>
              </w:rPr>
              <w:t>R</w:t>
            </w:r>
            <w:r w:rsidR="00272BBF" w:rsidRPr="00A26929">
              <w:rPr>
                <w:color w:val="000000"/>
                <w:sz w:val="20"/>
                <w:szCs w:val="20"/>
              </w:rPr>
              <w:t>egeneration evidence and positive trend towards regeneration over the last five years</w:t>
            </w:r>
          </w:p>
          <w:p w14:paraId="0DEC10D5" w14:textId="77777777" w:rsidR="00673309" w:rsidRPr="00A26929" w:rsidRDefault="00673309" w:rsidP="008C1EB5">
            <w:pPr>
              <w:rPr>
                <w:color w:val="000000"/>
                <w:sz w:val="20"/>
                <w:szCs w:val="20"/>
              </w:rPr>
            </w:pPr>
          </w:p>
        </w:tc>
        <w:tc>
          <w:tcPr>
            <w:tcW w:w="2665" w:type="dxa"/>
          </w:tcPr>
          <w:p w14:paraId="0C95652E" w14:textId="14F2D9A3" w:rsidR="003E4EE0" w:rsidRPr="00A26929" w:rsidRDefault="003E4EE0" w:rsidP="008C1EB5">
            <w:pPr>
              <w:rPr>
                <w:color w:val="000000"/>
                <w:sz w:val="20"/>
                <w:szCs w:val="20"/>
              </w:rPr>
            </w:pPr>
            <w:r w:rsidRPr="00A26929">
              <w:rPr>
                <w:color w:val="000000"/>
                <w:sz w:val="20"/>
                <w:szCs w:val="20"/>
              </w:rPr>
              <w:t>Most pass</w:t>
            </w:r>
            <w:r w:rsidR="00D96E46" w:rsidRPr="00A26929">
              <w:rPr>
                <w:color w:val="000000"/>
                <w:sz w:val="20"/>
                <w:szCs w:val="20"/>
              </w:rPr>
              <w:t xml:space="preserve"> 7.5%</w:t>
            </w:r>
            <w:r w:rsidR="003258A8" w:rsidRPr="00A26929">
              <w:rPr>
                <w:color w:val="000000"/>
                <w:sz w:val="20"/>
                <w:szCs w:val="20"/>
              </w:rPr>
              <w:t xml:space="preserve"> check</w:t>
            </w:r>
            <w:r w:rsidRPr="00A26929">
              <w:rPr>
                <w:color w:val="000000"/>
                <w:sz w:val="20"/>
                <w:szCs w:val="20"/>
              </w:rPr>
              <w:t>, m</w:t>
            </w:r>
            <w:r w:rsidR="0051771B" w:rsidRPr="00A26929">
              <w:rPr>
                <w:color w:val="000000"/>
                <w:sz w:val="20"/>
                <w:szCs w:val="20"/>
              </w:rPr>
              <w:t>inor areas of concern</w:t>
            </w:r>
          </w:p>
          <w:p w14:paraId="64098C4D" w14:textId="77777777" w:rsidR="003E4EE0" w:rsidRPr="00A26929" w:rsidRDefault="003E4EE0" w:rsidP="008C1EB5">
            <w:pPr>
              <w:rPr>
                <w:color w:val="000000"/>
                <w:sz w:val="20"/>
                <w:szCs w:val="20"/>
              </w:rPr>
            </w:pPr>
          </w:p>
          <w:p w14:paraId="5B2A256A" w14:textId="77777777" w:rsidR="003E4EE0" w:rsidRPr="00A26929" w:rsidRDefault="003E4EE0" w:rsidP="008C1EB5">
            <w:pPr>
              <w:rPr>
                <w:color w:val="000000"/>
                <w:sz w:val="20"/>
                <w:szCs w:val="20"/>
              </w:rPr>
            </w:pPr>
            <w:r w:rsidRPr="00A26929">
              <w:rPr>
                <w:color w:val="000000"/>
                <w:sz w:val="20"/>
                <w:szCs w:val="20"/>
              </w:rPr>
              <w:t>R</w:t>
            </w:r>
            <w:r w:rsidR="0051771B" w:rsidRPr="00A26929">
              <w:rPr>
                <w:color w:val="000000"/>
                <w:sz w:val="20"/>
                <w:szCs w:val="20"/>
              </w:rPr>
              <w:t xml:space="preserve">egeneration evidence </w:t>
            </w:r>
          </w:p>
          <w:p w14:paraId="17F49C9A" w14:textId="77777777" w:rsidR="00647343" w:rsidRPr="00A26929" w:rsidRDefault="00647343" w:rsidP="008C1EB5">
            <w:pPr>
              <w:rPr>
                <w:color w:val="000000"/>
                <w:sz w:val="20"/>
                <w:szCs w:val="20"/>
              </w:rPr>
            </w:pPr>
          </w:p>
          <w:p w14:paraId="5A693E93" w14:textId="1E288987" w:rsidR="0051771B" w:rsidRPr="00A26929" w:rsidRDefault="003E4EE0" w:rsidP="008C1EB5">
            <w:pPr>
              <w:rPr>
                <w:rFonts w:eastAsia="Times New Roman"/>
                <w:color w:val="000000"/>
                <w:sz w:val="20"/>
                <w:szCs w:val="20"/>
              </w:rPr>
            </w:pPr>
            <w:r w:rsidRPr="00A26929">
              <w:rPr>
                <w:color w:val="000000"/>
                <w:sz w:val="20"/>
                <w:szCs w:val="20"/>
              </w:rPr>
              <w:t>P</w:t>
            </w:r>
            <w:r w:rsidR="0051771B" w:rsidRPr="00A26929">
              <w:rPr>
                <w:color w:val="000000"/>
                <w:sz w:val="20"/>
                <w:szCs w:val="20"/>
              </w:rPr>
              <w:t>ositive trend towards regeneration over the last five years</w:t>
            </w:r>
          </w:p>
          <w:p w14:paraId="344E6125" w14:textId="77777777" w:rsidR="00673309" w:rsidRPr="00A26929" w:rsidRDefault="00673309" w:rsidP="008C1EB5">
            <w:pPr>
              <w:rPr>
                <w:sz w:val="20"/>
                <w:szCs w:val="20"/>
              </w:rPr>
            </w:pPr>
          </w:p>
        </w:tc>
        <w:tc>
          <w:tcPr>
            <w:tcW w:w="2666" w:type="dxa"/>
          </w:tcPr>
          <w:p w14:paraId="0FCE9D4A" w14:textId="51244ACE" w:rsidR="009148D4" w:rsidRPr="00A26929" w:rsidRDefault="009148D4" w:rsidP="008C1EB5">
            <w:pPr>
              <w:rPr>
                <w:rFonts w:eastAsia="Times New Roman"/>
                <w:color w:val="000000"/>
                <w:sz w:val="20"/>
                <w:szCs w:val="20"/>
              </w:rPr>
            </w:pPr>
            <w:r w:rsidRPr="00A26929">
              <w:rPr>
                <w:color w:val="000000"/>
                <w:sz w:val="20"/>
                <w:szCs w:val="20"/>
              </w:rPr>
              <w:t>woody vegetation increasing from 13% at project start to 25%</w:t>
            </w:r>
          </w:p>
          <w:p w14:paraId="3DF190E6" w14:textId="77777777" w:rsidR="00673309" w:rsidRPr="00A26929" w:rsidRDefault="00673309" w:rsidP="008C1EB5">
            <w:pPr>
              <w:pStyle w:val="BodyText"/>
              <w:spacing w:before="0"/>
              <w:ind w:left="0"/>
              <w:rPr>
                <w:sz w:val="20"/>
                <w:szCs w:val="20"/>
              </w:rPr>
            </w:pPr>
          </w:p>
        </w:tc>
      </w:tr>
      <w:tr w:rsidR="00B96261" w:rsidRPr="00A26929" w14:paraId="5F69641C" w14:textId="77777777" w:rsidTr="66C6EC81">
        <w:tc>
          <w:tcPr>
            <w:tcW w:w="1335" w:type="dxa"/>
          </w:tcPr>
          <w:p w14:paraId="1580D635" w14:textId="1FDB1989" w:rsidR="00B96261" w:rsidRPr="00A26929" w:rsidRDefault="002B3589" w:rsidP="008C1EB5">
            <w:pPr>
              <w:pStyle w:val="BodyText"/>
              <w:spacing w:before="0"/>
              <w:ind w:left="0"/>
              <w:rPr>
                <w:sz w:val="20"/>
                <w:szCs w:val="20"/>
              </w:rPr>
            </w:pPr>
            <w:r w:rsidRPr="00A26929">
              <w:rPr>
                <w:sz w:val="20"/>
                <w:szCs w:val="20"/>
              </w:rPr>
              <w:t>WA #1</w:t>
            </w:r>
          </w:p>
        </w:tc>
        <w:tc>
          <w:tcPr>
            <w:tcW w:w="2574" w:type="dxa"/>
          </w:tcPr>
          <w:p w14:paraId="0AA669B4" w14:textId="754D6F85" w:rsidR="00B96261" w:rsidRPr="00A26929" w:rsidRDefault="009A3833" w:rsidP="008C1EB5">
            <w:pPr>
              <w:rPr>
                <w:color w:val="000000"/>
                <w:sz w:val="20"/>
                <w:szCs w:val="20"/>
              </w:rPr>
            </w:pPr>
            <w:r w:rsidRPr="00A26929">
              <w:rPr>
                <w:color w:val="000000"/>
                <w:sz w:val="20"/>
                <w:szCs w:val="20"/>
              </w:rPr>
              <w:t xml:space="preserve">20% </w:t>
            </w:r>
            <w:r w:rsidR="00397DF7" w:rsidRPr="00A26929">
              <w:rPr>
                <w:color w:val="000000"/>
                <w:sz w:val="20"/>
                <w:szCs w:val="20"/>
              </w:rPr>
              <w:t>of grids</w:t>
            </w:r>
            <w:r w:rsidRPr="00A26929">
              <w:rPr>
                <w:color w:val="000000"/>
                <w:sz w:val="20"/>
                <w:szCs w:val="20"/>
              </w:rPr>
              <w:t xml:space="preserve"> &gt; 7.5%</w:t>
            </w:r>
            <w:r w:rsidR="00397DF7" w:rsidRPr="00A26929">
              <w:rPr>
                <w:color w:val="000000"/>
                <w:sz w:val="20"/>
                <w:szCs w:val="20"/>
              </w:rPr>
              <w:t xml:space="preserve">; </w:t>
            </w:r>
          </w:p>
        </w:tc>
        <w:tc>
          <w:tcPr>
            <w:tcW w:w="2665" w:type="dxa"/>
          </w:tcPr>
          <w:p w14:paraId="1EBF8FE4" w14:textId="31479718" w:rsidR="009A3833" w:rsidRPr="00A26929" w:rsidRDefault="009A3833" w:rsidP="008C1EB5">
            <w:pPr>
              <w:rPr>
                <w:sz w:val="20"/>
                <w:szCs w:val="20"/>
              </w:rPr>
            </w:pPr>
            <w:r w:rsidRPr="00A26929">
              <w:rPr>
                <w:sz w:val="20"/>
                <w:szCs w:val="20"/>
              </w:rPr>
              <w:t>80% of cells pass 7.5% check</w:t>
            </w:r>
          </w:p>
          <w:p w14:paraId="2D31C594" w14:textId="77777777" w:rsidR="00B96261" w:rsidRPr="00A26929" w:rsidRDefault="00B96261" w:rsidP="008C1EB5">
            <w:pPr>
              <w:rPr>
                <w:color w:val="000000"/>
                <w:sz w:val="20"/>
                <w:szCs w:val="20"/>
              </w:rPr>
            </w:pPr>
          </w:p>
        </w:tc>
        <w:tc>
          <w:tcPr>
            <w:tcW w:w="2666" w:type="dxa"/>
          </w:tcPr>
          <w:p w14:paraId="69759887" w14:textId="2EAE04C6" w:rsidR="00B96261" w:rsidRPr="00A26929" w:rsidRDefault="00F356AE" w:rsidP="008C1EB5">
            <w:pPr>
              <w:rPr>
                <w:color w:val="000000"/>
                <w:sz w:val="20"/>
                <w:szCs w:val="20"/>
              </w:rPr>
            </w:pPr>
            <w:r w:rsidRPr="00A26929">
              <w:rPr>
                <w:sz w:val="20"/>
                <w:szCs w:val="20"/>
              </w:rPr>
              <w:t xml:space="preserve">Positive trend with </w:t>
            </w:r>
            <w:r w:rsidR="00A3306F">
              <w:rPr>
                <w:sz w:val="20"/>
                <w:szCs w:val="20"/>
              </w:rPr>
              <w:t xml:space="preserve">woody </w:t>
            </w:r>
            <w:r w:rsidRPr="00A26929">
              <w:rPr>
                <w:sz w:val="20"/>
                <w:szCs w:val="20"/>
              </w:rPr>
              <w:t>cover increasing 9%</w:t>
            </w:r>
          </w:p>
        </w:tc>
      </w:tr>
      <w:tr w:rsidR="00F356AE" w:rsidRPr="00A26929" w14:paraId="632306CC" w14:textId="77777777" w:rsidTr="66C6EC81">
        <w:tc>
          <w:tcPr>
            <w:tcW w:w="1335" w:type="dxa"/>
          </w:tcPr>
          <w:p w14:paraId="4FA70FDB" w14:textId="75CA7B47" w:rsidR="00F356AE" w:rsidRPr="00A26929" w:rsidRDefault="00F356AE" w:rsidP="008C1EB5">
            <w:pPr>
              <w:pStyle w:val="BodyText"/>
              <w:spacing w:before="0"/>
              <w:ind w:left="0"/>
              <w:rPr>
                <w:sz w:val="20"/>
                <w:szCs w:val="20"/>
              </w:rPr>
            </w:pPr>
            <w:r w:rsidRPr="00A26929">
              <w:rPr>
                <w:sz w:val="20"/>
                <w:szCs w:val="20"/>
              </w:rPr>
              <w:t>WA #2</w:t>
            </w:r>
          </w:p>
        </w:tc>
        <w:tc>
          <w:tcPr>
            <w:tcW w:w="2574" w:type="dxa"/>
          </w:tcPr>
          <w:p w14:paraId="571813C2" w14:textId="168C94F5" w:rsidR="00F356AE" w:rsidRPr="00A26929" w:rsidRDefault="007B12AB" w:rsidP="008C1EB5">
            <w:pPr>
              <w:rPr>
                <w:color w:val="000000"/>
                <w:sz w:val="20"/>
                <w:szCs w:val="20"/>
              </w:rPr>
            </w:pPr>
            <w:r w:rsidRPr="00A26929">
              <w:rPr>
                <w:color w:val="000000"/>
                <w:sz w:val="20"/>
                <w:szCs w:val="20"/>
              </w:rPr>
              <w:t>No regeneration (stagnant trend</w:t>
            </w:r>
            <w:r w:rsidR="008504F1" w:rsidRPr="00A26929">
              <w:rPr>
                <w:color w:val="000000"/>
                <w:sz w:val="20"/>
                <w:szCs w:val="20"/>
              </w:rPr>
              <w:t>)</w:t>
            </w:r>
          </w:p>
        </w:tc>
        <w:tc>
          <w:tcPr>
            <w:tcW w:w="2665" w:type="dxa"/>
          </w:tcPr>
          <w:p w14:paraId="51BAD317" w14:textId="134EEBAB" w:rsidR="00F356AE" w:rsidRPr="00A26929" w:rsidRDefault="001D7B4D" w:rsidP="008C1EB5">
            <w:pPr>
              <w:rPr>
                <w:sz w:val="20"/>
                <w:szCs w:val="20"/>
              </w:rPr>
            </w:pPr>
            <w:r w:rsidRPr="00A26929">
              <w:rPr>
                <w:sz w:val="20"/>
                <w:szCs w:val="20"/>
              </w:rPr>
              <w:t>All except partial boundaries pass at 7.5%</w:t>
            </w:r>
          </w:p>
        </w:tc>
        <w:tc>
          <w:tcPr>
            <w:tcW w:w="2666" w:type="dxa"/>
          </w:tcPr>
          <w:p w14:paraId="0740FC7D" w14:textId="00459BEC" w:rsidR="00F356AE" w:rsidRPr="00A26929" w:rsidRDefault="008504F1" w:rsidP="008C1EB5">
            <w:pPr>
              <w:rPr>
                <w:sz w:val="20"/>
                <w:szCs w:val="20"/>
              </w:rPr>
            </w:pPr>
            <w:r w:rsidRPr="00A26929">
              <w:rPr>
                <w:sz w:val="20"/>
                <w:szCs w:val="20"/>
              </w:rPr>
              <w:t xml:space="preserve">Positive trend with </w:t>
            </w:r>
            <w:r w:rsidR="00A3306F">
              <w:rPr>
                <w:sz w:val="20"/>
                <w:szCs w:val="20"/>
              </w:rPr>
              <w:t xml:space="preserve">woody </w:t>
            </w:r>
            <w:r w:rsidRPr="00A26929">
              <w:rPr>
                <w:sz w:val="20"/>
                <w:szCs w:val="20"/>
              </w:rPr>
              <w:t>cover increasing 10%</w:t>
            </w:r>
          </w:p>
        </w:tc>
      </w:tr>
      <w:tr w:rsidR="008504F1" w:rsidRPr="00A26929" w14:paraId="746F6B03" w14:textId="77777777" w:rsidTr="66C6EC81">
        <w:tc>
          <w:tcPr>
            <w:tcW w:w="1335" w:type="dxa"/>
          </w:tcPr>
          <w:p w14:paraId="152B4837" w14:textId="27913B1E" w:rsidR="008504F1" w:rsidRPr="00A26929" w:rsidRDefault="008504F1" w:rsidP="008C1EB5">
            <w:pPr>
              <w:pStyle w:val="BodyText"/>
              <w:spacing w:before="0"/>
              <w:ind w:left="0"/>
              <w:rPr>
                <w:sz w:val="20"/>
                <w:szCs w:val="20"/>
              </w:rPr>
            </w:pPr>
            <w:r w:rsidRPr="00A26929">
              <w:rPr>
                <w:sz w:val="20"/>
                <w:szCs w:val="20"/>
              </w:rPr>
              <w:t>WA #3</w:t>
            </w:r>
          </w:p>
        </w:tc>
        <w:tc>
          <w:tcPr>
            <w:tcW w:w="2574" w:type="dxa"/>
          </w:tcPr>
          <w:p w14:paraId="1B754F51" w14:textId="556BD872" w:rsidR="00543654" w:rsidRPr="00A26929" w:rsidRDefault="00543654" w:rsidP="008C1EB5">
            <w:pPr>
              <w:rPr>
                <w:color w:val="000000"/>
                <w:sz w:val="20"/>
                <w:szCs w:val="20"/>
              </w:rPr>
            </w:pPr>
            <w:r w:rsidRPr="00A26929">
              <w:rPr>
                <w:color w:val="000000"/>
                <w:sz w:val="20"/>
                <w:szCs w:val="20"/>
              </w:rPr>
              <w:t xml:space="preserve">15% of cells over 7.5% </w:t>
            </w:r>
          </w:p>
          <w:p w14:paraId="7E708AB9" w14:textId="77777777" w:rsidR="00543654" w:rsidRPr="00A26929" w:rsidRDefault="00543654" w:rsidP="008C1EB5">
            <w:pPr>
              <w:rPr>
                <w:color w:val="000000"/>
                <w:sz w:val="20"/>
                <w:szCs w:val="20"/>
              </w:rPr>
            </w:pPr>
          </w:p>
          <w:p w14:paraId="387E2260" w14:textId="491FE961" w:rsidR="008504F1" w:rsidRPr="00A26929" w:rsidRDefault="00F82238" w:rsidP="008C1EB5">
            <w:pPr>
              <w:rPr>
                <w:color w:val="000000"/>
                <w:sz w:val="20"/>
                <w:szCs w:val="20"/>
              </w:rPr>
            </w:pPr>
            <w:r w:rsidRPr="00A26929">
              <w:rPr>
                <w:color w:val="000000"/>
                <w:sz w:val="20"/>
                <w:szCs w:val="20"/>
              </w:rPr>
              <w:t>Negative trend</w:t>
            </w:r>
          </w:p>
        </w:tc>
        <w:tc>
          <w:tcPr>
            <w:tcW w:w="2665" w:type="dxa"/>
          </w:tcPr>
          <w:p w14:paraId="6270554A" w14:textId="3D0AD157" w:rsidR="00AC14D2" w:rsidRPr="00A26929" w:rsidRDefault="00AC14D2" w:rsidP="008C1EB5">
            <w:pPr>
              <w:rPr>
                <w:sz w:val="20"/>
                <w:szCs w:val="20"/>
              </w:rPr>
            </w:pPr>
            <w:r w:rsidRPr="00A26929">
              <w:rPr>
                <w:sz w:val="20"/>
                <w:szCs w:val="20"/>
              </w:rPr>
              <w:t>43% of cells pass 7.5% check</w:t>
            </w:r>
          </w:p>
          <w:p w14:paraId="59F97FC9" w14:textId="77777777" w:rsidR="008504F1" w:rsidRPr="00A26929" w:rsidRDefault="008504F1" w:rsidP="008C1EB5">
            <w:pPr>
              <w:rPr>
                <w:sz w:val="20"/>
                <w:szCs w:val="20"/>
              </w:rPr>
            </w:pPr>
          </w:p>
        </w:tc>
        <w:tc>
          <w:tcPr>
            <w:tcW w:w="2666" w:type="dxa"/>
          </w:tcPr>
          <w:p w14:paraId="53A823BA" w14:textId="097B6263" w:rsidR="008504F1" w:rsidRPr="00A26929" w:rsidRDefault="00D20790" w:rsidP="008C1EB5">
            <w:pPr>
              <w:rPr>
                <w:sz w:val="20"/>
                <w:szCs w:val="20"/>
              </w:rPr>
            </w:pPr>
            <w:r w:rsidRPr="00A26929">
              <w:rPr>
                <w:sz w:val="20"/>
                <w:szCs w:val="20"/>
              </w:rPr>
              <w:t xml:space="preserve">positive trend with </w:t>
            </w:r>
            <w:r w:rsidR="00A3306F">
              <w:rPr>
                <w:sz w:val="20"/>
                <w:szCs w:val="20"/>
              </w:rPr>
              <w:t xml:space="preserve">woody </w:t>
            </w:r>
            <w:r w:rsidRPr="00A26929">
              <w:rPr>
                <w:sz w:val="20"/>
                <w:szCs w:val="20"/>
              </w:rPr>
              <w:t>cover increasing 6%</w:t>
            </w:r>
          </w:p>
        </w:tc>
      </w:tr>
      <w:tr w:rsidR="002E4BFF" w:rsidRPr="00A26929" w14:paraId="110AED55" w14:textId="77777777" w:rsidTr="66C6EC81">
        <w:tc>
          <w:tcPr>
            <w:tcW w:w="1335" w:type="dxa"/>
          </w:tcPr>
          <w:p w14:paraId="222FF2CF" w14:textId="51E070EC" w:rsidR="002E4BFF" w:rsidRPr="00A26929" w:rsidRDefault="002E4BFF" w:rsidP="008C1EB5">
            <w:pPr>
              <w:pStyle w:val="BodyText"/>
              <w:spacing w:before="0"/>
              <w:ind w:left="0"/>
              <w:rPr>
                <w:sz w:val="20"/>
                <w:szCs w:val="20"/>
              </w:rPr>
            </w:pPr>
            <w:r w:rsidRPr="00A26929">
              <w:rPr>
                <w:sz w:val="20"/>
                <w:szCs w:val="20"/>
              </w:rPr>
              <w:t>WA #4</w:t>
            </w:r>
          </w:p>
        </w:tc>
        <w:tc>
          <w:tcPr>
            <w:tcW w:w="2574" w:type="dxa"/>
          </w:tcPr>
          <w:p w14:paraId="041B293C" w14:textId="5C7A1E3D" w:rsidR="0059472E" w:rsidRPr="00A26929" w:rsidRDefault="0059472E" w:rsidP="008C1EB5">
            <w:pPr>
              <w:rPr>
                <w:color w:val="000000"/>
                <w:sz w:val="20"/>
                <w:szCs w:val="20"/>
              </w:rPr>
            </w:pPr>
            <w:r w:rsidRPr="00A26929">
              <w:rPr>
                <w:color w:val="000000"/>
                <w:sz w:val="20"/>
                <w:szCs w:val="20"/>
              </w:rPr>
              <w:t xml:space="preserve">10% of cells over 7.5% </w:t>
            </w:r>
          </w:p>
          <w:p w14:paraId="2482A154" w14:textId="77777777" w:rsidR="002E4BFF" w:rsidRPr="00A26929" w:rsidRDefault="002E4BFF" w:rsidP="008C1EB5">
            <w:pPr>
              <w:rPr>
                <w:color w:val="000000"/>
                <w:sz w:val="20"/>
                <w:szCs w:val="20"/>
              </w:rPr>
            </w:pPr>
          </w:p>
        </w:tc>
        <w:tc>
          <w:tcPr>
            <w:tcW w:w="2665" w:type="dxa"/>
          </w:tcPr>
          <w:p w14:paraId="1774CE06" w14:textId="5DC0CDFF" w:rsidR="00EB65AA" w:rsidRPr="00A26929" w:rsidRDefault="00EB65AA" w:rsidP="008C1EB5">
            <w:pPr>
              <w:rPr>
                <w:sz w:val="20"/>
                <w:szCs w:val="20"/>
              </w:rPr>
            </w:pPr>
            <w:r w:rsidRPr="00A26929">
              <w:rPr>
                <w:sz w:val="20"/>
                <w:szCs w:val="20"/>
              </w:rPr>
              <w:t>80% of cells pass 7.5% check</w:t>
            </w:r>
          </w:p>
          <w:p w14:paraId="4273DAD9" w14:textId="77777777" w:rsidR="002E4BFF" w:rsidRPr="00A26929" w:rsidRDefault="002E4BFF" w:rsidP="008C1EB5">
            <w:pPr>
              <w:rPr>
                <w:sz w:val="20"/>
                <w:szCs w:val="20"/>
              </w:rPr>
            </w:pPr>
          </w:p>
        </w:tc>
        <w:tc>
          <w:tcPr>
            <w:tcW w:w="2666" w:type="dxa"/>
          </w:tcPr>
          <w:p w14:paraId="719F8DAC" w14:textId="5D7A258A" w:rsidR="002E4BFF" w:rsidRPr="00A26929" w:rsidRDefault="00264519" w:rsidP="008C1EB5">
            <w:pPr>
              <w:rPr>
                <w:sz w:val="20"/>
                <w:szCs w:val="20"/>
              </w:rPr>
            </w:pPr>
            <w:r w:rsidRPr="00A26929">
              <w:rPr>
                <w:sz w:val="20"/>
                <w:szCs w:val="20"/>
              </w:rPr>
              <w:t xml:space="preserve">positive trend with </w:t>
            </w:r>
            <w:r w:rsidR="00A3306F">
              <w:rPr>
                <w:sz w:val="20"/>
                <w:szCs w:val="20"/>
              </w:rPr>
              <w:t xml:space="preserve">woody </w:t>
            </w:r>
            <w:r w:rsidRPr="00A26929">
              <w:rPr>
                <w:sz w:val="20"/>
                <w:szCs w:val="20"/>
              </w:rPr>
              <w:t>cover increasing 6%</w:t>
            </w:r>
          </w:p>
        </w:tc>
      </w:tr>
    </w:tbl>
    <w:p w14:paraId="6E18AE28" w14:textId="77777777" w:rsidR="001D1813" w:rsidRDefault="001D1813" w:rsidP="00B25388">
      <w:pPr>
        <w:pStyle w:val="BodyText"/>
      </w:pPr>
    </w:p>
    <w:p w14:paraId="59CC5CCF" w14:textId="57799367" w:rsidR="00C9264D" w:rsidRDefault="00313A0C" w:rsidP="00B25388">
      <w:pPr>
        <w:pStyle w:val="BodyText"/>
      </w:pPr>
      <w:r>
        <w:t>F</w:t>
      </w:r>
      <w:r w:rsidR="0083118A">
        <w:t xml:space="preserve">ield </w:t>
      </w:r>
      <w:r w:rsidR="00771265">
        <w:t>measurement</w:t>
      </w:r>
      <w:r w:rsidR="00DD1D93">
        <w:t>s</w:t>
      </w:r>
      <w:r w:rsidR="00771265">
        <w:t xml:space="preserve"> allow direct comparison </w:t>
      </w:r>
      <w:r w:rsidR="004B5E42">
        <w:t xml:space="preserve">of canopy statistics </w:t>
      </w:r>
      <w:r w:rsidR="00771265">
        <w:t>with national</w:t>
      </w:r>
      <w:r w:rsidR="002877B2">
        <w:t>-</w:t>
      </w:r>
      <w:r w:rsidR="00771265">
        <w:t>scale model</w:t>
      </w:r>
      <w:r w:rsidR="004B5E42">
        <w:t xml:space="preserve"> estimate</w:t>
      </w:r>
      <w:r w:rsidR="00771265">
        <w:t>s</w:t>
      </w:r>
      <w:r w:rsidR="00E84622">
        <w:t xml:space="preserve">. </w:t>
      </w:r>
      <w:r w:rsidR="00EB67E9">
        <w:t xml:space="preserve">The inclusion of POI as well as </w:t>
      </w:r>
      <w:r w:rsidR="002947FC">
        <w:t>systematically collected POP and TOP</w:t>
      </w:r>
      <w:r w:rsidR="009C4B4F">
        <w:t xml:space="preserve"> </w:t>
      </w:r>
      <w:r w:rsidR="00BA5446">
        <w:t xml:space="preserve">ensured these field </w:t>
      </w:r>
      <w:r w:rsidR="00BA5446">
        <w:lastRenderedPageBreak/>
        <w:t xml:space="preserve">measurements </w:t>
      </w:r>
      <w:r w:rsidR="00946D5B">
        <w:t>wi</w:t>
      </w:r>
      <w:r w:rsidR="00BA5446">
        <w:t>ll have</w:t>
      </w:r>
      <w:r w:rsidR="00946D5B">
        <w:t xml:space="preserve"> an emphasis on </w:t>
      </w:r>
      <w:r w:rsidR="00BA5446">
        <w:t>CEAs</w:t>
      </w:r>
      <w:r w:rsidR="00946D5B">
        <w:t xml:space="preserve"> </w:t>
      </w:r>
      <w:r w:rsidR="006F28C4">
        <w:t>aro</w:t>
      </w:r>
      <w:r w:rsidR="00814A3D">
        <w:t>und</w:t>
      </w:r>
      <w:r w:rsidR="00946D5B">
        <w:t xml:space="preserve"> the </w:t>
      </w:r>
      <w:r w:rsidR="001C0117">
        <w:t>important threshold levels of canopy cover (</w:t>
      </w:r>
      <w:r w:rsidR="00240486">
        <w:t>i.e</w:t>
      </w:r>
      <w:r w:rsidR="00AF4D9D">
        <w:t>.</w:t>
      </w:r>
      <w:r w:rsidR="001C0117">
        <w:t>, 7.5%</w:t>
      </w:r>
      <w:r w:rsidR="00AF4D9D">
        <w:t xml:space="preserve">) </w:t>
      </w:r>
      <w:r w:rsidR="005B0C49">
        <w:t xml:space="preserve">while still covering the range of canopy cover </w:t>
      </w:r>
      <w:r w:rsidR="00C564B7">
        <w:t>across the CEAs</w:t>
      </w:r>
      <w:r w:rsidR="00F443F3">
        <w:t>.</w:t>
      </w:r>
      <w:r w:rsidR="009C4B4F">
        <w:t xml:space="preserve"> </w:t>
      </w:r>
    </w:p>
    <w:p w14:paraId="70959F86" w14:textId="5D3DFBC5" w:rsidR="003B4CF1" w:rsidRDefault="000B3A70" w:rsidP="00B25388">
      <w:pPr>
        <w:pStyle w:val="BodyText"/>
      </w:pPr>
      <w:r>
        <w:t xml:space="preserve">Over 200 field measurement </w:t>
      </w:r>
      <w:r w:rsidR="00D3217E">
        <w:t>points were provided for th</w:t>
      </w:r>
      <w:r w:rsidR="008529C8">
        <w:t>e</w:t>
      </w:r>
      <w:r w:rsidR="00D3217E">
        <w:t xml:space="preserve"> 2024 analys</w:t>
      </w:r>
      <w:r w:rsidR="004277FE">
        <w:t>e</w:t>
      </w:r>
      <w:r w:rsidR="00D3217E">
        <w:t xml:space="preserve">s. </w:t>
      </w:r>
      <w:r w:rsidR="00BB00E6">
        <w:t>The location for each point was identified in Australia’s Environment Explorer</w:t>
      </w:r>
      <w:r w:rsidR="00E56E16">
        <w:t xml:space="preserve"> and the associated remotely sensed imagery and model</w:t>
      </w:r>
      <w:r w:rsidR="00463C33">
        <w:t xml:space="preserve"> predictions </w:t>
      </w:r>
      <w:r w:rsidR="00B11B86">
        <w:t>(</w:t>
      </w:r>
      <w:r w:rsidR="00B11B86">
        <w:fldChar w:fldCharType="begin"/>
      </w:r>
      <w:r w:rsidR="00B11B86">
        <w:instrText xml:space="preserve"> REF _Ref180759253 \h </w:instrText>
      </w:r>
      <w:r w:rsidR="00B11B86">
        <w:fldChar w:fldCharType="separate"/>
      </w:r>
      <w:r w:rsidR="00127CAB">
        <w:t xml:space="preserve">Table </w:t>
      </w:r>
      <w:r w:rsidR="00127CAB">
        <w:rPr>
          <w:noProof/>
        </w:rPr>
        <w:t>1</w:t>
      </w:r>
      <w:r w:rsidR="00B11B86">
        <w:fldChar w:fldCharType="end"/>
      </w:r>
      <w:r w:rsidR="00B11B86">
        <w:t xml:space="preserve">) </w:t>
      </w:r>
      <w:r w:rsidR="00463C33">
        <w:t>were examined to check whether the point was in a relatively homogeneous area</w:t>
      </w:r>
      <w:r w:rsidR="008C1F2F">
        <w:t xml:space="preserve"> (</w:t>
      </w:r>
      <w:r w:rsidR="005E1247">
        <w:fldChar w:fldCharType="begin"/>
      </w:r>
      <w:r w:rsidR="005E1247">
        <w:instrText xml:space="preserve"> REF _Ref181962483 \h </w:instrText>
      </w:r>
      <w:r w:rsidR="005E1247">
        <w:fldChar w:fldCharType="separate"/>
      </w:r>
      <w:r w:rsidR="00127CAB">
        <w:t xml:space="preserve">Figure </w:t>
      </w:r>
      <w:r w:rsidR="00127CAB">
        <w:rPr>
          <w:noProof/>
        </w:rPr>
        <w:t>4</w:t>
      </w:r>
      <w:r w:rsidR="005E1247">
        <w:fldChar w:fldCharType="end"/>
      </w:r>
      <w:r w:rsidR="005E1247">
        <w:t>)</w:t>
      </w:r>
      <w:r w:rsidR="00463C33">
        <w:t xml:space="preserve">. </w:t>
      </w:r>
      <w:r w:rsidR="006E1119">
        <w:t>If the location was too close to changes in vegetation</w:t>
      </w:r>
      <w:r w:rsidR="005E1850">
        <w:t xml:space="preserve"> type</w:t>
      </w:r>
      <w:r w:rsidR="00185939">
        <w:t xml:space="preserve"> </w:t>
      </w:r>
      <w:r w:rsidR="003B4CF1">
        <w:t>or</w:t>
      </w:r>
      <w:r w:rsidR="006E1119">
        <w:t xml:space="preserve"> </w:t>
      </w:r>
      <w:r w:rsidR="005E1850">
        <w:t xml:space="preserve">other </w:t>
      </w:r>
      <w:r w:rsidR="006E1119">
        <w:t>boundaries</w:t>
      </w:r>
      <w:r w:rsidR="00185939">
        <w:t xml:space="preserve"> </w:t>
      </w:r>
      <w:r w:rsidR="003B4CF1">
        <w:t>it was excluded from this analysis</w:t>
      </w:r>
      <w:r w:rsidR="005E1850">
        <w:t>.</w:t>
      </w:r>
    </w:p>
    <w:p w14:paraId="5A69DD78" w14:textId="77777777" w:rsidR="003B4CF1" w:rsidRDefault="003B4CF1" w:rsidP="00B25388">
      <w:pPr>
        <w:pStyle w:val="BodyText"/>
      </w:pPr>
    </w:p>
    <w:p w14:paraId="667A9EB2" w14:textId="06F3A8CA" w:rsidR="00745C72" w:rsidRDefault="004D6CE2" w:rsidP="00B25388">
      <w:pPr>
        <w:pStyle w:val="BodyText"/>
      </w:pPr>
      <w:r>
        <w:rPr>
          <w:noProof/>
        </w:rPr>
        <w:drawing>
          <wp:inline distT="0" distB="0" distL="0" distR="0" wp14:anchorId="4C9F097A" wp14:editId="64AB2F7E">
            <wp:extent cx="6013450" cy="2767330"/>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13450" cy="2767330"/>
                    </a:xfrm>
                    <a:prstGeom prst="rect">
                      <a:avLst/>
                    </a:prstGeom>
                  </pic:spPr>
                </pic:pic>
              </a:graphicData>
            </a:graphic>
          </wp:inline>
        </w:drawing>
      </w:r>
    </w:p>
    <w:p w14:paraId="5887AB53" w14:textId="3F34D256" w:rsidR="00904F73" w:rsidRDefault="00745C72" w:rsidP="00745C72">
      <w:pPr>
        <w:pStyle w:val="Caption"/>
      </w:pPr>
      <w:bookmarkStart w:id="6" w:name="_Ref181962483"/>
      <w:r>
        <w:t xml:space="preserve">Figure </w:t>
      </w:r>
      <w:r w:rsidR="00127CAB">
        <w:fldChar w:fldCharType="begin"/>
      </w:r>
      <w:r w:rsidR="00127CAB">
        <w:instrText xml:space="preserve"> SEQ Figure \* ARABIC </w:instrText>
      </w:r>
      <w:r w:rsidR="00127CAB">
        <w:fldChar w:fldCharType="separate"/>
      </w:r>
      <w:r w:rsidR="00127CAB">
        <w:rPr>
          <w:noProof/>
        </w:rPr>
        <w:t>4</w:t>
      </w:r>
      <w:r w:rsidR="00127CAB">
        <w:rPr>
          <w:noProof/>
        </w:rPr>
        <w:fldChar w:fldCharType="end"/>
      </w:r>
      <w:bookmarkEnd w:id="6"/>
      <w:r>
        <w:t xml:space="preserve">: Example of a field measurement site displayed in Australia's Environmental Explorer showing WCF trends, recent remote sensing image and options for other model outputs. The 2023 mean WCF for this Natural Resource </w:t>
      </w:r>
      <w:r w:rsidR="00763E59">
        <w:t xml:space="preserve">Management </w:t>
      </w:r>
      <w:r>
        <w:t>Region is 8%</w:t>
      </w:r>
      <w:r w:rsidR="00185939">
        <w:t xml:space="preserve"> </w:t>
      </w:r>
    </w:p>
    <w:p w14:paraId="1D6CA06E" w14:textId="3958F5D9" w:rsidR="009B67D9" w:rsidRDefault="001802AE" w:rsidP="00B25388">
      <w:pPr>
        <w:pStyle w:val="BodyText"/>
      </w:pPr>
      <w:r>
        <w:t>The NFSW class for each sample point was identified</w:t>
      </w:r>
      <w:r w:rsidR="00F268F2">
        <w:t xml:space="preserve"> and an ANOVA</w:t>
      </w:r>
      <w:r w:rsidR="005D7113">
        <w:rPr>
          <w:rStyle w:val="FootnoteReference"/>
        </w:rPr>
        <w:footnoteReference w:id="10"/>
      </w:r>
      <w:r w:rsidR="00F268F2">
        <w:t xml:space="preserve"> tested </w:t>
      </w:r>
      <w:r w:rsidR="00D433D1">
        <w:t>for significant differences between the three classes</w:t>
      </w:r>
      <w:r w:rsidR="003B018F">
        <w:t xml:space="preserve"> (</w:t>
      </w:r>
      <w:r>
        <w:fldChar w:fldCharType="begin"/>
      </w:r>
      <w:r>
        <w:instrText xml:space="preserve"> REF _Ref181965386 \h </w:instrText>
      </w:r>
      <w:r>
        <w:fldChar w:fldCharType="separate"/>
      </w:r>
      <w:r w:rsidR="00127CAB">
        <w:t xml:space="preserve">Table </w:t>
      </w:r>
      <w:r w:rsidR="00127CAB">
        <w:rPr>
          <w:noProof/>
        </w:rPr>
        <w:t>3</w:t>
      </w:r>
      <w:r>
        <w:fldChar w:fldCharType="end"/>
      </w:r>
      <w:r w:rsidR="003B018F">
        <w:t>)</w:t>
      </w:r>
      <w:r w:rsidR="00D433D1">
        <w:t xml:space="preserve">. </w:t>
      </w:r>
      <w:r w:rsidR="0058587B">
        <w:t>Each State was tested separately as there was a significant interaction between classes and States (p&lt;0.05)</w:t>
      </w:r>
      <w:r w:rsidR="003260C1">
        <w:t xml:space="preserve">. </w:t>
      </w:r>
      <w:r w:rsidR="00D23F10">
        <w:t xml:space="preserve">The accuracy of NFSW </w:t>
      </w:r>
      <w:r w:rsidR="00945E46">
        <w:t xml:space="preserve">in classifying points into their correct canopy cover class was </w:t>
      </w:r>
      <w:r w:rsidR="00F74CF6">
        <w:t>substantially poorer than reported</w:t>
      </w:r>
      <w:r w:rsidR="008131E7">
        <w:t xml:space="preserve"> in the literature, and the mean canopy cover was not significantly </w:t>
      </w:r>
      <w:r w:rsidR="00E36166">
        <w:t xml:space="preserve">different between classes (p&gt;0.05). </w:t>
      </w:r>
      <w:r w:rsidR="007C36C7">
        <w:t>Except for wo</w:t>
      </w:r>
      <w:r w:rsidR="00011190">
        <w:t>o</w:t>
      </w:r>
      <w:r w:rsidR="007C36C7">
        <w:t>dy/forest, the</w:t>
      </w:r>
      <w:r w:rsidR="00CC4C18">
        <w:t xml:space="preserve"> mean canopy cover for each cell was </w:t>
      </w:r>
      <w:r w:rsidR="00121CFD">
        <w:t xml:space="preserve">significantly </w:t>
      </w:r>
      <w:r w:rsidR="005A6518">
        <w:t>greater (p&lt;0.05) than the nominal canopy cover for each</w:t>
      </w:r>
      <w:r w:rsidR="00D24EDF">
        <w:t xml:space="preserve"> N</w:t>
      </w:r>
      <w:r w:rsidR="00E2031B">
        <w:t>FSW</w:t>
      </w:r>
      <w:r w:rsidR="005A6518">
        <w:t xml:space="preserve"> class. </w:t>
      </w:r>
    </w:p>
    <w:p w14:paraId="178AFCF8" w14:textId="69577782" w:rsidR="001902BB" w:rsidRDefault="00E1770A" w:rsidP="00B25388">
      <w:pPr>
        <w:pStyle w:val="BodyText"/>
      </w:pPr>
      <w:r>
        <w:t xml:space="preserve">The relatively poor </w:t>
      </w:r>
      <w:r w:rsidR="009B67D9">
        <w:t>accuracy</w:t>
      </w:r>
      <w:r>
        <w:t xml:space="preserve"> of NFSW may in part be due to </w:t>
      </w:r>
      <w:r w:rsidR="002F7283">
        <w:t>POIs mak</w:t>
      </w:r>
      <w:r w:rsidR="009B67D9">
        <w:t>ing</w:t>
      </w:r>
      <w:r w:rsidR="002F7283">
        <w:t xml:space="preserve"> up </w:t>
      </w:r>
      <w:r w:rsidR="00735AD5">
        <w:t>a disproportion</w:t>
      </w:r>
      <w:r w:rsidR="00E11048">
        <w:t>ally large</w:t>
      </w:r>
      <w:r w:rsidR="00735AD5">
        <w:t xml:space="preserve"> </w:t>
      </w:r>
      <w:r w:rsidR="002D7EE0">
        <w:t>portion</w:t>
      </w:r>
      <w:r w:rsidR="002F7283">
        <w:t xml:space="preserve"> of the sample</w:t>
      </w:r>
      <w:r w:rsidR="002D7EE0">
        <w:t>. These POIs</w:t>
      </w:r>
      <w:r w:rsidR="002F7283">
        <w:t xml:space="preserve"> </w:t>
      </w:r>
      <w:r w:rsidR="002D7EE0">
        <w:t>were</w:t>
      </w:r>
      <w:r w:rsidR="002F7283">
        <w:t xml:space="preserve"> selected </w:t>
      </w:r>
      <w:r w:rsidR="00040D30">
        <w:t>as</w:t>
      </w:r>
      <w:r w:rsidR="002F7283">
        <w:t xml:space="preserve"> </w:t>
      </w:r>
      <w:r w:rsidR="00EE322B">
        <w:t>“potential problem” areas by CER</w:t>
      </w:r>
      <w:r w:rsidR="002D7EE0">
        <w:t xml:space="preserve"> and therefore may also </w:t>
      </w:r>
      <w:r w:rsidR="000A38BC">
        <w:t>be “potential outliers” for NFSW</w:t>
      </w:r>
      <w:r w:rsidR="00EE322B">
        <w:t xml:space="preserve">. </w:t>
      </w:r>
      <w:r w:rsidR="00F0223B">
        <w:t>In contrast</w:t>
      </w:r>
      <w:r w:rsidR="00CD7054">
        <w:t xml:space="preserve"> to the poor NFSW accuracy</w:t>
      </w:r>
      <w:r w:rsidR="00F0223B">
        <w:t xml:space="preserve">, </w:t>
      </w:r>
      <w:r w:rsidR="00D25AA0">
        <w:t>7</w:t>
      </w:r>
      <w:r w:rsidR="0057449E">
        <w:t>1</w:t>
      </w:r>
      <w:r w:rsidR="00D25AA0">
        <w:t>% of the samples</w:t>
      </w:r>
      <w:r w:rsidR="00E33A0C">
        <w:t xml:space="preserve"> </w:t>
      </w:r>
      <w:r w:rsidR="00865429">
        <w:t xml:space="preserve">were correctly </w:t>
      </w:r>
      <w:r w:rsidR="00D33177">
        <w:t xml:space="preserve">mapped by proponent/agents as being within </w:t>
      </w:r>
      <w:r w:rsidR="00E33A0C">
        <w:t xml:space="preserve">the </w:t>
      </w:r>
      <w:r w:rsidR="00B833A1">
        <w:t>“successful CEA</w:t>
      </w:r>
      <w:r w:rsidR="00716D2F">
        <w:t>”</w:t>
      </w:r>
      <w:r w:rsidR="00B833A1">
        <w:t xml:space="preserve"> </w:t>
      </w:r>
      <w:r w:rsidR="00D33177">
        <w:t xml:space="preserve">strata </w:t>
      </w:r>
      <w:r w:rsidR="003327BE">
        <w:t>–</w:t>
      </w:r>
      <w:r w:rsidR="00D33177">
        <w:t xml:space="preserve"> </w:t>
      </w:r>
      <w:r w:rsidR="003327BE">
        <w:t xml:space="preserve">i.e., </w:t>
      </w:r>
      <w:r w:rsidR="00D33177">
        <w:t xml:space="preserve">more than </w:t>
      </w:r>
      <w:r w:rsidR="008B1A93">
        <w:t xml:space="preserve">the </w:t>
      </w:r>
      <w:r w:rsidR="00D33177">
        <w:t>7.5% canopy cover</w:t>
      </w:r>
      <w:r w:rsidR="00FD6F85">
        <w:t xml:space="preserve"> required threshold</w:t>
      </w:r>
      <w:r w:rsidR="00A16B02">
        <w:t xml:space="preserve"> level</w:t>
      </w:r>
      <w:r w:rsidR="00D33177">
        <w:t>.</w:t>
      </w:r>
      <w:r w:rsidR="001B0799">
        <w:t xml:space="preserve"> </w:t>
      </w:r>
      <w:r w:rsidR="001E3C46">
        <w:t xml:space="preserve">Of the remaining samples </w:t>
      </w:r>
      <w:r w:rsidR="0077478A">
        <w:t>(29%)</w:t>
      </w:r>
      <w:r w:rsidR="00493E1B">
        <w:t xml:space="preserve"> </w:t>
      </w:r>
      <w:r w:rsidR="001E3C46">
        <w:t xml:space="preserve">with less than 7.5% measured canopy cover, </w:t>
      </w:r>
      <w:r w:rsidR="00171B0E">
        <w:t xml:space="preserve">ecologists undertaking the s215 audits concluded that </w:t>
      </w:r>
      <w:r w:rsidR="005D7113">
        <w:t>just under half (</w:t>
      </w:r>
      <w:r w:rsidR="00C231A9">
        <w:t>47%</w:t>
      </w:r>
      <w:r w:rsidR="005D7113">
        <w:t>)</w:t>
      </w:r>
      <w:r w:rsidR="00C231A9">
        <w:t xml:space="preserve"> </w:t>
      </w:r>
      <w:r w:rsidR="0097454A">
        <w:t xml:space="preserve">had a medium or better chance of achieving forest cover based on the number </w:t>
      </w:r>
      <w:r w:rsidR="00AE0DA1">
        <w:t xml:space="preserve">and species observed </w:t>
      </w:r>
      <w:r w:rsidR="00493E1B">
        <w:t xml:space="preserve">on site but </w:t>
      </w:r>
      <w:r w:rsidR="006C58A0">
        <w:t>currently</w:t>
      </w:r>
      <w:r w:rsidR="00493E1B">
        <w:t xml:space="preserve"> less than 2 m</w:t>
      </w:r>
      <w:r w:rsidR="00FB507A">
        <w:t xml:space="preserve"> (</w:t>
      </w:r>
      <w:r>
        <w:fldChar w:fldCharType="begin"/>
      </w:r>
      <w:r>
        <w:instrText xml:space="preserve"> REF _Ref182061825 \h </w:instrText>
      </w:r>
      <w:r>
        <w:fldChar w:fldCharType="separate"/>
      </w:r>
      <w:r w:rsidR="00127CAB">
        <w:t xml:space="preserve">Table </w:t>
      </w:r>
      <w:r w:rsidR="00127CAB">
        <w:rPr>
          <w:noProof/>
        </w:rPr>
        <w:t>4</w:t>
      </w:r>
      <w:r>
        <w:fldChar w:fldCharType="end"/>
      </w:r>
      <w:r w:rsidR="00FB507A">
        <w:t>)</w:t>
      </w:r>
      <w:r w:rsidR="0035590B">
        <w:t>.</w:t>
      </w:r>
      <w:r w:rsidR="00FB507A">
        <w:t xml:space="preserve"> </w:t>
      </w:r>
      <w:r w:rsidR="009B00D0">
        <w:t xml:space="preserve">Overall, </w:t>
      </w:r>
      <w:r w:rsidR="00C376FE">
        <w:t xml:space="preserve">the proponent/agent stratification maps had an accuracy of 84% </w:t>
      </w:r>
      <w:r w:rsidR="00E62D3B">
        <w:t xml:space="preserve">classifying areas as having at least 7.5% canopy cover or enough </w:t>
      </w:r>
      <w:r w:rsidR="00615AF2">
        <w:t>stems of appropriate species to produce a forest.</w:t>
      </w:r>
      <w:r w:rsidR="00171B0E">
        <w:t xml:space="preserve"> </w:t>
      </w:r>
    </w:p>
    <w:p w14:paraId="75670528" w14:textId="41071C2F" w:rsidR="00904F73" w:rsidRDefault="003919B1" w:rsidP="00B25388">
      <w:pPr>
        <w:pStyle w:val="BodyText"/>
      </w:pPr>
      <w:r>
        <w:lastRenderedPageBreak/>
        <w:t xml:space="preserve">These </w:t>
      </w:r>
      <w:r w:rsidR="00B83E41">
        <w:t xml:space="preserve">findings indicate that NFSW is not a useful estimator of </w:t>
      </w:r>
      <w:r w:rsidR="00D56790">
        <w:t xml:space="preserve">current </w:t>
      </w:r>
      <w:r w:rsidR="00B83E41">
        <w:t xml:space="preserve">canopy cover </w:t>
      </w:r>
      <w:r w:rsidR="00D56790">
        <w:t>in the</w:t>
      </w:r>
      <w:r w:rsidR="009716B0">
        <w:t>se</w:t>
      </w:r>
      <w:r w:rsidR="00D56790">
        <w:t xml:space="preserve"> POI and representative POPs or TOPs</w:t>
      </w:r>
      <w:r w:rsidR="004F223C">
        <w:t xml:space="preserve"> and that the stratification by proponents using higher resolution and locally calibrated data is far superior</w:t>
      </w:r>
      <w:r w:rsidR="00D56790">
        <w:t xml:space="preserve">. </w:t>
      </w:r>
      <w:r w:rsidR="007B3851">
        <w:t xml:space="preserve">Even moving between </w:t>
      </w:r>
      <w:r w:rsidR="004F223C">
        <w:t xml:space="preserve">NFSW </w:t>
      </w:r>
      <w:r w:rsidR="007B3851">
        <w:t xml:space="preserve">classes may be more likely to reflect inaccuracies in the NFSW </w:t>
      </w:r>
      <w:r w:rsidR="004D1150">
        <w:t>classifier than changes in canopy cover.</w:t>
      </w:r>
    </w:p>
    <w:p w14:paraId="0D6CA15E" w14:textId="77777777" w:rsidR="00E54C20" w:rsidRDefault="00E54C20" w:rsidP="00B25388">
      <w:pPr>
        <w:pStyle w:val="BodyText"/>
      </w:pPr>
    </w:p>
    <w:p w14:paraId="62A264B2" w14:textId="235F9653" w:rsidR="001B3E58" w:rsidRDefault="00E54C20" w:rsidP="00E54C20">
      <w:pPr>
        <w:pStyle w:val="Caption"/>
      </w:pPr>
      <w:bookmarkStart w:id="7" w:name="_Ref181965386"/>
      <w:r>
        <w:t xml:space="preserve">Table </w:t>
      </w:r>
      <w:r>
        <w:fldChar w:fldCharType="begin"/>
      </w:r>
      <w:r>
        <w:instrText>SEQ Table \* ARABIC</w:instrText>
      </w:r>
      <w:r>
        <w:fldChar w:fldCharType="separate"/>
      </w:r>
      <w:r w:rsidR="00127CAB">
        <w:rPr>
          <w:noProof/>
        </w:rPr>
        <w:t>3</w:t>
      </w:r>
      <w:r>
        <w:fldChar w:fldCharType="end"/>
      </w:r>
      <w:bookmarkEnd w:id="7"/>
      <w:r>
        <w:t xml:space="preserve">: </w:t>
      </w:r>
      <w:r w:rsidRPr="009825B5">
        <w:t xml:space="preserve">ANOVA for </w:t>
      </w:r>
      <w:r>
        <w:t>field measurements of</w:t>
      </w:r>
      <w:r w:rsidRPr="009825B5">
        <w:t xml:space="preserve"> canopy </w:t>
      </w:r>
      <w:r>
        <w:t>copy</w:t>
      </w:r>
      <w:r w:rsidRPr="009825B5">
        <w:t xml:space="preserve"> against NFSW classes (Version </w:t>
      </w:r>
      <w:r>
        <w:t>8</w:t>
      </w:r>
      <w:r w:rsidRPr="009825B5">
        <w:t>.0 - 202</w:t>
      </w:r>
      <w:r>
        <w:t>3</w:t>
      </w:r>
      <w:r w:rsidRPr="009825B5">
        <w:t xml:space="preserve"> Release). The diamonds represent ANOVA means and error ranges</w:t>
      </w:r>
      <w:r>
        <w:t>. Classification accuracy = number of samples within correct canopy cover range / total number classified in that NFSW class</w:t>
      </w:r>
      <w:r w:rsidR="002C1F27">
        <w:t>.</w:t>
      </w:r>
    </w:p>
    <w:tbl>
      <w:tblPr>
        <w:tblStyle w:val="TableGrid"/>
        <w:tblW w:w="10069" w:type="dxa"/>
        <w:tblInd w:w="220" w:type="dxa"/>
        <w:tblLayout w:type="fixed"/>
        <w:tblLook w:val="04A0" w:firstRow="1" w:lastRow="0" w:firstColumn="1" w:lastColumn="0" w:noHBand="0" w:noVBand="1"/>
      </w:tblPr>
      <w:tblGrid>
        <w:gridCol w:w="3314"/>
        <w:gridCol w:w="3265"/>
        <w:gridCol w:w="3490"/>
      </w:tblGrid>
      <w:tr w:rsidR="000A3C87" w14:paraId="086B40E1" w14:textId="77777777" w:rsidTr="000476DD">
        <w:tc>
          <w:tcPr>
            <w:tcW w:w="3314" w:type="dxa"/>
          </w:tcPr>
          <w:p w14:paraId="5FA4DE4D" w14:textId="135DF8CC" w:rsidR="00574738" w:rsidRDefault="00B07F12" w:rsidP="00B25388">
            <w:pPr>
              <w:pStyle w:val="BodyText"/>
              <w:ind w:left="0"/>
            </w:pPr>
            <w:r>
              <w:t>Queensland</w:t>
            </w:r>
          </w:p>
        </w:tc>
        <w:tc>
          <w:tcPr>
            <w:tcW w:w="3265" w:type="dxa"/>
          </w:tcPr>
          <w:p w14:paraId="52F10F81" w14:textId="27FF8B94" w:rsidR="00574738" w:rsidRDefault="00B07F12" w:rsidP="00B25388">
            <w:pPr>
              <w:pStyle w:val="BodyText"/>
              <w:ind w:left="0"/>
            </w:pPr>
            <w:r>
              <w:t>New South Wales</w:t>
            </w:r>
          </w:p>
        </w:tc>
        <w:tc>
          <w:tcPr>
            <w:tcW w:w="3490" w:type="dxa"/>
          </w:tcPr>
          <w:p w14:paraId="04ECB869" w14:textId="2D96A02F" w:rsidR="00574738" w:rsidRDefault="00B07F12" w:rsidP="00B25388">
            <w:pPr>
              <w:pStyle w:val="BodyText"/>
              <w:ind w:left="0"/>
            </w:pPr>
            <w:r>
              <w:t>Western Australia</w:t>
            </w:r>
          </w:p>
        </w:tc>
      </w:tr>
      <w:tr w:rsidR="000A3C87" w14:paraId="008F0973" w14:textId="77777777" w:rsidTr="000476DD">
        <w:tc>
          <w:tcPr>
            <w:tcW w:w="3314" w:type="dxa"/>
          </w:tcPr>
          <w:p w14:paraId="5BEE238B" w14:textId="77777777" w:rsidR="00574738" w:rsidRPr="000A3C87" w:rsidRDefault="00065D11" w:rsidP="00B25388">
            <w:pPr>
              <w:pStyle w:val="BodyText"/>
              <w:ind w:left="0"/>
              <w:rPr>
                <w:sz w:val="14"/>
                <w:szCs w:val="14"/>
              </w:rPr>
            </w:pPr>
            <w:r w:rsidRPr="000A3C87">
              <w:rPr>
                <w:noProof/>
                <w:sz w:val="14"/>
                <w:szCs w:val="14"/>
              </w:rPr>
              <w:drawing>
                <wp:inline distT="0" distB="0" distL="0" distR="0" wp14:anchorId="2C45D13B" wp14:editId="15291D0F">
                  <wp:extent cx="1784470" cy="1172308"/>
                  <wp:effectExtent l="0" t="0" r="635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43790" cy="1211278"/>
                          </a:xfrm>
                          <a:prstGeom prst="rect">
                            <a:avLst/>
                          </a:prstGeom>
                        </pic:spPr>
                      </pic:pic>
                    </a:graphicData>
                  </a:graphic>
                </wp:inline>
              </w:drawing>
            </w:r>
          </w:p>
          <w:tbl>
            <w:tblPr>
              <w:tblW w:w="0" w:type="auto"/>
              <w:tblLayout w:type="fixed"/>
              <w:tblCellMar>
                <w:left w:w="40" w:type="dxa"/>
                <w:right w:w="40" w:type="dxa"/>
              </w:tblCellMar>
              <w:tblLook w:val="0000" w:firstRow="0" w:lastRow="0" w:firstColumn="0" w:lastColumn="0" w:noHBand="0" w:noVBand="0"/>
            </w:tblPr>
            <w:tblGrid>
              <w:gridCol w:w="621"/>
              <w:gridCol w:w="614"/>
              <w:gridCol w:w="623"/>
              <w:gridCol w:w="622"/>
              <w:gridCol w:w="618"/>
            </w:tblGrid>
            <w:tr w:rsidR="007D1433" w:rsidRPr="000A3C87" w14:paraId="6027A504" w14:textId="77777777" w:rsidTr="007D1433">
              <w:trPr>
                <w:trHeight w:val="239"/>
                <w:tblHeader/>
              </w:trPr>
              <w:tc>
                <w:tcPr>
                  <w:tcW w:w="624" w:type="dxa"/>
                  <w:tcBorders>
                    <w:top w:val="nil"/>
                    <w:left w:val="nil"/>
                    <w:bottom w:val="nil"/>
                    <w:right w:val="nil"/>
                  </w:tcBorders>
                  <w:shd w:val="clear" w:color="auto" w:fill="D9D9D9"/>
                </w:tcPr>
                <w:p w14:paraId="7E369DA1" w14:textId="77777777" w:rsidR="007D1433" w:rsidRPr="000A3C87" w:rsidRDefault="007D1433" w:rsidP="00065D11">
                  <w:pPr>
                    <w:widowControl/>
                    <w:adjustRightInd w:val="0"/>
                    <w:rPr>
                      <w:rFonts w:ascii="Segoe UI" w:eastAsiaTheme="minorHAnsi" w:hAnsi="Segoe UI" w:cs="Segoe UI"/>
                      <w:b/>
                      <w:bCs/>
                      <w:color w:val="000000"/>
                      <w:sz w:val="14"/>
                      <w:szCs w:val="14"/>
                      <w:lang w:val="en-AU"/>
                    </w:rPr>
                  </w:pPr>
                  <w:bookmarkStart w:id="8" w:name="_Hlk181964475"/>
                  <w:r w:rsidRPr="000A3C87">
                    <w:rPr>
                      <w:rFonts w:ascii="Segoe UI" w:eastAsiaTheme="minorHAnsi" w:hAnsi="Segoe UI" w:cs="Segoe UI"/>
                      <w:b/>
                      <w:bCs/>
                      <w:color w:val="000000"/>
                      <w:sz w:val="14"/>
                      <w:szCs w:val="14"/>
                      <w:lang w:val="en-AU"/>
                    </w:rPr>
                    <w:t>Source</w:t>
                  </w:r>
                </w:p>
              </w:tc>
              <w:tc>
                <w:tcPr>
                  <w:tcW w:w="624" w:type="dxa"/>
                  <w:tcBorders>
                    <w:top w:val="nil"/>
                    <w:left w:val="nil"/>
                    <w:bottom w:val="nil"/>
                    <w:right w:val="nil"/>
                  </w:tcBorders>
                  <w:shd w:val="clear" w:color="auto" w:fill="D9D9D9"/>
                </w:tcPr>
                <w:p w14:paraId="104A13BD" w14:textId="77777777" w:rsidR="007D1433" w:rsidRPr="000A3C87" w:rsidRDefault="007D1433" w:rsidP="00065D11">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DF</w:t>
                  </w:r>
                </w:p>
              </w:tc>
              <w:tc>
                <w:tcPr>
                  <w:tcW w:w="624" w:type="dxa"/>
                  <w:tcBorders>
                    <w:top w:val="nil"/>
                    <w:left w:val="nil"/>
                    <w:bottom w:val="nil"/>
                    <w:right w:val="nil"/>
                  </w:tcBorders>
                  <w:shd w:val="clear" w:color="auto" w:fill="D9D9D9"/>
                </w:tcPr>
                <w:p w14:paraId="04E40305" w14:textId="77777777" w:rsidR="007D1433" w:rsidRPr="000A3C87" w:rsidRDefault="007D1433" w:rsidP="00065D11">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Sum of Squares</w:t>
                  </w:r>
                </w:p>
              </w:tc>
              <w:tc>
                <w:tcPr>
                  <w:tcW w:w="624" w:type="dxa"/>
                  <w:tcBorders>
                    <w:top w:val="nil"/>
                    <w:left w:val="nil"/>
                    <w:bottom w:val="nil"/>
                    <w:right w:val="nil"/>
                  </w:tcBorders>
                  <w:shd w:val="clear" w:color="auto" w:fill="D9D9D9"/>
                </w:tcPr>
                <w:p w14:paraId="3A5483A0" w14:textId="77777777" w:rsidR="007D1433" w:rsidRPr="000A3C87" w:rsidRDefault="007D1433" w:rsidP="00065D11">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Mean Square</w:t>
                  </w:r>
                </w:p>
              </w:tc>
              <w:tc>
                <w:tcPr>
                  <w:tcW w:w="624" w:type="dxa"/>
                  <w:tcBorders>
                    <w:top w:val="nil"/>
                    <w:left w:val="nil"/>
                    <w:bottom w:val="nil"/>
                    <w:right w:val="nil"/>
                  </w:tcBorders>
                  <w:shd w:val="clear" w:color="auto" w:fill="D9D9D9"/>
                </w:tcPr>
                <w:p w14:paraId="5AC8B07D" w14:textId="77777777" w:rsidR="007D1433" w:rsidRPr="000A3C87" w:rsidRDefault="007D1433" w:rsidP="00065D11">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Prob &gt; F</w:t>
                  </w:r>
                </w:p>
              </w:tc>
            </w:tr>
            <w:tr w:rsidR="007D1433" w:rsidRPr="000A3C87" w14:paraId="27E41A6C" w14:textId="77777777" w:rsidTr="007D1433">
              <w:trPr>
                <w:trHeight w:val="239"/>
              </w:trPr>
              <w:tc>
                <w:tcPr>
                  <w:tcW w:w="624" w:type="dxa"/>
                  <w:tcBorders>
                    <w:top w:val="nil"/>
                    <w:left w:val="nil"/>
                    <w:bottom w:val="nil"/>
                    <w:right w:val="nil"/>
                  </w:tcBorders>
                </w:tcPr>
                <w:p w14:paraId="6BF28316" w14:textId="77777777" w:rsidR="007D1433" w:rsidRPr="000A3C87" w:rsidRDefault="007D1433" w:rsidP="00065D11">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 xml:space="preserve">NFSW </w:t>
                  </w:r>
                </w:p>
              </w:tc>
              <w:tc>
                <w:tcPr>
                  <w:tcW w:w="624" w:type="dxa"/>
                  <w:tcBorders>
                    <w:top w:val="nil"/>
                    <w:left w:val="nil"/>
                    <w:bottom w:val="nil"/>
                    <w:right w:val="nil"/>
                  </w:tcBorders>
                </w:tcPr>
                <w:p w14:paraId="519BCDC4"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2</w:t>
                  </w:r>
                </w:p>
              </w:tc>
              <w:tc>
                <w:tcPr>
                  <w:tcW w:w="624" w:type="dxa"/>
                  <w:tcBorders>
                    <w:top w:val="nil"/>
                    <w:left w:val="nil"/>
                    <w:bottom w:val="nil"/>
                    <w:right w:val="nil"/>
                  </w:tcBorders>
                </w:tcPr>
                <w:p w14:paraId="6131ABE5" w14:textId="345C4899"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0.0857</w:t>
                  </w:r>
                </w:p>
              </w:tc>
              <w:tc>
                <w:tcPr>
                  <w:tcW w:w="624" w:type="dxa"/>
                  <w:tcBorders>
                    <w:top w:val="nil"/>
                    <w:left w:val="nil"/>
                    <w:bottom w:val="nil"/>
                    <w:right w:val="nil"/>
                  </w:tcBorders>
                </w:tcPr>
                <w:p w14:paraId="499C6C46" w14:textId="1630FFDC"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0.0428</w:t>
                  </w:r>
                </w:p>
              </w:tc>
              <w:tc>
                <w:tcPr>
                  <w:tcW w:w="624" w:type="dxa"/>
                  <w:tcBorders>
                    <w:top w:val="nil"/>
                    <w:left w:val="nil"/>
                    <w:bottom w:val="nil"/>
                    <w:right w:val="nil"/>
                  </w:tcBorders>
                </w:tcPr>
                <w:p w14:paraId="43DD9D30"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0.107</w:t>
                  </w:r>
                </w:p>
              </w:tc>
            </w:tr>
            <w:tr w:rsidR="007D1433" w:rsidRPr="000A3C87" w14:paraId="160DFB4C" w14:textId="77777777" w:rsidTr="007D1433">
              <w:trPr>
                <w:trHeight w:val="239"/>
              </w:trPr>
              <w:tc>
                <w:tcPr>
                  <w:tcW w:w="624" w:type="dxa"/>
                  <w:tcBorders>
                    <w:top w:val="nil"/>
                    <w:left w:val="nil"/>
                    <w:bottom w:val="nil"/>
                    <w:right w:val="nil"/>
                  </w:tcBorders>
                </w:tcPr>
                <w:p w14:paraId="74D66EDB" w14:textId="77777777" w:rsidR="007D1433" w:rsidRPr="000A3C87" w:rsidRDefault="007D1433" w:rsidP="00065D11">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Error</w:t>
                  </w:r>
                </w:p>
              </w:tc>
              <w:tc>
                <w:tcPr>
                  <w:tcW w:w="624" w:type="dxa"/>
                  <w:tcBorders>
                    <w:top w:val="nil"/>
                    <w:left w:val="nil"/>
                    <w:bottom w:val="nil"/>
                    <w:right w:val="nil"/>
                  </w:tcBorders>
                </w:tcPr>
                <w:p w14:paraId="6167CEA7"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64</w:t>
                  </w:r>
                </w:p>
              </w:tc>
              <w:tc>
                <w:tcPr>
                  <w:tcW w:w="624" w:type="dxa"/>
                  <w:tcBorders>
                    <w:top w:val="nil"/>
                    <w:left w:val="nil"/>
                    <w:bottom w:val="nil"/>
                    <w:right w:val="nil"/>
                  </w:tcBorders>
                </w:tcPr>
                <w:p w14:paraId="666FC9B0" w14:textId="6D9E8B8B"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1.187</w:t>
                  </w:r>
                </w:p>
              </w:tc>
              <w:tc>
                <w:tcPr>
                  <w:tcW w:w="624" w:type="dxa"/>
                  <w:tcBorders>
                    <w:top w:val="nil"/>
                    <w:left w:val="nil"/>
                    <w:bottom w:val="nil"/>
                    <w:right w:val="nil"/>
                  </w:tcBorders>
                </w:tcPr>
                <w:p w14:paraId="699949CA" w14:textId="70D462ED"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0.0185</w:t>
                  </w:r>
                </w:p>
              </w:tc>
              <w:tc>
                <w:tcPr>
                  <w:tcW w:w="624" w:type="dxa"/>
                  <w:tcBorders>
                    <w:top w:val="nil"/>
                    <w:left w:val="nil"/>
                    <w:bottom w:val="nil"/>
                    <w:right w:val="nil"/>
                  </w:tcBorders>
                </w:tcPr>
                <w:p w14:paraId="6E67900B"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p>
              </w:tc>
            </w:tr>
            <w:tr w:rsidR="007D1433" w:rsidRPr="000A3C87" w14:paraId="2B1A1BB8" w14:textId="77777777" w:rsidTr="007D1433">
              <w:trPr>
                <w:trHeight w:val="239"/>
              </w:trPr>
              <w:tc>
                <w:tcPr>
                  <w:tcW w:w="624" w:type="dxa"/>
                  <w:tcBorders>
                    <w:top w:val="nil"/>
                    <w:left w:val="nil"/>
                    <w:bottom w:val="nil"/>
                    <w:right w:val="nil"/>
                  </w:tcBorders>
                </w:tcPr>
                <w:p w14:paraId="316E4B7B" w14:textId="7DBA1224" w:rsidR="007D1433" w:rsidRPr="000A3C87" w:rsidRDefault="007D1433" w:rsidP="00065D11">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Total</w:t>
                  </w:r>
                </w:p>
              </w:tc>
              <w:tc>
                <w:tcPr>
                  <w:tcW w:w="624" w:type="dxa"/>
                  <w:tcBorders>
                    <w:top w:val="nil"/>
                    <w:left w:val="nil"/>
                    <w:bottom w:val="nil"/>
                    <w:right w:val="nil"/>
                  </w:tcBorders>
                </w:tcPr>
                <w:p w14:paraId="6F52825A"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66</w:t>
                  </w:r>
                </w:p>
              </w:tc>
              <w:tc>
                <w:tcPr>
                  <w:tcW w:w="624" w:type="dxa"/>
                  <w:tcBorders>
                    <w:top w:val="nil"/>
                    <w:left w:val="nil"/>
                    <w:bottom w:val="nil"/>
                    <w:right w:val="nil"/>
                  </w:tcBorders>
                </w:tcPr>
                <w:p w14:paraId="4B5F9A46" w14:textId="5FAD4B5C" w:rsidR="007D1433" w:rsidRPr="000A3C87" w:rsidRDefault="007D1433" w:rsidP="00065D11">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1.273</w:t>
                  </w:r>
                </w:p>
              </w:tc>
              <w:tc>
                <w:tcPr>
                  <w:tcW w:w="624" w:type="dxa"/>
                  <w:tcBorders>
                    <w:top w:val="nil"/>
                    <w:left w:val="nil"/>
                    <w:bottom w:val="nil"/>
                    <w:right w:val="nil"/>
                  </w:tcBorders>
                </w:tcPr>
                <w:p w14:paraId="2DAE58B5"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p>
              </w:tc>
              <w:tc>
                <w:tcPr>
                  <w:tcW w:w="624" w:type="dxa"/>
                  <w:tcBorders>
                    <w:top w:val="nil"/>
                    <w:left w:val="nil"/>
                    <w:bottom w:val="nil"/>
                    <w:right w:val="nil"/>
                  </w:tcBorders>
                </w:tcPr>
                <w:p w14:paraId="1FE83A87" w14:textId="77777777" w:rsidR="007D1433" w:rsidRPr="000A3C87" w:rsidRDefault="007D1433" w:rsidP="00065D11">
                  <w:pPr>
                    <w:widowControl/>
                    <w:adjustRightInd w:val="0"/>
                    <w:jc w:val="right"/>
                    <w:rPr>
                      <w:rFonts w:ascii="Segoe UI" w:eastAsiaTheme="minorHAnsi" w:hAnsi="Segoe UI" w:cs="Segoe UI"/>
                      <w:color w:val="000000"/>
                      <w:sz w:val="14"/>
                      <w:szCs w:val="14"/>
                      <w:lang w:val="en-AU"/>
                    </w:rPr>
                  </w:pPr>
                </w:p>
              </w:tc>
            </w:tr>
            <w:bookmarkEnd w:id="8"/>
          </w:tbl>
          <w:p w14:paraId="15A4BC13" w14:textId="28E1079F" w:rsidR="00065D11" w:rsidRPr="000A3C87" w:rsidRDefault="00065D11" w:rsidP="00B25388">
            <w:pPr>
              <w:pStyle w:val="BodyText"/>
              <w:ind w:left="0"/>
              <w:rPr>
                <w:sz w:val="14"/>
                <w:szCs w:val="14"/>
              </w:rPr>
            </w:pPr>
          </w:p>
        </w:tc>
        <w:tc>
          <w:tcPr>
            <w:tcW w:w="3265" w:type="dxa"/>
          </w:tcPr>
          <w:p w14:paraId="7F12AA47" w14:textId="72895202" w:rsidR="00306672" w:rsidRPr="000A3C87" w:rsidRDefault="00306672" w:rsidP="00B25388">
            <w:pPr>
              <w:pStyle w:val="BodyText"/>
              <w:ind w:left="0"/>
              <w:rPr>
                <w:sz w:val="14"/>
                <w:szCs w:val="14"/>
              </w:rPr>
            </w:pPr>
            <w:r w:rsidRPr="000A3C87">
              <w:rPr>
                <w:noProof/>
                <w:sz w:val="14"/>
                <w:szCs w:val="14"/>
              </w:rPr>
              <w:drawing>
                <wp:inline distT="0" distB="0" distL="0" distR="0" wp14:anchorId="191C1715" wp14:editId="4872EC7D">
                  <wp:extent cx="1864800" cy="1206000"/>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64800" cy="1206000"/>
                          </a:xfrm>
                          <a:prstGeom prst="rect">
                            <a:avLst/>
                          </a:prstGeom>
                        </pic:spPr>
                      </pic:pic>
                    </a:graphicData>
                  </a:graphic>
                </wp:inline>
              </w:drawing>
            </w:r>
          </w:p>
          <w:tbl>
            <w:tblPr>
              <w:tblW w:w="3120" w:type="dxa"/>
              <w:tblLayout w:type="fixed"/>
              <w:tblCellMar>
                <w:left w:w="40" w:type="dxa"/>
                <w:right w:w="40" w:type="dxa"/>
              </w:tblCellMar>
              <w:tblLook w:val="0000" w:firstRow="0" w:lastRow="0" w:firstColumn="0" w:lastColumn="0" w:noHBand="0" w:noVBand="0"/>
            </w:tblPr>
            <w:tblGrid>
              <w:gridCol w:w="624"/>
              <w:gridCol w:w="624"/>
              <w:gridCol w:w="624"/>
              <w:gridCol w:w="624"/>
              <w:gridCol w:w="624"/>
            </w:tblGrid>
            <w:tr w:rsidR="007D1433" w:rsidRPr="000A3C87" w14:paraId="4139B169" w14:textId="77777777" w:rsidTr="007D1433">
              <w:trPr>
                <w:trHeight w:val="239"/>
                <w:tblHeader/>
              </w:trPr>
              <w:tc>
                <w:tcPr>
                  <w:tcW w:w="624" w:type="dxa"/>
                  <w:tcBorders>
                    <w:top w:val="nil"/>
                    <w:left w:val="nil"/>
                    <w:bottom w:val="nil"/>
                    <w:right w:val="nil"/>
                  </w:tcBorders>
                  <w:shd w:val="clear" w:color="auto" w:fill="D9D9D9"/>
                </w:tcPr>
                <w:p w14:paraId="3DFDB31A" w14:textId="77777777" w:rsidR="007D1433" w:rsidRPr="000A3C87" w:rsidRDefault="007D1433" w:rsidP="00051599">
                  <w:pPr>
                    <w:widowControl/>
                    <w:adjustRightInd w:val="0"/>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Source</w:t>
                  </w:r>
                </w:p>
              </w:tc>
              <w:tc>
                <w:tcPr>
                  <w:tcW w:w="624" w:type="dxa"/>
                  <w:tcBorders>
                    <w:top w:val="nil"/>
                    <w:left w:val="nil"/>
                    <w:bottom w:val="nil"/>
                    <w:right w:val="nil"/>
                  </w:tcBorders>
                  <w:shd w:val="clear" w:color="auto" w:fill="D9D9D9"/>
                </w:tcPr>
                <w:p w14:paraId="48CCBE6B" w14:textId="77777777" w:rsidR="007D1433" w:rsidRPr="000A3C87" w:rsidRDefault="007D1433" w:rsidP="00051599">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DF</w:t>
                  </w:r>
                </w:p>
              </w:tc>
              <w:tc>
                <w:tcPr>
                  <w:tcW w:w="624" w:type="dxa"/>
                  <w:tcBorders>
                    <w:top w:val="nil"/>
                    <w:left w:val="nil"/>
                    <w:bottom w:val="nil"/>
                    <w:right w:val="nil"/>
                  </w:tcBorders>
                  <w:shd w:val="clear" w:color="auto" w:fill="D9D9D9"/>
                </w:tcPr>
                <w:p w14:paraId="71B1DDC5" w14:textId="77777777" w:rsidR="007D1433" w:rsidRPr="000A3C87" w:rsidRDefault="007D1433" w:rsidP="00051599">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Sum of Squares</w:t>
                  </w:r>
                </w:p>
              </w:tc>
              <w:tc>
                <w:tcPr>
                  <w:tcW w:w="624" w:type="dxa"/>
                  <w:tcBorders>
                    <w:top w:val="nil"/>
                    <w:left w:val="nil"/>
                    <w:bottom w:val="nil"/>
                    <w:right w:val="nil"/>
                  </w:tcBorders>
                  <w:shd w:val="clear" w:color="auto" w:fill="D9D9D9"/>
                </w:tcPr>
                <w:p w14:paraId="4F95B2AC" w14:textId="77777777" w:rsidR="007D1433" w:rsidRPr="000A3C87" w:rsidRDefault="007D1433" w:rsidP="00051599">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Mean Square</w:t>
                  </w:r>
                </w:p>
              </w:tc>
              <w:tc>
                <w:tcPr>
                  <w:tcW w:w="624" w:type="dxa"/>
                  <w:tcBorders>
                    <w:top w:val="nil"/>
                    <w:left w:val="nil"/>
                    <w:bottom w:val="nil"/>
                    <w:right w:val="nil"/>
                  </w:tcBorders>
                  <w:shd w:val="clear" w:color="auto" w:fill="D9D9D9"/>
                </w:tcPr>
                <w:p w14:paraId="00F1398E" w14:textId="77777777" w:rsidR="007D1433" w:rsidRPr="000A3C87" w:rsidRDefault="007D1433" w:rsidP="00051599">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Prob &gt; F</w:t>
                  </w:r>
                </w:p>
              </w:tc>
            </w:tr>
            <w:tr w:rsidR="007D1433" w:rsidRPr="000A3C87" w14:paraId="253B93E4" w14:textId="77777777" w:rsidTr="007D1433">
              <w:trPr>
                <w:trHeight w:val="239"/>
              </w:trPr>
              <w:tc>
                <w:tcPr>
                  <w:tcW w:w="624" w:type="dxa"/>
                  <w:tcBorders>
                    <w:top w:val="nil"/>
                    <w:left w:val="nil"/>
                    <w:bottom w:val="nil"/>
                    <w:right w:val="nil"/>
                  </w:tcBorders>
                </w:tcPr>
                <w:p w14:paraId="5D57E528" w14:textId="77777777" w:rsidR="007D1433" w:rsidRPr="000A3C87" w:rsidRDefault="007D1433" w:rsidP="00051599">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NFSW</w:t>
                  </w:r>
                </w:p>
              </w:tc>
              <w:tc>
                <w:tcPr>
                  <w:tcW w:w="624" w:type="dxa"/>
                  <w:tcBorders>
                    <w:top w:val="nil"/>
                    <w:left w:val="nil"/>
                    <w:bottom w:val="nil"/>
                    <w:right w:val="nil"/>
                  </w:tcBorders>
                </w:tcPr>
                <w:p w14:paraId="0FFF16F0"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2</w:t>
                  </w:r>
                </w:p>
              </w:tc>
              <w:tc>
                <w:tcPr>
                  <w:tcW w:w="624" w:type="dxa"/>
                  <w:tcBorders>
                    <w:top w:val="nil"/>
                    <w:left w:val="nil"/>
                    <w:bottom w:val="nil"/>
                    <w:right w:val="nil"/>
                  </w:tcBorders>
                </w:tcPr>
                <w:p w14:paraId="481F9BC7" w14:textId="5119DD13"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0.0156</w:t>
                  </w:r>
                </w:p>
              </w:tc>
              <w:tc>
                <w:tcPr>
                  <w:tcW w:w="624" w:type="dxa"/>
                  <w:tcBorders>
                    <w:top w:val="nil"/>
                    <w:left w:val="nil"/>
                    <w:bottom w:val="nil"/>
                    <w:right w:val="nil"/>
                  </w:tcBorders>
                </w:tcPr>
                <w:p w14:paraId="7FA7E9AC" w14:textId="6F753A86"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0.0078</w:t>
                  </w:r>
                </w:p>
              </w:tc>
              <w:tc>
                <w:tcPr>
                  <w:tcW w:w="624" w:type="dxa"/>
                  <w:tcBorders>
                    <w:top w:val="nil"/>
                    <w:left w:val="nil"/>
                    <w:bottom w:val="nil"/>
                    <w:right w:val="nil"/>
                  </w:tcBorders>
                </w:tcPr>
                <w:p w14:paraId="3F68741F"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0.8552</w:t>
                  </w:r>
                </w:p>
              </w:tc>
            </w:tr>
            <w:tr w:rsidR="007D1433" w:rsidRPr="000A3C87" w14:paraId="0DFD23E4" w14:textId="77777777" w:rsidTr="007D1433">
              <w:trPr>
                <w:trHeight w:val="239"/>
              </w:trPr>
              <w:tc>
                <w:tcPr>
                  <w:tcW w:w="624" w:type="dxa"/>
                  <w:tcBorders>
                    <w:top w:val="nil"/>
                    <w:left w:val="nil"/>
                    <w:bottom w:val="nil"/>
                    <w:right w:val="nil"/>
                  </w:tcBorders>
                </w:tcPr>
                <w:p w14:paraId="79A5685E" w14:textId="77777777" w:rsidR="007D1433" w:rsidRPr="000A3C87" w:rsidRDefault="007D1433" w:rsidP="00051599">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Error</w:t>
                  </w:r>
                </w:p>
              </w:tc>
              <w:tc>
                <w:tcPr>
                  <w:tcW w:w="624" w:type="dxa"/>
                  <w:tcBorders>
                    <w:top w:val="nil"/>
                    <w:left w:val="nil"/>
                    <w:bottom w:val="nil"/>
                    <w:right w:val="nil"/>
                  </w:tcBorders>
                </w:tcPr>
                <w:p w14:paraId="59A1D67B"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18</w:t>
                  </w:r>
                </w:p>
              </w:tc>
              <w:tc>
                <w:tcPr>
                  <w:tcW w:w="624" w:type="dxa"/>
                  <w:tcBorders>
                    <w:top w:val="nil"/>
                    <w:left w:val="nil"/>
                    <w:bottom w:val="nil"/>
                    <w:right w:val="nil"/>
                  </w:tcBorders>
                </w:tcPr>
                <w:p w14:paraId="30AE2219" w14:textId="72373C01"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0.8918</w:t>
                  </w:r>
                </w:p>
              </w:tc>
              <w:tc>
                <w:tcPr>
                  <w:tcW w:w="624" w:type="dxa"/>
                  <w:tcBorders>
                    <w:top w:val="nil"/>
                    <w:left w:val="nil"/>
                    <w:bottom w:val="nil"/>
                    <w:right w:val="nil"/>
                  </w:tcBorders>
                </w:tcPr>
                <w:p w14:paraId="235EE4C3" w14:textId="07388D2A"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0.0495</w:t>
                  </w:r>
                </w:p>
              </w:tc>
              <w:tc>
                <w:tcPr>
                  <w:tcW w:w="624" w:type="dxa"/>
                  <w:tcBorders>
                    <w:top w:val="nil"/>
                    <w:left w:val="nil"/>
                    <w:bottom w:val="nil"/>
                    <w:right w:val="nil"/>
                  </w:tcBorders>
                </w:tcPr>
                <w:p w14:paraId="24D156D6"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p>
              </w:tc>
            </w:tr>
            <w:tr w:rsidR="007D1433" w:rsidRPr="000A3C87" w14:paraId="7E623B78" w14:textId="77777777" w:rsidTr="007D1433">
              <w:trPr>
                <w:trHeight w:val="239"/>
              </w:trPr>
              <w:tc>
                <w:tcPr>
                  <w:tcW w:w="624" w:type="dxa"/>
                  <w:tcBorders>
                    <w:top w:val="nil"/>
                    <w:left w:val="nil"/>
                    <w:bottom w:val="nil"/>
                    <w:right w:val="nil"/>
                  </w:tcBorders>
                </w:tcPr>
                <w:p w14:paraId="435694A1" w14:textId="0248DF4A" w:rsidR="007D1433" w:rsidRPr="000A3C87" w:rsidRDefault="007D1433" w:rsidP="00051599">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Total</w:t>
                  </w:r>
                </w:p>
              </w:tc>
              <w:tc>
                <w:tcPr>
                  <w:tcW w:w="624" w:type="dxa"/>
                  <w:tcBorders>
                    <w:top w:val="nil"/>
                    <w:left w:val="nil"/>
                    <w:bottom w:val="nil"/>
                    <w:right w:val="nil"/>
                  </w:tcBorders>
                </w:tcPr>
                <w:p w14:paraId="6B90C42B"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20</w:t>
                  </w:r>
                </w:p>
              </w:tc>
              <w:tc>
                <w:tcPr>
                  <w:tcW w:w="624" w:type="dxa"/>
                  <w:tcBorders>
                    <w:top w:val="nil"/>
                    <w:left w:val="nil"/>
                    <w:bottom w:val="nil"/>
                    <w:right w:val="nil"/>
                  </w:tcBorders>
                </w:tcPr>
                <w:p w14:paraId="2BC2A41A" w14:textId="38B7BC21" w:rsidR="007D1433" w:rsidRPr="000A3C87" w:rsidRDefault="007D1433" w:rsidP="00051599">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0.9074</w:t>
                  </w:r>
                </w:p>
              </w:tc>
              <w:tc>
                <w:tcPr>
                  <w:tcW w:w="624" w:type="dxa"/>
                  <w:tcBorders>
                    <w:top w:val="nil"/>
                    <w:left w:val="nil"/>
                    <w:bottom w:val="nil"/>
                    <w:right w:val="nil"/>
                  </w:tcBorders>
                </w:tcPr>
                <w:p w14:paraId="651E444C"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p>
              </w:tc>
              <w:tc>
                <w:tcPr>
                  <w:tcW w:w="624" w:type="dxa"/>
                  <w:tcBorders>
                    <w:top w:val="nil"/>
                    <w:left w:val="nil"/>
                    <w:bottom w:val="nil"/>
                    <w:right w:val="nil"/>
                  </w:tcBorders>
                </w:tcPr>
                <w:p w14:paraId="07951C10" w14:textId="77777777" w:rsidR="007D1433" w:rsidRPr="000A3C87" w:rsidRDefault="007D1433" w:rsidP="00051599">
                  <w:pPr>
                    <w:widowControl/>
                    <w:adjustRightInd w:val="0"/>
                    <w:jc w:val="right"/>
                    <w:rPr>
                      <w:rFonts w:ascii="Segoe UI" w:eastAsiaTheme="minorHAnsi" w:hAnsi="Segoe UI" w:cs="Segoe UI"/>
                      <w:color w:val="000000"/>
                      <w:sz w:val="14"/>
                      <w:szCs w:val="14"/>
                      <w:lang w:val="en-AU"/>
                    </w:rPr>
                  </w:pPr>
                </w:p>
              </w:tc>
            </w:tr>
          </w:tbl>
          <w:p w14:paraId="6BCFF18D" w14:textId="059D1B02" w:rsidR="00574738" w:rsidRPr="000A3C87" w:rsidRDefault="00574738" w:rsidP="00B25388">
            <w:pPr>
              <w:pStyle w:val="BodyText"/>
              <w:ind w:left="0"/>
              <w:rPr>
                <w:sz w:val="14"/>
                <w:szCs w:val="14"/>
              </w:rPr>
            </w:pPr>
          </w:p>
        </w:tc>
        <w:tc>
          <w:tcPr>
            <w:tcW w:w="3490" w:type="dxa"/>
          </w:tcPr>
          <w:p w14:paraId="11954793" w14:textId="77777777" w:rsidR="00574738" w:rsidRPr="000A3C87" w:rsidRDefault="00051599" w:rsidP="00B25388">
            <w:pPr>
              <w:pStyle w:val="BodyText"/>
              <w:ind w:left="0"/>
              <w:rPr>
                <w:sz w:val="14"/>
                <w:szCs w:val="14"/>
              </w:rPr>
            </w:pPr>
            <w:r w:rsidRPr="000A3C87">
              <w:rPr>
                <w:noProof/>
                <w:sz w:val="14"/>
                <w:szCs w:val="14"/>
              </w:rPr>
              <w:drawing>
                <wp:inline distT="0" distB="0" distL="0" distR="0" wp14:anchorId="67E040CE" wp14:editId="4A09DBE6">
                  <wp:extent cx="1796400" cy="1180800"/>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96400" cy="1180800"/>
                          </a:xfrm>
                          <a:prstGeom prst="rect">
                            <a:avLst/>
                          </a:prstGeom>
                        </pic:spPr>
                      </pic:pic>
                    </a:graphicData>
                  </a:graphic>
                </wp:inline>
              </w:drawing>
            </w:r>
          </w:p>
          <w:tbl>
            <w:tblPr>
              <w:tblW w:w="0" w:type="auto"/>
              <w:tblLayout w:type="fixed"/>
              <w:tblCellMar>
                <w:left w:w="40" w:type="dxa"/>
                <w:right w:w="40" w:type="dxa"/>
              </w:tblCellMar>
              <w:tblLook w:val="0000" w:firstRow="0" w:lastRow="0" w:firstColumn="0" w:lastColumn="0" w:noHBand="0" w:noVBand="0"/>
            </w:tblPr>
            <w:tblGrid>
              <w:gridCol w:w="624"/>
              <w:gridCol w:w="624"/>
              <w:gridCol w:w="624"/>
              <w:gridCol w:w="624"/>
              <w:gridCol w:w="624"/>
            </w:tblGrid>
            <w:tr w:rsidR="007D1433" w:rsidRPr="000A3C87" w14:paraId="769DCCBF" w14:textId="77777777" w:rsidTr="007D1433">
              <w:trPr>
                <w:trHeight w:val="239"/>
                <w:tblHeader/>
              </w:trPr>
              <w:tc>
                <w:tcPr>
                  <w:tcW w:w="624" w:type="dxa"/>
                  <w:tcBorders>
                    <w:top w:val="nil"/>
                    <w:left w:val="nil"/>
                    <w:bottom w:val="nil"/>
                    <w:right w:val="nil"/>
                  </w:tcBorders>
                  <w:shd w:val="clear" w:color="auto" w:fill="D9D9D9" w:themeFill="background1" w:themeFillShade="D9"/>
                </w:tcPr>
                <w:p w14:paraId="1D1DC168" w14:textId="77777777" w:rsidR="007D1433" w:rsidRPr="000A3C87" w:rsidRDefault="007D1433" w:rsidP="1FF6FB7C">
                  <w:pPr>
                    <w:widowControl/>
                    <w:adjustRightInd w:val="0"/>
                    <w:rPr>
                      <w:rFonts w:ascii="Segoe UI" w:eastAsiaTheme="minorEastAsia" w:hAnsi="Segoe UI" w:cs="Segoe UI"/>
                      <w:b/>
                      <w:bCs/>
                      <w:color w:val="000000"/>
                      <w:sz w:val="14"/>
                      <w:szCs w:val="14"/>
                      <w:lang w:val="en-AU"/>
                    </w:rPr>
                  </w:pPr>
                  <w:r w:rsidRPr="1FF6FB7C">
                    <w:rPr>
                      <w:rFonts w:ascii="Segoe UI" w:eastAsiaTheme="minorEastAsia" w:hAnsi="Segoe UI" w:cs="Segoe UI"/>
                      <w:b/>
                      <w:bCs/>
                      <w:color w:val="000000" w:themeColor="text1"/>
                      <w:sz w:val="14"/>
                      <w:szCs w:val="14"/>
                      <w:lang w:val="en-AU"/>
                    </w:rPr>
                    <w:t>Source</w:t>
                  </w:r>
                </w:p>
              </w:tc>
              <w:tc>
                <w:tcPr>
                  <w:tcW w:w="624" w:type="dxa"/>
                  <w:tcBorders>
                    <w:top w:val="nil"/>
                    <w:left w:val="nil"/>
                    <w:bottom w:val="nil"/>
                    <w:right w:val="nil"/>
                  </w:tcBorders>
                  <w:shd w:val="clear" w:color="auto" w:fill="D9D9D9" w:themeFill="background1" w:themeFillShade="D9"/>
                </w:tcPr>
                <w:p w14:paraId="19917F49" w14:textId="77777777" w:rsidR="007D1433" w:rsidRPr="000A3C87" w:rsidRDefault="007D1433" w:rsidP="00E52138">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DF</w:t>
                  </w:r>
                </w:p>
              </w:tc>
              <w:tc>
                <w:tcPr>
                  <w:tcW w:w="624" w:type="dxa"/>
                  <w:tcBorders>
                    <w:top w:val="nil"/>
                    <w:left w:val="nil"/>
                    <w:bottom w:val="nil"/>
                    <w:right w:val="nil"/>
                  </w:tcBorders>
                  <w:shd w:val="clear" w:color="auto" w:fill="D9D9D9" w:themeFill="background1" w:themeFillShade="D9"/>
                </w:tcPr>
                <w:p w14:paraId="7DCCD873" w14:textId="78125592" w:rsidR="007D1433" w:rsidRPr="000A3C87" w:rsidRDefault="007D1433" w:rsidP="00E52138">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Sum of Square</w:t>
                  </w:r>
                  <w:r>
                    <w:rPr>
                      <w:rFonts w:ascii="Segoe UI" w:eastAsiaTheme="minorHAnsi" w:hAnsi="Segoe UI" w:cs="Segoe UI"/>
                      <w:b/>
                      <w:bCs/>
                      <w:color w:val="000000"/>
                      <w:sz w:val="14"/>
                      <w:szCs w:val="14"/>
                      <w:lang w:val="en-AU"/>
                    </w:rPr>
                    <w:t>s</w:t>
                  </w:r>
                </w:p>
              </w:tc>
              <w:tc>
                <w:tcPr>
                  <w:tcW w:w="624" w:type="dxa"/>
                  <w:tcBorders>
                    <w:top w:val="nil"/>
                    <w:left w:val="nil"/>
                    <w:bottom w:val="nil"/>
                    <w:right w:val="nil"/>
                  </w:tcBorders>
                  <w:shd w:val="clear" w:color="auto" w:fill="D9D9D9" w:themeFill="background1" w:themeFillShade="D9"/>
                </w:tcPr>
                <w:p w14:paraId="3698B82D" w14:textId="77777777" w:rsidR="007D1433" w:rsidRPr="000A3C87" w:rsidRDefault="007D1433" w:rsidP="00E52138">
                  <w:pPr>
                    <w:widowControl/>
                    <w:adjustRightInd w:val="0"/>
                    <w:jc w:val="right"/>
                    <w:rPr>
                      <w:rFonts w:ascii="Segoe UI" w:eastAsiaTheme="minorHAnsi" w:hAnsi="Segoe UI" w:cs="Segoe UI"/>
                      <w:b/>
                      <w:bCs/>
                      <w:color w:val="000000"/>
                      <w:sz w:val="14"/>
                      <w:szCs w:val="14"/>
                      <w:lang w:val="en-AU"/>
                    </w:rPr>
                  </w:pPr>
                  <w:r w:rsidRPr="000A3C87">
                    <w:rPr>
                      <w:rFonts w:ascii="Segoe UI" w:eastAsiaTheme="minorHAnsi" w:hAnsi="Segoe UI" w:cs="Segoe UI"/>
                      <w:b/>
                      <w:bCs/>
                      <w:color w:val="000000"/>
                      <w:sz w:val="14"/>
                      <w:szCs w:val="14"/>
                      <w:lang w:val="en-AU"/>
                    </w:rPr>
                    <w:t>Mean Square</w:t>
                  </w:r>
                </w:p>
              </w:tc>
              <w:tc>
                <w:tcPr>
                  <w:tcW w:w="624" w:type="dxa"/>
                  <w:tcBorders>
                    <w:top w:val="nil"/>
                    <w:left w:val="nil"/>
                    <w:bottom w:val="nil"/>
                    <w:right w:val="nil"/>
                  </w:tcBorders>
                  <w:shd w:val="clear" w:color="auto" w:fill="D9D9D9" w:themeFill="background1" w:themeFillShade="D9"/>
                </w:tcPr>
                <w:p w14:paraId="3F4935B2" w14:textId="77777777" w:rsidR="007D1433" w:rsidRPr="000A3C87" w:rsidRDefault="007D1433" w:rsidP="1FF6FB7C">
                  <w:pPr>
                    <w:widowControl/>
                    <w:adjustRightInd w:val="0"/>
                    <w:jc w:val="right"/>
                    <w:rPr>
                      <w:rFonts w:ascii="Segoe UI" w:eastAsiaTheme="minorEastAsia" w:hAnsi="Segoe UI" w:cs="Segoe UI"/>
                      <w:b/>
                      <w:bCs/>
                      <w:color w:val="000000"/>
                      <w:sz w:val="14"/>
                      <w:szCs w:val="14"/>
                      <w:lang w:val="en-AU"/>
                    </w:rPr>
                  </w:pPr>
                  <w:r w:rsidRPr="1FF6FB7C">
                    <w:rPr>
                      <w:rFonts w:ascii="Segoe UI" w:eastAsiaTheme="minorEastAsia" w:hAnsi="Segoe UI" w:cs="Segoe UI"/>
                      <w:b/>
                      <w:bCs/>
                      <w:color w:val="000000" w:themeColor="text1"/>
                      <w:sz w:val="14"/>
                      <w:szCs w:val="14"/>
                      <w:lang w:val="en-AU"/>
                    </w:rPr>
                    <w:t>Prob &gt; F</w:t>
                  </w:r>
                </w:p>
              </w:tc>
            </w:tr>
            <w:tr w:rsidR="007D1433" w:rsidRPr="000A3C87" w14:paraId="3BD44303" w14:textId="77777777" w:rsidTr="007D1433">
              <w:trPr>
                <w:trHeight w:val="239"/>
              </w:trPr>
              <w:tc>
                <w:tcPr>
                  <w:tcW w:w="624" w:type="dxa"/>
                  <w:tcBorders>
                    <w:top w:val="nil"/>
                    <w:left w:val="nil"/>
                    <w:bottom w:val="nil"/>
                    <w:right w:val="nil"/>
                  </w:tcBorders>
                </w:tcPr>
                <w:p w14:paraId="1EC4A87C" w14:textId="77777777" w:rsidR="007D1433" w:rsidRPr="000A3C87" w:rsidRDefault="007D1433" w:rsidP="00E52138">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NFSW</w:t>
                  </w:r>
                </w:p>
              </w:tc>
              <w:tc>
                <w:tcPr>
                  <w:tcW w:w="624" w:type="dxa"/>
                  <w:tcBorders>
                    <w:top w:val="nil"/>
                    <w:left w:val="nil"/>
                    <w:bottom w:val="nil"/>
                    <w:right w:val="nil"/>
                  </w:tcBorders>
                </w:tcPr>
                <w:p w14:paraId="79806281"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2</w:t>
                  </w:r>
                </w:p>
              </w:tc>
              <w:tc>
                <w:tcPr>
                  <w:tcW w:w="624" w:type="dxa"/>
                  <w:tcBorders>
                    <w:top w:val="nil"/>
                    <w:left w:val="nil"/>
                    <w:bottom w:val="nil"/>
                    <w:right w:val="nil"/>
                  </w:tcBorders>
                </w:tcPr>
                <w:p w14:paraId="4D4FD750" w14:textId="75F53419"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0.0255</w:t>
                  </w:r>
                </w:p>
              </w:tc>
              <w:tc>
                <w:tcPr>
                  <w:tcW w:w="624" w:type="dxa"/>
                  <w:tcBorders>
                    <w:top w:val="nil"/>
                    <w:left w:val="nil"/>
                    <w:bottom w:val="nil"/>
                    <w:right w:val="nil"/>
                  </w:tcBorders>
                </w:tcPr>
                <w:p w14:paraId="0B03F9FF" w14:textId="6CA4B830"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0.0127</w:t>
                  </w:r>
                </w:p>
              </w:tc>
              <w:tc>
                <w:tcPr>
                  <w:tcW w:w="624" w:type="dxa"/>
                  <w:tcBorders>
                    <w:top w:val="nil"/>
                    <w:left w:val="nil"/>
                    <w:bottom w:val="nil"/>
                    <w:right w:val="nil"/>
                  </w:tcBorders>
                </w:tcPr>
                <w:p w14:paraId="6992B26F"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0.1663</w:t>
                  </w:r>
                </w:p>
              </w:tc>
            </w:tr>
            <w:tr w:rsidR="007D1433" w:rsidRPr="000A3C87" w14:paraId="6BB1543E" w14:textId="77777777" w:rsidTr="007D1433">
              <w:trPr>
                <w:trHeight w:val="239"/>
              </w:trPr>
              <w:tc>
                <w:tcPr>
                  <w:tcW w:w="624" w:type="dxa"/>
                  <w:tcBorders>
                    <w:top w:val="nil"/>
                    <w:left w:val="nil"/>
                    <w:bottom w:val="nil"/>
                    <w:right w:val="nil"/>
                  </w:tcBorders>
                </w:tcPr>
                <w:p w14:paraId="591B9923" w14:textId="77777777" w:rsidR="007D1433" w:rsidRPr="000A3C87" w:rsidRDefault="007D1433" w:rsidP="00E52138">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Error</w:t>
                  </w:r>
                </w:p>
              </w:tc>
              <w:tc>
                <w:tcPr>
                  <w:tcW w:w="624" w:type="dxa"/>
                  <w:tcBorders>
                    <w:top w:val="nil"/>
                    <w:left w:val="nil"/>
                    <w:bottom w:val="nil"/>
                    <w:right w:val="nil"/>
                  </w:tcBorders>
                </w:tcPr>
                <w:p w14:paraId="12CEC5C2"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84</w:t>
                  </w:r>
                </w:p>
              </w:tc>
              <w:tc>
                <w:tcPr>
                  <w:tcW w:w="624" w:type="dxa"/>
                  <w:tcBorders>
                    <w:top w:val="nil"/>
                    <w:left w:val="nil"/>
                    <w:bottom w:val="nil"/>
                    <w:right w:val="nil"/>
                  </w:tcBorders>
                </w:tcPr>
                <w:p w14:paraId="2185687D" w14:textId="5BA184CF"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0.5844</w:t>
                  </w:r>
                </w:p>
              </w:tc>
              <w:tc>
                <w:tcPr>
                  <w:tcW w:w="624" w:type="dxa"/>
                  <w:tcBorders>
                    <w:top w:val="nil"/>
                    <w:left w:val="nil"/>
                    <w:bottom w:val="nil"/>
                    <w:right w:val="nil"/>
                  </w:tcBorders>
                </w:tcPr>
                <w:p w14:paraId="1606420E" w14:textId="1DBA9AB2"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0.0069</w:t>
                  </w:r>
                </w:p>
              </w:tc>
              <w:tc>
                <w:tcPr>
                  <w:tcW w:w="624" w:type="dxa"/>
                  <w:tcBorders>
                    <w:top w:val="nil"/>
                    <w:left w:val="nil"/>
                    <w:bottom w:val="nil"/>
                    <w:right w:val="nil"/>
                  </w:tcBorders>
                </w:tcPr>
                <w:p w14:paraId="4893DDD0"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p>
              </w:tc>
            </w:tr>
            <w:tr w:rsidR="007D1433" w:rsidRPr="000A3C87" w14:paraId="77F414DB" w14:textId="77777777" w:rsidTr="007D1433">
              <w:trPr>
                <w:trHeight w:val="239"/>
              </w:trPr>
              <w:tc>
                <w:tcPr>
                  <w:tcW w:w="624" w:type="dxa"/>
                  <w:tcBorders>
                    <w:top w:val="nil"/>
                    <w:left w:val="nil"/>
                    <w:bottom w:val="nil"/>
                    <w:right w:val="nil"/>
                  </w:tcBorders>
                </w:tcPr>
                <w:p w14:paraId="0CF9CD01" w14:textId="77777777" w:rsidR="007D1433" w:rsidRPr="000A3C87" w:rsidRDefault="007D1433" w:rsidP="00E52138">
                  <w:pPr>
                    <w:widowControl/>
                    <w:adjustRightInd w:val="0"/>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Total</w:t>
                  </w:r>
                </w:p>
              </w:tc>
              <w:tc>
                <w:tcPr>
                  <w:tcW w:w="624" w:type="dxa"/>
                  <w:tcBorders>
                    <w:top w:val="nil"/>
                    <w:left w:val="nil"/>
                    <w:bottom w:val="nil"/>
                    <w:right w:val="nil"/>
                  </w:tcBorders>
                </w:tcPr>
                <w:p w14:paraId="663A6A37"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86</w:t>
                  </w:r>
                </w:p>
              </w:tc>
              <w:tc>
                <w:tcPr>
                  <w:tcW w:w="624" w:type="dxa"/>
                  <w:tcBorders>
                    <w:top w:val="nil"/>
                    <w:left w:val="nil"/>
                    <w:bottom w:val="nil"/>
                    <w:right w:val="nil"/>
                  </w:tcBorders>
                </w:tcPr>
                <w:p w14:paraId="6A09AB6D" w14:textId="30632123" w:rsidR="007D1433" w:rsidRPr="000A3C87" w:rsidRDefault="007D1433" w:rsidP="00E52138">
                  <w:pPr>
                    <w:widowControl/>
                    <w:adjustRightInd w:val="0"/>
                    <w:jc w:val="right"/>
                    <w:rPr>
                      <w:rFonts w:ascii="Segoe UI" w:eastAsiaTheme="minorHAnsi" w:hAnsi="Segoe UI" w:cs="Segoe UI"/>
                      <w:color w:val="000000"/>
                      <w:sz w:val="14"/>
                      <w:szCs w:val="14"/>
                      <w:lang w:val="en-AU"/>
                    </w:rPr>
                  </w:pPr>
                  <w:r w:rsidRPr="000A3C87">
                    <w:rPr>
                      <w:rFonts w:ascii="Segoe UI" w:eastAsiaTheme="minorHAnsi" w:hAnsi="Segoe UI" w:cs="Segoe UI"/>
                      <w:color w:val="000000"/>
                      <w:sz w:val="14"/>
                      <w:szCs w:val="14"/>
                      <w:lang w:val="en-AU"/>
                    </w:rPr>
                    <w:t>0.6099</w:t>
                  </w:r>
                </w:p>
              </w:tc>
              <w:tc>
                <w:tcPr>
                  <w:tcW w:w="624" w:type="dxa"/>
                  <w:tcBorders>
                    <w:top w:val="nil"/>
                    <w:left w:val="nil"/>
                    <w:bottom w:val="nil"/>
                    <w:right w:val="nil"/>
                  </w:tcBorders>
                </w:tcPr>
                <w:p w14:paraId="10026093"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p>
              </w:tc>
              <w:tc>
                <w:tcPr>
                  <w:tcW w:w="624" w:type="dxa"/>
                  <w:tcBorders>
                    <w:top w:val="nil"/>
                    <w:left w:val="nil"/>
                    <w:bottom w:val="nil"/>
                    <w:right w:val="nil"/>
                  </w:tcBorders>
                </w:tcPr>
                <w:p w14:paraId="0FACEC5B" w14:textId="77777777" w:rsidR="007D1433" w:rsidRPr="000A3C87" w:rsidRDefault="007D1433" w:rsidP="00E52138">
                  <w:pPr>
                    <w:widowControl/>
                    <w:adjustRightInd w:val="0"/>
                    <w:jc w:val="right"/>
                    <w:rPr>
                      <w:rFonts w:ascii="Segoe UI" w:eastAsiaTheme="minorHAnsi" w:hAnsi="Segoe UI" w:cs="Segoe UI"/>
                      <w:color w:val="000000"/>
                      <w:sz w:val="14"/>
                      <w:szCs w:val="14"/>
                      <w:lang w:val="en-AU"/>
                    </w:rPr>
                  </w:pPr>
                </w:p>
              </w:tc>
            </w:tr>
          </w:tbl>
          <w:p w14:paraId="2372A775" w14:textId="0CB83350" w:rsidR="00051599" w:rsidRPr="000A3C87" w:rsidRDefault="00051599" w:rsidP="00B25388">
            <w:pPr>
              <w:pStyle w:val="BodyText"/>
              <w:ind w:left="0"/>
              <w:rPr>
                <w:sz w:val="14"/>
                <w:szCs w:val="14"/>
              </w:rPr>
            </w:pPr>
          </w:p>
        </w:tc>
      </w:tr>
      <w:tr w:rsidR="00585A0D" w14:paraId="4EB600F5" w14:textId="77777777" w:rsidTr="000476DD">
        <w:tc>
          <w:tcPr>
            <w:tcW w:w="3314" w:type="dxa"/>
          </w:tcPr>
          <w:p w14:paraId="7E7AFB23" w14:textId="77777777" w:rsidR="00585A0D" w:rsidRDefault="00585A0D" w:rsidP="00B77B98">
            <w:pPr>
              <w:pStyle w:val="BodyText"/>
              <w:spacing w:before="0"/>
              <w:ind w:left="0" w:right="278"/>
            </w:pPr>
            <w:r w:rsidRPr="00585A0D">
              <w:t xml:space="preserve">Classification accuracy: </w:t>
            </w:r>
          </w:p>
          <w:p w14:paraId="05775E2E" w14:textId="17340DA9" w:rsidR="00E9348D" w:rsidRDefault="005741F1" w:rsidP="005741F1">
            <w:pPr>
              <w:pStyle w:val="BodyText"/>
              <w:spacing w:before="0"/>
              <w:ind w:left="0" w:right="278"/>
            </w:pPr>
            <w:r>
              <w:t>Non-woody</w:t>
            </w:r>
            <w:r w:rsidR="00F40A6F">
              <w:t xml:space="preserve">: </w:t>
            </w:r>
            <w:r w:rsidR="00CC5679">
              <w:t>51%</w:t>
            </w:r>
          </w:p>
          <w:p w14:paraId="2AE83817" w14:textId="006CDEE9" w:rsidR="005741F1" w:rsidRDefault="005741F1" w:rsidP="005741F1">
            <w:pPr>
              <w:pStyle w:val="BodyText"/>
              <w:spacing w:before="0"/>
              <w:ind w:left="0" w:right="278"/>
            </w:pPr>
            <w:proofErr w:type="gramStart"/>
            <w:r>
              <w:t>Sparse-woody</w:t>
            </w:r>
            <w:proofErr w:type="gramEnd"/>
            <w:r w:rsidR="00CC5679">
              <w:t>: 55%</w:t>
            </w:r>
          </w:p>
          <w:p w14:paraId="2B3D9507" w14:textId="3630285D" w:rsidR="00EF62BF" w:rsidRPr="00585A0D" w:rsidRDefault="005741F1" w:rsidP="00DB7232">
            <w:pPr>
              <w:pStyle w:val="BodyText"/>
              <w:spacing w:before="0"/>
              <w:ind w:left="0" w:right="278"/>
            </w:pPr>
            <w:r>
              <w:t>Woody/Forest</w:t>
            </w:r>
            <w:r w:rsidR="00CC5679">
              <w:t>: 33%</w:t>
            </w:r>
          </w:p>
        </w:tc>
        <w:tc>
          <w:tcPr>
            <w:tcW w:w="3265" w:type="dxa"/>
          </w:tcPr>
          <w:p w14:paraId="64064000" w14:textId="77777777" w:rsidR="005741F1" w:rsidRDefault="00585A0D" w:rsidP="005741F1">
            <w:pPr>
              <w:pStyle w:val="BodyText"/>
              <w:spacing w:before="0"/>
              <w:ind w:left="0" w:right="278"/>
            </w:pPr>
            <w:r w:rsidRPr="00585A0D">
              <w:t xml:space="preserve">Classification accuracy: </w:t>
            </w:r>
          </w:p>
          <w:p w14:paraId="069C1631" w14:textId="5EA13459" w:rsidR="005741F1" w:rsidRDefault="005741F1" w:rsidP="005741F1">
            <w:pPr>
              <w:pStyle w:val="BodyText"/>
              <w:spacing w:before="0"/>
              <w:ind w:left="0" w:right="278"/>
            </w:pPr>
            <w:r>
              <w:t>Non-woody</w:t>
            </w:r>
            <w:r w:rsidR="00890AA7">
              <w:t>: 13%</w:t>
            </w:r>
          </w:p>
          <w:p w14:paraId="2D0C1531" w14:textId="73EE5F3F" w:rsidR="005741F1" w:rsidRDefault="005741F1" w:rsidP="005741F1">
            <w:pPr>
              <w:pStyle w:val="BodyText"/>
              <w:spacing w:before="0"/>
              <w:ind w:left="0" w:right="278"/>
            </w:pPr>
            <w:proofErr w:type="gramStart"/>
            <w:r>
              <w:t>Sparse-woody</w:t>
            </w:r>
            <w:proofErr w:type="gramEnd"/>
            <w:r w:rsidR="00890AA7">
              <w:t>: 20%</w:t>
            </w:r>
          </w:p>
          <w:p w14:paraId="748AE92F" w14:textId="7BE1D12D" w:rsidR="00585A0D" w:rsidRPr="000A3C87" w:rsidRDefault="005741F1" w:rsidP="005741F1">
            <w:pPr>
              <w:pStyle w:val="BodyText"/>
              <w:spacing w:before="0"/>
              <w:ind w:left="0"/>
              <w:rPr>
                <w:sz w:val="14"/>
                <w:szCs w:val="14"/>
              </w:rPr>
            </w:pPr>
            <w:r>
              <w:t>Woody/Forest</w:t>
            </w:r>
            <w:r w:rsidR="00890AA7">
              <w:t>: 75%</w:t>
            </w:r>
          </w:p>
        </w:tc>
        <w:tc>
          <w:tcPr>
            <w:tcW w:w="3490" w:type="dxa"/>
          </w:tcPr>
          <w:p w14:paraId="425203EF" w14:textId="77777777" w:rsidR="00585A0D" w:rsidRDefault="00585A0D" w:rsidP="00B77B98">
            <w:pPr>
              <w:pStyle w:val="BodyText"/>
              <w:spacing w:before="0"/>
              <w:ind w:left="0"/>
            </w:pPr>
            <w:r w:rsidRPr="00585A0D">
              <w:t xml:space="preserve">Classification accuracy: </w:t>
            </w:r>
          </w:p>
          <w:p w14:paraId="5F6DC5EF" w14:textId="7ED9E2E3" w:rsidR="005741F1" w:rsidRDefault="005741F1" w:rsidP="00B77B98">
            <w:pPr>
              <w:pStyle w:val="BodyText"/>
              <w:spacing w:before="0"/>
              <w:ind w:left="0" w:right="278"/>
            </w:pPr>
            <w:r>
              <w:t>Non-woody</w:t>
            </w:r>
            <w:r w:rsidR="00D50073">
              <w:t>: 0%</w:t>
            </w:r>
          </w:p>
          <w:p w14:paraId="114F4110" w14:textId="0086E631" w:rsidR="005741F1" w:rsidRDefault="005741F1" w:rsidP="00B77B98">
            <w:pPr>
              <w:pStyle w:val="BodyText"/>
              <w:spacing w:before="0"/>
              <w:ind w:left="0" w:right="278"/>
            </w:pPr>
            <w:proofErr w:type="gramStart"/>
            <w:r>
              <w:t>Sparse-woody</w:t>
            </w:r>
            <w:proofErr w:type="gramEnd"/>
            <w:r w:rsidR="00D50073">
              <w:t>: 57%</w:t>
            </w:r>
          </w:p>
          <w:p w14:paraId="1020A065" w14:textId="0F57D79B" w:rsidR="005741F1" w:rsidRPr="000A3C87" w:rsidRDefault="005741F1" w:rsidP="00B77B98">
            <w:pPr>
              <w:pStyle w:val="BodyText"/>
              <w:spacing w:before="0"/>
              <w:ind w:left="0"/>
              <w:rPr>
                <w:sz w:val="14"/>
                <w:szCs w:val="14"/>
              </w:rPr>
            </w:pPr>
            <w:r>
              <w:t>Woody/Forest</w:t>
            </w:r>
            <w:r w:rsidR="00D50073">
              <w:t>: 33</w:t>
            </w:r>
            <w:r w:rsidR="000D1E49">
              <w:t>%</w:t>
            </w:r>
          </w:p>
        </w:tc>
      </w:tr>
      <w:tr w:rsidR="00DB7232" w14:paraId="35449238" w14:textId="77777777" w:rsidTr="000476DD">
        <w:tc>
          <w:tcPr>
            <w:tcW w:w="3314" w:type="dxa"/>
          </w:tcPr>
          <w:p w14:paraId="22AA3E5F" w14:textId="77777777" w:rsidR="00DB7232" w:rsidRDefault="00DB7232" w:rsidP="00DB7232">
            <w:pPr>
              <w:pStyle w:val="BodyText"/>
              <w:spacing w:before="0"/>
              <w:ind w:left="0" w:right="278"/>
            </w:pPr>
            <w:r>
              <w:t>Canopy Cover (class mean):</w:t>
            </w:r>
          </w:p>
          <w:p w14:paraId="782775AF" w14:textId="5E3D29FB" w:rsidR="00DB7232" w:rsidRDefault="00DB7232" w:rsidP="00DB7232">
            <w:pPr>
              <w:pStyle w:val="BodyText"/>
              <w:spacing w:before="0"/>
              <w:ind w:left="0" w:right="278"/>
            </w:pPr>
            <w:r>
              <w:t>Non-woody:</w:t>
            </w:r>
            <w:r w:rsidR="00EE71A0">
              <w:t xml:space="preserve"> </w:t>
            </w:r>
            <w:r w:rsidR="0086022A">
              <w:t>12%</w:t>
            </w:r>
          </w:p>
          <w:p w14:paraId="1CDABD1A" w14:textId="2FFD67C0" w:rsidR="00DB7232" w:rsidRDefault="00DB7232" w:rsidP="00DB7232">
            <w:pPr>
              <w:pStyle w:val="BodyText"/>
              <w:spacing w:before="0"/>
              <w:ind w:left="0" w:right="278"/>
            </w:pPr>
            <w:proofErr w:type="gramStart"/>
            <w:r>
              <w:t>Sparse-woody</w:t>
            </w:r>
            <w:proofErr w:type="gramEnd"/>
            <w:r>
              <w:t xml:space="preserve">: </w:t>
            </w:r>
            <w:r w:rsidR="0086022A">
              <w:t>18%</w:t>
            </w:r>
          </w:p>
          <w:p w14:paraId="5424A6EE" w14:textId="5FEE8829" w:rsidR="00DB7232" w:rsidRPr="00585A0D" w:rsidRDefault="00DB7232" w:rsidP="00B77B98">
            <w:pPr>
              <w:pStyle w:val="BodyText"/>
              <w:spacing w:before="0"/>
              <w:ind w:left="0" w:right="278"/>
            </w:pPr>
            <w:r>
              <w:t xml:space="preserve">Woody/Forest: </w:t>
            </w:r>
            <w:r w:rsidR="0086022A">
              <w:t>22%</w:t>
            </w:r>
          </w:p>
        </w:tc>
        <w:tc>
          <w:tcPr>
            <w:tcW w:w="3265" w:type="dxa"/>
          </w:tcPr>
          <w:p w14:paraId="09FE7273" w14:textId="77777777" w:rsidR="00DB7232" w:rsidRDefault="00DB7232" w:rsidP="00DB7232">
            <w:pPr>
              <w:pStyle w:val="BodyText"/>
              <w:spacing w:before="0"/>
              <w:ind w:left="0" w:right="278"/>
            </w:pPr>
            <w:r>
              <w:t>Canopy Cover (class mean):</w:t>
            </w:r>
          </w:p>
          <w:p w14:paraId="01796386" w14:textId="6BAD1FFA" w:rsidR="00DB7232" w:rsidRDefault="00DB7232" w:rsidP="00DB7232">
            <w:pPr>
              <w:pStyle w:val="BodyText"/>
              <w:spacing w:before="0"/>
              <w:ind w:left="0" w:right="278"/>
            </w:pPr>
            <w:r>
              <w:t>Non-woody:</w:t>
            </w:r>
            <w:r w:rsidR="00960968">
              <w:t xml:space="preserve"> </w:t>
            </w:r>
            <w:r w:rsidR="00EE71A0">
              <w:t>31%</w:t>
            </w:r>
          </w:p>
          <w:p w14:paraId="28EBB292" w14:textId="21F6BD50" w:rsidR="00DB7232" w:rsidRDefault="00DB7232" w:rsidP="00DB7232">
            <w:pPr>
              <w:pStyle w:val="BodyText"/>
              <w:spacing w:before="0"/>
              <w:ind w:left="0" w:right="278"/>
            </w:pPr>
            <w:proofErr w:type="gramStart"/>
            <w:r>
              <w:t>Sparse-woody</w:t>
            </w:r>
            <w:proofErr w:type="gramEnd"/>
            <w:r>
              <w:t xml:space="preserve">: </w:t>
            </w:r>
            <w:r w:rsidR="00EE71A0">
              <w:t>26%</w:t>
            </w:r>
          </w:p>
          <w:p w14:paraId="1D24E9AE" w14:textId="57A8ABD5" w:rsidR="00DB7232" w:rsidRPr="00585A0D" w:rsidRDefault="00DB7232" w:rsidP="005741F1">
            <w:pPr>
              <w:pStyle w:val="BodyText"/>
              <w:spacing w:before="0"/>
              <w:ind w:left="0" w:right="278"/>
            </w:pPr>
            <w:r>
              <w:t xml:space="preserve">Woody/Forest: </w:t>
            </w:r>
            <w:r w:rsidR="00EE71A0">
              <w:t>25%</w:t>
            </w:r>
          </w:p>
        </w:tc>
        <w:tc>
          <w:tcPr>
            <w:tcW w:w="3490" w:type="dxa"/>
          </w:tcPr>
          <w:p w14:paraId="6D0EE0AF" w14:textId="77777777" w:rsidR="00DB7232" w:rsidRDefault="00DB7232" w:rsidP="00DB7232">
            <w:pPr>
              <w:pStyle w:val="BodyText"/>
              <w:spacing w:before="0"/>
              <w:ind w:left="0" w:right="278"/>
            </w:pPr>
            <w:r>
              <w:t>Canopy Cover (class mean):</w:t>
            </w:r>
          </w:p>
          <w:p w14:paraId="6ECE80E6" w14:textId="3A5CF33F" w:rsidR="00DB7232" w:rsidRDefault="00DB7232" w:rsidP="00DB7232">
            <w:pPr>
              <w:pStyle w:val="BodyText"/>
              <w:spacing w:before="0"/>
              <w:ind w:left="0" w:right="278"/>
            </w:pPr>
            <w:r>
              <w:t>Non-woody:</w:t>
            </w:r>
            <w:r w:rsidR="0086022A">
              <w:t xml:space="preserve"> 14%</w:t>
            </w:r>
          </w:p>
          <w:p w14:paraId="0333E3FB" w14:textId="7ECBE87B" w:rsidR="00DB7232" w:rsidRDefault="00DB7232" w:rsidP="00DB7232">
            <w:pPr>
              <w:pStyle w:val="BodyText"/>
              <w:spacing w:before="0"/>
              <w:ind w:left="0" w:right="278"/>
            </w:pPr>
            <w:proofErr w:type="gramStart"/>
            <w:r>
              <w:t>Sparse-woody</w:t>
            </w:r>
            <w:proofErr w:type="gramEnd"/>
            <w:r>
              <w:t xml:space="preserve">: </w:t>
            </w:r>
            <w:r w:rsidR="0020271E">
              <w:t>18%</w:t>
            </w:r>
          </w:p>
          <w:p w14:paraId="2C257D4C" w14:textId="097E105F" w:rsidR="00DB7232" w:rsidRPr="00585A0D" w:rsidRDefault="00DB7232" w:rsidP="00DB7232">
            <w:pPr>
              <w:pStyle w:val="BodyText"/>
              <w:spacing w:before="0"/>
              <w:ind w:left="0" w:right="278"/>
            </w:pPr>
            <w:r>
              <w:t xml:space="preserve">Woody/Forest: </w:t>
            </w:r>
            <w:r w:rsidR="0020271E">
              <w:t>18%</w:t>
            </w:r>
          </w:p>
        </w:tc>
      </w:tr>
    </w:tbl>
    <w:p w14:paraId="2478922A" w14:textId="37408C20" w:rsidR="00DC6231" w:rsidRDefault="00DC6231" w:rsidP="00B25388">
      <w:pPr>
        <w:pStyle w:val="BodyText"/>
      </w:pPr>
      <w:r>
        <w:t xml:space="preserve">Similarly, </w:t>
      </w:r>
      <w:r w:rsidR="005D3566">
        <w:t xml:space="preserve">Persistent Green estimates of vegetation cover for each sample point </w:t>
      </w:r>
      <w:r w:rsidR="00C72152">
        <w:t>were</w:t>
      </w:r>
      <w:r w:rsidR="005D3566">
        <w:t xml:space="preserve"> </w:t>
      </w:r>
      <w:r w:rsidR="00FF6CDB">
        <w:t>plotted</w:t>
      </w:r>
      <w:r w:rsidR="009E4B12">
        <w:t xml:space="preserve"> against the field measurements of canopy cover</w:t>
      </w:r>
      <w:r w:rsidR="005D3566">
        <w:t xml:space="preserve"> (</w:t>
      </w:r>
      <w:r w:rsidR="008E3DEE">
        <w:fldChar w:fldCharType="begin"/>
      </w:r>
      <w:r w:rsidR="008E3DEE">
        <w:instrText xml:space="preserve"> REF _Ref172907515 \h </w:instrText>
      </w:r>
      <w:r w:rsidR="008E3DEE">
        <w:fldChar w:fldCharType="separate"/>
      </w:r>
      <w:r w:rsidR="00127CAB">
        <w:t xml:space="preserve">Figure </w:t>
      </w:r>
      <w:r w:rsidR="00127CAB">
        <w:rPr>
          <w:noProof/>
        </w:rPr>
        <w:t>5</w:t>
      </w:r>
      <w:r w:rsidR="008E3DEE">
        <w:fldChar w:fldCharType="end"/>
      </w:r>
      <w:r w:rsidR="008E3DEE">
        <w:t>)</w:t>
      </w:r>
      <w:r w:rsidR="009D3910">
        <w:t>.</w:t>
      </w:r>
      <w:r w:rsidR="005D3566">
        <w:t xml:space="preserve"> </w:t>
      </w:r>
      <w:r w:rsidR="005D46EE">
        <w:t>There was no significant correlation between field measurement and Persistent Green in Western Australia</w:t>
      </w:r>
      <w:r w:rsidR="00425D8D">
        <w:t xml:space="preserve">, although most of the field measurements of canopy cover were well above Persistent Green estimates. </w:t>
      </w:r>
      <w:r w:rsidR="002C5694">
        <w:t>There were significant correlations for Queensland and NSW</w:t>
      </w:r>
      <w:r w:rsidR="00B75846">
        <w:rPr>
          <w:rStyle w:val="FootnoteReference"/>
        </w:rPr>
        <w:footnoteReference w:id="11"/>
      </w:r>
      <w:r w:rsidR="002C5694">
        <w:t xml:space="preserve"> (p&lt;0.05) although the </w:t>
      </w:r>
      <w:r w:rsidR="00AB6B92">
        <w:t>relationships were relatively weak (</w:t>
      </w:r>
      <w:r w:rsidR="00C135F7">
        <w:t>r</w:t>
      </w:r>
      <w:r w:rsidR="00C135F7" w:rsidRPr="006E76F8">
        <w:rPr>
          <w:vertAlign w:val="superscript"/>
        </w:rPr>
        <w:t>2</w:t>
      </w:r>
      <w:r w:rsidR="00C135F7">
        <w:t xml:space="preserve"> 0.16 and 0.</w:t>
      </w:r>
      <w:r w:rsidR="006E76F8">
        <w:t>2</w:t>
      </w:r>
      <w:r w:rsidR="00C135F7">
        <w:t>2</w:t>
      </w:r>
      <w:r w:rsidR="00F954C1">
        <w:t xml:space="preserve"> </w:t>
      </w:r>
      <w:r w:rsidR="006E76F8">
        <w:t>respectively</w:t>
      </w:r>
      <w:r w:rsidR="002E65F9">
        <w:t>, with both having RMSE of about 0.13</w:t>
      </w:r>
      <w:r w:rsidR="006E76F8">
        <w:t>)</w:t>
      </w:r>
      <w:r w:rsidR="00C32553">
        <w:t>.</w:t>
      </w:r>
      <w:r w:rsidR="00C135F7">
        <w:t xml:space="preserve"> </w:t>
      </w:r>
      <w:r w:rsidR="00C32553">
        <w:t>A</w:t>
      </w:r>
      <w:r w:rsidR="00121B6E">
        <w:t>gain, the field measurements of canopy cover were usually</w:t>
      </w:r>
      <w:r w:rsidR="00AE0581">
        <w:t xml:space="preserve"> greater than the Persistent Green estimates.</w:t>
      </w:r>
      <w:r w:rsidR="00D35170">
        <w:t xml:space="preserve"> </w:t>
      </w:r>
      <w:r w:rsidR="00025FD6">
        <w:t xml:space="preserve">The slope of the best fit line for Queensland and NSW was not significantly different to 1.0 </w:t>
      </w:r>
      <w:r w:rsidR="00E24E11">
        <w:t>but in both cases the intercept was about 8%</w:t>
      </w:r>
      <w:r w:rsidR="00A57F0F">
        <w:t xml:space="preserve"> indicating that, on average, Persistent Green underestimated </w:t>
      </w:r>
      <w:r w:rsidR="00F954C1">
        <w:t>canopy cover by 8%.</w:t>
      </w:r>
      <w:r w:rsidR="002142AA">
        <w:t xml:space="preserve"> </w:t>
      </w:r>
      <w:r w:rsidR="008732BA">
        <w:t xml:space="preserve">This </w:t>
      </w:r>
      <w:r w:rsidR="00CF0422">
        <w:t>bias was unexpected as Gill et al</w:t>
      </w:r>
      <w:r w:rsidR="00FB64F2">
        <w:rPr>
          <w:rStyle w:val="FootnoteReference"/>
        </w:rPr>
        <w:footnoteReference w:id="12"/>
      </w:r>
      <w:r w:rsidR="00CF0422">
        <w:t xml:space="preserve"> (2015)</w:t>
      </w:r>
      <w:r w:rsidR="00CF0422">
        <w:rPr>
          <w:sz w:val="14"/>
          <w:szCs w:val="14"/>
        </w:rPr>
        <w:t xml:space="preserve"> </w:t>
      </w:r>
      <w:r w:rsidR="00CF0422">
        <w:t xml:space="preserve">found that estimates of </w:t>
      </w:r>
      <w:r w:rsidR="00CF0422" w:rsidRPr="00CF0422">
        <w:t>Persistent Green</w:t>
      </w:r>
      <w:r w:rsidR="00CF0422" w:rsidRPr="143DBF2A">
        <w:rPr>
          <w:i/>
          <w:iCs/>
        </w:rPr>
        <w:t xml:space="preserve"> </w:t>
      </w:r>
      <w:r w:rsidR="00455DD8">
        <w:t xml:space="preserve">were higher than precisely measured canopy cover </w:t>
      </w:r>
      <w:r w:rsidR="00B31B0C">
        <w:t xml:space="preserve">at low cover levels. </w:t>
      </w:r>
      <w:r w:rsidR="00AA6839">
        <w:t xml:space="preserve">Given the </w:t>
      </w:r>
      <w:r w:rsidR="00890B42">
        <w:t xml:space="preserve">5-year threshold was only 7.5%, </w:t>
      </w:r>
      <w:r w:rsidR="00ED5B34">
        <w:t xml:space="preserve">the lack of significant correlation in Western Australia and </w:t>
      </w:r>
      <w:r w:rsidR="00890B42">
        <w:t>th</w:t>
      </w:r>
      <w:r w:rsidR="00ED5B34">
        <w:t>e</w:t>
      </w:r>
      <w:r w:rsidR="00890B42">
        <w:t xml:space="preserve"> underestimate</w:t>
      </w:r>
      <w:r w:rsidR="00ED5B34">
        <w:t>s in Queensland and NSW</w:t>
      </w:r>
      <w:r w:rsidR="00890B42">
        <w:t xml:space="preserve"> means </w:t>
      </w:r>
      <w:r w:rsidR="002D33E7">
        <w:t xml:space="preserve">the </w:t>
      </w:r>
      <w:r w:rsidR="00700ACF">
        <w:t xml:space="preserve">Persistent Green </w:t>
      </w:r>
      <w:r w:rsidR="00890B42">
        <w:t>has little</w:t>
      </w:r>
      <w:r w:rsidR="00700ACF">
        <w:t xml:space="preserve"> value for testing regeneration levels at the 100-ha scale.</w:t>
      </w:r>
    </w:p>
    <w:p w14:paraId="77E305CB" w14:textId="2E7C9A22" w:rsidR="001B3E58" w:rsidRDefault="00127CAB" w:rsidP="00127CAB">
      <w:r>
        <w:br w:type="page"/>
      </w:r>
    </w:p>
    <w:tbl>
      <w:tblPr>
        <w:tblStyle w:val="TableGrid"/>
        <w:tblW w:w="0" w:type="auto"/>
        <w:tblInd w:w="220" w:type="dxa"/>
        <w:tblLook w:val="04A0" w:firstRow="1" w:lastRow="0" w:firstColumn="1" w:lastColumn="0" w:noHBand="0" w:noVBand="1"/>
      </w:tblPr>
      <w:tblGrid>
        <w:gridCol w:w="3071"/>
        <w:gridCol w:w="3070"/>
        <w:gridCol w:w="3099"/>
      </w:tblGrid>
      <w:tr w:rsidR="001B1BA6" w14:paraId="6629E8EA" w14:textId="77777777" w:rsidTr="005C448D">
        <w:tc>
          <w:tcPr>
            <w:tcW w:w="3079" w:type="dxa"/>
          </w:tcPr>
          <w:p w14:paraId="368868B8" w14:textId="3B6A4842" w:rsidR="005C448D" w:rsidRDefault="005C448D" w:rsidP="005C448D">
            <w:pPr>
              <w:pStyle w:val="BodyText"/>
              <w:ind w:left="0"/>
            </w:pPr>
            <w:r>
              <w:lastRenderedPageBreak/>
              <w:t>Queensland</w:t>
            </w:r>
          </w:p>
        </w:tc>
        <w:tc>
          <w:tcPr>
            <w:tcW w:w="3080" w:type="dxa"/>
          </w:tcPr>
          <w:p w14:paraId="2A26338F" w14:textId="7762DA33" w:rsidR="005C448D" w:rsidRDefault="005C448D" w:rsidP="005C448D">
            <w:pPr>
              <w:pStyle w:val="BodyText"/>
              <w:ind w:left="0"/>
            </w:pPr>
            <w:r>
              <w:t>New South Wales</w:t>
            </w:r>
          </w:p>
        </w:tc>
        <w:tc>
          <w:tcPr>
            <w:tcW w:w="3081" w:type="dxa"/>
          </w:tcPr>
          <w:p w14:paraId="1694D130" w14:textId="2659C8A5" w:rsidR="005C448D" w:rsidRDefault="005C448D" w:rsidP="005C448D">
            <w:pPr>
              <w:pStyle w:val="BodyText"/>
              <w:ind w:left="0"/>
            </w:pPr>
            <w:r>
              <w:t>Western Australia</w:t>
            </w:r>
          </w:p>
        </w:tc>
      </w:tr>
      <w:tr w:rsidR="001B1BA6" w14:paraId="71101B04" w14:textId="77777777" w:rsidTr="005C448D">
        <w:tc>
          <w:tcPr>
            <w:tcW w:w="3079" w:type="dxa"/>
          </w:tcPr>
          <w:p w14:paraId="54D96F26" w14:textId="77777777" w:rsidR="005C448D" w:rsidRDefault="004E5021" w:rsidP="00B25388">
            <w:pPr>
              <w:pStyle w:val="BodyText"/>
              <w:ind w:left="0"/>
            </w:pPr>
            <w:r w:rsidRPr="004E5021">
              <w:rPr>
                <w:noProof/>
              </w:rPr>
              <w:drawing>
                <wp:inline distT="0" distB="0" distL="0" distR="0" wp14:anchorId="3AC52A27" wp14:editId="410BF7D3">
                  <wp:extent cx="1735698" cy="1312676"/>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62058" cy="1332611"/>
                          </a:xfrm>
                          <a:prstGeom prst="rect">
                            <a:avLst/>
                          </a:prstGeom>
                        </pic:spPr>
                      </pic:pic>
                    </a:graphicData>
                  </a:graphic>
                </wp:inline>
              </w:drawing>
            </w:r>
          </w:p>
          <w:tbl>
            <w:tblPr>
              <w:tblW w:w="0" w:type="auto"/>
              <w:tblCellMar>
                <w:left w:w="40" w:type="dxa"/>
                <w:right w:w="40" w:type="dxa"/>
              </w:tblCellMar>
              <w:tblLook w:val="0000" w:firstRow="0" w:lastRow="0" w:firstColumn="0" w:lastColumn="0" w:noHBand="0" w:noVBand="0"/>
            </w:tblPr>
            <w:tblGrid>
              <w:gridCol w:w="1939"/>
              <w:gridCol w:w="895"/>
            </w:tblGrid>
            <w:tr w:rsidR="001B1BA6" w14:paraId="641038F0" w14:textId="77777777" w:rsidTr="001136E7">
              <w:trPr>
                <w:trHeight w:val="239"/>
              </w:trPr>
              <w:tc>
                <w:tcPr>
                  <w:tcW w:w="1939" w:type="dxa"/>
                  <w:tcBorders>
                    <w:top w:val="nil"/>
                    <w:left w:val="nil"/>
                    <w:bottom w:val="nil"/>
                    <w:right w:val="nil"/>
                  </w:tcBorders>
                </w:tcPr>
                <w:p w14:paraId="2562F7D8" w14:textId="736CCAAD" w:rsidR="00EB3B66" w:rsidRPr="00E23CC7" w:rsidRDefault="00EB3B66" w:rsidP="00EB3B66">
                  <w:pPr>
                    <w:widowControl/>
                    <w:adjustRightInd w:val="0"/>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R</w:t>
                  </w:r>
                  <w:r w:rsidR="00C52D0B" w:rsidRPr="00C52D0B">
                    <w:rPr>
                      <w:rFonts w:ascii="Segoe UI" w:eastAsiaTheme="minorHAnsi" w:hAnsi="Segoe UI" w:cs="Segoe UI"/>
                      <w:color w:val="000000"/>
                      <w:sz w:val="14"/>
                      <w:szCs w:val="14"/>
                      <w:vertAlign w:val="superscript"/>
                      <w:lang w:val="en-AU"/>
                    </w:rPr>
                    <w:t>2</w:t>
                  </w:r>
                </w:p>
              </w:tc>
              <w:tc>
                <w:tcPr>
                  <w:tcW w:w="895" w:type="dxa"/>
                  <w:tcBorders>
                    <w:top w:val="nil"/>
                    <w:left w:val="nil"/>
                    <w:bottom w:val="nil"/>
                    <w:right w:val="nil"/>
                  </w:tcBorders>
                </w:tcPr>
                <w:p w14:paraId="60CAEDC3" w14:textId="0A680C08" w:rsidR="00EB3B66" w:rsidRPr="00E23CC7" w:rsidRDefault="00EB3B66" w:rsidP="00EB3B66">
                  <w:pPr>
                    <w:widowControl/>
                    <w:adjustRightInd w:val="0"/>
                    <w:jc w:val="right"/>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0.1558</w:t>
                  </w:r>
                </w:p>
              </w:tc>
            </w:tr>
            <w:tr w:rsidR="001B1BA6" w14:paraId="07A38795" w14:textId="77777777" w:rsidTr="001136E7">
              <w:trPr>
                <w:trHeight w:val="239"/>
              </w:trPr>
              <w:tc>
                <w:tcPr>
                  <w:tcW w:w="1939" w:type="dxa"/>
                  <w:vMerge w:val="restart"/>
                  <w:tcBorders>
                    <w:top w:val="nil"/>
                    <w:left w:val="nil"/>
                    <w:bottom w:val="nil"/>
                    <w:right w:val="nil"/>
                  </w:tcBorders>
                </w:tcPr>
                <w:p w14:paraId="050FE212" w14:textId="77777777" w:rsidR="00EB3B66" w:rsidRPr="00E23CC7" w:rsidRDefault="00EB3B66" w:rsidP="00EB3B66">
                  <w:pPr>
                    <w:widowControl/>
                    <w:adjustRightInd w:val="0"/>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Root Mean Square Error</w:t>
                  </w:r>
                </w:p>
              </w:tc>
              <w:tc>
                <w:tcPr>
                  <w:tcW w:w="895" w:type="dxa"/>
                  <w:vMerge w:val="restart"/>
                  <w:tcBorders>
                    <w:top w:val="nil"/>
                    <w:left w:val="nil"/>
                    <w:bottom w:val="nil"/>
                    <w:right w:val="nil"/>
                  </w:tcBorders>
                </w:tcPr>
                <w:p w14:paraId="4D606F88" w14:textId="7268DDC9" w:rsidR="00EB3B66" w:rsidRPr="00E23CC7" w:rsidRDefault="00EB3B66" w:rsidP="00EB3B66">
                  <w:pPr>
                    <w:widowControl/>
                    <w:adjustRightInd w:val="0"/>
                    <w:jc w:val="right"/>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0.1285</w:t>
                  </w:r>
                </w:p>
              </w:tc>
            </w:tr>
            <w:tr w:rsidR="001B1BA6" w14:paraId="4FE558C9" w14:textId="77777777" w:rsidTr="001136E7">
              <w:trPr>
                <w:trHeight w:val="239"/>
              </w:trPr>
              <w:tc>
                <w:tcPr>
                  <w:tcW w:w="1939" w:type="dxa"/>
                  <w:vMerge w:val="restart"/>
                  <w:tcBorders>
                    <w:top w:val="nil"/>
                    <w:left w:val="nil"/>
                    <w:bottom w:val="nil"/>
                    <w:right w:val="nil"/>
                  </w:tcBorders>
                </w:tcPr>
                <w:p w14:paraId="27950412" w14:textId="77777777" w:rsidR="00EB3B66" w:rsidRPr="00E23CC7" w:rsidRDefault="00EB3B66" w:rsidP="00EB3B66">
                  <w:pPr>
                    <w:widowControl/>
                    <w:adjustRightInd w:val="0"/>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Mean of Response</w:t>
                  </w:r>
                </w:p>
              </w:tc>
              <w:tc>
                <w:tcPr>
                  <w:tcW w:w="895" w:type="dxa"/>
                  <w:vMerge w:val="restart"/>
                  <w:tcBorders>
                    <w:top w:val="nil"/>
                    <w:left w:val="nil"/>
                    <w:bottom w:val="nil"/>
                    <w:right w:val="nil"/>
                  </w:tcBorders>
                </w:tcPr>
                <w:p w14:paraId="1AC9EF12" w14:textId="7FF285D1" w:rsidR="00EB3B66" w:rsidRPr="00E23CC7" w:rsidRDefault="00EB3B66" w:rsidP="00EB3B66">
                  <w:pPr>
                    <w:widowControl/>
                    <w:adjustRightInd w:val="0"/>
                    <w:jc w:val="right"/>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0.1441</w:t>
                  </w:r>
                </w:p>
              </w:tc>
            </w:tr>
            <w:tr w:rsidR="001B1BA6" w14:paraId="1EE34EA7" w14:textId="77777777" w:rsidTr="001136E7">
              <w:trPr>
                <w:trHeight w:val="239"/>
              </w:trPr>
              <w:tc>
                <w:tcPr>
                  <w:tcW w:w="1939" w:type="dxa"/>
                  <w:vMerge w:val="restart"/>
                  <w:tcBorders>
                    <w:top w:val="nil"/>
                    <w:left w:val="nil"/>
                    <w:bottom w:val="nil"/>
                    <w:right w:val="nil"/>
                  </w:tcBorders>
                </w:tcPr>
                <w:p w14:paraId="2C8BE94B" w14:textId="25036151" w:rsidR="00EB3B66" w:rsidRPr="00E23CC7" w:rsidRDefault="00EB3B66" w:rsidP="00EB3B66">
                  <w:pPr>
                    <w:widowControl/>
                    <w:adjustRightInd w:val="0"/>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Observations</w:t>
                  </w:r>
                </w:p>
              </w:tc>
              <w:tc>
                <w:tcPr>
                  <w:tcW w:w="895" w:type="dxa"/>
                  <w:vMerge w:val="restart"/>
                  <w:tcBorders>
                    <w:top w:val="nil"/>
                    <w:left w:val="nil"/>
                    <w:bottom w:val="nil"/>
                    <w:right w:val="nil"/>
                  </w:tcBorders>
                </w:tcPr>
                <w:p w14:paraId="0E81A6A9" w14:textId="77777777" w:rsidR="00EB3B66" w:rsidRPr="00E23CC7" w:rsidRDefault="00EB3B66" w:rsidP="00EB3B66">
                  <w:pPr>
                    <w:widowControl/>
                    <w:adjustRightInd w:val="0"/>
                    <w:jc w:val="right"/>
                    <w:rPr>
                      <w:rFonts w:ascii="Segoe UI" w:eastAsiaTheme="minorHAnsi" w:hAnsi="Segoe UI" w:cs="Segoe UI"/>
                      <w:color w:val="000000"/>
                      <w:sz w:val="14"/>
                      <w:szCs w:val="14"/>
                      <w:lang w:val="en-AU"/>
                    </w:rPr>
                  </w:pPr>
                  <w:r w:rsidRPr="00E23CC7">
                    <w:rPr>
                      <w:rFonts w:ascii="Segoe UI" w:eastAsiaTheme="minorHAnsi" w:hAnsi="Segoe UI" w:cs="Segoe UI"/>
                      <w:color w:val="000000"/>
                      <w:sz w:val="14"/>
                      <w:szCs w:val="14"/>
                      <w:lang w:val="en-AU"/>
                    </w:rPr>
                    <w:t>67</w:t>
                  </w:r>
                </w:p>
              </w:tc>
            </w:tr>
          </w:tbl>
          <w:p w14:paraId="70D947F9" w14:textId="06ED3365" w:rsidR="00090FD8" w:rsidRDefault="00090FD8" w:rsidP="00B25388">
            <w:pPr>
              <w:pStyle w:val="BodyText"/>
              <w:ind w:left="0"/>
            </w:pPr>
          </w:p>
        </w:tc>
        <w:tc>
          <w:tcPr>
            <w:tcW w:w="3080" w:type="dxa"/>
          </w:tcPr>
          <w:p w14:paraId="10416453" w14:textId="24112F4C" w:rsidR="005C448D" w:rsidRDefault="001B1BA6" w:rsidP="00B25388">
            <w:pPr>
              <w:pStyle w:val="BodyText"/>
              <w:ind w:left="0"/>
            </w:pPr>
            <w:r w:rsidRPr="001B1BA6">
              <w:rPr>
                <w:noProof/>
              </w:rPr>
              <w:drawing>
                <wp:inline distT="0" distB="0" distL="0" distR="0" wp14:anchorId="42504C41" wp14:editId="14875C13">
                  <wp:extent cx="1729154" cy="1307727"/>
                  <wp:effectExtent l="0" t="0" r="444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48706" cy="1322514"/>
                          </a:xfrm>
                          <a:prstGeom prst="rect">
                            <a:avLst/>
                          </a:prstGeom>
                        </pic:spPr>
                      </pic:pic>
                    </a:graphicData>
                  </a:graphic>
                </wp:inline>
              </w:drawing>
            </w:r>
          </w:p>
          <w:tbl>
            <w:tblPr>
              <w:tblW w:w="0" w:type="auto"/>
              <w:tblCellMar>
                <w:left w:w="40" w:type="dxa"/>
                <w:right w:w="40" w:type="dxa"/>
              </w:tblCellMar>
              <w:tblLook w:val="0000" w:firstRow="0" w:lastRow="0" w:firstColumn="0" w:lastColumn="0" w:noHBand="0" w:noVBand="0"/>
            </w:tblPr>
            <w:tblGrid>
              <w:gridCol w:w="1979"/>
              <w:gridCol w:w="863"/>
            </w:tblGrid>
            <w:tr w:rsidR="00AA5E0A" w:rsidRPr="00AA5E0A" w14:paraId="22071539" w14:textId="77777777" w:rsidTr="009C16B0">
              <w:trPr>
                <w:trHeight w:val="239"/>
              </w:trPr>
              <w:tc>
                <w:tcPr>
                  <w:tcW w:w="1979" w:type="dxa"/>
                  <w:tcBorders>
                    <w:top w:val="nil"/>
                    <w:left w:val="nil"/>
                    <w:bottom w:val="nil"/>
                    <w:right w:val="nil"/>
                  </w:tcBorders>
                </w:tcPr>
                <w:p w14:paraId="6C7471C2" w14:textId="24E9270A" w:rsidR="00AA5E0A" w:rsidRPr="00AA5E0A" w:rsidRDefault="00AA5E0A" w:rsidP="00AA5E0A">
                  <w:pPr>
                    <w:widowControl/>
                    <w:adjustRightInd w:val="0"/>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R</w:t>
                  </w:r>
                  <w:r w:rsidR="009C16B0" w:rsidRPr="009C16B0">
                    <w:rPr>
                      <w:rFonts w:ascii="Segoe UI" w:eastAsiaTheme="minorHAnsi" w:hAnsi="Segoe UI" w:cs="Segoe UI"/>
                      <w:color w:val="000000"/>
                      <w:sz w:val="14"/>
                      <w:szCs w:val="14"/>
                      <w:vertAlign w:val="superscript"/>
                      <w:lang w:val="en-AU"/>
                    </w:rPr>
                    <w:t>2</w:t>
                  </w:r>
                </w:p>
              </w:tc>
              <w:tc>
                <w:tcPr>
                  <w:tcW w:w="863" w:type="dxa"/>
                  <w:tcBorders>
                    <w:top w:val="nil"/>
                    <w:left w:val="nil"/>
                    <w:bottom w:val="nil"/>
                    <w:right w:val="nil"/>
                  </w:tcBorders>
                </w:tcPr>
                <w:p w14:paraId="4A3D0574" w14:textId="157A19CB" w:rsidR="00AA5E0A" w:rsidRPr="00AA5E0A" w:rsidRDefault="00AA5E0A" w:rsidP="00AA5E0A">
                  <w:pPr>
                    <w:widowControl/>
                    <w:adjustRightInd w:val="0"/>
                    <w:jc w:val="right"/>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0.2176</w:t>
                  </w:r>
                </w:p>
              </w:tc>
            </w:tr>
            <w:tr w:rsidR="00AA5E0A" w:rsidRPr="00AA5E0A" w14:paraId="5E60CDBF" w14:textId="77777777" w:rsidTr="009C16B0">
              <w:trPr>
                <w:trHeight w:val="239"/>
              </w:trPr>
              <w:tc>
                <w:tcPr>
                  <w:tcW w:w="1979" w:type="dxa"/>
                  <w:vMerge w:val="restart"/>
                  <w:tcBorders>
                    <w:top w:val="nil"/>
                    <w:left w:val="nil"/>
                    <w:bottom w:val="nil"/>
                    <w:right w:val="nil"/>
                  </w:tcBorders>
                </w:tcPr>
                <w:p w14:paraId="3C4B6F35" w14:textId="77777777" w:rsidR="00AA5E0A" w:rsidRPr="00AA5E0A" w:rsidRDefault="00AA5E0A" w:rsidP="00AA5E0A">
                  <w:pPr>
                    <w:widowControl/>
                    <w:adjustRightInd w:val="0"/>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Root Mean Square Error</w:t>
                  </w:r>
                </w:p>
              </w:tc>
              <w:tc>
                <w:tcPr>
                  <w:tcW w:w="863" w:type="dxa"/>
                  <w:vMerge w:val="restart"/>
                  <w:tcBorders>
                    <w:top w:val="nil"/>
                    <w:left w:val="nil"/>
                    <w:bottom w:val="nil"/>
                    <w:right w:val="nil"/>
                  </w:tcBorders>
                </w:tcPr>
                <w:p w14:paraId="34F60D16" w14:textId="09055C60" w:rsidR="00AA5E0A" w:rsidRPr="00AA5E0A" w:rsidRDefault="00AA5E0A" w:rsidP="00AA5E0A">
                  <w:pPr>
                    <w:widowControl/>
                    <w:adjustRightInd w:val="0"/>
                    <w:jc w:val="right"/>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0.1291</w:t>
                  </w:r>
                </w:p>
              </w:tc>
            </w:tr>
            <w:tr w:rsidR="00AA5E0A" w:rsidRPr="00AA5E0A" w14:paraId="11BF8F88" w14:textId="77777777" w:rsidTr="009C16B0">
              <w:trPr>
                <w:trHeight w:val="239"/>
              </w:trPr>
              <w:tc>
                <w:tcPr>
                  <w:tcW w:w="1979" w:type="dxa"/>
                  <w:vMerge w:val="restart"/>
                  <w:tcBorders>
                    <w:top w:val="nil"/>
                    <w:left w:val="nil"/>
                    <w:bottom w:val="nil"/>
                    <w:right w:val="nil"/>
                  </w:tcBorders>
                </w:tcPr>
                <w:p w14:paraId="42C2008A" w14:textId="77777777" w:rsidR="00AA5E0A" w:rsidRPr="00AA5E0A" w:rsidRDefault="00AA5E0A" w:rsidP="00AA5E0A">
                  <w:pPr>
                    <w:widowControl/>
                    <w:adjustRightInd w:val="0"/>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Mean of Response</w:t>
                  </w:r>
                </w:p>
              </w:tc>
              <w:tc>
                <w:tcPr>
                  <w:tcW w:w="863" w:type="dxa"/>
                  <w:vMerge w:val="restart"/>
                  <w:tcBorders>
                    <w:top w:val="nil"/>
                    <w:left w:val="nil"/>
                    <w:bottom w:val="nil"/>
                    <w:right w:val="nil"/>
                  </w:tcBorders>
                </w:tcPr>
                <w:p w14:paraId="279B740B" w14:textId="77777777" w:rsidR="00AA5E0A" w:rsidRPr="00AA5E0A" w:rsidRDefault="00AA5E0A" w:rsidP="00AA5E0A">
                  <w:pPr>
                    <w:widowControl/>
                    <w:adjustRightInd w:val="0"/>
                    <w:jc w:val="right"/>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0.2385</w:t>
                  </w:r>
                </w:p>
              </w:tc>
            </w:tr>
            <w:tr w:rsidR="00AA5E0A" w:rsidRPr="00AA5E0A" w14:paraId="7A83B7FA" w14:textId="77777777" w:rsidTr="009C16B0">
              <w:trPr>
                <w:trHeight w:val="239"/>
              </w:trPr>
              <w:tc>
                <w:tcPr>
                  <w:tcW w:w="1979" w:type="dxa"/>
                  <w:vMerge w:val="restart"/>
                  <w:tcBorders>
                    <w:top w:val="nil"/>
                    <w:left w:val="nil"/>
                    <w:bottom w:val="nil"/>
                    <w:right w:val="nil"/>
                  </w:tcBorders>
                </w:tcPr>
                <w:p w14:paraId="7CF21D75" w14:textId="307C2EC1" w:rsidR="00AA5E0A" w:rsidRPr="00AA5E0A" w:rsidRDefault="00AA5E0A" w:rsidP="00AA5E0A">
                  <w:pPr>
                    <w:widowControl/>
                    <w:adjustRightInd w:val="0"/>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Observations</w:t>
                  </w:r>
                </w:p>
              </w:tc>
              <w:tc>
                <w:tcPr>
                  <w:tcW w:w="863" w:type="dxa"/>
                  <w:vMerge w:val="restart"/>
                  <w:tcBorders>
                    <w:top w:val="nil"/>
                    <w:left w:val="nil"/>
                    <w:bottom w:val="nil"/>
                    <w:right w:val="nil"/>
                  </w:tcBorders>
                </w:tcPr>
                <w:p w14:paraId="6F611586" w14:textId="77777777" w:rsidR="00AA5E0A" w:rsidRPr="00AA5E0A" w:rsidRDefault="00AA5E0A" w:rsidP="00AA5E0A">
                  <w:pPr>
                    <w:widowControl/>
                    <w:adjustRightInd w:val="0"/>
                    <w:jc w:val="right"/>
                    <w:rPr>
                      <w:rFonts w:ascii="Segoe UI" w:eastAsiaTheme="minorHAnsi" w:hAnsi="Segoe UI" w:cs="Segoe UI"/>
                      <w:color w:val="000000"/>
                      <w:sz w:val="14"/>
                      <w:szCs w:val="14"/>
                      <w:lang w:val="en-AU"/>
                    </w:rPr>
                  </w:pPr>
                  <w:r w:rsidRPr="00AA5E0A">
                    <w:rPr>
                      <w:rFonts w:ascii="Segoe UI" w:eastAsiaTheme="minorHAnsi" w:hAnsi="Segoe UI" w:cs="Segoe UI"/>
                      <w:color w:val="000000"/>
                      <w:sz w:val="14"/>
                      <w:szCs w:val="14"/>
                      <w:lang w:val="en-AU"/>
                    </w:rPr>
                    <w:t>20</w:t>
                  </w:r>
                </w:p>
              </w:tc>
            </w:tr>
          </w:tbl>
          <w:p w14:paraId="5AAB1C08" w14:textId="578479CC" w:rsidR="004E5021" w:rsidRDefault="004E5021" w:rsidP="00B25388">
            <w:pPr>
              <w:pStyle w:val="BodyText"/>
              <w:ind w:left="0"/>
            </w:pPr>
          </w:p>
        </w:tc>
        <w:tc>
          <w:tcPr>
            <w:tcW w:w="3081" w:type="dxa"/>
          </w:tcPr>
          <w:p w14:paraId="52AE7650" w14:textId="77777777" w:rsidR="005C448D" w:rsidRDefault="00D26A5E" w:rsidP="00B25388">
            <w:pPr>
              <w:pStyle w:val="BodyText"/>
              <w:ind w:left="0"/>
            </w:pPr>
            <w:r w:rsidRPr="00D26A5E">
              <w:rPr>
                <w:noProof/>
              </w:rPr>
              <w:drawing>
                <wp:inline distT="0" distB="0" distL="0" distR="0" wp14:anchorId="6CB34DB5" wp14:editId="3E8C71D5">
                  <wp:extent cx="1759357" cy="1330569"/>
                  <wp:effectExtent l="0" t="0" r="0"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86817" cy="1351337"/>
                          </a:xfrm>
                          <a:prstGeom prst="rect">
                            <a:avLst/>
                          </a:prstGeom>
                        </pic:spPr>
                      </pic:pic>
                    </a:graphicData>
                  </a:graphic>
                </wp:inline>
              </w:drawing>
            </w:r>
          </w:p>
          <w:p w14:paraId="715F536B" w14:textId="4B574E1D" w:rsidR="00D26A5E" w:rsidRDefault="00F3711B" w:rsidP="00B25388">
            <w:pPr>
              <w:pStyle w:val="BodyText"/>
              <w:ind w:left="0"/>
            </w:pPr>
            <w:r w:rsidRPr="00E23CC7">
              <w:rPr>
                <w:sz w:val="18"/>
                <w:szCs w:val="18"/>
              </w:rPr>
              <w:t xml:space="preserve">No significant </w:t>
            </w:r>
            <w:r w:rsidR="000120ED">
              <w:rPr>
                <w:sz w:val="18"/>
                <w:szCs w:val="18"/>
              </w:rPr>
              <w:t>relationship</w:t>
            </w:r>
          </w:p>
        </w:tc>
      </w:tr>
    </w:tbl>
    <w:p w14:paraId="5BFD60DA" w14:textId="1A1F9198" w:rsidR="004A7F08" w:rsidRDefault="004A7F08" w:rsidP="0002683A">
      <w:pPr>
        <w:pStyle w:val="Caption"/>
      </w:pPr>
      <w:bookmarkStart w:id="9" w:name="_Ref172907515"/>
      <w:bookmarkStart w:id="10" w:name="_Ref181984229"/>
      <w:r>
        <w:t xml:space="preserve">Figure </w:t>
      </w:r>
      <w:r>
        <w:fldChar w:fldCharType="begin"/>
      </w:r>
      <w:r>
        <w:instrText>SEQ Figure \* ARABIC</w:instrText>
      </w:r>
      <w:r>
        <w:fldChar w:fldCharType="separate"/>
      </w:r>
      <w:r w:rsidR="00127CAB">
        <w:rPr>
          <w:noProof/>
        </w:rPr>
        <w:t>5</w:t>
      </w:r>
      <w:r>
        <w:fldChar w:fldCharType="end"/>
      </w:r>
      <w:bookmarkEnd w:id="9"/>
      <w:r>
        <w:t>: Plot of Persistent Green estimates</w:t>
      </w:r>
      <w:r w:rsidR="00A478AA">
        <w:t xml:space="preserve"> (</w:t>
      </w:r>
      <w:r w:rsidR="00A478AA" w:rsidRPr="00A478AA">
        <w:t>Landsat, JRSRP Algorithm Version 3.0, Australia Coverage</w:t>
      </w:r>
      <w:r w:rsidR="00A478AA">
        <w:t>)</w:t>
      </w:r>
      <w:r>
        <w:t xml:space="preserve"> against in situ measurements of canopy cover</w:t>
      </w:r>
      <w:r w:rsidR="00E040CE">
        <w:t xml:space="preserve">. </w:t>
      </w:r>
      <w:r>
        <w:t xml:space="preserve">Dashed line is 1:1. </w:t>
      </w:r>
      <w:r w:rsidR="00E040CE">
        <w:t>Where present, solid line represents the line of best fit (</w:t>
      </w:r>
      <w:r w:rsidR="00D81447">
        <w:t>if p&lt;0.05) and dotted lines are the prediction intervals for the best fit</w:t>
      </w:r>
      <w:bookmarkEnd w:id="10"/>
    </w:p>
    <w:p w14:paraId="0349C93A" w14:textId="702EC8C9" w:rsidR="004205EA" w:rsidRDefault="00EE2594" w:rsidP="00B25388">
      <w:pPr>
        <w:pStyle w:val="BodyText"/>
      </w:pPr>
      <w:r>
        <w:t>Finally</w:t>
      </w:r>
      <w:r w:rsidR="00473162">
        <w:t>,</w:t>
      </w:r>
      <w:r>
        <w:t xml:space="preserve"> </w:t>
      </w:r>
      <w:r w:rsidR="00722C2C">
        <w:t>the WCF estimates from Australia’s Environmental Explorer were transformed</w:t>
      </w:r>
      <w:r w:rsidR="003A7F9F">
        <w:rPr>
          <w:rStyle w:val="FootnoteReference"/>
        </w:rPr>
        <w:footnoteReference w:id="13"/>
      </w:r>
      <w:r w:rsidR="00722C2C">
        <w:t xml:space="preserve"> into canopy cover estimates </w:t>
      </w:r>
      <w:r w:rsidR="000B39DD">
        <w:t>(</w:t>
      </w:r>
      <w:r w:rsidR="00B548D0">
        <w:t xml:space="preserve">CPC) </w:t>
      </w:r>
      <w:r w:rsidR="00FF6CDB">
        <w:t>and plotted against the field measurements of canopy cover</w:t>
      </w:r>
      <w:r w:rsidR="00F23933">
        <w:t xml:space="preserve"> (</w:t>
      </w:r>
      <w:r w:rsidR="00F23933">
        <w:fldChar w:fldCharType="begin"/>
      </w:r>
      <w:r w:rsidR="00F23933">
        <w:instrText xml:space="preserve"> REF _Ref172908433 \h </w:instrText>
      </w:r>
      <w:r w:rsidR="00F23933">
        <w:fldChar w:fldCharType="separate"/>
      </w:r>
      <w:r w:rsidR="00127CAB">
        <w:t xml:space="preserve">Figure </w:t>
      </w:r>
      <w:r w:rsidR="00127CAB">
        <w:rPr>
          <w:noProof/>
        </w:rPr>
        <w:t>6</w:t>
      </w:r>
      <w:r w:rsidR="00F23933">
        <w:fldChar w:fldCharType="end"/>
      </w:r>
      <w:r w:rsidR="00F23933">
        <w:t>)</w:t>
      </w:r>
      <w:r w:rsidR="009473FA">
        <w:t>.</w:t>
      </w:r>
      <w:r w:rsidR="00F23933">
        <w:t xml:space="preserve"> </w:t>
      </w:r>
      <w:proofErr w:type="gramStart"/>
      <w:r w:rsidR="006B7126">
        <w:t>Similar to</w:t>
      </w:r>
      <w:proofErr w:type="gramEnd"/>
      <w:r w:rsidR="006B7126">
        <w:t xml:space="preserve"> Persistent Green, there was no significant correlation between field measurement and </w:t>
      </w:r>
      <w:r w:rsidR="00B548D0">
        <w:t>CPC</w:t>
      </w:r>
      <w:r w:rsidR="008C50FD">
        <w:t xml:space="preserve"> estimates</w:t>
      </w:r>
      <w:r w:rsidR="006B7126">
        <w:t xml:space="preserve"> in Western Australia, </w:t>
      </w:r>
      <w:r w:rsidR="004C0DE2">
        <w:t>and</w:t>
      </w:r>
      <w:r w:rsidR="006B7126">
        <w:t xml:space="preserve"> most of the field measurements of canopy cover were well above </w:t>
      </w:r>
      <w:r w:rsidR="009E380A">
        <w:t>the model</w:t>
      </w:r>
      <w:r w:rsidR="006B7126">
        <w:t xml:space="preserve"> estimates</w:t>
      </w:r>
      <w:r w:rsidR="009E380A">
        <w:t xml:space="preserve">. </w:t>
      </w:r>
      <w:r w:rsidR="00172EF0">
        <w:t>There were significant correlations for Queensland and NSW (p&lt;0.05) although the relationships were relatively weak (r</w:t>
      </w:r>
      <w:r w:rsidR="00172EF0" w:rsidRPr="006E76F8">
        <w:rPr>
          <w:vertAlign w:val="superscript"/>
        </w:rPr>
        <w:t>2</w:t>
      </w:r>
      <w:r w:rsidR="00172EF0">
        <w:t xml:space="preserve"> 0.</w:t>
      </w:r>
      <w:r w:rsidR="009B7B59">
        <w:t>07</w:t>
      </w:r>
      <w:r w:rsidR="00172EF0">
        <w:t xml:space="preserve"> and 0.</w:t>
      </w:r>
      <w:r w:rsidR="009B7B59">
        <w:t>13</w:t>
      </w:r>
      <w:r w:rsidR="00172EF0">
        <w:t xml:space="preserve"> respectively, </w:t>
      </w:r>
      <w:r w:rsidR="00D3299A">
        <w:t>with</w:t>
      </w:r>
      <w:r w:rsidR="00172EF0">
        <w:t xml:space="preserve"> RMSE of 0.13</w:t>
      </w:r>
      <w:r w:rsidR="00841F29">
        <w:t xml:space="preserve"> and 0.19 respectively</w:t>
      </w:r>
      <w:r w:rsidR="00172EF0">
        <w:t>).</w:t>
      </w:r>
      <w:r w:rsidR="004E7C70">
        <w:t xml:space="preserve"> </w:t>
      </w:r>
      <w:r w:rsidR="004D563E">
        <w:t xml:space="preserve">The slope of the relationship for Queensland was </w:t>
      </w:r>
      <w:r w:rsidR="00473FF8">
        <w:t>0.51 (significantly less than 1.0, p&lt;0.05)</w:t>
      </w:r>
      <w:r w:rsidR="005F09A9">
        <w:t xml:space="preserve"> and the intercept was 0.11. </w:t>
      </w:r>
      <w:r w:rsidR="000B34F2">
        <w:t xml:space="preserve">This indicates that the </w:t>
      </w:r>
      <w:r w:rsidR="001A2CB5">
        <w:t xml:space="preserve">Queensland </w:t>
      </w:r>
      <w:r w:rsidR="00255EDB">
        <w:t xml:space="preserve">measured </w:t>
      </w:r>
      <w:r w:rsidR="000B34F2">
        <w:t xml:space="preserve">canopy cover was greater than the model estimates </w:t>
      </w:r>
      <w:r w:rsidR="002C2B11">
        <w:t xml:space="preserve">until the </w:t>
      </w:r>
      <w:r w:rsidR="00841883">
        <w:t>CPC</w:t>
      </w:r>
      <w:r w:rsidR="002C2B11">
        <w:t xml:space="preserve"> estimates were above 20%</w:t>
      </w:r>
      <w:r w:rsidR="001421E1">
        <w:t xml:space="preserve">. Extrapolation </w:t>
      </w:r>
      <w:r w:rsidR="00841883">
        <w:t xml:space="preserve">of this trend </w:t>
      </w:r>
      <w:r w:rsidR="001421E1">
        <w:t xml:space="preserve">beyond 20% should be avoided as there is little data. </w:t>
      </w:r>
    </w:p>
    <w:p w14:paraId="45F522EB" w14:textId="0320ED60" w:rsidR="004A7F08" w:rsidRDefault="00161587" w:rsidP="00B25388">
      <w:pPr>
        <w:pStyle w:val="BodyText"/>
      </w:pPr>
      <w:r>
        <w:t>The slope of the relationship for NSW was 0.69</w:t>
      </w:r>
      <w:r w:rsidR="005907FB">
        <w:t xml:space="preserve"> (not significantly different to 1.0, p&lt;0.05) while the intercept was </w:t>
      </w:r>
      <w:r w:rsidR="00135DF8">
        <w:t>0.12</w:t>
      </w:r>
      <w:r w:rsidR="00021129">
        <w:t xml:space="preserve">, but this relationship is significantly influenced by </w:t>
      </w:r>
      <w:r w:rsidR="008607D3">
        <w:t xml:space="preserve">three points </w:t>
      </w:r>
      <w:r w:rsidR="009D7C72">
        <w:t xml:space="preserve">with CPC </w:t>
      </w:r>
      <w:r w:rsidR="008607D3">
        <w:t>between 20% – 30%</w:t>
      </w:r>
      <w:r w:rsidR="009D7C72">
        <w:t xml:space="preserve"> and measured canopy less than 5%</w:t>
      </w:r>
      <w:r w:rsidR="00FB458F">
        <w:t xml:space="preserve">. </w:t>
      </w:r>
      <w:r w:rsidR="006D6454">
        <w:t>Expected c</w:t>
      </w:r>
      <w:r w:rsidR="001F489A">
        <w:t xml:space="preserve">anopy cover is likely to be </w:t>
      </w:r>
      <w:r w:rsidR="00812A96">
        <w:t xml:space="preserve">about </w:t>
      </w:r>
      <w:r w:rsidR="00236B9E">
        <w:t>1</w:t>
      </w:r>
      <w:r w:rsidR="00A06E81">
        <w:t>2</w:t>
      </w:r>
      <w:r w:rsidR="00236B9E">
        <w:t xml:space="preserve">% </w:t>
      </w:r>
      <w:r w:rsidR="001F489A">
        <w:t xml:space="preserve">greater than the </w:t>
      </w:r>
      <w:r w:rsidR="0066742D">
        <w:t>CPC</w:t>
      </w:r>
      <w:r w:rsidR="001F489A">
        <w:t xml:space="preserve"> estimates</w:t>
      </w:r>
      <w:r w:rsidR="00236B9E">
        <w:t xml:space="preserve"> </w:t>
      </w:r>
      <w:r w:rsidR="001F21BC">
        <w:t>with very low cover</w:t>
      </w:r>
      <w:r w:rsidR="00175300">
        <w:t>, with the difference reducing</w:t>
      </w:r>
      <w:r w:rsidR="001F489A">
        <w:t xml:space="preserve"> </w:t>
      </w:r>
      <w:r w:rsidR="007D0CA3">
        <w:t>to 0%</w:t>
      </w:r>
      <w:r w:rsidR="001F489A">
        <w:t xml:space="preserve"> </w:t>
      </w:r>
      <w:r w:rsidR="007D0CA3">
        <w:t>as the</w:t>
      </w:r>
      <w:r w:rsidR="001F489A">
        <w:t xml:space="preserve"> </w:t>
      </w:r>
      <w:r w:rsidR="0066742D">
        <w:t>CPC</w:t>
      </w:r>
      <w:r w:rsidR="001F489A">
        <w:t xml:space="preserve"> estimates </w:t>
      </w:r>
      <w:r w:rsidR="007D0CA3">
        <w:t>approach</w:t>
      </w:r>
      <w:r w:rsidR="001F489A">
        <w:t xml:space="preserve"> </w:t>
      </w:r>
      <w:r w:rsidR="007D0CA3">
        <w:t>3</w:t>
      </w:r>
      <w:r w:rsidR="001F489A">
        <w:t>0%</w:t>
      </w:r>
      <w:r w:rsidR="00ED2FC0">
        <w:t>. A</w:t>
      </w:r>
      <w:r w:rsidR="007B6473">
        <w:t>gain</w:t>
      </w:r>
      <w:r w:rsidR="00F31382">
        <w:t>,</w:t>
      </w:r>
      <w:r w:rsidR="007B6473">
        <w:t xml:space="preserve"> extrapolation of this trend should be </w:t>
      </w:r>
      <w:proofErr w:type="gramStart"/>
      <w:r w:rsidR="007B6473">
        <w:t>avoided</w:t>
      </w:r>
      <w:proofErr w:type="gramEnd"/>
      <w:r w:rsidR="00ED2FC0">
        <w:t xml:space="preserve"> and further data is required</w:t>
      </w:r>
      <w:r w:rsidR="001F489A">
        <w:t>.</w:t>
      </w:r>
      <w:r w:rsidR="00272E65">
        <w:t xml:space="preserve"> </w:t>
      </w:r>
      <w:r w:rsidR="00503EC4">
        <w:t xml:space="preserve">The canopy cover estimates based on WCF may therefore be useful </w:t>
      </w:r>
      <w:r w:rsidR="00786ABD">
        <w:t xml:space="preserve">beyond the </w:t>
      </w:r>
      <w:r w:rsidR="00405EFB">
        <w:t>very low canopy cover areas.</w:t>
      </w:r>
    </w:p>
    <w:p w14:paraId="3C798B47" w14:textId="0FC6C34E" w:rsidR="0070155D" w:rsidRDefault="0070155D" w:rsidP="004A7D25">
      <w:pPr>
        <w:pStyle w:val="BodyText"/>
      </w:pPr>
      <w:r>
        <w:t xml:space="preserve">These national-scale models were developed from a range of satellites with different footprints and wavelengths, underpinning assumptions, use of annual (or other) mean data inputs and classification approaches. The scales of the national-scale models (ranging from 25 m pixel to 250 m) are also different to the 100 m transects used in the field measurements. It is therefore not unexpected that there is no precise or strong correlation between field estimates collected using a variety of methods and the national-scale models. However, it is surprising that in a number of cases there is no significant correlation at all (e.g., </w:t>
      </w:r>
      <w:r>
        <w:fldChar w:fldCharType="begin"/>
      </w:r>
      <w:r>
        <w:instrText xml:space="preserve"> REF _Ref181965386 \h </w:instrText>
      </w:r>
      <w:r>
        <w:fldChar w:fldCharType="separate"/>
      </w:r>
      <w:r w:rsidR="00127CAB">
        <w:t xml:space="preserve">Table </w:t>
      </w:r>
      <w:r w:rsidR="00127CAB">
        <w:rPr>
          <w:noProof/>
        </w:rPr>
        <w:t>3</w:t>
      </w:r>
      <w:r>
        <w:fldChar w:fldCharType="end"/>
      </w:r>
      <w:r>
        <w:t xml:space="preserve"> and Western Australia </w:t>
      </w:r>
      <w:r>
        <w:fldChar w:fldCharType="begin"/>
      </w:r>
      <w:r>
        <w:instrText xml:space="preserve"> REF _Ref172907515 \h </w:instrText>
      </w:r>
      <w:r>
        <w:fldChar w:fldCharType="separate"/>
      </w:r>
      <w:r w:rsidR="00127CAB">
        <w:t xml:space="preserve">Figure </w:t>
      </w:r>
      <w:r w:rsidR="00127CAB">
        <w:rPr>
          <w:noProof/>
        </w:rPr>
        <w:t>5</w:t>
      </w:r>
      <w:r>
        <w:fldChar w:fldCharType="end"/>
      </w:r>
      <w:r w:rsidR="00255EDB">
        <w:t xml:space="preserve"> or </w:t>
      </w:r>
      <w:r w:rsidR="00255EDB">
        <w:fldChar w:fldCharType="begin"/>
      </w:r>
      <w:r w:rsidR="00255EDB">
        <w:instrText xml:space="preserve"> REF _Ref172908433 \h </w:instrText>
      </w:r>
      <w:r w:rsidR="00255EDB">
        <w:fldChar w:fldCharType="separate"/>
      </w:r>
      <w:r w:rsidR="00255EDB">
        <w:t xml:space="preserve">Figure </w:t>
      </w:r>
      <w:r w:rsidR="00255EDB">
        <w:rPr>
          <w:noProof/>
        </w:rPr>
        <w:t>6</w:t>
      </w:r>
      <w:r w:rsidR="00255EDB">
        <w:fldChar w:fldCharType="end"/>
      </w:r>
      <w:r>
        <w:t xml:space="preserve">). </w:t>
      </w:r>
    </w:p>
    <w:p w14:paraId="73AA8382" w14:textId="0FE4F5EF" w:rsidR="0070155D" w:rsidRDefault="00127CAB" w:rsidP="00127CAB">
      <w:r>
        <w:br w:type="page"/>
      </w:r>
    </w:p>
    <w:tbl>
      <w:tblPr>
        <w:tblStyle w:val="TableGrid"/>
        <w:tblW w:w="0" w:type="auto"/>
        <w:tblInd w:w="220" w:type="dxa"/>
        <w:tblLook w:val="04A0" w:firstRow="1" w:lastRow="0" w:firstColumn="1" w:lastColumn="0" w:noHBand="0" w:noVBand="1"/>
      </w:tblPr>
      <w:tblGrid>
        <w:gridCol w:w="3087"/>
        <w:gridCol w:w="3111"/>
        <w:gridCol w:w="3042"/>
      </w:tblGrid>
      <w:tr w:rsidR="003806DD" w14:paraId="470D77ED" w14:textId="77777777" w:rsidTr="00603B8F">
        <w:tc>
          <w:tcPr>
            <w:tcW w:w="3079" w:type="dxa"/>
          </w:tcPr>
          <w:p w14:paraId="51CDEE5F" w14:textId="219A3A7D" w:rsidR="00603B8F" w:rsidRDefault="00603B8F" w:rsidP="00603B8F">
            <w:pPr>
              <w:pStyle w:val="BodyText"/>
              <w:ind w:left="0"/>
            </w:pPr>
            <w:r>
              <w:lastRenderedPageBreak/>
              <w:t>Queensland</w:t>
            </w:r>
          </w:p>
        </w:tc>
        <w:tc>
          <w:tcPr>
            <w:tcW w:w="3080" w:type="dxa"/>
          </w:tcPr>
          <w:p w14:paraId="643E8EF9" w14:textId="34C2962B" w:rsidR="00603B8F" w:rsidRDefault="00603B8F" w:rsidP="00603B8F">
            <w:pPr>
              <w:pStyle w:val="BodyText"/>
              <w:ind w:left="0"/>
            </w:pPr>
            <w:r>
              <w:t>New South Wales</w:t>
            </w:r>
          </w:p>
        </w:tc>
        <w:tc>
          <w:tcPr>
            <w:tcW w:w="3081" w:type="dxa"/>
          </w:tcPr>
          <w:p w14:paraId="4EFFD14E" w14:textId="2807B169" w:rsidR="00603B8F" w:rsidRDefault="00603B8F" w:rsidP="00603B8F">
            <w:pPr>
              <w:pStyle w:val="BodyText"/>
              <w:ind w:left="0"/>
            </w:pPr>
            <w:r>
              <w:t>Western Australia</w:t>
            </w:r>
          </w:p>
        </w:tc>
      </w:tr>
      <w:tr w:rsidR="003806DD" w14:paraId="03AE1F21" w14:textId="77777777" w:rsidTr="00603B8F">
        <w:tc>
          <w:tcPr>
            <w:tcW w:w="3079" w:type="dxa"/>
          </w:tcPr>
          <w:p w14:paraId="6384B245" w14:textId="77777777" w:rsidR="00603B8F" w:rsidRDefault="00A63066" w:rsidP="00B25388">
            <w:pPr>
              <w:pStyle w:val="BodyText"/>
              <w:ind w:left="0"/>
            </w:pPr>
            <w:r w:rsidRPr="00A63066">
              <w:rPr>
                <w:noProof/>
              </w:rPr>
              <w:drawing>
                <wp:inline distT="0" distB="0" distL="0" distR="0" wp14:anchorId="3B8879CB" wp14:editId="6D704FED">
                  <wp:extent cx="1813611" cy="1371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35478" cy="1388137"/>
                          </a:xfrm>
                          <a:prstGeom prst="rect">
                            <a:avLst/>
                          </a:prstGeom>
                        </pic:spPr>
                      </pic:pic>
                    </a:graphicData>
                  </a:graphic>
                </wp:inline>
              </w:drawing>
            </w:r>
          </w:p>
          <w:p w14:paraId="1A7E8DA1" w14:textId="77777777" w:rsidR="0026714D" w:rsidRDefault="0026714D" w:rsidP="0026714D">
            <w:pPr>
              <w:widowControl/>
              <w:adjustRightInd w:val="0"/>
              <w:rPr>
                <w:rFonts w:ascii="Segoe UI" w:eastAsiaTheme="minorHAnsi" w:hAnsi="Segoe UI" w:cs="Segoe UI"/>
                <w:color w:val="000000"/>
                <w:sz w:val="18"/>
                <w:szCs w:val="18"/>
                <w:lang w:val="en-AU"/>
              </w:rPr>
            </w:pPr>
          </w:p>
          <w:tbl>
            <w:tblPr>
              <w:tblW w:w="0" w:type="auto"/>
              <w:tblCellMar>
                <w:left w:w="40" w:type="dxa"/>
                <w:right w:w="40" w:type="dxa"/>
              </w:tblCellMar>
              <w:tblLook w:val="0000" w:firstRow="0" w:lastRow="0" w:firstColumn="0" w:lastColumn="0" w:noHBand="0" w:noVBand="0"/>
            </w:tblPr>
            <w:tblGrid>
              <w:gridCol w:w="1990"/>
              <w:gridCol w:w="881"/>
            </w:tblGrid>
            <w:tr w:rsidR="0026714D" w14:paraId="41F239C7" w14:textId="77777777" w:rsidTr="0047340E">
              <w:trPr>
                <w:trHeight w:val="239"/>
              </w:trPr>
              <w:tc>
                <w:tcPr>
                  <w:tcW w:w="1990" w:type="dxa"/>
                  <w:tcBorders>
                    <w:top w:val="nil"/>
                    <w:left w:val="nil"/>
                    <w:bottom w:val="nil"/>
                    <w:right w:val="nil"/>
                  </w:tcBorders>
                </w:tcPr>
                <w:p w14:paraId="040C2C83" w14:textId="3D515EA5" w:rsidR="0026714D" w:rsidRPr="00986B4E" w:rsidRDefault="0026714D" w:rsidP="0026714D">
                  <w:pPr>
                    <w:widowControl/>
                    <w:adjustRightInd w:val="0"/>
                    <w:rPr>
                      <w:rFonts w:ascii="Segoe UI" w:eastAsiaTheme="minorHAnsi" w:hAnsi="Segoe UI" w:cs="Segoe UI"/>
                      <w:color w:val="000000"/>
                      <w:sz w:val="16"/>
                      <w:szCs w:val="16"/>
                      <w:vertAlign w:val="superscript"/>
                      <w:lang w:val="en-AU"/>
                    </w:rPr>
                  </w:pPr>
                  <w:r w:rsidRPr="00986B4E">
                    <w:rPr>
                      <w:rFonts w:ascii="Segoe UI" w:eastAsiaTheme="minorHAnsi" w:hAnsi="Segoe UI" w:cs="Segoe UI"/>
                      <w:color w:val="000000"/>
                      <w:sz w:val="16"/>
                      <w:szCs w:val="16"/>
                      <w:lang w:val="en-AU"/>
                    </w:rPr>
                    <w:t>R</w:t>
                  </w:r>
                  <w:r w:rsidR="00986B4E" w:rsidRPr="0047340E">
                    <w:rPr>
                      <w:rFonts w:ascii="Segoe UI" w:eastAsiaTheme="minorHAnsi" w:hAnsi="Segoe UI" w:cs="Segoe UI"/>
                      <w:color w:val="000000"/>
                      <w:sz w:val="16"/>
                      <w:szCs w:val="16"/>
                      <w:vertAlign w:val="superscript"/>
                      <w:lang w:val="en-AU"/>
                    </w:rPr>
                    <w:t>2</w:t>
                  </w:r>
                </w:p>
              </w:tc>
              <w:tc>
                <w:tcPr>
                  <w:tcW w:w="881" w:type="dxa"/>
                  <w:tcBorders>
                    <w:top w:val="nil"/>
                    <w:left w:val="nil"/>
                    <w:bottom w:val="nil"/>
                    <w:right w:val="nil"/>
                  </w:tcBorders>
                </w:tcPr>
                <w:p w14:paraId="62145AF4" w14:textId="2EBE92F8" w:rsidR="0026714D" w:rsidRPr="00986B4E" w:rsidRDefault="0026714D" w:rsidP="0026714D">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0.0733</w:t>
                  </w:r>
                </w:p>
              </w:tc>
            </w:tr>
            <w:tr w:rsidR="0026714D" w14:paraId="0E7AA68B" w14:textId="77777777" w:rsidTr="0047340E">
              <w:trPr>
                <w:trHeight w:val="239"/>
              </w:trPr>
              <w:tc>
                <w:tcPr>
                  <w:tcW w:w="1990" w:type="dxa"/>
                  <w:vMerge w:val="restart"/>
                  <w:tcBorders>
                    <w:top w:val="nil"/>
                    <w:left w:val="nil"/>
                    <w:bottom w:val="nil"/>
                    <w:right w:val="nil"/>
                  </w:tcBorders>
                </w:tcPr>
                <w:p w14:paraId="54FBFD78" w14:textId="77777777" w:rsidR="0026714D" w:rsidRPr="00986B4E" w:rsidRDefault="0026714D" w:rsidP="0026714D">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Root Mean Square Error</w:t>
                  </w:r>
                </w:p>
              </w:tc>
              <w:tc>
                <w:tcPr>
                  <w:tcW w:w="881" w:type="dxa"/>
                  <w:vMerge w:val="restart"/>
                  <w:tcBorders>
                    <w:top w:val="nil"/>
                    <w:left w:val="nil"/>
                    <w:bottom w:val="nil"/>
                    <w:right w:val="nil"/>
                  </w:tcBorders>
                </w:tcPr>
                <w:p w14:paraId="6237B72A" w14:textId="39445D82" w:rsidR="0026714D" w:rsidRPr="00986B4E" w:rsidRDefault="0026714D" w:rsidP="0026714D">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0.1347</w:t>
                  </w:r>
                </w:p>
              </w:tc>
            </w:tr>
            <w:tr w:rsidR="0026714D" w14:paraId="27E3D587" w14:textId="77777777" w:rsidTr="0047340E">
              <w:trPr>
                <w:trHeight w:val="239"/>
              </w:trPr>
              <w:tc>
                <w:tcPr>
                  <w:tcW w:w="1990" w:type="dxa"/>
                  <w:vMerge w:val="restart"/>
                  <w:tcBorders>
                    <w:top w:val="nil"/>
                    <w:left w:val="nil"/>
                    <w:bottom w:val="nil"/>
                    <w:right w:val="nil"/>
                  </w:tcBorders>
                </w:tcPr>
                <w:p w14:paraId="1253E5A3" w14:textId="77777777" w:rsidR="0026714D" w:rsidRPr="00986B4E" w:rsidRDefault="0026714D" w:rsidP="0026714D">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Mean of Response</w:t>
                  </w:r>
                </w:p>
              </w:tc>
              <w:tc>
                <w:tcPr>
                  <w:tcW w:w="881" w:type="dxa"/>
                  <w:vMerge w:val="restart"/>
                  <w:tcBorders>
                    <w:top w:val="nil"/>
                    <w:left w:val="nil"/>
                    <w:bottom w:val="nil"/>
                    <w:right w:val="nil"/>
                  </w:tcBorders>
                </w:tcPr>
                <w:p w14:paraId="379D481A" w14:textId="1623D3F2" w:rsidR="0026714D" w:rsidRPr="00986B4E" w:rsidRDefault="0026714D" w:rsidP="0026714D">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0.1441</w:t>
                  </w:r>
                </w:p>
              </w:tc>
            </w:tr>
            <w:tr w:rsidR="0026714D" w14:paraId="29D687F9" w14:textId="77777777" w:rsidTr="0047340E">
              <w:trPr>
                <w:trHeight w:val="239"/>
              </w:trPr>
              <w:tc>
                <w:tcPr>
                  <w:tcW w:w="1990" w:type="dxa"/>
                  <w:vMerge w:val="restart"/>
                  <w:tcBorders>
                    <w:top w:val="nil"/>
                    <w:left w:val="nil"/>
                    <w:bottom w:val="nil"/>
                    <w:right w:val="nil"/>
                  </w:tcBorders>
                </w:tcPr>
                <w:p w14:paraId="6A836BD7" w14:textId="3E6E5730" w:rsidR="0026714D" w:rsidRPr="00986B4E" w:rsidRDefault="0026714D" w:rsidP="0026714D">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Observations</w:t>
                  </w:r>
                </w:p>
              </w:tc>
              <w:tc>
                <w:tcPr>
                  <w:tcW w:w="881" w:type="dxa"/>
                  <w:vMerge w:val="restart"/>
                  <w:tcBorders>
                    <w:top w:val="nil"/>
                    <w:left w:val="nil"/>
                    <w:bottom w:val="nil"/>
                    <w:right w:val="nil"/>
                  </w:tcBorders>
                </w:tcPr>
                <w:p w14:paraId="4ECD021A" w14:textId="77777777" w:rsidR="0026714D" w:rsidRPr="00986B4E" w:rsidRDefault="0026714D" w:rsidP="0026714D">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67</w:t>
                  </w:r>
                </w:p>
              </w:tc>
            </w:tr>
          </w:tbl>
          <w:p w14:paraId="6ABE89B9" w14:textId="2D3EF689" w:rsidR="00A63066" w:rsidRDefault="00A63066" w:rsidP="00B25388">
            <w:pPr>
              <w:pStyle w:val="BodyText"/>
              <w:ind w:left="0"/>
            </w:pPr>
          </w:p>
        </w:tc>
        <w:tc>
          <w:tcPr>
            <w:tcW w:w="3080" w:type="dxa"/>
          </w:tcPr>
          <w:p w14:paraId="2F888148" w14:textId="77777777" w:rsidR="00603B8F" w:rsidRDefault="003806DD" w:rsidP="00B25388">
            <w:pPr>
              <w:pStyle w:val="BodyText"/>
              <w:ind w:left="0"/>
            </w:pPr>
            <w:r w:rsidRPr="003806DD">
              <w:rPr>
                <w:noProof/>
              </w:rPr>
              <w:drawing>
                <wp:inline distT="0" distB="0" distL="0" distR="0" wp14:anchorId="421C8C0F" wp14:editId="7DD07DB2">
                  <wp:extent cx="1828800" cy="135918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37898" cy="1365944"/>
                          </a:xfrm>
                          <a:prstGeom prst="rect">
                            <a:avLst/>
                          </a:prstGeom>
                        </pic:spPr>
                      </pic:pic>
                    </a:graphicData>
                  </a:graphic>
                </wp:inline>
              </w:drawing>
            </w:r>
          </w:p>
          <w:p w14:paraId="61847FC2" w14:textId="77777777" w:rsidR="005A4575" w:rsidRDefault="005A4575" w:rsidP="005A4575">
            <w:pPr>
              <w:widowControl/>
              <w:adjustRightInd w:val="0"/>
              <w:rPr>
                <w:rFonts w:ascii="Segoe UI" w:eastAsiaTheme="minorHAnsi" w:hAnsi="Segoe UI" w:cs="Segoe UI"/>
                <w:color w:val="000000"/>
                <w:sz w:val="18"/>
                <w:szCs w:val="18"/>
                <w:lang w:val="en-AU"/>
              </w:rPr>
            </w:pPr>
          </w:p>
          <w:tbl>
            <w:tblPr>
              <w:tblW w:w="0" w:type="auto"/>
              <w:tblCellMar>
                <w:left w:w="40" w:type="dxa"/>
                <w:right w:w="40" w:type="dxa"/>
              </w:tblCellMar>
              <w:tblLook w:val="0000" w:firstRow="0" w:lastRow="0" w:firstColumn="0" w:lastColumn="0" w:noHBand="0" w:noVBand="0"/>
            </w:tblPr>
            <w:tblGrid>
              <w:gridCol w:w="2010"/>
              <w:gridCol w:w="885"/>
            </w:tblGrid>
            <w:tr w:rsidR="005A4575" w14:paraId="186E5F4E" w14:textId="77777777" w:rsidTr="0047340E">
              <w:trPr>
                <w:trHeight w:val="239"/>
              </w:trPr>
              <w:tc>
                <w:tcPr>
                  <w:tcW w:w="2010" w:type="dxa"/>
                  <w:tcBorders>
                    <w:top w:val="nil"/>
                    <w:left w:val="nil"/>
                    <w:bottom w:val="nil"/>
                    <w:right w:val="nil"/>
                  </w:tcBorders>
                </w:tcPr>
                <w:p w14:paraId="3326117D" w14:textId="18E5F418" w:rsidR="005A4575" w:rsidRPr="00986B4E" w:rsidRDefault="005A4575" w:rsidP="005A4575">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R</w:t>
                  </w:r>
                  <w:r w:rsidR="0047340E" w:rsidRPr="0047340E">
                    <w:rPr>
                      <w:rFonts w:ascii="Segoe UI" w:eastAsiaTheme="minorHAnsi" w:hAnsi="Segoe UI" w:cs="Segoe UI"/>
                      <w:color w:val="000000"/>
                      <w:sz w:val="16"/>
                      <w:szCs w:val="16"/>
                      <w:vertAlign w:val="superscript"/>
                      <w:lang w:val="en-AU"/>
                    </w:rPr>
                    <w:t>2</w:t>
                  </w:r>
                </w:p>
              </w:tc>
              <w:tc>
                <w:tcPr>
                  <w:tcW w:w="885" w:type="dxa"/>
                  <w:tcBorders>
                    <w:top w:val="nil"/>
                    <w:left w:val="nil"/>
                    <w:bottom w:val="nil"/>
                    <w:right w:val="nil"/>
                  </w:tcBorders>
                </w:tcPr>
                <w:p w14:paraId="5679C459" w14:textId="012CA2E0" w:rsidR="005A4575" w:rsidRPr="00986B4E" w:rsidRDefault="005A4575" w:rsidP="005A4575">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0.1277</w:t>
                  </w:r>
                </w:p>
              </w:tc>
            </w:tr>
            <w:tr w:rsidR="005A4575" w14:paraId="1A95C681" w14:textId="77777777" w:rsidTr="0047340E">
              <w:trPr>
                <w:trHeight w:val="239"/>
              </w:trPr>
              <w:tc>
                <w:tcPr>
                  <w:tcW w:w="2010" w:type="dxa"/>
                  <w:vMerge w:val="restart"/>
                  <w:tcBorders>
                    <w:top w:val="nil"/>
                    <w:left w:val="nil"/>
                    <w:bottom w:val="nil"/>
                    <w:right w:val="nil"/>
                  </w:tcBorders>
                </w:tcPr>
                <w:p w14:paraId="096B1BA3" w14:textId="77777777" w:rsidR="005A4575" w:rsidRPr="00986B4E" w:rsidRDefault="005A4575" w:rsidP="005A4575">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Root Mean Square Error</w:t>
                  </w:r>
                </w:p>
              </w:tc>
              <w:tc>
                <w:tcPr>
                  <w:tcW w:w="885" w:type="dxa"/>
                  <w:vMerge w:val="restart"/>
                  <w:tcBorders>
                    <w:top w:val="nil"/>
                    <w:left w:val="nil"/>
                    <w:bottom w:val="nil"/>
                    <w:right w:val="nil"/>
                  </w:tcBorders>
                </w:tcPr>
                <w:p w14:paraId="6D1004D1" w14:textId="18B34C1C" w:rsidR="005A4575" w:rsidRPr="00986B4E" w:rsidRDefault="005A4575" w:rsidP="005A4575">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0.1925</w:t>
                  </w:r>
                </w:p>
              </w:tc>
            </w:tr>
            <w:tr w:rsidR="005A4575" w14:paraId="47947369" w14:textId="77777777" w:rsidTr="0047340E">
              <w:trPr>
                <w:trHeight w:val="239"/>
              </w:trPr>
              <w:tc>
                <w:tcPr>
                  <w:tcW w:w="2010" w:type="dxa"/>
                  <w:vMerge w:val="restart"/>
                  <w:tcBorders>
                    <w:top w:val="nil"/>
                    <w:left w:val="nil"/>
                    <w:bottom w:val="nil"/>
                    <w:right w:val="nil"/>
                  </w:tcBorders>
                </w:tcPr>
                <w:p w14:paraId="7EED1103" w14:textId="77777777" w:rsidR="005A4575" w:rsidRPr="00986B4E" w:rsidRDefault="005A4575" w:rsidP="005A4575">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Mean of Response</w:t>
                  </w:r>
                </w:p>
              </w:tc>
              <w:tc>
                <w:tcPr>
                  <w:tcW w:w="885" w:type="dxa"/>
                  <w:vMerge w:val="restart"/>
                  <w:tcBorders>
                    <w:top w:val="nil"/>
                    <w:left w:val="nil"/>
                    <w:bottom w:val="nil"/>
                    <w:right w:val="nil"/>
                  </w:tcBorders>
                </w:tcPr>
                <w:p w14:paraId="67B28B3C" w14:textId="6C5B85B1" w:rsidR="005A4575" w:rsidRPr="00986B4E" w:rsidRDefault="005A4575" w:rsidP="005A4575">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0.1948</w:t>
                  </w:r>
                </w:p>
              </w:tc>
            </w:tr>
            <w:tr w:rsidR="005A4575" w14:paraId="1E9392A6" w14:textId="77777777" w:rsidTr="0047340E">
              <w:trPr>
                <w:trHeight w:val="239"/>
              </w:trPr>
              <w:tc>
                <w:tcPr>
                  <w:tcW w:w="2010" w:type="dxa"/>
                  <w:vMerge w:val="restart"/>
                  <w:tcBorders>
                    <w:top w:val="nil"/>
                    <w:left w:val="nil"/>
                    <w:bottom w:val="nil"/>
                    <w:right w:val="nil"/>
                  </w:tcBorders>
                </w:tcPr>
                <w:p w14:paraId="251C4B3A" w14:textId="58D6B8A8" w:rsidR="005A4575" w:rsidRPr="00986B4E" w:rsidRDefault="005A4575" w:rsidP="005A4575">
                  <w:pPr>
                    <w:widowControl/>
                    <w:adjustRightInd w:val="0"/>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Observations</w:t>
                  </w:r>
                </w:p>
              </w:tc>
              <w:tc>
                <w:tcPr>
                  <w:tcW w:w="885" w:type="dxa"/>
                  <w:vMerge w:val="restart"/>
                  <w:tcBorders>
                    <w:top w:val="nil"/>
                    <w:left w:val="nil"/>
                    <w:bottom w:val="nil"/>
                    <w:right w:val="nil"/>
                  </w:tcBorders>
                </w:tcPr>
                <w:p w14:paraId="497EBFDE" w14:textId="77777777" w:rsidR="005A4575" w:rsidRPr="00986B4E" w:rsidRDefault="005A4575" w:rsidP="005A4575">
                  <w:pPr>
                    <w:widowControl/>
                    <w:adjustRightInd w:val="0"/>
                    <w:jc w:val="right"/>
                    <w:rPr>
                      <w:rFonts w:ascii="Segoe UI" w:eastAsiaTheme="minorHAnsi" w:hAnsi="Segoe UI" w:cs="Segoe UI"/>
                      <w:color w:val="000000"/>
                      <w:sz w:val="16"/>
                      <w:szCs w:val="16"/>
                      <w:lang w:val="en-AU"/>
                    </w:rPr>
                  </w:pPr>
                  <w:r w:rsidRPr="00986B4E">
                    <w:rPr>
                      <w:rFonts w:ascii="Segoe UI" w:eastAsiaTheme="minorHAnsi" w:hAnsi="Segoe UI" w:cs="Segoe UI"/>
                      <w:color w:val="000000"/>
                      <w:sz w:val="16"/>
                      <w:szCs w:val="16"/>
                      <w:lang w:val="en-AU"/>
                    </w:rPr>
                    <w:t>33</w:t>
                  </w:r>
                </w:p>
              </w:tc>
            </w:tr>
          </w:tbl>
          <w:p w14:paraId="2AB67B1D" w14:textId="1EFB7371" w:rsidR="003806DD" w:rsidRDefault="003806DD" w:rsidP="00B25388">
            <w:pPr>
              <w:pStyle w:val="BodyText"/>
              <w:ind w:left="0"/>
            </w:pPr>
          </w:p>
        </w:tc>
        <w:tc>
          <w:tcPr>
            <w:tcW w:w="3081" w:type="dxa"/>
          </w:tcPr>
          <w:p w14:paraId="13754791" w14:textId="77777777" w:rsidR="00603B8F" w:rsidRDefault="002F5C2E" w:rsidP="00B25388">
            <w:pPr>
              <w:pStyle w:val="BodyText"/>
              <w:ind w:left="0"/>
            </w:pPr>
            <w:r w:rsidRPr="002F5C2E">
              <w:rPr>
                <w:noProof/>
              </w:rPr>
              <w:drawing>
                <wp:inline distT="0" distB="0" distL="0" distR="0" wp14:anchorId="2DBD9D44" wp14:editId="4DDFC25D">
                  <wp:extent cx="1782608" cy="1348154"/>
                  <wp:effectExtent l="0" t="0" r="825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06080" cy="1365906"/>
                          </a:xfrm>
                          <a:prstGeom prst="rect">
                            <a:avLst/>
                          </a:prstGeom>
                        </pic:spPr>
                      </pic:pic>
                    </a:graphicData>
                  </a:graphic>
                </wp:inline>
              </w:drawing>
            </w:r>
          </w:p>
          <w:p w14:paraId="359DD982" w14:textId="552ADDB4" w:rsidR="002F5C2E" w:rsidRDefault="00986B4E" w:rsidP="00B25388">
            <w:pPr>
              <w:pStyle w:val="BodyText"/>
              <w:ind w:left="0"/>
            </w:pPr>
            <w:r w:rsidRPr="00E23CC7">
              <w:rPr>
                <w:sz w:val="18"/>
                <w:szCs w:val="18"/>
              </w:rPr>
              <w:t xml:space="preserve">No significant </w:t>
            </w:r>
            <w:r w:rsidR="000120ED">
              <w:rPr>
                <w:sz w:val="18"/>
                <w:szCs w:val="18"/>
              </w:rPr>
              <w:t>relationsh</w:t>
            </w:r>
            <w:r w:rsidR="00104AE4">
              <w:rPr>
                <w:sz w:val="18"/>
                <w:szCs w:val="18"/>
              </w:rPr>
              <w:t>ip</w:t>
            </w:r>
          </w:p>
        </w:tc>
      </w:tr>
    </w:tbl>
    <w:p w14:paraId="644C60A8" w14:textId="223F7ADF" w:rsidR="004A7F08" w:rsidRDefault="004A7F08" w:rsidP="0002683A">
      <w:pPr>
        <w:pStyle w:val="Caption"/>
      </w:pPr>
      <w:bookmarkStart w:id="11" w:name="_Ref172908433"/>
      <w:r>
        <w:t xml:space="preserve">Figure </w:t>
      </w:r>
      <w:r>
        <w:fldChar w:fldCharType="begin"/>
      </w:r>
      <w:r>
        <w:instrText>SEQ Figure \* ARABIC</w:instrText>
      </w:r>
      <w:r>
        <w:fldChar w:fldCharType="separate"/>
      </w:r>
      <w:r w:rsidR="00127CAB">
        <w:rPr>
          <w:noProof/>
        </w:rPr>
        <w:t>6</w:t>
      </w:r>
      <w:r>
        <w:fldChar w:fldCharType="end"/>
      </w:r>
      <w:bookmarkEnd w:id="11"/>
      <w:r>
        <w:t xml:space="preserve">: </w:t>
      </w:r>
      <w:r w:rsidR="00714D8B">
        <w:t xml:space="preserve">Plot of </w:t>
      </w:r>
      <w:r w:rsidR="00B53BA1">
        <w:t>Canopy Cover</w:t>
      </w:r>
      <w:r w:rsidR="006852D1">
        <w:t xml:space="preserve"> estimates</w:t>
      </w:r>
      <w:r w:rsidR="00B53BA1">
        <w:t xml:space="preserve"> (transformed from WCF estimated </w:t>
      </w:r>
      <w:r w:rsidR="006852D1">
        <w:t>by Australia’s Environment Explorer)</w:t>
      </w:r>
      <w:r w:rsidR="00714D8B">
        <w:t xml:space="preserve"> against in situ measurements of canopy cover. Dashed line is 1:1. Where present, solid line represents the line of best fit (if p&lt;0.05) and dotted lines are the prediction intervals for the best fit</w:t>
      </w:r>
    </w:p>
    <w:p w14:paraId="3E850FB7" w14:textId="30090E17" w:rsidR="008131E1" w:rsidRDefault="00ED50AD" w:rsidP="00B25388">
      <w:pPr>
        <w:pStyle w:val="BodyText"/>
      </w:pPr>
      <w:r>
        <w:t>For completeness, the national scale models at each point were compared with each other (</w:t>
      </w:r>
      <w:r w:rsidR="00B93BB5">
        <w:fldChar w:fldCharType="begin"/>
      </w:r>
      <w:r w:rsidR="00B93BB5">
        <w:instrText xml:space="preserve"> REF _Ref172917575 \h </w:instrText>
      </w:r>
      <w:r w:rsidR="00B93BB5">
        <w:fldChar w:fldCharType="separate"/>
      </w:r>
      <w:r w:rsidR="00127CAB">
        <w:t xml:space="preserve">Figure </w:t>
      </w:r>
      <w:r w:rsidR="00127CAB">
        <w:rPr>
          <w:noProof/>
        </w:rPr>
        <w:t>7</w:t>
      </w:r>
      <w:r w:rsidR="00B93BB5">
        <w:fldChar w:fldCharType="end"/>
      </w:r>
      <w:r>
        <w:t>).</w:t>
      </w:r>
      <w:r w:rsidR="00C75061">
        <w:t xml:space="preserve"> </w:t>
      </w:r>
      <w:r w:rsidR="00D82FFF">
        <w:t xml:space="preserve">NFSW </w:t>
      </w:r>
      <w:r w:rsidR="007A08AE">
        <w:t xml:space="preserve">non-woody and sparse-woody classes </w:t>
      </w:r>
      <w:r w:rsidR="00011767">
        <w:t xml:space="preserve">correlated </w:t>
      </w:r>
      <w:r w:rsidR="002966DF">
        <w:t xml:space="preserve">well </w:t>
      </w:r>
      <w:r w:rsidR="00011767">
        <w:t xml:space="preserve">with Persistent Green and </w:t>
      </w:r>
      <w:r w:rsidR="006140AD">
        <w:t>CPC</w:t>
      </w:r>
      <w:r w:rsidR="00011767">
        <w:t xml:space="preserve"> estimates of canopy for Queensland</w:t>
      </w:r>
      <w:r w:rsidR="005B714B">
        <w:t xml:space="preserve">, with </w:t>
      </w:r>
      <w:r w:rsidR="002D3115">
        <w:t>Persistent Green and CPC</w:t>
      </w:r>
      <w:r w:rsidR="007A1C3F">
        <w:t xml:space="preserve"> </w:t>
      </w:r>
      <w:r w:rsidR="005B714B">
        <w:t xml:space="preserve">class means being significantly different and </w:t>
      </w:r>
      <w:r w:rsidR="00E800FD">
        <w:t xml:space="preserve">relatively close to the nominal </w:t>
      </w:r>
      <w:r w:rsidR="00427B26">
        <w:t xml:space="preserve">NFSW </w:t>
      </w:r>
      <w:r w:rsidR="00E800FD">
        <w:t xml:space="preserve">class means. The NFSW </w:t>
      </w:r>
      <w:r w:rsidR="005435AE">
        <w:t>woody/forest class was not significantly different to sparse-woody</w:t>
      </w:r>
      <w:r w:rsidR="00E51F26">
        <w:t xml:space="preserve"> and mean canopy cover estimates were significantly less than expected for </w:t>
      </w:r>
      <w:r w:rsidR="009935A0">
        <w:t xml:space="preserve">this </w:t>
      </w:r>
      <w:r w:rsidR="00E76C38">
        <w:t xml:space="preserve">NFSW </w:t>
      </w:r>
      <w:r w:rsidR="009935A0">
        <w:t>class</w:t>
      </w:r>
      <w:r w:rsidR="00222D63">
        <w:t xml:space="preserve">. </w:t>
      </w:r>
      <w:r w:rsidR="005918AB">
        <w:t xml:space="preserve">NFSW did not correlate with Persistent Green or </w:t>
      </w:r>
      <w:r w:rsidR="00EA7EAF">
        <w:t>CPC</w:t>
      </w:r>
      <w:r w:rsidR="005918AB">
        <w:t xml:space="preserve"> estimates of canopy for NSW and there </w:t>
      </w:r>
      <w:r w:rsidR="00827FDD">
        <w:t>were</w:t>
      </w:r>
      <w:r w:rsidR="005918AB">
        <w:t xml:space="preserve"> no significant differences between the mean canopy cover</w:t>
      </w:r>
      <w:r w:rsidR="00EA7EAF">
        <w:t xml:space="preserve"> estimates</w:t>
      </w:r>
      <w:r w:rsidR="00827FDD">
        <w:t>.</w:t>
      </w:r>
      <w:r w:rsidR="009E5795">
        <w:t xml:space="preserve"> </w:t>
      </w:r>
      <w:r w:rsidR="00BE20D4">
        <w:t xml:space="preserve">Almost all the </w:t>
      </w:r>
      <w:r w:rsidR="00D62AA1">
        <w:t xml:space="preserve">Persistent Green and </w:t>
      </w:r>
      <w:r w:rsidR="00EA7EAF">
        <w:t>CPC</w:t>
      </w:r>
      <w:r w:rsidR="00D62AA1">
        <w:t xml:space="preserve"> estimates of canopy </w:t>
      </w:r>
      <w:r w:rsidR="001E78C2">
        <w:t>cover</w:t>
      </w:r>
      <w:r w:rsidR="00912CF2">
        <w:t xml:space="preserve"> </w:t>
      </w:r>
      <w:r w:rsidR="00D62AA1">
        <w:t xml:space="preserve">for </w:t>
      </w:r>
      <w:r w:rsidR="00D87117">
        <w:t xml:space="preserve">NFSW </w:t>
      </w:r>
      <w:r w:rsidR="00D62AA1">
        <w:t xml:space="preserve">non-woody </w:t>
      </w:r>
      <w:r w:rsidR="00D87117">
        <w:t xml:space="preserve">in Western Australia were less than 5%, but so too were </w:t>
      </w:r>
      <w:r w:rsidR="001E78C2">
        <w:t xml:space="preserve">most of the </w:t>
      </w:r>
      <w:r w:rsidR="00912CF2">
        <w:t>estimates for N</w:t>
      </w:r>
      <w:r w:rsidR="00CF79A0">
        <w:t>F</w:t>
      </w:r>
      <w:r w:rsidR="00912CF2">
        <w:t>SW sparse-woody and even woody/forest</w:t>
      </w:r>
      <w:r w:rsidR="00124989">
        <w:t xml:space="preserve"> c</w:t>
      </w:r>
      <w:r w:rsidR="003319AC">
        <w:t>lasses</w:t>
      </w:r>
      <w:r w:rsidR="00F64940">
        <w:t>.</w:t>
      </w:r>
      <w:r w:rsidR="007D57EE">
        <w:t xml:space="preserve"> </w:t>
      </w:r>
    </w:p>
    <w:p w14:paraId="1EEB72DD" w14:textId="4CDA726A" w:rsidR="00ED50AD" w:rsidRDefault="00336AAB" w:rsidP="00B25388">
      <w:pPr>
        <w:pStyle w:val="BodyText"/>
      </w:pPr>
      <w:r>
        <w:t xml:space="preserve">There were significant (p&lt;0.05) </w:t>
      </w:r>
      <w:r w:rsidR="00CE476B">
        <w:t xml:space="preserve">but weak </w:t>
      </w:r>
      <w:r>
        <w:t xml:space="preserve">relationships between </w:t>
      </w:r>
      <w:r w:rsidR="00874739">
        <w:t xml:space="preserve">Persistent Green and </w:t>
      </w:r>
      <w:r w:rsidR="00455DE2">
        <w:t>CPC</w:t>
      </w:r>
      <w:r w:rsidR="00874739">
        <w:t xml:space="preserve"> estimates of canopy for both Queensland and Western Australia</w:t>
      </w:r>
      <w:r w:rsidR="00CE476B">
        <w:t xml:space="preserve"> (r</w:t>
      </w:r>
      <w:r w:rsidR="00CE476B" w:rsidRPr="004E4B3F">
        <w:rPr>
          <w:vertAlign w:val="superscript"/>
        </w:rPr>
        <w:t>2</w:t>
      </w:r>
      <w:r w:rsidR="00CE476B">
        <w:t xml:space="preserve"> of 0.26 and 0.18 respectively</w:t>
      </w:r>
      <w:r w:rsidR="004E4B3F">
        <w:t>)</w:t>
      </w:r>
      <w:r w:rsidR="00874739">
        <w:t xml:space="preserve"> </w:t>
      </w:r>
      <w:r w:rsidR="008131E1">
        <w:t>(</w:t>
      </w:r>
      <w:r w:rsidR="008131E1">
        <w:fldChar w:fldCharType="begin"/>
      </w:r>
      <w:r w:rsidR="008131E1">
        <w:instrText xml:space="preserve"> REF _Ref172917575 \h </w:instrText>
      </w:r>
      <w:r w:rsidR="008131E1">
        <w:fldChar w:fldCharType="separate"/>
      </w:r>
      <w:r w:rsidR="00127CAB">
        <w:t xml:space="preserve">Figure </w:t>
      </w:r>
      <w:r w:rsidR="00127CAB">
        <w:rPr>
          <w:noProof/>
        </w:rPr>
        <w:t>7</w:t>
      </w:r>
      <w:r w:rsidR="008131E1">
        <w:fldChar w:fldCharType="end"/>
      </w:r>
      <w:r w:rsidR="008131E1">
        <w:t>)</w:t>
      </w:r>
      <w:r w:rsidR="004E6BE1">
        <w:t xml:space="preserve">. </w:t>
      </w:r>
      <w:r w:rsidR="0062785B">
        <w:t>The relationship for Western Australian was not different to a 1:1 line</w:t>
      </w:r>
      <w:r w:rsidR="00D405AF">
        <w:t xml:space="preserve">. </w:t>
      </w:r>
      <w:r w:rsidR="00BF47BB">
        <w:t>There was no significant correlation for NSW estimates.</w:t>
      </w:r>
      <w:r w:rsidR="004E6BE1">
        <w:t xml:space="preserve"> </w:t>
      </w:r>
    </w:p>
    <w:p w14:paraId="0484FD4C" w14:textId="6AEE9A16" w:rsidR="00ED50AD" w:rsidRDefault="00ED50AD" w:rsidP="00B25388">
      <w:pPr>
        <w:pStyle w:val="BodyText"/>
      </w:pPr>
      <w:r>
        <w:t xml:space="preserve">There were </w:t>
      </w:r>
      <w:r w:rsidR="00DC55B3">
        <w:t>65</w:t>
      </w:r>
      <w:r>
        <w:t xml:space="preserve"> </w:t>
      </w:r>
      <w:r w:rsidR="001B0056">
        <w:t xml:space="preserve">samples </w:t>
      </w:r>
      <w:r>
        <w:t xml:space="preserve">points where all three national-scale models estimated that the area was </w:t>
      </w:r>
      <w:r w:rsidR="00DC55B3">
        <w:t>non-</w:t>
      </w:r>
      <w:r>
        <w:t>woody (</w:t>
      </w:r>
      <w:r w:rsidR="00DC55B3">
        <w:t xml:space="preserve">less than </w:t>
      </w:r>
      <w:r>
        <w:t>5%</w:t>
      </w:r>
      <w:r w:rsidR="008A3E48">
        <w:t xml:space="preserve"> cover</w:t>
      </w:r>
      <w:r>
        <w:t xml:space="preserve">) </w:t>
      </w:r>
      <w:r w:rsidR="00253B61">
        <w:t>but only 14 of these points (21%)</w:t>
      </w:r>
      <w:r w:rsidR="00416B5A">
        <w:t xml:space="preserve"> found</w:t>
      </w:r>
      <w:r>
        <w:t xml:space="preserve"> </w:t>
      </w:r>
      <w:r w:rsidR="00845194">
        <w:t xml:space="preserve">the field </w:t>
      </w:r>
      <w:r>
        <w:t xml:space="preserve">measurement of canopy cover was within the </w:t>
      </w:r>
      <w:r w:rsidR="00CD7011">
        <w:t>anticipated</w:t>
      </w:r>
      <w:r>
        <w:t xml:space="preserve"> range. </w:t>
      </w:r>
      <w:r w:rsidR="00141AC7">
        <w:t>T</w:t>
      </w:r>
      <w:r>
        <w:t xml:space="preserve">here were </w:t>
      </w:r>
      <w:r w:rsidR="00141AC7">
        <w:t>18</w:t>
      </w:r>
      <w:r>
        <w:t xml:space="preserve"> points whe</w:t>
      </w:r>
      <w:r w:rsidR="00FA0DA7">
        <w:t>re</w:t>
      </w:r>
      <w:r>
        <w:t xml:space="preserve"> all three national-scale models estimated </w:t>
      </w:r>
      <w:r w:rsidR="00716C04">
        <w:t>an</w:t>
      </w:r>
      <w:r>
        <w:t xml:space="preserve"> area was </w:t>
      </w:r>
      <w:r w:rsidR="00141AC7">
        <w:t>sparse</w:t>
      </w:r>
      <w:r>
        <w:t>-woody</w:t>
      </w:r>
      <w:r w:rsidR="00141AC7">
        <w:t xml:space="preserve"> (5 – 20% canopy cover)</w:t>
      </w:r>
      <w:r w:rsidR="00A11B21">
        <w:t xml:space="preserve"> and 13 points (</w:t>
      </w:r>
      <w:r w:rsidR="00DA649D">
        <w:t xml:space="preserve">72%) </w:t>
      </w:r>
      <w:r>
        <w:t xml:space="preserve">of these </w:t>
      </w:r>
      <w:r w:rsidR="003C633B">
        <w:t>points</w:t>
      </w:r>
      <w:r>
        <w:t xml:space="preserve"> had</w:t>
      </w:r>
      <w:r w:rsidR="00DA649D">
        <w:rPr>
          <w:i/>
        </w:rPr>
        <w:t xml:space="preserve"> </w:t>
      </w:r>
      <w:r w:rsidR="00DA649D">
        <w:rPr>
          <w:iCs/>
        </w:rPr>
        <w:t>field</w:t>
      </w:r>
      <w:r>
        <w:t xml:space="preserve"> measurements </w:t>
      </w:r>
      <w:r w:rsidR="003C633B">
        <w:t>with</w:t>
      </w:r>
      <w:r w:rsidR="00DA649D">
        <w:t>in the relevant range</w:t>
      </w:r>
      <w:r>
        <w:t>.</w:t>
      </w:r>
      <w:r w:rsidR="00F32855">
        <w:t xml:space="preserve"> There were no points where all three national-scale models estimated an area as </w:t>
      </w:r>
      <w:r w:rsidR="00CC018E">
        <w:t>woody/</w:t>
      </w:r>
      <w:r w:rsidR="00F32855">
        <w:t>forest</w:t>
      </w:r>
      <w:r w:rsidR="00881D15">
        <w:t xml:space="preserve"> (greater than 20% canopy cover)</w:t>
      </w:r>
      <w:r w:rsidR="00316B64">
        <w:t xml:space="preserve"> despite field measure</w:t>
      </w:r>
      <w:r w:rsidR="003C633B">
        <w:t>ments</w:t>
      </w:r>
      <w:r w:rsidR="00316B64">
        <w:t xml:space="preserve"> finding </w:t>
      </w:r>
      <w:proofErr w:type="gramStart"/>
      <w:r w:rsidR="00316B64">
        <w:t xml:space="preserve">a </w:t>
      </w:r>
      <w:r w:rsidR="00E14523">
        <w:t>number of</w:t>
      </w:r>
      <w:proofErr w:type="gramEnd"/>
      <w:r w:rsidR="00E14523">
        <w:t xml:space="preserve"> sites with canopy cover well about 20%</w:t>
      </w:r>
      <w:r w:rsidR="00F32855">
        <w:t>.</w:t>
      </w:r>
      <w:r w:rsidR="00DA3981">
        <w:t xml:space="preserve"> </w:t>
      </w:r>
    </w:p>
    <w:p w14:paraId="114C1555" w14:textId="559A999A" w:rsidR="00AA254A" w:rsidRDefault="00AA254A" w:rsidP="00AA254A">
      <w:pPr>
        <w:pStyle w:val="BodyText"/>
      </w:pPr>
      <w:r>
        <w:t>Further analysis of the relative bias of the national-scale models found that some land systems were significantly more biased than others. These land systems have different soil colours and trees may be growing with different canopy architecture</w:t>
      </w:r>
      <w:r w:rsidRPr="00F4002E">
        <w:t xml:space="preserve"> </w:t>
      </w:r>
      <w:r>
        <w:t>than areas where the national-scale models were calibrated and verified. CER observations that national-scale model estimates changed substantially across soils with different colours</w:t>
      </w:r>
      <w:r w:rsidR="00EC6C61">
        <w:t xml:space="preserve"> even though georeferenced photographs and Wayback </w:t>
      </w:r>
      <w:r w:rsidR="002535C4">
        <w:t>suggested no differences in canopy cover,</w:t>
      </w:r>
      <w:r>
        <w:t xml:space="preserve"> supports the conclusion that not all the land systems or growth habits have been well represented in the model calibrations.</w:t>
      </w:r>
    </w:p>
    <w:p w14:paraId="524BA945" w14:textId="70F6CAC4" w:rsidR="004A7E9F" w:rsidRDefault="004A7E9F" w:rsidP="00B25388">
      <w:pPr>
        <w:pStyle w:val="BodyText"/>
      </w:pPr>
      <w:r>
        <w:t xml:space="preserve">The weak relationships between the </w:t>
      </w:r>
      <w:r w:rsidR="00E305A2">
        <w:t xml:space="preserve">different national-scale models </w:t>
      </w:r>
      <w:r w:rsidR="00135824">
        <w:t xml:space="preserve">and localized biases </w:t>
      </w:r>
      <w:r w:rsidR="00E305A2">
        <w:t xml:space="preserve">explains </w:t>
      </w:r>
      <w:r w:rsidR="009101D6">
        <w:lastRenderedPageBreak/>
        <w:t>the discrepancies in the 100-ha threshold tests undertaken by CER (</w:t>
      </w:r>
      <w:r w:rsidR="009101D6">
        <w:fldChar w:fldCharType="begin"/>
      </w:r>
      <w:r w:rsidR="009101D6">
        <w:instrText xml:space="preserve"> REF _Ref181906019 \h </w:instrText>
      </w:r>
      <w:r w:rsidR="009101D6">
        <w:fldChar w:fldCharType="separate"/>
      </w:r>
      <w:r w:rsidR="00127CAB">
        <w:t xml:space="preserve">Table </w:t>
      </w:r>
      <w:r w:rsidR="00127CAB">
        <w:rPr>
          <w:noProof/>
        </w:rPr>
        <w:t>2</w:t>
      </w:r>
      <w:r w:rsidR="009101D6">
        <w:fldChar w:fldCharType="end"/>
      </w:r>
      <w:r w:rsidR="00CF1CFE">
        <w:t>).</w:t>
      </w:r>
    </w:p>
    <w:p w14:paraId="6EE95E1A" w14:textId="77777777" w:rsidR="00AB150C" w:rsidRDefault="00AB150C" w:rsidP="00B25388">
      <w:pPr>
        <w:pStyle w:val="BodyText"/>
      </w:pPr>
    </w:p>
    <w:tbl>
      <w:tblPr>
        <w:tblStyle w:val="TableGrid"/>
        <w:tblW w:w="0" w:type="auto"/>
        <w:tblInd w:w="220" w:type="dxa"/>
        <w:tblLook w:val="04A0" w:firstRow="1" w:lastRow="0" w:firstColumn="1" w:lastColumn="0" w:noHBand="0" w:noVBand="1"/>
      </w:tblPr>
      <w:tblGrid>
        <w:gridCol w:w="3080"/>
        <w:gridCol w:w="3080"/>
        <w:gridCol w:w="3080"/>
      </w:tblGrid>
      <w:tr w:rsidR="005212EB" w14:paraId="51C77F5F" w14:textId="77777777" w:rsidTr="00DC5785">
        <w:tc>
          <w:tcPr>
            <w:tcW w:w="3080" w:type="dxa"/>
          </w:tcPr>
          <w:p w14:paraId="50145B51" w14:textId="0FE28639" w:rsidR="005212EB" w:rsidRDefault="005212EB" w:rsidP="005212EB">
            <w:pPr>
              <w:pStyle w:val="BodyText"/>
              <w:ind w:left="0"/>
            </w:pPr>
            <w:r>
              <w:t>Queensland</w:t>
            </w:r>
          </w:p>
        </w:tc>
        <w:tc>
          <w:tcPr>
            <w:tcW w:w="3080" w:type="dxa"/>
          </w:tcPr>
          <w:p w14:paraId="38000765" w14:textId="0043F45B" w:rsidR="005212EB" w:rsidRDefault="005212EB" w:rsidP="005212EB">
            <w:pPr>
              <w:pStyle w:val="BodyText"/>
              <w:ind w:left="0"/>
            </w:pPr>
            <w:r>
              <w:t>New South Wales</w:t>
            </w:r>
          </w:p>
        </w:tc>
        <w:tc>
          <w:tcPr>
            <w:tcW w:w="3080" w:type="dxa"/>
          </w:tcPr>
          <w:p w14:paraId="742886C7" w14:textId="4A01EAA6" w:rsidR="005212EB" w:rsidRDefault="005212EB" w:rsidP="005212EB">
            <w:pPr>
              <w:pStyle w:val="BodyText"/>
              <w:ind w:left="0"/>
            </w:pPr>
            <w:r>
              <w:t>Western Australia</w:t>
            </w:r>
          </w:p>
        </w:tc>
      </w:tr>
      <w:tr w:rsidR="005212EB" w14:paraId="7CE07096" w14:textId="77777777" w:rsidTr="00DC5785">
        <w:tc>
          <w:tcPr>
            <w:tcW w:w="3080" w:type="dxa"/>
          </w:tcPr>
          <w:p w14:paraId="6D6E3BBF" w14:textId="67FB4ADF" w:rsidR="005212EB" w:rsidRDefault="00541771" w:rsidP="00B25388">
            <w:pPr>
              <w:pStyle w:val="BodyText"/>
              <w:ind w:left="0"/>
            </w:pPr>
            <w:r w:rsidRPr="00541771">
              <w:rPr>
                <w:noProof/>
              </w:rPr>
              <w:drawing>
                <wp:inline distT="0" distB="0" distL="0" distR="0" wp14:anchorId="2E743D55" wp14:editId="3F0058C2">
                  <wp:extent cx="1868400" cy="1227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68400" cy="1227600"/>
                          </a:xfrm>
                          <a:prstGeom prst="rect">
                            <a:avLst/>
                          </a:prstGeom>
                        </pic:spPr>
                      </pic:pic>
                    </a:graphicData>
                  </a:graphic>
                </wp:inline>
              </w:drawing>
            </w:r>
          </w:p>
        </w:tc>
        <w:tc>
          <w:tcPr>
            <w:tcW w:w="3080" w:type="dxa"/>
          </w:tcPr>
          <w:p w14:paraId="38F6FF3B" w14:textId="787B5F08" w:rsidR="005212EB" w:rsidRDefault="00D66F72" w:rsidP="00B25388">
            <w:pPr>
              <w:pStyle w:val="BodyText"/>
              <w:ind w:left="0"/>
            </w:pPr>
            <w:r w:rsidRPr="00D66F72">
              <w:rPr>
                <w:noProof/>
              </w:rPr>
              <w:drawing>
                <wp:inline distT="0" distB="0" distL="0" distR="0" wp14:anchorId="2FF9BC1B" wp14:editId="60E26DBD">
                  <wp:extent cx="1868400" cy="12276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868400" cy="1227600"/>
                          </a:xfrm>
                          <a:prstGeom prst="rect">
                            <a:avLst/>
                          </a:prstGeom>
                        </pic:spPr>
                      </pic:pic>
                    </a:graphicData>
                  </a:graphic>
                </wp:inline>
              </w:drawing>
            </w:r>
          </w:p>
        </w:tc>
        <w:tc>
          <w:tcPr>
            <w:tcW w:w="3080" w:type="dxa"/>
          </w:tcPr>
          <w:p w14:paraId="76AA4330" w14:textId="164134BF" w:rsidR="005212EB" w:rsidRDefault="00565330" w:rsidP="00B25388">
            <w:pPr>
              <w:pStyle w:val="BodyText"/>
              <w:ind w:left="0"/>
            </w:pPr>
            <w:r w:rsidRPr="00565330">
              <w:rPr>
                <w:noProof/>
              </w:rPr>
              <w:drawing>
                <wp:inline distT="0" distB="0" distL="0" distR="0" wp14:anchorId="5E914639" wp14:editId="6998DB3A">
                  <wp:extent cx="1868400" cy="1227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868400" cy="1227600"/>
                          </a:xfrm>
                          <a:prstGeom prst="rect">
                            <a:avLst/>
                          </a:prstGeom>
                        </pic:spPr>
                      </pic:pic>
                    </a:graphicData>
                  </a:graphic>
                </wp:inline>
              </w:drawing>
            </w:r>
          </w:p>
        </w:tc>
      </w:tr>
      <w:tr w:rsidR="005212EB" w14:paraId="564ED570" w14:textId="77777777" w:rsidTr="00DC5785">
        <w:tc>
          <w:tcPr>
            <w:tcW w:w="3080" w:type="dxa"/>
          </w:tcPr>
          <w:p w14:paraId="494C16EA" w14:textId="6C1A54CE" w:rsidR="005212EB" w:rsidRDefault="003F75C2" w:rsidP="00B25388">
            <w:pPr>
              <w:pStyle w:val="BodyText"/>
              <w:ind w:left="0"/>
            </w:pPr>
            <w:r w:rsidRPr="003F75C2">
              <w:rPr>
                <w:noProof/>
              </w:rPr>
              <w:drawing>
                <wp:inline distT="0" distB="0" distL="0" distR="0" wp14:anchorId="4934424B" wp14:editId="3F5F8434">
                  <wp:extent cx="1868400" cy="1227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868400" cy="1227600"/>
                          </a:xfrm>
                          <a:prstGeom prst="rect">
                            <a:avLst/>
                          </a:prstGeom>
                        </pic:spPr>
                      </pic:pic>
                    </a:graphicData>
                  </a:graphic>
                </wp:inline>
              </w:drawing>
            </w:r>
          </w:p>
        </w:tc>
        <w:tc>
          <w:tcPr>
            <w:tcW w:w="3080" w:type="dxa"/>
          </w:tcPr>
          <w:p w14:paraId="0717E28F" w14:textId="03DBCE6C" w:rsidR="005212EB" w:rsidRDefault="00EE4557" w:rsidP="00B25388">
            <w:pPr>
              <w:pStyle w:val="BodyText"/>
              <w:ind w:left="0"/>
            </w:pPr>
            <w:r w:rsidRPr="00EE4557">
              <w:rPr>
                <w:noProof/>
              </w:rPr>
              <w:drawing>
                <wp:inline distT="0" distB="0" distL="0" distR="0" wp14:anchorId="228AAF0C" wp14:editId="4E5F840D">
                  <wp:extent cx="1868400" cy="1227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68400" cy="1227600"/>
                          </a:xfrm>
                          <a:prstGeom prst="rect">
                            <a:avLst/>
                          </a:prstGeom>
                        </pic:spPr>
                      </pic:pic>
                    </a:graphicData>
                  </a:graphic>
                </wp:inline>
              </w:drawing>
            </w:r>
          </w:p>
        </w:tc>
        <w:tc>
          <w:tcPr>
            <w:tcW w:w="3080" w:type="dxa"/>
          </w:tcPr>
          <w:p w14:paraId="3A5B295E" w14:textId="45E781B5" w:rsidR="005212EB" w:rsidRDefault="00565330" w:rsidP="00B25388">
            <w:pPr>
              <w:pStyle w:val="BodyText"/>
              <w:ind w:left="0"/>
            </w:pPr>
            <w:r w:rsidRPr="00565330">
              <w:rPr>
                <w:noProof/>
              </w:rPr>
              <w:drawing>
                <wp:inline distT="0" distB="0" distL="0" distR="0" wp14:anchorId="5D67E7D3" wp14:editId="4159B34D">
                  <wp:extent cx="1868400" cy="1227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68400" cy="1227600"/>
                          </a:xfrm>
                          <a:prstGeom prst="rect">
                            <a:avLst/>
                          </a:prstGeom>
                        </pic:spPr>
                      </pic:pic>
                    </a:graphicData>
                  </a:graphic>
                </wp:inline>
              </w:drawing>
            </w:r>
          </w:p>
        </w:tc>
      </w:tr>
      <w:tr w:rsidR="005212EB" w14:paraId="4C470876" w14:textId="77777777" w:rsidTr="00DC5785">
        <w:tc>
          <w:tcPr>
            <w:tcW w:w="3080" w:type="dxa"/>
          </w:tcPr>
          <w:p w14:paraId="295EFECF" w14:textId="5E7382DE" w:rsidR="005212EB" w:rsidRDefault="006F29B0" w:rsidP="00B25388">
            <w:pPr>
              <w:pStyle w:val="BodyText"/>
              <w:ind w:left="0"/>
            </w:pPr>
            <w:r w:rsidRPr="006F29B0">
              <w:rPr>
                <w:noProof/>
              </w:rPr>
              <w:drawing>
                <wp:inline distT="0" distB="0" distL="0" distR="0" wp14:anchorId="10706A19" wp14:editId="2EC371AC">
                  <wp:extent cx="1828800" cy="1382400"/>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28800" cy="1382400"/>
                          </a:xfrm>
                          <a:prstGeom prst="rect">
                            <a:avLst/>
                          </a:prstGeom>
                        </pic:spPr>
                      </pic:pic>
                    </a:graphicData>
                  </a:graphic>
                </wp:inline>
              </w:drawing>
            </w:r>
          </w:p>
        </w:tc>
        <w:tc>
          <w:tcPr>
            <w:tcW w:w="3080" w:type="dxa"/>
          </w:tcPr>
          <w:p w14:paraId="3C620BDD" w14:textId="383D2CC4" w:rsidR="005212EB" w:rsidRDefault="004360FE" w:rsidP="00B25388">
            <w:pPr>
              <w:pStyle w:val="BodyText"/>
              <w:ind w:left="0"/>
            </w:pPr>
            <w:r w:rsidRPr="004360FE">
              <w:rPr>
                <w:noProof/>
              </w:rPr>
              <w:drawing>
                <wp:inline distT="0" distB="0" distL="0" distR="0" wp14:anchorId="1DEB2443" wp14:editId="1AEC981F">
                  <wp:extent cx="1818000" cy="1375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18000" cy="1375200"/>
                          </a:xfrm>
                          <a:prstGeom prst="rect">
                            <a:avLst/>
                          </a:prstGeom>
                        </pic:spPr>
                      </pic:pic>
                    </a:graphicData>
                  </a:graphic>
                </wp:inline>
              </w:drawing>
            </w:r>
          </w:p>
        </w:tc>
        <w:tc>
          <w:tcPr>
            <w:tcW w:w="3080" w:type="dxa"/>
          </w:tcPr>
          <w:p w14:paraId="186DEDC3" w14:textId="5317D587" w:rsidR="005212EB" w:rsidRDefault="006F29B0" w:rsidP="00B25388">
            <w:pPr>
              <w:pStyle w:val="BodyText"/>
              <w:ind w:left="0"/>
            </w:pPr>
            <w:r w:rsidRPr="006F29B0">
              <w:rPr>
                <w:noProof/>
              </w:rPr>
              <w:drawing>
                <wp:inline distT="0" distB="0" distL="0" distR="0" wp14:anchorId="5467756E" wp14:editId="01949F6D">
                  <wp:extent cx="1818000" cy="1375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18000" cy="1375200"/>
                          </a:xfrm>
                          <a:prstGeom prst="rect">
                            <a:avLst/>
                          </a:prstGeom>
                        </pic:spPr>
                      </pic:pic>
                    </a:graphicData>
                  </a:graphic>
                </wp:inline>
              </w:drawing>
            </w:r>
          </w:p>
        </w:tc>
      </w:tr>
    </w:tbl>
    <w:p w14:paraId="04BCE5D3" w14:textId="4A7725BE" w:rsidR="00ED50AD" w:rsidRDefault="00ED50AD" w:rsidP="0002683A">
      <w:pPr>
        <w:pStyle w:val="Caption"/>
      </w:pPr>
      <w:bookmarkStart w:id="12" w:name="_Ref172917575"/>
      <w:r>
        <w:t xml:space="preserve">Figure </w:t>
      </w:r>
      <w:r>
        <w:fldChar w:fldCharType="begin"/>
      </w:r>
      <w:r>
        <w:instrText>SEQ Figure \* ARABIC</w:instrText>
      </w:r>
      <w:r>
        <w:fldChar w:fldCharType="separate"/>
      </w:r>
      <w:r w:rsidR="00127CAB">
        <w:rPr>
          <w:noProof/>
        </w:rPr>
        <w:t>7</w:t>
      </w:r>
      <w:r>
        <w:fldChar w:fldCharType="end"/>
      </w:r>
      <w:bookmarkEnd w:id="12"/>
      <w:r>
        <w:t xml:space="preserve">: ANOVA and XY plots comparing national-scale estimates for each plot. </w:t>
      </w:r>
      <w:r w:rsidR="00326699">
        <w:t>For XY plots, dashed line is 1:1. Where present, solid line represents the line of best fit (if p&lt;0.05) and dotted lines are the prediction intervals for the best fit</w:t>
      </w:r>
    </w:p>
    <w:p w14:paraId="0EE07E81" w14:textId="00C1F3AC" w:rsidR="00431715" w:rsidRDefault="00743E5F" w:rsidP="0002683A">
      <w:pPr>
        <w:pStyle w:val="BodyText"/>
        <w:ind w:left="0"/>
      </w:pPr>
      <w:r>
        <w:t xml:space="preserve">Despite the bias and imprecision </w:t>
      </w:r>
      <w:r w:rsidR="00007F80">
        <w:t>of</w:t>
      </w:r>
      <w:r w:rsidR="000E5FA3">
        <w:t xml:space="preserve"> the national-scale models </w:t>
      </w:r>
      <w:r w:rsidR="00007F80">
        <w:t>identified above</w:t>
      </w:r>
      <w:r w:rsidR="000E5FA3">
        <w:t xml:space="preserve">, </w:t>
      </w:r>
      <w:r w:rsidR="004373F5">
        <w:t>some of</w:t>
      </w:r>
      <w:r w:rsidR="000E5FA3">
        <w:t xml:space="preserve"> the POIs </w:t>
      </w:r>
      <w:r w:rsidR="00383B1F">
        <w:t xml:space="preserve">identified by CER </w:t>
      </w:r>
      <w:proofErr w:type="gramStart"/>
      <w:r w:rsidR="004373F5">
        <w:t>on the basis of</w:t>
      </w:r>
      <w:proofErr w:type="gramEnd"/>
      <w:r w:rsidR="004373F5">
        <w:t xml:space="preserve"> these models</w:t>
      </w:r>
      <w:r w:rsidR="003D7C72">
        <w:t xml:space="preserve"> were justified</w:t>
      </w:r>
      <w:r w:rsidR="00435095">
        <w:t xml:space="preserve"> for</w:t>
      </w:r>
      <w:r w:rsidR="00383B1F">
        <w:t xml:space="preserve"> expanded s215 audits</w:t>
      </w:r>
      <w:r w:rsidR="00435095">
        <w:t xml:space="preserve">. </w:t>
      </w:r>
      <w:r w:rsidR="00B81BEB">
        <w:t xml:space="preserve">As described above, </w:t>
      </w:r>
      <w:r w:rsidR="00DD785A">
        <w:t xml:space="preserve">field measurements by </w:t>
      </w:r>
      <w:r w:rsidR="00A1325E">
        <w:t>independent auditor</w:t>
      </w:r>
      <w:r w:rsidR="00383B1F">
        <w:t xml:space="preserve"> confirm</w:t>
      </w:r>
      <w:r w:rsidR="00A1325E">
        <w:t xml:space="preserve">ed that </w:t>
      </w:r>
      <w:r w:rsidR="004872DC">
        <w:t xml:space="preserve">most of the sample points exceeded the minimum canopy cover threshold </w:t>
      </w:r>
      <w:r w:rsidR="00DD785A">
        <w:t>despite the national-scale model</w:t>
      </w:r>
      <w:r w:rsidR="00C922EB">
        <w:t xml:space="preserve"> estimate</w:t>
      </w:r>
      <w:r w:rsidR="00DD785A">
        <w:t>s</w:t>
      </w:r>
      <w:r w:rsidR="00383B1F">
        <w:t>.</w:t>
      </w:r>
      <w:r w:rsidR="00A214AE">
        <w:t xml:space="preserve"> </w:t>
      </w:r>
      <w:r w:rsidR="007E05AA">
        <w:t xml:space="preserve">Registered ecologists or foresters described the </w:t>
      </w:r>
      <w:r w:rsidR="00C4265F">
        <w:t xml:space="preserve">POIs and provided their expert opinions on the likelihood of the sites </w:t>
      </w:r>
      <w:r w:rsidR="00EE0E15">
        <w:t>that had not yet reached 7.5%</w:t>
      </w:r>
      <w:r w:rsidR="00847773">
        <w:t xml:space="preserve"> </w:t>
      </w:r>
      <w:r w:rsidR="00B16C3F">
        <w:t>achieving forest cover in time</w:t>
      </w:r>
      <w:r w:rsidR="00764876">
        <w:t xml:space="preserve"> (</w:t>
      </w:r>
      <w:r w:rsidR="00702CCD">
        <w:fldChar w:fldCharType="begin"/>
      </w:r>
      <w:r w:rsidR="00702CCD">
        <w:instrText xml:space="preserve"> REF _Ref182061825 \h </w:instrText>
      </w:r>
      <w:r w:rsidR="00702CCD">
        <w:fldChar w:fldCharType="separate"/>
      </w:r>
      <w:r w:rsidR="00127CAB">
        <w:t xml:space="preserve">Table </w:t>
      </w:r>
      <w:r w:rsidR="00127CAB">
        <w:rPr>
          <w:noProof/>
        </w:rPr>
        <w:t>4</w:t>
      </w:r>
      <w:r w:rsidR="00702CCD">
        <w:fldChar w:fldCharType="end"/>
      </w:r>
      <w:r w:rsidR="00702CCD">
        <w:t>)</w:t>
      </w:r>
      <w:r w:rsidR="006F24F5">
        <w:t>.</w:t>
      </w:r>
      <w:r w:rsidR="00240763">
        <w:t xml:space="preserve"> </w:t>
      </w:r>
      <w:r w:rsidR="007E6943">
        <w:t>These s215 audits concluded that j</w:t>
      </w:r>
      <w:r w:rsidR="00966E5C">
        <w:t xml:space="preserve">ust under half of the sites </w:t>
      </w:r>
      <w:r w:rsidR="007E6943">
        <w:t>w</w:t>
      </w:r>
      <w:r w:rsidR="008A2D16">
        <w:t xml:space="preserve">here the 7.5% canopy cover had not been reached still had a medium to high chance of achieving forest cover within the timeframe due to the </w:t>
      </w:r>
      <w:r w:rsidR="0099074D">
        <w:t xml:space="preserve">presence of sufficient stems that were currently too </w:t>
      </w:r>
      <w:r w:rsidR="00B10068">
        <w:t>short</w:t>
      </w:r>
      <w:r w:rsidR="0099074D">
        <w:t xml:space="preserve">. </w:t>
      </w:r>
    </w:p>
    <w:p w14:paraId="258C5486" w14:textId="28C8EAB6" w:rsidR="00127CAB" w:rsidRDefault="00C50AE5" w:rsidP="00127CAB">
      <w:pPr>
        <w:pStyle w:val="BodyText"/>
        <w:ind w:left="0"/>
      </w:pPr>
      <w:r>
        <w:t>Auditors/ecologists also described POIs, TOPs and POPs that had exceeded the 7.5% minimum threshold. Most commonly, these descriptions were of the species present and the likely history of the site and did not note any concerns about reaching forest thresholds or inclusion of ineligible land. A fraction of the reports however did draw attention to potential inclusion of baseline forest or concerns that the site may be too slow to reach the 20% minimum cover within the next 10 years</w:t>
      </w:r>
      <w:r w:rsidR="00127CAB">
        <w:t xml:space="preserve"> </w:t>
      </w:r>
    </w:p>
    <w:p w14:paraId="50F4764B" w14:textId="40A58A5D" w:rsidR="005246F6" w:rsidRDefault="00127CAB" w:rsidP="00127CAB">
      <w:r>
        <w:br w:type="page"/>
      </w:r>
    </w:p>
    <w:p w14:paraId="4369E843" w14:textId="7DD9AA6D" w:rsidR="006F24F5" w:rsidRDefault="0055104B" w:rsidP="0055104B">
      <w:pPr>
        <w:pStyle w:val="Caption"/>
      </w:pPr>
      <w:bookmarkStart w:id="13" w:name="_Ref182061825"/>
      <w:bookmarkStart w:id="14" w:name="_Ref183453552"/>
      <w:r>
        <w:lastRenderedPageBreak/>
        <w:t xml:space="preserve">Table </w:t>
      </w:r>
      <w:r w:rsidR="00127CAB">
        <w:fldChar w:fldCharType="begin"/>
      </w:r>
      <w:r w:rsidR="00127CAB">
        <w:instrText xml:space="preserve"> SEQ Table \* ARABIC </w:instrText>
      </w:r>
      <w:r w:rsidR="00127CAB">
        <w:fldChar w:fldCharType="separate"/>
      </w:r>
      <w:r w:rsidR="00127CAB">
        <w:rPr>
          <w:noProof/>
        </w:rPr>
        <w:t>4</w:t>
      </w:r>
      <w:r w:rsidR="00127CAB">
        <w:rPr>
          <w:noProof/>
        </w:rPr>
        <w:fldChar w:fldCharType="end"/>
      </w:r>
      <w:bookmarkEnd w:id="13"/>
      <w:r>
        <w:t>: Example extracts f</w:t>
      </w:r>
      <w:r w:rsidR="001412A0">
        <w:t>ro</w:t>
      </w:r>
      <w:r>
        <w:t>m s215 audit reports by ecologists with descriptions of sites and comments on likelihood of meeting forest cover in time</w:t>
      </w:r>
      <w:r w:rsidR="00F049C5">
        <w:t xml:space="preserve"> (subset from POIs with canopy cover measured at less than 7.5%)</w:t>
      </w:r>
      <w:bookmarkEnd w:id="14"/>
    </w:p>
    <w:tbl>
      <w:tblPr>
        <w:tblStyle w:val="TableGrid"/>
        <w:tblW w:w="0" w:type="auto"/>
        <w:tblLook w:val="04A0" w:firstRow="1" w:lastRow="0" w:firstColumn="1" w:lastColumn="0" w:noHBand="0" w:noVBand="1"/>
      </w:tblPr>
      <w:tblGrid>
        <w:gridCol w:w="1696"/>
        <w:gridCol w:w="7764"/>
      </w:tblGrid>
      <w:tr w:rsidR="006F24F5" w14:paraId="188686E2" w14:textId="77777777" w:rsidTr="00593205">
        <w:tc>
          <w:tcPr>
            <w:tcW w:w="1696" w:type="dxa"/>
          </w:tcPr>
          <w:p w14:paraId="59DB4D52" w14:textId="056106B1" w:rsidR="006F24F5" w:rsidRDefault="00431715" w:rsidP="0002683A">
            <w:pPr>
              <w:pStyle w:val="BodyText"/>
              <w:ind w:left="0"/>
            </w:pPr>
            <w:r>
              <w:t xml:space="preserve">Likelihood of </w:t>
            </w:r>
            <w:r w:rsidR="00754B1E">
              <w:t xml:space="preserve">achieving </w:t>
            </w:r>
            <w:r>
              <w:t>forest cover</w:t>
            </w:r>
          </w:p>
        </w:tc>
        <w:tc>
          <w:tcPr>
            <w:tcW w:w="7764" w:type="dxa"/>
          </w:tcPr>
          <w:p w14:paraId="4D322A1D" w14:textId="404A33D5" w:rsidR="006F24F5" w:rsidRDefault="00431715" w:rsidP="0002683A">
            <w:pPr>
              <w:pStyle w:val="BodyText"/>
              <w:ind w:left="0"/>
            </w:pPr>
            <w:r>
              <w:t>Description</w:t>
            </w:r>
          </w:p>
        </w:tc>
      </w:tr>
      <w:tr w:rsidR="006F24F5" w14:paraId="7579E38E" w14:textId="77777777" w:rsidTr="00593205">
        <w:tc>
          <w:tcPr>
            <w:tcW w:w="1696" w:type="dxa"/>
          </w:tcPr>
          <w:p w14:paraId="7BF1589A" w14:textId="16DE41B5" w:rsidR="006F24F5" w:rsidRDefault="0094652E" w:rsidP="0002683A">
            <w:pPr>
              <w:pStyle w:val="BodyText"/>
              <w:ind w:left="0"/>
            </w:pPr>
            <w:r>
              <w:t>LOW</w:t>
            </w:r>
          </w:p>
        </w:tc>
        <w:tc>
          <w:tcPr>
            <w:tcW w:w="7764" w:type="dxa"/>
          </w:tcPr>
          <w:p w14:paraId="74E0F73D" w14:textId="0FCBD243" w:rsidR="006F24F5" w:rsidRPr="00A7267A" w:rsidRDefault="004C5874" w:rsidP="004C5874">
            <w:pPr>
              <w:rPr>
                <w:rFonts w:eastAsia="Times New Roman"/>
                <w:i/>
                <w:iCs/>
                <w:color w:val="000000"/>
                <w:sz w:val="16"/>
                <w:szCs w:val="16"/>
              </w:rPr>
            </w:pPr>
            <w:r w:rsidRPr="00A7267A">
              <w:rPr>
                <w:i/>
                <w:iCs/>
                <w:color w:val="000000"/>
                <w:sz w:val="16"/>
                <w:szCs w:val="16"/>
              </w:rPr>
              <w:t>Open low Acacia aneura – Eremophila sp. Woodland. A previously cleared area with more than 80% bare and compacted soil with a sparse shrub and tree cover. Only two woody plant species occurred on this site, Acacia aneura and Acacia brachystachya.</w:t>
            </w:r>
          </w:p>
        </w:tc>
      </w:tr>
      <w:tr w:rsidR="006F24F5" w14:paraId="74B11588" w14:textId="77777777" w:rsidTr="00593205">
        <w:tc>
          <w:tcPr>
            <w:tcW w:w="1696" w:type="dxa"/>
          </w:tcPr>
          <w:p w14:paraId="601BBD4A" w14:textId="5327BA2E" w:rsidR="006F24F5" w:rsidRDefault="00FC77AB" w:rsidP="0002683A">
            <w:pPr>
              <w:pStyle w:val="BodyText"/>
              <w:ind w:left="0"/>
            </w:pPr>
            <w:r>
              <w:t>HIGH</w:t>
            </w:r>
          </w:p>
        </w:tc>
        <w:tc>
          <w:tcPr>
            <w:tcW w:w="7764" w:type="dxa"/>
          </w:tcPr>
          <w:p w14:paraId="23399FB8" w14:textId="74E90D2A" w:rsidR="006F24F5" w:rsidRPr="00A7267A" w:rsidRDefault="001412A0" w:rsidP="001412A0">
            <w:pPr>
              <w:rPr>
                <w:rFonts w:eastAsia="Times New Roman"/>
                <w:i/>
                <w:iCs/>
                <w:color w:val="000000"/>
                <w:sz w:val="16"/>
                <w:szCs w:val="16"/>
              </w:rPr>
            </w:pPr>
            <w:r w:rsidRPr="00A7267A">
              <w:rPr>
                <w:i/>
                <w:iCs/>
                <w:color w:val="000000"/>
                <w:sz w:val="16"/>
                <w:szCs w:val="16"/>
              </w:rPr>
              <w:t>Dodonaea viscosa (Hopbush) Eremophila clarkei (Turpentine bush) Acacia sibirica (Bastard mulga) Acacia incurvaneura (Narrow leaf wattle) Geijera parviflora (Wilga) Acacia ramulosa (Horse Mulga) correctly mapped as CEA and has the potential to reach 20% based on the number of stems.</w:t>
            </w:r>
          </w:p>
        </w:tc>
      </w:tr>
      <w:tr w:rsidR="006F24F5" w14:paraId="0D1A6B20" w14:textId="77777777" w:rsidTr="00593205">
        <w:tc>
          <w:tcPr>
            <w:tcW w:w="1696" w:type="dxa"/>
          </w:tcPr>
          <w:p w14:paraId="4893EB61" w14:textId="02147264" w:rsidR="006F24F5" w:rsidRDefault="005758FB" w:rsidP="0002683A">
            <w:pPr>
              <w:pStyle w:val="BodyText"/>
              <w:ind w:left="0"/>
            </w:pPr>
            <w:r>
              <w:t>LOW</w:t>
            </w:r>
          </w:p>
        </w:tc>
        <w:tc>
          <w:tcPr>
            <w:tcW w:w="7764" w:type="dxa"/>
          </w:tcPr>
          <w:p w14:paraId="6DB9D482" w14:textId="5BD6F0B1" w:rsidR="006F24F5" w:rsidRPr="00A7267A" w:rsidRDefault="005758FB" w:rsidP="005758FB">
            <w:pPr>
              <w:rPr>
                <w:rFonts w:eastAsia="Times New Roman"/>
                <w:i/>
                <w:iCs/>
                <w:color w:val="000000"/>
                <w:sz w:val="16"/>
                <w:szCs w:val="16"/>
              </w:rPr>
            </w:pPr>
            <w:r w:rsidRPr="00A7267A">
              <w:rPr>
                <w:i/>
                <w:iCs/>
                <w:color w:val="000000"/>
                <w:sz w:val="16"/>
                <w:szCs w:val="16"/>
              </w:rPr>
              <w:t>only Bloodbush (Senna artemisiodes subsp. oligophylla) that may have the potential to reach 2 m in height, however no species was measuring &gt;1 m at time of survey. With this limitation and the slow growth represented in each of the identified canopy species, it is considered a low likelihood that this zone would reach required future forest cover</w:t>
            </w:r>
          </w:p>
        </w:tc>
      </w:tr>
      <w:tr w:rsidR="005758FB" w14:paraId="4903AC7C" w14:textId="77777777" w:rsidTr="00593205">
        <w:tc>
          <w:tcPr>
            <w:tcW w:w="1696" w:type="dxa"/>
          </w:tcPr>
          <w:p w14:paraId="1FB361D4" w14:textId="0AA53DA8" w:rsidR="005758FB" w:rsidRDefault="00FC77AB" w:rsidP="0002683A">
            <w:pPr>
              <w:pStyle w:val="BodyText"/>
              <w:ind w:left="0"/>
            </w:pPr>
            <w:r>
              <w:t>HIGH</w:t>
            </w:r>
          </w:p>
        </w:tc>
        <w:tc>
          <w:tcPr>
            <w:tcW w:w="7764" w:type="dxa"/>
          </w:tcPr>
          <w:p w14:paraId="3FBCCCA5" w14:textId="44EA0C93" w:rsidR="005758FB" w:rsidRPr="00A7267A" w:rsidRDefault="006428D2" w:rsidP="005758FB">
            <w:pPr>
              <w:rPr>
                <w:rFonts w:eastAsia="Times New Roman"/>
                <w:i/>
                <w:iCs/>
                <w:color w:val="000000"/>
                <w:sz w:val="16"/>
                <w:szCs w:val="16"/>
              </w:rPr>
            </w:pPr>
            <w:r w:rsidRPr="00A7267A">
              <w:rPr>
                <w:i/>
                <w:iCs/>
                <w:color w:val="000000"/>
                <w:sz w:val="16"/>
                <w:szCs w:val="16"/>
              </w:rPr>
              <w:t>strong native coverage and is considered a high likelihood that this zone would reach required future forest cover</w:t>
            </w:r>
          </w:p>
        </w:tc>
      </w:tr>
      <w:tr w:rsidR="00FC77AB" w14:paraId="0E527CDE" w14:textId="77777777" w:rsidTr="00593205">
        <w:tc>
          <w:tcPr>
            <w:tcW w:w="1696" w:type="dxa"/>
          </w:tcPr>
          <w:p w14:paraId="1A677B94" w14:textId="6237A2D5" w:rsidR="00FC77AB" w:rsidRDefault="006F4B29" w:rsidP="0002683A">
            <w:pPr>
              <w:pStyle w:val="BodyText"/>
              <w:ind w:left="0"/>
            </w:pPr>
            <w:r>
              <w:t>LOW</w:t>
            </w:r>
          </w:p>
        </w:tc>
        <w:tc>
          <w:tcPr>
            <w:tcW w:w="7764" w:type="dxa"/>
          </w:tcPr>
          <w:p w14:paraId="0EFCABAB" w14:textId="0FE79C96" w:rsidR="00FC77AB" w:rsidRPr="00A7267A" w:rsidRDefault="006F4B29" w:rsidP="005758FB">
            <w:pPr>
              <w:rPr>
                <w:rFonts w:eastAsia="Times New Roman"/>
                <w:i/>
                <w:iCs/>
                <w:color w:val="000000"/>
                <w:sz w:val="16"/>
                <w:szCs w:val="16"/>
              </w:rPr>
            </w:pPr>
            <w:r w:rsidRPr="00A7267A">
              <w:rPr>
                <w:i/>
                <w:iCs/>
                <w:color w:val="000000"/>
                <w:sz w:val="16"/>
                <w:szCs w:val="16"/>
              </w:rPr>
              <w:t>limited native coverage due to most of the present canopy species being dead without any evident regeneration. It is considered a low likelihood that this zone would reach required future forest cover</w:t>
            </w:r>
          </w:p>
        </w:tc>
      </w:tr>
      <w:tr w:rsidR="006F4B29" w14:paraId="4FC8B90E" w14:textId="77777777" w:rsidTr="00593205">
        <w:tc>
          <w:tcPr>
            <w:tcW w:w="1696" w:type="dxa"/>
          </w:tcPr>
          <w:p w14:paraId="735E9C5F" w14:textId="0CC96BD3" w:rsidR="006F4B29" w:rsidRDefault="002653F9" w:rsidP="0002683A">
            <w:pPr>
              <w:pStyle w:val="BodyText"/>
              <w:ind w:left="0"/>
            </w:pPr>
            <w:r>
              <w:t>MEDIUM</w:t>
            </w:r>
          </w:p>
        </w:tc>
        <w:tc>
          <w:tcPr>
            <w:tcW w:w="7764" w:type="dxa"/>
          </w:tcPr>
          <w:p w14:paraId="0FA1DDDA" w14:textId="2F19CE3C" w:rsidR="006F4B29" w:rsidRPr="00A7267A" w:rsidRDefault="00063D8D" w:rsidP="005758FB">
            <w:pPr>
              <w:rPr>
                <w:rFonts w:eastAsia="Times New Roman"/>
                <w:i/>
                <w:iCs/>
                <w:color w:val="000000"/>
                <w:sz w:val="16"/>
                <w:szCs w:val="16"/>
              </w:rPr>
            </w:pPr>
            <w:r w:rsidRPr="00A7267A">
              <w:rPr>
                <w:i/>
                <w:iCs/>
                <w:color w:val="000000"/>
                <w:sz w:val="16"/>
                <w:szCs w:val="16"/>
              </w:rPr>
              <w:t>Fail now, but potential forest. Open low Acacia aneura Woodland. The soil in the area was observed to be much compacted and trampled by livestock in the past. Dieback was present as a result of drought of at least 50% of the Acacia aneura (Mulga) shrubs and nearly all the Eremophila (</w:t>
            </w:r>
            <w:proofErr w:type="gramStart"/>
            <w:r w:rsidRPr="00A7267A">
              <w:rPr>
                <w:i/>
                <w:iCs/>
                <w:color w:val="000000"/>
                <w:sz w:val="16"/>
                <w:szCs w:val="16"/>
              </w:rPr>
              <w:t>Emu  bushes</w:t>
            </w:r>
            <w:proofErr w:type="gramEnd"/>
            <w:r w:rsidRPr="00A7267A">
              <w:rPr>
                <w:i/>
                <w:iCs/>
                <w:color w:val="000000"/>
                <w:sz w:val="16"/>
                <w:szCs w:val="16"/>
              </w:rPr>
              <w:t>) shrubs in the area.</w:t>
            </w:r>
          </w:p>
        </w:tc>
      </w:tr>
      <w:tr w:rsidR="00063D8D" w14:paraId="2B17ADC0" w14:textId="77777777" w:rsidTr="00593205">
        <w:tc>
          <w:tcPr>
            <w:tcW w:w="1696" w:type="dxa"/>
          </w:tcPr>
          <w:p w14:paraId="4BC88102" w14:textId="65E02467" w:rsidR="00063D8D" w:rsidRDefault="00933D36" w:rsidP="0002683A">
            <w:pPr>
              <w:pStyle w:val="BodyText"/>
              <w:ind w:left="0"/>
            </w:pPr>
            <w:r>
              <w:t>NO</w:t>
            </w:r>
            <w:r w:rsidR="00825283">
              <w:t xml:space="preserve"> POTENTIAL</w:t>
            </w:r>
          </w:p>
        </w:tc>
        <w:tc>
          <w:tcPr>
            <w:tcW w:w="7764" w:type="dxa"/>
          </w:tcPr>
          <w:p w14:paraId="660A1014" w14:textId="28D8B8D9" w:rsidR="00063D8D" w:rsidRPr="00A7267A" w:rsidRDefault="00441616" w:rsidP="005758FB">
            <w:pPr>
              <w:rPr>
                <w:rFonts w:eastAsia="Times New Roman"/>
                <w:i/>
                <w:iCs/>
                <w:color w:val="000000"/>
                <w:sz w:val="16"/>
                <w:szCs w:val="16"/>
              </w:rPr>
            </w:pPr>
            <w:r w:rsidRPr="00A7267A">
              <w:rPr>
                <w:i/>
                <w:iCs/>
                <w:color w:val="000000"/>
                <w:sz w:val="16"/>
                <w:szCs w:val="16"/>
              </w:rPr>
              <w:t>NOT potential forest. very sparse tall Acacia aneura Woodland. A previously overgrazed area with less than 10% bare and compacted soil with an open shrub and tree cover. Only one woody plant species occu</w:t>
            </w:r>
            <w:r w:rsidR="00A978E6">
              <w:rPr>
                <w:i/>
                <w:iCs/>
                <w:color w:val="000000"/>
                <w:sz w:val="16"/>
                <w:szCs w:val="16"/>
              </w:rPr>
              <w:t>r</w:t>
            </w:r>
            <w:r w:rsidRPr="00A7267A">
              <w:rPr>
                <w:i/>
                <w:iCs/>
                <w:color w:val="000000"/>
                <w:sz w:val="16"/>
                <w:szCs w:val="16"/>
              </w:rPr>
              <w:t xml:space="preserve">red on this site, Acacia aneura (Mulga) as the dominant species, with an Eremophila sp. as the subshrub dominant species. Many of these subshrubs were dead </w:t>
            </w:r>
            <w:proofErr w:type="gramStart"/>
            <w:r w:rsidRPr="00A7267A">
              <w:rPr>
                <w:i/>
                <w:iCs/>
                <w:color w:val="000000"/>
                <w:sz w:val="16"/>
                <w:szCs w:val="16"/>
              </w:rPr>
              <w:t>as a result of</w:t>
            </w:r>
            <w:proofErr w:type="gramEnd"/>
            <w:r w:rsidRPr="00A7267A">
              <w:rPr>
                <w:i/>
                <w:iCs/>
                <w:color w:val="000000"/>
                <w:sz w:val="16"/>
                <w:szCs w:val="16"/>
              </w:rPr>
              <w:t xml:space="preserve"> past drought periods.</w:t>
            </w:r>
          </w:p>
        </w:tc>
      </w:tr>
      <w:tr w:rsidR="00825283" w14:paraId="75EDC086" w14:textId="77777777" w:rsidTr="00593205">
        <w:tc>
          <w:tcPr>
            <w:tcW w:w="1696" w:type="dxa"/>
          </w:tcPr>
          <w:p w14:paraId="3FFD9B86" w14:textId="25D65942" w:rsidR="00825283" w:rsidRDefault="00773EA0" w:rsidP="0002683A">
            <w:pPr>
              <w:pStyle w:val="BodyText"/>
              <w:ind w:left="0"/>
            </w:pPr>
            <w:r>
              <w:t>HIGH</w:t>
            </w:r>
          </w:p>
        </w:tc>
        <w:tc>
          <w:tcPr>
            <w:tcW w:w="7764" w:type="dxa"/>
          </w:tcPr>
          <w:p w14:paraId="7F442FE1" w14:textId="21A15341" w:rsidR="00825283" w:rsidRPr="00A7267A" w:rsidRDefault="00773EA0" w:rsidP="005758FB">
            <w:pPr>
              <w:rPr>
                <w:rFonts w:eastAsia="Times New Roman"/>
                <w:i/>
                <w:iCs/>
                <w:color w:val="000000"/>
                <w:sz w:val="16"/>
                <w:szCs w:val="16"/>
              </w:rPr>
            </w:pPr>
            <w:r w:rsidRPr="00A7267A">
              <w:rPr>
                <w:i/>
                <w:iCs/>
                <w:color w:val="000000"/>
                <w:sz w:val="16"/>
                <w:szCs w:val="16"/>
              </w:rPr>
              <w:t>Likely to achieve forest in 10 years. appear to have been affected by drought dieback that was approximately 10 years or more old. It is comprised of a mulga open shrubland and low open woodland with emergent poplar box trees</w:t>
            </w:r>
          </w:p>
        </w:tc>
      </w:tr>
      <w:tr w:rsidR="00773EA0" w14:paraId="3003645C" w14:textId="77777777" w:rsidTr="00593205">
        <w:tc>
          <w:tcPr>
            <w:tcW w:w="1696" w:type="dxa"/>
          </w:tcPr>
          <w:p w14:paraId="26B7DA30" w14:textId="450FF9F9" w:rsidR="00773EA0" w:rsidRDefault="00E76B59" w:rsidP="0002683A">
            <w:pPr>
              <w:pStyle w:val="BodyText"/>
              <w:ind w:left="0"/>
            </w:pPr>
            <w:r>
              <w:t>LOW</w:t>
            </w:r>
          </w:p>
        </w:tc>
        <w:tc>
          <w:tcPr>
            <w:tcW w:w="7764" w:type="dxa"/>
          </w:tcPr>
          <w:p w14:paraId="763A2752" w14:textId="5FB63F1D" w:rsidR="00773EA0" w:rsidRPr="00A7267A" w:rsidRDefault="00E76B59" w:rsidP="005758FB">
            <w:pPr>
              <w:rPr>
                <w:rFonts w:eastAsia="Times New Roman"/>
                <w:i/>
                <w:iCs/>
                <w:color w:val="000000"/>
                <w:sz w:val="16"/>
                <w:szCs w:val="16"/>
              </w:rPr>
            </w:pPr>
            <w:r w:rsidRPr="00A7267A">
              <w:rPr>
                <w:i/>
                <w:iCs/>
                <w:color w:val="000000"/>
                <w:sz w:val="16"/>
                <w:szCs w:val="16"/>
              </w:rPr>
              <w:t>Ecological assessment indicates that it is doubtful that forest cover will be achieved in the next 10 years, transect data suggests there may be potential for forest to be achieved in the next 10-20 years at this site based on stem density data.</w:t>
            </w:r>
          </w:p>
        </w:tc>
      </w:tr>
      <w:tr w:rsidR="000B5941" w14:paraId="02CD1C9D" w14:textId="77777777" w:rsidTr="00593205">
        <w:tc>
          <w:tcPr>
            <w:tcW w:w="1696" w:type="dxa"/>
          </w:tcPr>
          <w:p w14:paraId="72CF3559" w14:textId="42AE672A" w:rsidR="000B5941" w:rsidRDefault="00D53615" w:rsidP="0002683A">
            <w:pPr>
              <w:pStyle w:val="BodyText"/>
              <w:ind w:left="0"/>
            </w:pPr>
            <w:r>
              <w:t>LOW</w:t>
            </w:r>
          </w:p>
        </w:tc>
        <w:tc>
          <w:tcPr>
            <w:tcW w:w="7764" w:type="dxa"/>
          </w:tcPr>
          <w:p w14:paraId="60047F44" w14:textId="77777777" w:rsidR="005846B5" w:rsidRPr="00A7267A" w:rsidRDefault="005846B5" w:rsidP="005846B5">
            <w:pPr>
              <w:rPr>
                <w:rFonts w:eastAsia="Times New Roman"/>
                <w:i/>
                <w:iCs/>
                <w:color w:val="000000"/>
                <w:sz w:val="16"/>
                <w:szCs w:val="16"/>
              </w:rPr>
            </w:pPr>
            <w:r w:rsidRPr="00A7267A">
              <w:rPr>
                <w:i/>
                <w:iCs/>
                <w:color w:val="000000"/>
                <w:sz w:val="16"/>
                <w:szCs w:val="16"/>
              </w:rPr>
              <w:t xml:space="preserve">Open acacia woodland, sandy surfaced. Overstory of sparse mature jam and naked lady. Understorey of cassia, salt bush, jam, naked lady, kurara, broom bush. </w:t>
            </w:r>
          </w:p>
          <w:p w14:paraId="123E804F" w14:textId="77777777" w:rsidR="000B5941" w:rsidRPr="00A7267A" w:rsidRDefault="000B5941" w:rsidP="005758FB">
            <w:pPr>
              <w:rPr>
                <w:i/>
                <w:iCs/>
                <w:color w:val="000000"/>
                <w:sz w:val="16"/>
                <w:szCs w:val="16"/>
              </w:rPr>
            </w:pPr>
          </w:p>
        </w:tc>
      </w:tr>
      <w:tr w:rsidR="00D53615" w14:paraId="71E1DDB6" w14:textId="77777777" w:rsidTr="00593205">
        <w:tc>
          <w:tcPr>
            <w:tcW w:w="1696" w:type="dxa"/>
          </w:tcPr>
          <w:p w14:paraId="3A27C295" w14:textId="5656B291" w:rsidR="00D53615" w:rsidRDefault="006D2F6C" w:rsidP="0002683A">
            <w:pPr>
              <w:pStyle w:val="BodyText"/>
              <w:ind w:left="0"/>
            </w:pPr>
            <w:r>
              <w:t>HIGH</w:t>
            </w:r>
          </w:p>
        </w:tc>
        <w:tc>
          <w:tcPr>
            <w:tcW w:w="7764" w:type="dxa"/>
          </w:tcPr>
          <w:p w14:paraId="2260AD37" w14:textId="6A8382D3" w:rsidR="00D53615" w:rsidRPr="00A7267A" w:rsidRDefault="002C3832" w:rsidP="005846B5">
            <w:pPr>
              <w:rPr>
                <w:rFonts w:eastAsia="Times New Roman"/>
                <w:i/>
                <w:iCs/>
                <w:color w:val="000000"/>
                <w:sz w:val="16"/>
                <w:szCs w:val="16"/>
              </w:rPr>
            </w:pPr>
            <w:r w:rsidRPr="00A7267A">
              <w:rPr>
                <w:i/>
                <w:iCs/>
                <w:color w:val="000000"/>
                <w:sz w:val="16"/>
                <w:szCs w:val="16"/>
              </w:rPr>
              <w:t>Sparse over storey of eucalyptus mallee at 3-5m, bottle brush hakea at 2.5m, sugar brother at 2-2.5m. Good regen of sugar brother 0.5-2m, eucalypt mallee at 1.5m, needle leaf bowgada at 1m - 1.5m. Understory dominated by thryptomeme shrub, sparse spinifex. Located on a light red sandy loam in fire scar. Occasional standing dead wood. No drone flight conducted as too windy.</w:t>
            </w:r>
          </w:p>
        </w:tc>
      </w:tr>
      <w:tr w:rsidR="002F02B9" w14:paraId="377C952B" w14:textId="77777777" w:rsidTr="00593205">
        <w:tc>
          <w:tcPr>
            <w:tcW w:w="1696" w:type="dxa"/>
          </w:tcPr>
          <w:p w14:paraId="2F75D841" w14:textId="71259482" w:rsidR="002F02B9" w:rsidRDefault="00283595" w:rsidP="0002683A">
            <w:pPr>
              <w:pStyle w:val="BodyText"/>
              <w:ind w:left="0"/>
            </w:pPr>
            <w:r>
              <w:t>MEDIUM</w:t>
            </w:r>
          </w:p>
        </w:tc>
        <w:tc>
          <w:tcPr>
            <w:tcW w:w="7764" w:type="dxa"/>
          </w:tcPr>
          <w:p w14:paraId="56F60722" w14:textId="28711835" w:rsidR="002F02B9" w:rsidRPr="00A7267A" w:rsidRDefault="002F02B9" w:rsidP="005846B5">
            <w:pPr>
              <w:rPr>
                <w:rFonts w:eastAsia="Times New Roman"/>
                <w:i/>
                <w:iCs/>
                <w:color w:val="000000"/>
                <w:sz w:val="16"/>
                <w:szCs w:val="16"/>
              </w:rPr>
            </w:pPr>
            <w:r w:rsidRPr="00A7267A">
              <w:rPr>
                <w:i/>
                <w:iCs/>
                <w:color w:val="000000"/>
                <w:sz w:val="16"/>
                <w:szCs w:val="16"/>
              </w:rPr>
              <w:t>Shrub vegetation abundant and dense but below 2 m height. Mature canopy expected to reach forest cover.</w:t>
            </w:r>
          </w:p>
        </w:tc>
      </w:tr>
      <w:tr w:rsidR="006D2F6C" w14:paraId="096F8966" w14:textId="77777777" w:rsidTr="00593205">
        <w:tc>
          <w:tcPr>
            <w:tcW w:w="1696" w:type="dxa"/>
          </w:tcPr>
          <w:p w14:paraId="500D0759" w14:textId="05F4AC0F" w:rsidR="006D2F6C" w:rsidRDefault="00227791" w:rsidP="0002683A">
            <w:pPr>
              <w:pStyle w:val="BodyText"/>
              <w:ind w:left="0"/>
            </w:pPr>
            <w:r>
              <w:t>MEDIUM</w:t>
            </w:r>
          </w:p>
        </w:tc>
        <w:tc>
          <w:tcPr>
            <w:tcW w:w="7764" w:type="dxa"/>
          </w:tcPr>
          <w:p w14:paraId="1EDFC404" w14:textId="4098A1FD" w:rsidR="006D2F6C" w:rsidRPr="00A7267A" w:rsidRDefault="00227791" w:rsidP="005846B5">
            <w:pPr>
              <w:rPr>
                <w:rFonts w:eastAsia="Times New Roman"/>
                <w:i/>
                <w:iCs/>
                <w:color w:val="000000"/>
                <w:sz w:val="16"/>
                <w:szCs w:val="16"/>
              </w:rPr>
            </w:pPr>
            <w:r w:rsidRPr="00A7267A">
              <w:rPr>
                <w:i/>
                <w:iCs/>
                <w:color w:val="000000"/>
                <w:sz w:val="16"/>
                <w:szCs w:val="16"/>
              </w:rPr>
              <w:t>Only one stem &gt; 2m height, does not meet canopy cover threshold. Ok density of stems below 2m height, mature canopy expected to reach forest cover.</w:t>
            </w:r>
          </w:p>
        </w:tc>
      </w:tr>
    </w:tbl>
    <w:p w14:paraId="73A0B963" w14:textId="77777777" w:rsidR="00C50AE5" w:rsidRDefault="00C50AE5" w:rsidP="00A64118">
      <w:pPr>
        <w:pStyle w:val="Caption"/>
      </w:pPr>
      <w:bookmarkStart w:id="15" w:name="_Ref182067962"/>
    </w:p>
    <w:p w14:paraId="39C322E0" w14:textId="77777777" w:rsidR="000206A4" w:rsidRDefault="000206A4" w:rsidP="004A7D25">
      <w:pPr>
        <w:pStyle w:val="BodyText"/>
        <w:ind w:left="0"/>
      </w:pPr>
      <w:r>
        <w:t>These results confirm that no single national-scale model is well suited to making estimates of canopy cover or cover change for these projects. These national-scale models rarely agree with each other and appear to be underestimating the canopy cover of areas in the sparse-woody or even lower classes.</w:t>
      </w:r>
    </w:p>
    <w:p w14:paraId="7FA3F43A" w14:textId="77777777" w:rsidR="00251254" w:rsidRDefault="00251254" w:rsidP="004A7D25">
      <w:pPr>
        <w:pStyle w:val="BodyText"/>
        <w:ind w:left="0"/>
      </w:pPr>
      <w:r>
        <w:t xml:space="preserve">The independent assessments at POIs and other locations indicates that the proponent maps of successful regeneration (achieving threshold levels of canopy cover or number of regenerating species) are much more reliable than the national-scale models and are achieving an accuracy of 80+%. </w:t>
      </w:r>
    </w:p>
    <w:p w14:paraId="7E96F0E1" w14:textId="091B892B" w:rsidR="00251254" w:rsidRDefault="001E02B2" w:rsidP="004A7D25">
      <w:pPr>
        <w:pStyle w:val="BodyText"/>
        <w:ind w:left="0"/>
      </w:pPr>
      <w:r>
        <w:t>However, s215 audits and field inspections have identified a small percentage of locations where regeneration does not appear to be reaching successful levels (</w:t>
      </w:r>
      <w:r>
        <w:fldChar w:fldCharType="begin"/>
      </w:r>
      <w:r>
        <w:instrText xml:space="preserve"> REF _Ref182061825 \h </w:instrText>
      </w:r>
      <w:r>
        <w:fldChar w:fldCharType="separate"/>
      </w:r>
      <w:r>
        <w:t xml:space="preserve">Table </w:t>
      </w:r>
      <w:r>
        <w:rPr>
          <w:noProof/>
        </w:rPr>
        <w:t>4</w:t>
      </w:r>
      <w:r>
        <w:fldChar w:fldCharType="end"/>
      </w:r>
      <w:r>
        <w:t xml:space="preserve">) </w:t>
      </w:r>
      <w:r w:rsidR="0067612D">
        <w:t>or where the ecologists conclude part of the canopy may be made up of trees that predate project commencement (</w:t>
      </w:r>
      <w:r w:rsidR="0067612D">
        <w:fldChar w:fldCharType="begin"/>
      </w:r>
      <w:r w:rsidR="0067612D">
        <w:instrText xml:space="preserve"> REF _Ref183453647 \h </w:instrText>
      </w:r>
      <w:r w:rsidR="0067612D">
        <w:fldChar w:fldCharType="separate"/>
      </w:r>
      <w:r w:rsidR="0067612D">
        <w:t xml:space="preserve">Table </w:t>
      </w:r>
      <w:r w:rsidR="0067612D">
        <w:rPr>
          <w:noProof/>
        </w:rPr>
        <w:t>5</w:t>
      </w:r>
      <w:r w:rsidR="0067612D">
        <w:fldChar w:fldCharType="end"/>
      </w:r>
      <w:r w:rsidR="0067612D">
        <w:t>).</w:t>
      </w:r>
      <w:r w:rsidR="009C7BF9">
        <w:t xml:space="preserve"> CER will request </w:t>
      </w:r>
      <w:r w:rsidR="004542B1">
        <w:t xml:space="preserve">that, before the next reporting period, </w:t>
      </w:r>
      <w:r w:rsidR="009C7BF9">
        <w:t xml:space="preserve">proponents remove areas from their CEA or justify the continuing inclusion of areas with low likelihood of attaining forest thresholds. CER will also ask proponents to detail how they will ensure pre-existing trees will not substantially impact on </w:t>
      </w:r>
      <w:r w:rsidR="009C7BF9">
        <w:lastRenderedPageBreak/>
        <w:t>abatement calculations.</w:t>
      </w:r>
    </w:p>
    <w:p w14:paraId="6CF623AA" w14:textId="77777777" w:rsidR="000206A4" w:rsidRPr="000206A4" w:rsidRDefault="000206A4" w:rsidP="000206A4"/>
    <w:p w14:paraId="7750B168" w14:textId="45FD09D3" w:rsidR="00A314F0" w:rsidRDefault="00A64118" w:rsidP="00A64118">
      <w:pPr>
        <w:pStyle w:val="Caption"/>
      </w:pPr>
      <w:bookmarkStart w:id="16" w:name="_Ref183453647"/>
      <w:r>
        <w:t xml:space="preserve">Table </w:t>
      </w:r>
      <w:r w:rsidR="00127CAB">
        <w:fldChar w:fldCharType="begin"/>
      </w:r>
      <w:r w:rsidR="00127CAB">
        <w:instrText xml:space="preserve"> SEQ Table \* ARABIC </w:instrText>
      </w:r>
      <w:r w:rsidR="00127CAB">
        <w:fldChar w:fldCharType="separate"/>
      </w:r>
      <w:r w:rsidR="00127CAB">
        <w:rPr>
          <w:noProof/>
        </w:rPr>
        <w:t>5</w:t>
      </w:r>
      <w:r w:rsidR="00127CAB">
        <w:rPr>
          <w:noProof/>
        </w:rPr>
        <w:fldChar w:fldCharType="end"/>
      </w:r>
      <w:bookmarkEnd w:id="15"/>
      <w:bookmarkEnd w:id="16"/>
      <w:r>
        <w:t xml:space="preserve">: </w:t>
      </w:r>
      <w:r w:rsidRPr="009A5A33">
        <w:t xml:space="preserve">Example extracts from reports by ecologists with descriptions of sites and </w:t>
      </w:r>
      <w:r w:rsidR="00577BED">
        <w:t xml:space="preserve">potential issues </w:t>
      </w:r>
      <w:r w:rsidRPr="009A5A33">
        <w:t>(subset from POIs</w:t>
      </w:r>
      <w:r w:rsidR="002334BB">
        <w:t>, TOPs and POPs</w:t>
      </w:r>
      <w:r w:rsidRPr="009A5A33">
        <w:t xml:space="preserve"> w</w:t>
      </w:r>
      <w:r w:rsidR="002334BB">
        <w:t>here</w:t>
      </w:r>
      <w:r w:rsidRPr="009A5A33">
        <w:t xml:space="preserve"> </w:t>
      </w:r>
      <w:r w:rsidR="002334BB" w:rsidRPr="009A5A33">
        <w:t xml:space="preserve">measured </w:t>
      </w:r>
      <w:r w:rsidRPr="009A5A33">
        <w:t xml:space="preserve">canopy cover </w:t>
      </w:r>
      <w:r w:rsidR="002334BB">
        <w:t xml:space="preserve">above </w:t>
      </w:r>
      <w:r w:rsidR="00313AC6">
        <w:t>the minimum threshold)</w:t>
      </w:r>
      <w:r w:rsidR="00CB6CD8">
        <w:t xml:space="preserve">. Note, not representative of </w:t>
      </w:r>
      <w:r w:rsidR="001331C9">
        <w:t>all sample points.</w:t>
      </w:r>
      <w:r w:rsidR="00DF716A">
        <w:t xml:space="preserve"> </w:t>
      </w:r>
      <w:r w:rsidR="00DA231E">
        <w:t>Example includes reports from different ecologists and audit teams.</w:t>
      </w:r>
    </w:p>
    <w:tbl>
      <w:tblPr>
        <w:tblStyle w:val="TableGrid"/>
        <w:tblW w:w="0" w:type="auto"/>
        <w:tblLook w:val="04A0" w:firstRow="1" w:lastRow="0" w:firstColumn="1" w:lastColumn="0" w:noHBand="0" w:noVBand="1"/>
      </w:tblPr>
      <w:tblGrid>
        <w:gridCol w:w="2122"/>
        <w:gridCol w:w="7338"/>
      </w:tblGrid>
      <w:tr w:rsidR="00A314F0" w14:paraId="6785E1D9" w14:textId="77777777" w:rsidTr="143DBF2A">
        <w:tc>
          <w:tcPr>
            <w:tcW w:w="2122" w:type="dxa"/>
          </w:tcPr>
          <w:p w14:paraId="7F7E981A" w14:textId="61F5D444" w:rsidR="00A314F0" w:rsidRDefault="00144B8D" w:rsidP="0002683A">
            <w:pPr>
              <w:pStyle w:val="BodyText"/>
              <w:ind w:left="0"/>
            </w:pPr>
            <w:r>
              <w:t>Canopy cover as measured in field</w:t>
            </w:r>
          </w:p>
        </w:tc>
        <w:tc>
          <w:tcPr>
            <w:tcW w:w="7338" w:type="dxa"/>
          </w:tcPr>
          <w:p w14:paraId="369E072C" w14:textId="3D962414" w:rsidR="00A314F0" w:rsidRDefault="002E7AF4" w:rsidP="0002683A">
            <w:pPr>
              <w:pStyle w:val="BodyText"/>
              <w:ind w:left="0"/>
            </w:pPr>
            <w:r>
              <w:t>Description or concern</w:t>
            </w:r>
          </w:p>
        </w:tc>
      </w:tr>
      <w:tr w:rsidR="00A314F0" w14:paraId="2BE83ABA" w14:textId="77777777" w:rsidTr="143DBF2A">
        <w:tc>
          <w:tcPr>
            <w:tcW w:w="2122" w:type="dxa"/>
          </w:tcPr>
          <w:p w14:paraId="16362AE2" w14:textId="4143ECCE" w:rsidR="00A314F0" w:rsidRDefault="002207AF" w:rsidP="0002683A">
            <w:pPr>
              <w:pStyle w:val="BodyText"/>
              <w:ind w:left="0"/>
            </w:pPr>
            <w:r>
              <w:t>13%</w:t>
            </w:r>
          </w:p>
        </w:tc>
        <w:tc>
          <w:tcPr>
            <w:tcW w:w="7338" w:type="dxa"/>
          </w:tcPr>
          <w:p w14:paraId="3717ECE7" w14:textId="2F569698" w:rsidR="00A314F0" w:rsidRPr="00DC79F2" w:rsidRDefault="002207AF" w:rsidP="002207AF">
            <w:pPr>
              <w:rPr>
                <w:rFonts w:eastAsia="Times New Roman"/>
                <w:color w:val="000000"/>
                <w:sz w:val="16"/>
                <w:szCs w:val="16"/>
              </w:rPr>
            </w:pPr>
            <w:r w:rsidRPr="00DC79F2">
              <w:rPr>
                <w:color w:val="000000"/>
                <w:sz w:val="16"/>
                <w:szCs w:val="16"/>
              </w:rPr>
              <w:t xml:space="preserve">Acacia ramulosa (Horse Mulga) Eremophila clarkei (Turpentine bush) Dodonaea viscosa (Hopbush) Geijera parviflora (Wilga) </w:t>
            </w:r>
            <w:r w:rsidR="00AA55A3" w:rsidRPr="00DC79F2">
              <w:rPr>
                <w:color w:val="000000"/>
                <w:sz w:val="16"/>
                <w:szCs w:val="16"/>
              </w:rPr>
              <w:t>…</w:t>
            </w:r>
            <w:r w:rsidRPr="00DC79F2">
              <w:rPr>
                <w:color w:val="000000"/>
                <w:sz w:val="16"/>
                <w:szCs w:val="16"/>
              </w:rPr>
              <w:t xml:space="preserve">. In field site observations noted generally well spread out stands of Horse Mulga and Turpentine Bush within the belt transect. However, it was noted that the general area had either stands of large mature trees or </w:t>
            </w:r>
            <w:r w:rsidR="00A978E6" w:rsidRPr="00DC79F2">
              <w:rPr>
                <w:color w:val="000000"/>
                <w:sz w:val="16"/>
                <w:szCs w:val="16"/>
              </w:rPr>
              <w:t>individuals</w:t>
            </w:r>
            <w:r w:rsidRPr="00DC79F2">
              <w:rPr>
                <w:color w:val="000000"/>
                <w:sz w:val="16"/>
                <w:szCs w:val="16"/>
              </w:rPr>
              <w:t xml:space="preserve"> – see photography labelled ‘</w:t>
            </w:r>
            <w:r w:rsidR="00BD21ED" w:rsidRPr="00DC79F2">
              <w:rPr>
                <w:color w:val="000000"/>
                <w:sz w:val="16"/>
                <w:szCs w:val="16"/>
              </w:rPr>
              <w:t>XXXX</w:t>
            </w:r>
            <w:r w:rsidRPr="00DC79F2">
              <w:rPr>
                <w:color w:val="000000"/>
                <w:sz w:val="16"/>
                <w:szCs w:val="16"/>
              </w:rPr>
              <w:t>’ (which were &gt;8 m in height and 20 m+ in canopy cover). These are likely part of previous remnant forest but is not considered to be baseline forest.</w:t>
            </w:r>
          </w:p>
        </w:tc>
      </w:tr>
      <w:tr w:rsidR="00A314F0" w14:paraId="0DC4F140" w14:textId="77777777" w:rsidTr="143DBF2A">
        <w:tc>
          <w:tcPr>
            <w:tcW w:w="2122" w:type="dxa"/>
          </w:tcPr>
          <w:p w14:paraId="0721BF20" w14:textId="5E7CFB01" w:rsidR="00A314F0" w:rsidRDefault="00900330" w:rsidP="0002683A">
            <w:pPr>
              <w:pStyle w:val="BodyText"/>
              <w:ind w:left="0"/>
            </w:pPr>
            <w:r>
              <w:t>13</w:t>
            </w:r>
            <w:r w:rsidR="003C7016">
              <w:t>% (mapped as non-woody &lt; 5%)</w:t>
            </w:r>
          </w:p>
        </w:tc>
        <w:tc>
          <w:tcPr>
            <w:tcW w:w="7338" w:type="dxa"/>
          </w:tcPr>
          <w:p w14:paraId="34ADE207" w14:textId="42FF2FDA" w:rsidR="00A314F0" w:rsidRPr="00DC79F2" w:rsidRDefault="003C7016" w:rsidP="003C7016">
            <w:pPr>
              <w:rPr>
                <w:rFonts w:eastAsia="Times New Roman"/>
                <w:color w:val="000000"/>
                <w:sz w:val="16"/>
                <w:szCs w:val="16"/>
              </w:rPr>
            </w:pPr>
            <w:r w:rsidRPr="00DC79F2">
              <w:rPr>
                <w:color w:val="000000"/>
                <w:sz w:val="16"/>
                <w:szCs w:val="16"/>
              </w:rPr>
              <w:t xml:space="preserve">Acacia ramulosa (Horse Mulga) Eremophila clarkei (Turpentine bush) Dodonaea viscosa (Hopbush) Acacia excelsa (Ironwood Wattle) This area was </w:t>
            </w:r>
            <w:r w:rsidR="00A978E6" w:rsidRPr="00DC79F2">
              <w:rPr>
                <w:color w:val="000000"/>
                <w:sz w:val="16"/>
                <w:szCs w:val="16"/>
              </w:rPr>
              <w:t>relatively</w:t>
            </w:r>
            <w:r w:rsidRPr="00DC79F2">
              <w:rPr>
                <w:color w:val="000000"/>
                <w:sz w:val="16"/>
                <w:szCs w:val="16"/>
              </w:rPr>
              <w:t xml:space="preserve"> sparse with large patches of grass cover. Acacia ramulosa (Horse Mulga) known to have a crown diameter between 2 – 5 m at maturity (Ward et al., 2018). Therefore, whilst this area could reach 20% potential forest based on the upper limit of the crown diameter, it does not have the potential to reach forest cover based on the lower limit. Noting the low stem count when compared to other transects conducted at this property, hence this area is noted as may not having forest potential and should be monitored. This area is categorised as &lt;5% per the crown cover and does not have forest potential.</w:t>
            </w:r>
          </w:p>
        </w:tc>
      </w:tr>
      <w:tr w:rsidR="003C7016" w14:paraId="564A4E18" w14:textId="77777777" w:rsidTr="143DBF2A">
        <w:tc>
          <w:tcPr>
            <w:tcW w:w="2122" w:type="dxa"/>
          </w:tcPr>
          <w:p w14:paraId="2DDA3874" w14:textId="02183D7E" w:rsidR="003C7016" w:rsidRDefault="007570F0" w:rsidP="0002683A">
            <w:pPr>
              <w:pStyle w:val="BodyText"/>
              <w:ind w:left="0"/>
            </w:pPr>
            <w:r>
              <w:t>29%</w:t>
            </w:r>
          </w:p>
        </w:tc>
        <w:tc>
          <w:tcPr>
            <w:tcW w:w="7338" w:type="dxa"/>
          </w:tcPr>
          <w:p w14:paraId="27B4987A" w14:textId="2EC5A851" w:rsidR="003C7016" w:rsidRPr="00DC79F2" w:rsidRDefault="007570F0" w:rsidP="003C7016">
            <w:pPr>
              <w:rPr>
                <w:rFonts w:eastAsia="Times New Roman"/>
                <w:color w:val="000000"/>
                <w:sz w:val="16"/>
                <w:szCs w:val="16"/>
              </w:rPr>
            </w:pPr>
            <w:r w:rsidRPr="00DC79F2">
              <w:rPr>
                <w:color w:val="000000"/>
                <w:sz w:val="16"/>
                <w:szCs w:val="16"/>
              </w:rPr>
              <w:t>Large number of pre-existing trees (not CEA). numerous wildflowers and annuals. Species include Acacia and Eremophila including two large Pixie Bush specimens. Significant Wilcox Bush (Eremophila forrestii) understorey.</w:t>
            </w:r>
          </w:p>
        </w:tc>
      </w:tr>
      <w:tr w:rsidR="003D198A" w14:paraId="3499714F" w14:textId="77777777" w:rsidTr="143DBF2A">
        <w:tc>
          <w:tcPr>
            <w:tcW w:w="2122" w:type="dxa"/>
          </w:tcPr>
          <w:p w14:paraId="0CB382C4" w14:textId="78057873" w:rsidR="003D198A" w:rsidRDefault="0042628D" w:rsidP="0002683A">
            <w:pPr>
              <w:pStyle w:val="BodyText"/>
              <w:ind w:left="0"/>
            </w:pPr>
            <w:r>
              <w:t>15%</w:t>
            </w:r>
          </w:p>
        </w:tc>
        <w:tc>
          <w:tcPr>
            <w:tcW w:w="7338" w:type="dxa"/>
          </w:tcPr>
          <w:p w14:paraId="5DAC4329" w14:textId="13F357A1" w:rsidR="003D198A" w:rsidRPr="00DC79F2" w:rsidRDefault="0042628D" w:rsidP="003C7016">
            <w:pPr>
              <w:rPr>
                <w:rFonts w:eastAsia="Times New Roman"/>
                <w:color w:val="000000"/>
                <w:sz w:val="16"/>
                <w:szCs w:val="16"/>
              </w:rPr>
            </w:pPr>
            <w:r w:rsidRPr="00DC79F2">
              <w:rPr>
                <w:color w:val="000000"/>
                <w:sz w:val="16"/>
                <w:szCs w:val="16"/>
              </w:rPr>
              <w:t xml:space="preserve">Likely to achieve [forest].  is </w:t>
            </w:r>
            <w:r w:rsidR="00D55678">
              <w:rPr>
                <w:color w:val="000000"/>
                <w:sz w:val="16"/>
                <w:szCs w:val="16"/>
              </w:rPr>
              <w:t>[s]</w:t>
            </w:r>
            <w:r w:rsidRPr="00DC79F2">
              <w:rPr>
                <w:color w:val="000000"/>
                <w:sz w:val="16"/>
                <w:szCs w:val="16"/>
              </w:rPr>
              <w:t xml:space="preserve">parse and rocky, with the last 11m of the transect bare. Small shrubs include </w:t>
            </w:r>
            <w:proofErr w:type="gramStart"/>
            <w:r w:rsidRPr="00DC79F2">
              <w:rPr>
                <w:color w:val="000000"/>
                <w:sz w:val="16"/>
                <w:szCs w:val="16"/>
              </w:rPr>
              <w:t>Eremophila</w:t>
            </w:r>
            <w:proofErr w:type="gramEnd"/>
            <w:r w:rsidRPr="00DC79F2">
              <w:rPr>
                <w:color w:val="000000"/>
                <w:sz w:val="16"/>
                <w:szCs w:val="16"/>
              </w:rPr>
              <w:t xml:space="preserve"> and larger shrubs include Acacias (Mulga and Hop Mulga)</w:t>
            </w:r>
          </w:p>
        </w:tc>
      </w:tr>
      <w:tr w:rsidR="00780B22" w14:paraId="2A8BD984" w14:textId="77777777" w:rsidTr="143DBF2A">
        <w:tc>
          <w:tcPr>
            <w:tcW w:w="2122" w:type="dxa"/>
          </w:tcPr>
          <w:p w14:paraId="241D8D15" w14:textId="18B4001A" w:rsidR="00780B22" w:rsidRDefault="00C77B56" w:rsidP="0002683A">
            <w:pPr>
              <w:pStyle w:val="BodyText"/>
              <w:ind w:left="0"/>
            </w:pPr>
            <w:r>
              <w:t>10%</w:t>
            </w:r>
          </w:p>
        </w:tc>
        <w:tc>
          <w:tcPr>
            <w:tcW w:w="7338" w:type="dxa"/>
          </w:tcPr>
          <w:p w14:paraId="1CBA1A33" w14:textId="7E51A900" w:rsidR="00780B22" w:rsidRPr="00DC79F2" w:rsidRDefault="00C77B56" w:rsidP="003C7016">
            <w:pPr>
              <w:rPr>
                <w:rFonts w:eastAsia="Times New Roman"/>
                <w:color w:val="000000"/>
                <w:sz w:val="16"/>
                <w:szCs w:val="16"/>
              </w:rPr>
            </w:pPr>
            <w:r w:rsidRPr="00DC79F2">
              <w:rPr>
                <w:color w:val="000000"/>
                <w:sz w:val="16"/>
                <w:szCs w:val="16"/>
              </w:rPr>
              <w:t>Doubtful that there is the potential for forest cover to be achieved within the next 10 years. However, the site shows particularly strong recruitment of juvenile vegetation in height cohorts 1 to 4</w:t>
            </w:r>
          </w:p>
        </w:tc>
      </w:tr>
      <w:tr w:rsidR="000869EE" w14:paraId="24864204" w14:textId="77777777" w:rsidTr="143DBF2A">
        <w:tc>
          <w:tcPr>
            <w:tcW w:w="2122" w:type="dxa"/>
          </w:tcPr>
          <w:p w14:paraId="475CFE5E" w14:textId="373CD7C0" w:rsidR="000869EE" w:rsidRDefault="000869EE" w:rsidP="0002683A">
            <w:pPr>
              <w:pStyle w:val="BodyText"/>
              <w:ind w:left="0"/>
            </w:pPr>
            <w:r>
              <w:t>17%</w:t>
            </w:r>
          </w:p>
        </w:tc>
        <w:tc>
          <w:tcPr>
            <w:tcW w:w="7338" w:type="dxa"/>
          </w:tcPr>
          <w:p w14:paraId="559732D7" w14:textId="0F4D6CC0" w:rsidR="000869EE" w:rsidRPr="00DC79F2" w:rsidRDefault="000869EE" w:rsidP="00C77B56">
            <w:pPr>
              <w:rPr>
                <w:rFonts w:eastAsia="Times New Roman"/>
                <w:color w:val="000000"/>
                <w:sz w:val="16"/>
                <w:szCs w:val="16"/>
              </w:rPr>
            </w:pPr>
            <w:r w:rsidRPr="00DC79F2">
              <w:rPr>
                <w:color w:val="000000"/>
                <w:sz w:val="16"/>
                <w:szCs w:val="16"/>
              </w:rPr>
              <w:t xml:space="preserve">Potential to reach </w:t>
            </w:r>
            <w:r w:rsidR="009522ED" w:rsidRPr="00DC79F2">
              <w:rPr>
                <w:color w:val="000000"/>
                <w:sz w:val="16"/>
                <w:szCs w:val="16"/>
              </w:rPr>
              <w:t xml:space="preserve">[forest] </w:t>
            </w:r>
            <w:r w:rsidRPr="00DC79F2">
              <w:rPr>
                <w:color w:val="000000"/>
                <w:sz w:val="16"/>
                <w:szCs w:val="16"/>
              </w:rPr>
              <w:t>with many &lt; 2m</w:t>
            </w:r>
            <w:r w:rsidR="009522ED" w:rsidRPr="00DC79F2">
              <w:rPr>
                <w:color w:val="000000"/>
                <w:sz w:val="16"/>
                <w:szCs w:val="16"/>
              </w:rPr>
              <w:t xml:space="preserve"> regeneration</w:t>
            </w:r>
            <w:r w:rsidRPr="00DC79F2">
              <w:rPr>
                <w:color w:val="000000"/>
                <w:sz w:val="16"/>
                <w:szCs w:val="16"/>
              </w:rPr>
              <w:t>, However, the site contains a large portion of mature vegetation</w:t>
            </w:r>
            <w:r w:rsidR="009522ED" w:rsidRPr="00DC79F2">
              <w:rPr>
                <w:color w:val="000000"/>
                <w:sz w:val="16"/>
                <w:szCs w:val="16"/>
              </w:rPr>
              <w:t xml:space="preserve"> [not considered baseline forest]</w:t>
            </w:r>
          </w:p>
        </w:tc>
      </w:tr>
      <w:tr w:rsidR="009522ED" w14:paraId="0946E4A8" w14:textId="77777777" w:rsidTr="143DBF2A">
        <w:tc>
          <w:tcPr>
            <w:tcW w:w="2122" w:type="dxa"/>
          </w:tcPr>
          <w:p w14:paraId="6901B21E" w14:textId="3864002C" w:rsidR="009522ED" w:rsidRDefault="008B04AB" w:rsidP="0002683A">
            <w:pPr>
              <w:pStyle w:val="BodyText"/>
              <w:ind w:left="0"/>
            </w:pPr>
            <w:r>
              <w:t>32%</w:t>
            </w:r>
          </w:p>
        </w:tc>
        <w:tc>
          <w:tcPr>
            <w:tcW w:w="7338" w:type="dxa"/>
          </w:tcPr>
          <w:p w14:paraId="011B2429" w14:textId="3E834A47" w:rsidR="009522ED" w:rsidRPr="00DC79F2" w:rsidRDefault="008B04AB" w:rsidP="000869EE">
            <w:pPr>
              <w:rPr>
                <w:rFonts w:eastAsia="Times New Roman"/>
                <w:color w:val="000000"/>
                <w:sz w:val="16"/>
                <w:szCs w:val="16"/>
              </w:rPr>
            </w:pPr>
            <w:r w:rsidRPr="00DC79F2">
              <w:rPr>
                <w:color w:val="000000"/>
                <w:sz w:val="16"/>
                <w:szCs w:val="16"/>
              </w:rPr>
              <w:t>older Horse Mulga and dominant pink Eremophila (Wilcox). Old cattle tracks cross the site. high proportion of mature trees which exceed the age of the project. This ecological finding indicates a risk of non-conformance with Section 16 4(a) of the methodology determination</w:t>
            </w:r>
            <w:r w:rsidR="00F512D5" w:rsidRPr="00DC79F2">
              <w:rPr>
                <w:color w:val="000000"/>
                <w:sz w:val="16"/>
                <w:szCs w:val="16"/>
              </w:rPr>
              <w:t>…</w:t>
            </w:r>
          </w:p>
        </w:tc>
      </w:tr>
      <w:tr w:rsidR="00F512D5" w14:paraId="5BC7867E" w14:textId="77777777" w:rsidTr="143DBF2A">
        <w:tc>
          <w:tcPr>
            <w:tcW w:w="2122" w:type="dxa"/>
          </w:tcPr>
          <w:p w14:paraId="16B8E752" w14:textId="333E91CD" w:rsidR="00F512D5" w:rsidRDefault="0027656F" w:rsidP="0002683A">
            <w:pPr>
              <w:pStyle w:val="BodyText"/>
              <w:ind w:left="0"/>
            </w:pPr>
            <w:r>
              <w:t>16%</w:t>
            </w:r>
          </w:p>
        </w:tc>
        <w:tc>
          <w:tcPr>
            <w:tcW w:w="7338" w:type="dxa"/>
          </w:tcPr>
          <w:p w14:paraId="4E8EEA83" w14:textId="296AA131" w:rsidR="00F512D5" w:rsidRPr="00DC79F2" w:rsidRDefault="0027656F" w:rsidP="008B04AB">
            <w:pPr>
              <w:rPr>
                <w:rFonts w:eastAsia="Times New Roman"/>
                <w:color w:val="000000"/>
                <w:sz w:val="16"/>
                <w:szCs w:val="16"/>
              </w:rPr>
            </w:pPr>
            <w:r w:rsidRPr="00DC79F2">
              <w:rPr>
                <w:color w:val="000000"/>
                <w:sz w:val="16"/>
                <w:szCs w:val="16"/>
              </w:rPr>
              <w:t xml:space="preserve">Forest Cover has not been achieved at this site, and it is doubtful that the site will attain forest cover in the next 10 years. Site is sparse with high density of dead timber, sheltering sparse understorey including bluebush and sida. The soils are mainly </w:t>
            </w:r>
            <w:proofErr w:type="spellStart"/>
            <w:r w:rsidRPr="00DC79F2">
              <w:rPr>
                <w:color w:val="000000"/>
                <w:sz w:val="16"/>
                <w:szCs w:val="16"/>
              </w:rPr>
              <w:t>bare with</w:t>
            </w:r>
            <w:proofErr w:type="spellEnd"/>
            <w:r w:rsidRPr="00DC79F2">
              <w:rPr>
                <w:color w:val="000000"/>
                <w:sz w:val="16"/>
                <w:szCs w:val="16"/>
              </w:rPr>
              <w:t xml:space="preserve"> scattered quartz</w:t>
            </w:r>
          </w:p>
        </w:tc>
      </w:tr>
      <w:tr w:rsidR="005431C3" w14:paraId="269C9183" w14:textId="77777777" w:rsidTr="143DBF2A">
        <w:tc>
          <w:tcPr>
            <w:tcW w:w="2122" w:type="dxa"/>
          </w:tcPr>
          <w:p w14:paraId="1C88D8FF" w14:textId="56C240CE" w:rsidR="005431C3" w:rsidRDefault="00A63B03" w:rsidP="0002683A">
            <w:pPr>
              <w:pStyle w:val="BodyText"/>
              <w:ind w:left="0"/>
            </w:pPr>
            <w:r>
              <w:t>21%</w:t>
            </w:r>
          </w:p>
        </w:tc>
        <w:tc>
          <w:tcPr>
            <w:tcW w:w="7338" w:type="dxa"/>
          </w:tcPr>
          <w:p w14:paraId="48F97F7C" w14:textId="340F7414" w:rsidR="005431C3" w:rsidRPr="00DC79F2" w:rsidRDefault="00A63B03" w:rsidP="0027656F">
            <w:pPr>
              <w:rPr>
                <w:rFonts w:eastAsia="Times New Roman"/>
                <w:color w:val="000000"/>
                <w:sz w:val="16"/>
                <w:szCs w:val="16"/>
              </w:rPr>
            </w:pPr>
            <w:r w:rsidRPr="00DC79F2">
              <w:rPr>
                <w:color w:val="000000"/>
                <w:sz w:val="16"/>
                <w:szCs w:val="16"/>
              </w:rPr>
              <w:t xml:space="preserve">High proportion of mature trees which exceed the age of the project [not baseline forest]. </w:t>
            </w:r>
            <w:r w:rsidR="00D8311A" w:rsidRPr="00DC79F2">
              <w:rPr>
                <w:color w:val="000000"/>
                <w:sz w:val="16"/>
                <w:szCs w:val="16"/>
              </w:rPr>
              <w:t>C</w:t>
            </w:r>
            <w:r w:rsidRPr="00DC79F2">
              <w:rPr>
                <w:color w:val="000000"/>
                <w:sz w:val="16"/>
                <w:szCs w:val="16"/>
              </w:rPr>
              <w:t>ompacted</w:t>
            </w:r>
            <w:r w:rsidR="00D8311A" w:rsidRPr="00DC79F2">
              <w:rPr>
                <w:color w:val="000000"/>
                <w:sz w:val="16"/>
                <w:szCs w:val="16"/>
              </w:rPr>
              <w:t xml:space="preserve"> [soil]</w:t>
            </w:r>
            <w:r w:rsidRPr="00DC79F2">
              <w:rPr>
                <w:color w:val="000000"/>
                <w:sz w:val="16"/>
                <w:szCs w:val="16"/>
              </w:rPr>
              <w:t xml:space="preserve"> (could not get peg in), sparse and had substantial bare ground. Evidence of Grevillea seedlings self-sowing from tree outside transect. Lots of Mulga leaf litter, Mulla Mulla, crowsfoot and bluebush understorey. Old evidence of cattle.</w:t>
            </w:r>
          </w:p>
        </w:tc>
      </w:tr>
      <w:tr w:rsidR="0073710F" w14:paraId="7FEB2627" w14:textId="77777777" w:rsidTr="143DBF2A">
        <w:tc>
          <w:tcPr>
            <w:tcW w:w="2122" w:type="dxa"/>
          </w:tcPr>
          <w:p w14:paraId="56CC5EB2" w14:textId="4C7C641F" w:rsidR="0073710F" w:rsidRDefault="00EE78A0" w:rsidP="0002683A">
            <w:pPr>
              <w:pStyle w:val="BodyText"/>
              <w:ind w:left="0"/>
            </w:pPr>
            <w:r>
              <w:t>24%</w:t>
            </w:r>
          </w:p>
        </w:tc>
        <w:tc>
          <w:tcPr>
            <w:tcW w:w="7338" w:type="dxa"/>
          </w:tcPr>
          <w:p w14:paraId="7959AA67" w14:textId="64856D44" w:rsidR="0073710F" w:rsidRPr="00DC79F2" w:rsidRDefault="00EE78A0" w:rsidP="0027656F">
            <w:pPr>
              <w:rPr>
                <w:rFonts w:eastAsia="Times New Roman"/>
                <w:color w:val="000000"/>
                <w:sz w:val="16"/>
                <w:szCs w:val="16"/>
              </w:rPr>
            </w:pPr>
            <w:r w:rsidRPr="00DC79F2">
              <w:rPr>
                <w:color w:val="000000"/>
                <w:sz w:val="16"/>
                <w:szCs w:val="16"/>
              </w:rPr>
              <w:t xml:space="preserve">12 trees comprising of Wilga, Turpentine and Brigalow with an average height of 4.0 m within 1,000 m2 area. Along the 100 m transect, five trees approximating 5 m height were found and contributed to 23.6% crown cover. Based on our observations and experience, all five trees appeared to be </w:t>
            </w:r>
            <w:r w:rsidR="006D31D0" w:rsidRPr="00DC79F2">
              <w:rPr>
                <w:color w:val="000000"/>
                <w:sz w:val="16"/>
                <w:szCs w:val="16"/>
              </w:rPr>
              <w:t>[predate project]</w:t>
            </w:r>
            <w:r w:rsidRPr="00DC79F2">
              <w:rPr>
                <w:color w:val="000000"/>
                <w:sz w:val="16"/>
                <w:szCs w:val="16"/>
              </w:rPr>
              <w:t>. Hence for this AOI, we refer to our tree count in the 1,000 m² plot to assess whether the 7.5% crown cover would be met based on stocking density. We counted 26 young regeneration trees under 2 m in height within the 1,000 m² area. This stocking density translates to 320 stems per ha, that will eventually achieve forest cover at maturity. We counted 26 young regeneration trees under 2 m height in 1,000 m² area</w:t>
            </w:r>
          </w:p>
        </w:tc>
      </w:tr>
    </w:tbl>
    <w:p w14:paraId="3825918F" w14:textId="77777777" w:rsidR="001E02B2" w:rsidRDefault="001E02B2" w:rsidP="001E02B2">
      <w:pPr>
        <w:pStyle w:val="BodyText"/>
      </w:pPr>
    </w:p>
    <w:p w14:paraId="64D0B89E" w14:textId="00B797F0" w:rsidR="00AF793F" w:rsidRDefault="000D1B05" w:rsidP="000D1B05">
      <w:pPr>
        <w:pStyle w:val="Heading2"/>
      </w:pPr>
      <w:r>
        <w:t>Net abatement</w:t>
      </w:r>
    </w:p>
    <w:p w14:paraId="2CA68863" w14:textId="71E3E91D" w:rsidR="000A4F34" w:rsidRDefault="00ED053B" w:rsidP="00B25388">
      <w:pPr>
        <w:pStyle w:val="BodyText"/>
      </w:pPr>
      <w:r>
        <w:t xml:space="preserve">After the independent </w:t>
      </w:r>
      <w:r w:rsidR="00320E1F">
        <w:t xml:space="preserve">auditors </w:t>
      </w:r>
      <w:r w:rsidR="00D81E4D">
        <w:t xml:space="preserve">confirm the </w:t>
      </w:r>
      <w:r w:rsidR="007D7490">
        <w:t xml:space="preserve">reliability of the CEA stratification and FullCAM modelling, they confirm the </w:t>
      </w:r>
      <w:r w:rsidR="009D1536">
        <w:t xml:space="preserve">net abatement calculations for each project. </w:t>
      </w:r>
      <w:r w:rsidR="00856CCE">
        <w:t xml:space="preserve">On average, the net abatement is about </w:t>
      </w:r>
      <w:r w:rsidR="004110D9">
        <w:t>1.</w:t>
      </w:r>
      <w:r w:rsidR="00856CCE">
        <w:t>2 t</w:t>
      </w:r>
      <w:r w:rsidR="006408FF">
        <w:t>C</w:t>
      </w:r>
      <w:r w:rsidR="00856CCE">
        <w:t xml:space="preserve"> </w:t>
      </w:r>
      <w:r w:rsidR="004110D9">
        <w:t>year</w:t>
      </w:r>
      <w:r w:rsidR="004110D9" w:rsidRPr="3590E71E">
        <w:rPr>
          <w:vertAlign w:val="superscript"/>
        </w:rPr>
        <w:t>-1</w:t>
      </w:r>
      <w:r w:rsidR="004110D9">
        <w:t xml:space="preserve"> </w:t>
      </w:r>
      <w:r w:rsidR="001615AF">
        <w:t>ha</w:t>
      </w:r>
      <w:r w:rsidR="001615AF" w:rsidRPr="3590E71E">
        <w:rPr>
          <w:vertAlign w:val="superscript"/>
        </w:rPr>
        <w:t>-1</w:t>
      </w:r>
      <w:r w:rsidR="001615AF">
        <w:t xml:space="preserve"> for the </w:t>
      </w:r>
      <w:r w:rsidR="00C60371">
        <w:t>CEA</w:t>
      </w:r>
      <w:r w:rsidR="00E63CDD">
        <w:t xml:space="preserve"> (</w:t>
      </w:r>
      <w:r>
        <w:fldChar w:fldCharType="begin"/>
      </w:r>
      <w:r>
        <w:instrText xml:space="preserve"> REF _Ref169631463 \h </w:instrText>
      </w:r>
      <w:r>
        <w:fldChar w:fldCharType="separate"/>
      </w:r>
      <w:r w:rsidR="00127CAB">
        <w:t xml:space="preserve">Figure </w:t>
      </w:r>
      <w:r w:rsidR="00127CAB">
        <w:rPr>
          <w:noProof/>
        </w:rPr>
        <w:t>8</w:t>
      </w:r>
      <w:r>
        <w:fldChar w:fldCharType="end"/>
      </w:r>
      <w:r w:rsidR="00E63CDD">
        <w:t>a)</w:t>
      </w:r>
      <w:r w:rsidR="009E1C04">
        <w:t>. This abatement is reduced by buffer and permanence deductions before carbon credits are issued</w:t>
      </w:r>
      <w:r w:rsidR="008F7AAA">
        <w:t xml:space="preserve">. </w:t>
      </w:r>
    </w:p>
    <w:p w14:paraId="4EE4E267" w14:textId="2E4704C0" w:rsidR="00F226FE" w:rsidRDefault="008F7AAA" w:rsidP="00B25388">
      <w:pPr>
        <w:pStyle w:val="BodyText"/>
      </w:pPr>
      <w:r>
        <w:t xml:space="preserve">However, the proponents </w:t>
      </w:r>
      <w:r w:rsidR="000A4F34">
        <w:t>manage the entire project area</w:t>
      </w:r>
      <w:r w:rsidR="00AB0396">
        <w:t>, including non-project and baseline forests,</w:t>
      </w:r>
      <w:r w:rsidR="000A4F34">
        <w:t xml:space="preserve"> to control feral animals</w:t>
      </w:r>
      <w:r w:rsidR="008E40A0">
        <w:t xml:space="preserve">, fencing and fire control even though they only receive credit for the abatements on the CEA. </w:t>
      </w:r>
      <w:r w:rsidR="00FA6CAC">
        <w:t>The net abatement when considering the entire project</w:t>
      </w:r>
      <w:r w:rsidR="000D4F17">
        <w:t xml:space="preserve"> then is </w:t>
      </w:r>
      <w:r w:rsidR="00C60371">
        <w:t xml:space="preserve">about </w:t>
      </w:r>
      <w:r w:rsidR="00CB0141">
        <w:t>0.5</w:t>
      </w:r>
      <w:r w:rsidR="000D4F17">
        <w:t xml:space="preserve"> tC year</w:t>
      </w:r>
      <w:r w:rsidR="000D4F17" w:rsidRPr="063B4D7B">
        <w:rPr>
          <w:vertAlign w:val="superscript"/>
        </w:rPr>
        <w:t>-1</w:t>
      </w:r>
      <w:r w:rsidR="000D4F17">
        <w:t xml:space="preserve"> ha</w:t>
      </w:r>
      <w:r w:rsidR="000D4F17" w:rsidRPr="063B4D7B">
        <w:rPr>
          <w:vertAlign w:val="superscript"/>
        </w:rPr>
        <w:t>-1</w:t>
      </w:r>
      <w:r w:rsidR="00E63CDD">
        <w:t xml:space="preserve"> (</w:t>
      </w:r>
      <w:r>
        <w:fldChar w:fldCharType="begin"/>
      </w:r>
      <w:r>
        <w:instrText xml:space="preserve"> REF _Ref169631463 \h </w:instrText>
      </w:r>
      <w:r>
        <w:fldChar w:fldCharType="separate"/>
      </w:r>
      <w:r w:rsidR="00127CAB">
        <w:t xml:space="preserve">Figure </w:t>
      </w:r>
      <w:r w:rsidR="00127CAB">
        <w:rPr>
          <w:noProof/>
        </w:rPr>
        <w:t>8</w:t>
      </w:r>
      <w:r>
        <w:fldChar w:fldCharType="end"/>
      </w:r>
      <w:r w:rsidR="00E63CDD">
        <w:t>b).</w:t>
      </w:r>
      <w:r w:rsidR="00C12CC4">
        <w:t xml:space="preserve"> The potential outlier in </w:t>
      </w:r>
      <w:r>
        <w:fldChar w:fldCharType="begin"/>
      </w:r>
      <w:r>
        <w:instrText xml:space="preserve"> REF _Ref169631463 \h </w:instrText>
      </w:r>
      <w:r>
        <w:fldChar w:fldCharType="separate"/>
      </w:r>
      <w:r w:rsidR="00127CAB">
        <w:t xml:space="preserve">Figure </w:t>
      </w:r>
      <w:r w:rsidR="00127CAB">
        <w:rPr>
          <w:noProof/>
        </w:rPr>
        <w:t>8</w:t>
      </w:r>
      <w:r>
        <w:fldChar w:fldCharType="end"/>
      </w:r>
      <w:r w:rsidR="00C12CC4">
        <w:t xml:space="preserve">b </w:t>
      </w:r>
      <w:r w:rsidR="00D61BF4">
        <w:t xml:space="preserve">denotes a revised Project where the CEA covers the entire </w:t>
      </w:r>
      <w:r w:rsidR="00573E4D">
        <w:t>6,000 ha Project (i.e., no non-project or baseline forest exclusions).</w:t>
      </w:r>
      <w:r w:rsidR="00D61BF4">
        <w:t xml:space="preserve"> </w:t>
      </w:r>
    </w:p>
    <w:p w14:paraId="587513A1" w14:textId="77777777" w:rsidR="000D4F17" w:rsidRDefault="000D4F17" w:rsidP="00B25388">
      <w:pPr>
        <w:pStyle w:val="BodyText"/>
      </w:pPr>
    </w:p>
    <w:tbl>
      <w:tblPr>
        <w:tblStyle w:val="TableGrid"/>
        <w:tblW w:w="0" w:type="auto"/>
        <w:tblInd w:w="220" w:type="dxa"/>
        <w:tblLook w:val="04A0" w:firstRow="1" w:lastRow="0" w:firstColumn="1" w:lastColumn="0" w:noHBand="0" w:noVBand="1"/>
      </w:tblPr>
      <w:tblGrid>
        <w:gridCol w:w="4513"/>
        <w:gridCol w:w="4727"/>
      </w:tblGrid>
      <w:tr w:rsidR="009428A8" w14:paraId="6014032B" w14:textId="77777777" w:rsidTr="009428A8">
        <w:tc>
          <w:tcPr>
            <w:tcW w:w="4513" w:type="dxa"/>
          </w:tcPr>
          <w:p w14:paraId="21617A26" w14:textId="04959AA8" w:rsidR="009428A8" w:rsidRDefault="009428A8" w:rsidP="009428A8">
            <w:pPr>
              <w:pStyle w:val="BodyText"/>
              <w:ind w:left="0"/>
            </w:pPr>
            <w:r>
              <w:lastRenderedPageBreak/>
              <w:t>a) Net abatement tC year</w:t>
            </w:r>
            <w:r w:rsidRPr="009428A8">
              <w:rPr>
                <w:vertAlign w:val="superscript"/>
              </w:rPr>
              <w:t>-1</w:t>
            </w:r>
            <w:r>
              <w:t xml:space="preserve"> ha</w:t>
            </w:r>
            <w:r w:rsidRPr="009428A8">
              <w:rPr>
                <w:vertAlign w:val="superscript"/>
              </w:rPr>
              <w:t>-1</w:t>
            </w:r>
            <w:r>
              <w:t xml:space="preserve"> (of CEA)</w:t>
            </w:r>
          </w:p>
        </w:tc>
        <w:tc>
          <w:tcPr>
            <w:tcW w:w="4727" w:type="dxa"/>
          </w:tcPr>
          <w:p w14:paraId="3397C2AC" w14:textId="171FB445" w:rsidR="009428A8" w:rsidRDefault="009428A8" w:rsidP="009428A8">
            <w:pPr>
              <w:pStyle w:val="BodyText"/>
              <w:ind w:left="0"/>
            </w:pPr>
            <w:r>
              <w:t>b) Net abatement tC year</w:t>
            </w:r>
            <w:r w:rsidRPr="009428A8">
              <w:rPr>
                <w:vertAlign w:val="superscript"/>
              </w:rPr>
              <w:t>-1</w:t>
            </w:r>
            <w:r>
              <w:t xml:space="preserve"> ha</w:t>
            </w:r>
            <w:r w:rsidRPr="009428A8">
              <w:rPr>
                <w:vertAlign w:val="superscript"/>
              </w:rPr>
              <w:t>-1</w:t>
            </w:r>
            <w:r>
              <w:t xml:space="preserve"> (of </w:t>
            </w:r>
            <w:r w:rsidR="00F03A37">
              <w:t>Property</w:t>
            </w:r>
            <w:r>
              <w:t>)</w:t>
            </w:r>
          </w:p>
        </w:tc>
      </w:tr>
      <w:tr w:rsidR="009428A8" w14:paraId="066EC892" w14:textId="77777777" w:rsidTr="009428A8">
        <w:tc>
          <w:tcPr>
            <w:tcW w:w="4513" w:type="dxa"/>
          </w:tcPr>
          <w:p w14:paraId="7ACA7BC8" w14:textId="16773C9E" w:rsidR="009428A8" w:rsidRDefault="009428A8" w:rsidP="009428A8">
            <w:pPr>
              <w:pStyle w:val="BodyText"/>
              <w:ind w:left="0"/>
            </w:pPr>
            <w:r w:rsidRPr="009428A8">
              <w:rPr>
                <w:noProof/>
              </w:rPr>
              <w:drawing>
                <wp:inline distT="0" distB="0" distL="0" distR="0" wp14:anchorId="775D2AEC" wp14:editId="4C44A269">
                  <wp:extent cx="2408129" cy="161558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08129" cy="1615580"/>
                          </a:xfrm>
                          <a:prstGeom prst="rect">
                            <a:avLst/>
                          </a:prstGeom>
                        </pic:spPr>
                      </pic:pic>
                    </a:graphicData>
                  </a:graphic>
                </wp:inline>
              </w:drawing>
            </w:r>
          </w:p>
        </w:tc>
        <w:tc>
          <w:tcPr>
            <w:tcW w:w="4727" w:type="dxa"/>
          </w:tcPr>
          <w:p w14:paraId="44FBAED4" w14:textId="4F3668BC" w:rsidR="009428A8" w:rsidRDefault="00F03A37" w:rsidP="009428A8">
            <w:pPr>
              <w:pStyle w:val="BodyText"/>
              <w:ind w:left="0"/>
            </w:pPr>
            <w:r w:rsidRPr="00F03A37">
              <w:rPr>
                <w:noProof/>
              </w:rPr>
              <w:drawing>
                <wp:inline distT="0" distB="0" distL="0" distR="0" wp14:anchorId="755CD4BA" wp14:editId="0559DB03">
                  <wp:extent cx="2408129" cy="1615580"/>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408129" cy="1615580"/>
                          </a:xfrm>
                          <a:prstGeom prst="rect">
                            <a:avLst/>
                          </a:prstGeom>
                        </pic:spPr>
                      </pic:pic>
                    </a:graphicData>
                  </a:graphic>
                </wp:inline>
              </w:drawing>
            </w:r>
          </w:p>
        </w:tc>
      </w:tr>
    </w:tbl>
    <w:p w14:paraId="61216FF9" w14:textId="39833AFE" w:rsidR="00EF1D73" w:rsidRDefault="003C40A7" w:rsidP="003C40A7">
      <w:pPr>
        <w:pStyle w:val="Caption"/>
      </w:pPr>
      <w:bookmarkStart w:id="17" w:name="_Ref169631463"/>
      <w:r>
        <w:t xml:space="preserve">Figure </w:t>
      </w:r>
      <w:r>
        <w:fldChar w:fldCharType="begin"/>
      </w:r>
      <w:r>
        <w:instrText>SEQ Figure \* ARABIC</w:instrText>
      </w:r>
      <w:r>
        <w:fldChar w:fldCharType="separate"/>
      </w:r>
      <w:r w:rsidR="00127CAB">
        <w:rPr>
          <w:noProof/>
        </w:rPr>
        <w:t>8</w:t>
      </w:r>
      <w:r>
        <w:fldChar w:fldCharType="end"/>
      </w:r>
      <w:bookmarkEnd w:id="17"/>
      <w:r>
        <w:t xml:space="preserve">: </w:t>
      </w:r>
      <w:proofErr w:type="gramStart"/>
      <w:r w:rsidR="00AD620F">
        <w:t>Whiskers</w:t>
      </w:r>
      <w:proofErr w:type="gramEnd"/>
      <w:r w:rsidR="00AD620F">
        <w:t xml:space="preserve"> diagram and histogram of the</w:t>
      </w:r>
      <w:r w:rsidR="00066A33">
        <w:t xml:space="preserve"> net abatement of carbon per year </w:t>
      </w:r>
      <w:r w:rsidR="00A83BA6">
        <w:t>in (a) per CEA ha; (b) per Project ha</w:t>
      </w:r>
      <w:r w:rsidR="00AD620F">
        <w:t xml:space="preserve">. </w:t>
      </w:r>
      <w:r w:rsidR="00AD620F">
        <w:rPr>
          <w:i w:val="0"/>
          <w:iCs w:val="0"/>
        </w:rPr>
        <w:t>[The box in the center of Whiskers plot contains 50% of the data – from the 25</w:t>
      </w:r>
      <w:r w:rsidR="00AD620F" w:rsidRPr="00BC075B">
        <w:rPr>
          <w:i w:val="0"/>
          <w:iCs w:val="0"/>
          <w:vertAlign w:val="superscript"/>
        </w:rPr>
        <w:t>th</w:t>
      </w:r>
      <w:r w:rsidR="00AD620F">
        <w:rPr>
          <w:i w:val="0"/>
          <w:iCs w:val="0"/>
        </w:rPr>
        <w:t xml:space="preserve"> percentile to the 75</w:t>
      </w:r>
      <w:r w:rsidR="00AD620F" w:rsidRPr="00BC075B">
        <w:rPr>
          <w:i w:val="0"/>
          <w:iCs w:val="0"/>
          <w:vertAlign w:val="superscript"/>
        </w:rPr>
        <w:t>th</w:t>
      </w:r>
      <w:r w:rsidR="00AD620F">
        <w:rPr>
          <w:i w:val="0"/>
          <w:iCs w:val="0"/>
        </w:rPr>
        <w:t xml:space="preserve"> percentile and is divided by a vertical line at the 50</w:t>
      </w:r>
      <w:r w:rsidR="00AD620F" w:rsidRPr="006A5018">
        <w:rPr>
          <w:i w:val="0"/>
          <w:iCs w:val="0"/>
          <w:vertAlign w:val="superscript"/>
        </w:rPr>
        <w:t>th</w:t>
      </w:r>
      <w:r w:rsidR="00AD620F">
        <w:rPr>
          <w:i w:val="0"/>
          <w:iCs w:val="0"/>
        </w:rPr>
        <w:t xml:space="preserve"> percentile or median value. The diamond is centered on the mean with a width of ± standard error of the mean. The “whiskers” extend to the furthest observation that is not assumed to be an outlier. The ● is a potential outlier]</w:t>
      </w:r>
    </w:p>
    <w:p w14:paraId="7B8A6268" w14:textId="77777777" w:rsidR="003C40A7" w:rsidRDefault="003C40A7" w:rsidP="00B25388">
      <w:pPr>
        <w:pStyle w:val="BodyText"/>
      </w:pPr>
    </w:p>
    <w:p w14:paraId="03985F89" w14:textId="7F2106A1" w:rsidR="0008093B" w:rsidRDefault="00E82239" w:rsidP="001023AA">
      <w:pPr>
        <w:pStyle w:val="Heading1"/>
      </w:pPr>
      <w:r>
        <w:t>Conclusions</w:t>
      </w:r>
    </w:p>
    <w:p w14:paraId="45DE3F83" w14:textId="54311B7B" w:rsidR="00617FC5" w:rsidRDefault="00D27630" w:rsidP="00137CC5">
      <w:pPr>
        <w:pStyle w:val="BodyText"/>
      </w:pPr>
      <w:r>
        <w:t>The independent audit reports</w:t>
      </w:r>
      <w:r w:rsidR="003E16EF">
        <w:t>,</w:t>
      </w:r>
      <w:r>
        <w:t xml:space="preserve"> CER reviews </w:t>
      </w:r>
      <w:r w:rsidR="003E16EF">
        <w:t xml:space="preserve">and new s215 audits </w:t>
      </w:r>
      <w:r w:rsidR="005174BF">
        <w:t xml:space="preserve">continue to </w:t>
      </w:r>
      <w:r>
        <w:t xml:space="preserve">provide strong assurance that projects are being managed as per the </w:t>
      </w:r>
      <w:r w:rsidR="009473FA">
        <w:t xml:space="preserve">HIR </w:t>
      </w:r>
      <w:r w:rsidR="00620979">
        <w:t>r</w:t>
      </w:r>
      <w:r w:rsidR="00EB208C">
        <w:t>e</w:t>
      </w:r>
      <w:r w:rsidR="00620979">
        <w:t xml:space="preserve">quirements </w:t>
      </w:r>
      <w:r>
        <w:t xml:space="preserve">and that appropriate methods have been used by the proponents or their agents in classifying the CEA and </w:t>
      </w:r>
      <w:r w:rsidR="009473FA">
        <w:t>confirming</w:t>
      </w:r>
      <w:r>
        <w:t xml:space="preserve"> regeneration canopy cover</w:t>
      </w:r>
      <w:r w:rsidR="009473FA">
        <w:t xml:space="preserve"> is meeting threshold levels.</w:t>
      </w:r>
      <w:r w:rsidR="008F531E">
        <w:t xml:space="preserve"> </w:t>
      </w:r>
      <w:r w:rsidR="00CF12F7">
        <w:t xml:space="preserve">Minor </w:t>
      </w:r>
      <w:r w:rsidR="000B2D84">
        <w:t>areas of potential regeneration issue</w:t>
      </w:r>
      <w:r w:rsidR="006E3A77">
        <w:t>s</w:t>
      </w:r>
      <w:r w:rsidR="00CF12F7">
        <w:t xml:space="preserve"> identified by ecologists/foresters during the expanded S215 audits appear to be within the </w:t>
      </w:r>
      <w:r w:rsidR="00C673F3">
        <w:t xml:space="preserve">guidelines for stratification </w:t>
      </w:r>
      <w:r w:rsidR="009336CD">
        <w:t>accuracy but</w:t>
      </w:r>
      <w:r w:rsidR="00C673F3">
        <w:t xml:space="preserve"> will still be </w:t>
      </w:r>
      <w:r w:rsidR="00DA4E01">
        <w:t xml:space="preserve">reviewed and </w:t>
      </w:r>
      <w:r w:rsidR="00823EE8">
        <w:t>potentially</w:t>
      </w:r>
      <w:r w:rsidR="00DA4E01">
        <w:t xml:space="preserve"> removed </w:t>
      </w:r>
      <w:r w:rsidR="00430F83">
        <w:t>by</w:t>
      </w:r>
      <w:r w:rsidR="00DA4E01">
        <w:t xml:space="preserve"> the next reporting period.</w:t>
      </w:r>
    </w:p>
    <w:p w14:paraId="69A1B67E" w14:textId="52114C4F" w:rsidR="00D27630" w:rsidRDefault="00D27630" w:rsidP="001023AA">
      <w:pPr>
        <w:pStyle w:val="BodyText"/>
      </w:pPr>
      <w:r>
        <w:t xml:space="preserve">The CER reviews </w:t>
      </w:r>
      <w:r w:rsidR="00652A4A">
        <w:t xml:space="preserve">continue to </w:t>
      </w:r>
      <w:r>
        <w:t xml:space="preserve">utilize </w:t>
      </w:r>
      <w:r w:rsidR="00A02906">
        <w:t xml:space="preserve">multiple sources of data, including </w:t>
      </w:r>
      <w:r w:rsidR="00744532">
        <w:t>national-scale models</w:t>
      </w:r>
      <w:r w:rsidR="00EB23C4">
        <w:t>,</w:t>
      </w:r>
      <w:r w:rsidR="00744532">
        <w:t xml:space="preserve"> to check</w:t>
      </w:r>
      <w:r w:rsidR="00137CC5">
        <w:t xml:space="preserve"> whether</w:t>
      </w:r>
      <w:r w:rsidR="00041857">
        <w:t xml:space="preserve"> regeneration thresholds at project and 100 ha scales are being met. </w:t>
      </w:r>
      <w:r w:rsidR="00137CC5">
        <w:t xml:space="preserve">However, </w:t>
      </w:r>
      <w:r w:rsidR="00EB23C4">
        <w:t xml:space="preserve">independent field measurements indicate that the national-scale </w:t>
      </w:r>
      <w:r w:rsidR="00E61ABA">
        <w:t>models are not</w:t>
      </w:r>
      <w:r w:rsidR="00182A2C">
        <w:t xml:space="preserve"> well calibrated or reliable</w:t>
      </w:r>
      <w:r w:rsidR="00E61ABA">
        <w:t xml:space="preserve"> for cross-checking </w:t>
      </w:r>
      <w:r w:rsidR="00FC79E1">
        <w:t>proponent mapping</w:t>
      </w:r>
      <w:r w:rsidR="00182A2C">
        <w:t>.</w:t>
      </w:r>
      <w:r w:rsidR="00041857">
        <w:t xml:space="preserve"> </w:t>
      </w:r>
      <w:r w:rsidR="008D4CE1">
        <w:t>S</w:t>
      </w:r>
      <w:r w:rsidR="00041857">
        <w:t xml:space="preserve">ubstantive discrepancies between </w:t>
      </w:r>
      <w:r w:rsidR="008D4CE1">
        <w:t xml:space="preserve">the models and the </w:t>
      </w:r>
      <w:r w:rsidR="004C2BBF">
        <w:t>high-resolution</w:t>
      </w:r>
      <w:r w:rsidR="008D4CE1">
        <w:t xml:space="preserve"> data being used by proponents in stratification</w:t>
      </w:r>
      <w:r w:rsidR="00465AFD">
        <w:t xml:space="preserve"> led to</w:t>
      </w:r>
      <w:r w:rsidR="00041857">
        <w:t xml:space="preserve"> further information </w:t>
      </w:r>
      <w:r w:rsidR="00893795">
        <w:t>be</w:t>
      </w:r>
      <w:r w:rsidR="00C94EF3">
        <w:t>ing</w:t>
      </w:r>
      <w:r w:rsidR="00041857">
        <w:t xml:space="preserve"> required</w:t>
      </w:r>
      <w:r w:rsidR="00893795">
        <w:t xml:space="preserve"> by CER</w:t>
      </w:r>
      <w:r w:rsidR="00041857">
        <w:t xml:space="preserve"> before the regeneration check is accepted. </w:t>
      </w:r>
      <w:r w:rsidR="004C2BBF">
        <w:t xml:space="preserve">Many proponents are now providing </w:t>
      </w:r>
      <w:r w:rsidR="0056561C">
        <w:t xml:space="preserve">this </w:t>
      </w:r>
      <w:r w:rsidR="006F5192">
        <w:t xml:space="preserve">additional data </w:t>
      </w:r>
      <w:r w:rsidR="000D4F93">
        <w:t xml:space="preserve">as a routine part of their regeneration checks </w:t>
      </w:r>
      <w:r w:rsidR="006F5192">
        <w:t>and have formal methods to establish POPs, TOPs and FOPs</w:t>
      </w:r>
      <w:r w:rsidR="00893795">
        <w:t>.</w:t>
      </w:r>
    </w:p>
    <w:p w14:paraId="254117BF" w14:textId="2ED7F806" w:rsidR="00B82F1C" w:rsidRDefault="00B82F1C" w:rsidP="001023AA">
      <w:pPr>
        <w:pStyle w:val="BodyText"/>
      </w:pPr>
      <w:r>
        <w:t xml:space="preserve">On average, stratification into CEA </w:t>
      </w:r>
      <w:r w:rsidR="00CD7011">
        <w:t xml:space="preserve">that are regenerating </w:t>
      </w:r>
      <w:r>
        <w:t xml:space="preserve">is reliable </w:t>
      </w:r>
      <w:r w:rsidR="00BA56D6">
        <w:t>with a</w:t>
      </w:r>
      <w:r w:rsidR="00CA77F8">
        <w:t xml:space="preserve">n acceptable accuracy rate </w:t>
      </w:r>
      <w:r>
        <w:t>and accords with good practice.</w:t>
      </w:r>
    </w:p>
    <w:p w14:paraId="42775C28" w14:textId="6F7E0D21" w:rsidR="00BE4C66" w:rsidRDefault="00CD7011" w:rsidP="001023AA">
      <w:pPr>
        <w:pStyle w:val="BodyText"/>
      </w:pPr>
      <w:r>
        <w:t xml:space="preserve">HIR appears to be a useful method of providing carbon credits to industries as they move to “decarbonize” their manufacturing and other processes. </w:t>
      </w:r>
    </w:p>
    <w:p w14:paraId="41123A83" w14:textId="36F82DAD" w:rsidR="00893795" w:rsidRDefault="00893795" w:rsidP="003F765C"/>
    <w:sectPr w:rsidR="00893795">
      <w:footerReference w:type="default" r:id="rId33"/>
      <w:pgSz w:w="11910" w:h="16840"/>
      <w:pgMar w:top="1380" w:right="122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A852E2" w14:textId="77777777" w:rsidR="008B604A" w:rsidRDefault="008B604A" w:rsidP="00003C1E">
      <w:r>
        <w:separator/>
      </w:r>
    </w:p>
  </w:endnote>
  <w:endnote w:type="continuationSeparator" w:id="0">
    <w:p w14:paraId="31C0A3D1" w14:textId="77777777" w:rsidR="008B604A" w:rsidRDefault="008B604A" w:rsidP="00003C1E">
      <w:r>
        <w:continuationSeparator/>
      </w:r>
    </w:p>
  </w:endnote>
  <w:endnote w:type="continuationNotice" w:id="1">
    <w:p w14:paraId="6E376A7C" w14:textId="77777777" w:rsidR="008B604A" w:rsidRDefault="008B6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97132" w14:textId="77777777" w:rsidR="00FD41D0" w:rsidRDefault="00FD41D0">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p w14:paraId="67178018" w14:textId="77777777" w:rsidR="00FD41D0" w:rsidRDefault="00FD4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CCD56" w14:textId="77777777" w:rsidR="008B604A" w:rsidRDefault="008B604A" w:rsidP="00003C1E">
      <w:r>
        <w:separator/>
      </w:r>
    </w:p>
  </w:footnote>
  <w:footnote w:type="continuationSeparator" w:id="0">
    <w:p w14:paraId="06734AA5" w14:textId="77777777" w:rsidR="008B604A" w:rsidRDefault="008B604A" w:rsidP="00003C1E">
      <w:r>
        <w:continuationSeparator/>
      </w:r>
    </w:p>
  </w:footnote>
  <w:footnote w:type="continuationNotice" w:id="1">
    <w:p w14:paraId="6864008D" w14:textId="77777777" w:rsidR="008B604A" w:rsidRDefault="008B604A"/>
  </w:footnote>
  <w:footnote w:id="2">
    <w:p w14:paraId="6213BC2A" w14:textId="476C4F93" w:rsidR="00A97E95" w:rsidRPr="00C3510A" w:rsidRDefault="00A97E95" w:rsidP="0075510A">
      <w:pPr>
        <w:pStyle w:val="FootnoteText"/>
        <w:ind w:left="720" w:hanging="720"/>
      </w:pPr>
      <w:r>
        <w:rPr>
          <w:rStyle w:val="FootnoteReference"/>
        </w:rPr>
        <w:footnoteRef/>
      </w:r>
      <w:r>
        <w:t xml:space="preserve"> </w:t>
      </w:r>
      <w:r w:rsidR="00F0728A">
        <w:t xml:space="preserve">Guidelines on stratification, evidence and records </w:t>
      </w:r>
      <w:proofErr w:type="gramStart"/>
      <w:r w:rsidR="00F0728A">
        <w:t>For</w:t>
      </w:r>
      <w:proofErr w:type="gramEnd"/>
      <w:r w:rsidR="00F0728A">
        <w:t xml:space="preserve"> projects under the Human-Induced Regeneration of a</w:t>
      </w:r>
      <w:r w:rsidR="00C3510A">
        <w:t xml:space="preserve"> </w:t>
      </w:r>
      <w:r w:rsidR="00F0728A">
        <w:t>Permanent Even-Aged Native Forest and Native Forest from Managed Regrowth methods</w:t>
      </w:r>
      <w:r w:rsidR="000935F0">
        <w:t>.</w:t>
      </w:r>
      <w:r w:rsidR="00C3510A">
        <w:t xml:space="preserve"> </w:t>
      </w:r>
      <w:r w:rsidR="00F0728A">
        <w:t>8 May 2019</w:t>
      </w:r>
      <w:r w:rsidR="00AA3179">
        <w:t>.</w:t>
      </w:r>
      <w:r w:rsidR="006D146C">
        <w:t xml:space="preserve"> </w:t>
      </w:r>
      <w:r w:rsidR="006D146C" w:rsidRPr="006D146C">
        <w:t>https://cer.gov.au/document/guidelines-stratification-evidence-and-records-hir-and-nfmr</w:t>
      </w:r>
      <w:r w:rsidR="00C3510A">
        <w:t>.</w:t>
      </w:r>
    </w:p>
  </w:footnote>
  <w:footnote w:id="3">
    <w:p w14:paraId="7B71C254" w14:textId="77777777" w:rsidR="004378AF" w:rsidRPr="00A46D41" w:rsidRDefault="004378AF" w:rsidP="004378AF">
      <w:pPr>
        <w:pStyle w:val="FootnoteText"/>
      </w:pPr>
      <w:r>
        <w:rPr>
          <w:rStyle w:val="FootnoteReference"/>
        </w:rPr>
        <w:footnoteRef/>
      </w:r>
      <w:r>
        <w:t xml:space="preserve"> Australian Government (2019) National Inventory Report 2017: Volume 2 [page 149]</w:t>
      </w:r>
    </w:p>
  </w:footnote>
  <w:footnote w:id="4">
    <w:p w14:paraId="2307C56F" w14:textId="77777777" w:rsidR="00731155" w:rsidRPr="00B0403F" w:rsidRDefault="00731155" w:rsidP="0075510A">
      <w:pPr>
        <w:pStyle w:val="FootnoteText"/>
        <w:ind w:left="720" w:hanging="720"/>
        <w:rPr>
          <w:lang w:val="en-AU"/>
        </w:rPr>
      </w:pPr>
      <w:r>
        <w:rPr>
          <w:rStyle w:val="FootnoteReference"/>
        </w:rPr>
        <w:footnoteRef/>
      </w:r>
      <w:r>
        <w:t xml:space="preserve"> </w:t>
      </w:r>
      <w:r w:rsidRPr="005708A7">
        <w:t>Gill, T., Johansen, K., Scarth, P., Armston, J., Trevithick, R., Flood, N. (2015). Persistent Green Vegetation Fraction. In A. Held, S. Phinn, M. Soto-Berelov, &amp; S. Jones (Eds.), AusCover Good Practice Guidelines: A technical handbook supporting calibration and validation activities of remotely sensed data product (pp. 134-154). Version 1.1. TERN AusCover, ISBN 978-0-646-94137-0.</w:t>
      </w:r>
    </w:p>
  </w:footnote>
  <w:footnote w:id="5">
    <w:p w14:paraId="7A1119A4" w14:textId="77777777" w:rsidR="00A14981" w:rsidRPr="00B66678" w:rsidRDefault="00A14981" w:rsidP="0075510A">
      <w:pPr>
        <w:pStyle w:val="FootnoteText"/>
        <w:ind w:left="720" w:hanging="720"/>
        <w:rPr>
          <w:lang w:val="en-AU"/>
        </w:rPr>
      </w:pPr>
      <w:r>
        <w:rPr>
          <w:rStyle w:val="FootnoteReference"/>
        </w:rPr>
        <w:footnoteRef/>
      </w:r>
      <w:r>
        <w:t xml:space="preserve"> </w:t>
      </w:r>
      <w:r>
        <w:rPr>
          <w:lang w:val="en-AU"/>
        </w:rPr>
        <w:t>Liao, Z., VanDijk, A.I.J.M., He, B., Larraondo, P.R and Scarth, P.F. (2020) Woody vegetation cover, height and biomass at 25-m resolution derived from multiple site, airborne and satellite observations. Int J Appl Earth Obs Geoinformation 93: 102209</w:t>
      </w:r>
    </w:p>
  </w:footnote>
  <w:footnote w:id="6">
    <w:p w14:paraId="26A04FFA" w14:textId="4734D584" w:rsidR="00A314B2" w:rsidRPr="00A314B2" w:rsidRDefault="00A314B2" w:rsidP="006D6AE9">
      <w:pPr>
        <w:pStyle w:val="FootnoteText"/>
        <w:ind w:left="720" w:hanging="720"/>
        <w:rPr>
          <w:lang w:val="en-AU"/>
        </w:rPr>
      </w:pPr>
      <w:r>
        <w:rPr>
          <w:rStyle w:val="FootnoteReference"/>
        </w:rPr>
        <w:footnoteRef/>
      </w:r>
      <w:r>
        <w:t xml:space="preserve"> </w:t>
      </w:r>
      <w:r w:rsidR="006D6AE9">
        <w:t>Tony Gill, Kasper Johansen, Stuart Phinn, Rebecca Trevithick, Peter Scarth and John Armston (2017) A method for mapping Australian woody vegetation cover by linking continental-scale field data and long-term Landsat time series, International Journal of Remote Sensing, 38:3, 679-705, DOI: 10.1080/01431161.2016.1266112</w:t>
      </w:r>
    </w:p>
  </w:footnote>
  <w:footnote w:id="7">
    <w:p w14:paraId="4AACCC68" w14:textId="77777777" w:rsidR="008E55BB" w:rsidRPr="00523C20" w:rsidRDefault="008E55BB" w:rsidP="008E55BB">
      <w:pPr>
        <w:pStyle w:val="FootnoteText"/>
        <w:ind w:left="720" w:hanging="720"/>
        <w:rPr>
          <w:lang w:val="en-AU"/>
        </w:rPr>
      </w:pPr>
      <w:r>
        <w:rPr>
          <w:rStyle w:val="FootnoteReference"/>
        </w:rPr>
        <w:footnoteRef/>
      </w:r>
      <w:r>
        <w:t xml:space="preserve"> </w:t>
      </w:r>
      <w:r w:rsidRPr="003701E0">
        <w:t>Australian Government Department of the Environment and Energy (2019) National Inventory Report 2017 Volume 2</w:t>
      </w:r>
      <w:r>
        <w:t>. Figure 6.A.7</w:t>
      </w:r>
    </w:p>
  </w:footnote>
  <w:footnote w:id="8">
    <w:p w14:paraId="6151372C" w14:textId="2E305AFB" w:rsidR="006A69AE" w:rsidRPr="006A69AE" w:rsidRDefault="006A69AE">
      <w:pPr>
        <w:pStyle w:val="FootnoteText"/>
        <w:rPr>
          <w:lang w:val="en-AU"/>
        </w:rPr>
      </w:pPr>
      <w:r>
        <w:rPr>
          <w:rStyle w:val="FootnoteReference"/>
        </w:rPr>
        <w:footnoteRef/>
      </w:r>
      <w:r>
        <w:t xml:space="preserve"> </w:t>
      </w:r>
      <w:r w:rsidR="00A26BC8">
        <w:t xml:space="preserve">https://livingatlas.arcgis.com/wayback/  </w:t>
      </w:r>
    </w:p>
  </w:footnote>
  <w:footnote w:id="9">
    <w:p w14:paraId="260CEE5F" w14:textId="0C577C11" w:rsidR="003108A6" w:rsidRPr="003108A6" w:rsidRDefault="003108A6">
      <w:pPr>
        <w:pStyle w:val="FootnoteText"/>
        <w:rPr>
          <w:lang w:val="en-AU"/>
        </w:rPr>
      </w:pPr>
      <w:r>
        <w:rPr>
          <w:rStyle w:val="FootnoteReference"/>
        </w:rPr>
        <w:footnoteRef/>
      </w:r>
      <w:r>
        <w:t xml:space="preserve"> </w:t>
      </w:r>
      <w:r w:rsidR="005A5415">
        <w:rPr>
          <w:lang w:val="en-AU"/>
        </w:rPr>
        <w:t>Some proponents/agents provided over 100 such photographs</w:t>
      </w:r>
    </w:p>
  </w:footnote>
  <w:footnote w:id="10">
    <w:p w14:paraId="24DC5CAD" w14:textId="46A851CC" w:rsidR="005D7113" w:rsidRPr="005D7113" w:rsidRDefault="005D7113">
      <w:pPr>
        <w:pStyle w:val="FootnoteText"/>
        <w:rPr>
          <w:lang w:val="en-AU"/>
        </w:rPr>
      </w:pPr>
      <w:r>
        <w:rPr>
          <w:rStyle w:val="FootnoteReference"/>
        </w:rPr>
        <w:footnoteRef/>
      </w:r>
      <w:r>
        <w:t xml:space="preserve"> </w:t>
      </w:r>
      <w:r>
        <w:rPr>
          <w:lang w:val="en-AU"/>
        </w:rPr>
        <w:t>Analysis of Variance (ANOVA) is a statistical test of differences of the mean between more than two groups. The variation within at least one group (variance) must be less that the variation between groups for a finding of significant difference between the groups.</w:t>
      </w:r>
    </w:p>
  </w:footnote>
  <w:footnote w:id="11">
    <w:p w14:paraId="2EB3E54B" w14:textId="0308779D" w:rsidR="00B75846" w:rsidRPr="00B75846" w:rsidRDefault="00B75846">
      <w:pPr>
        <w:pStyle w:val="FootnoteText"/>
        <w:rPr>
          <w:lang w:val="en-AU"/>
        </w:rPr>
      </w:pPr>
      <w:r>
        <w:rPr>
          <w:rStyle w:val="FootnoteReference"/>
        </w:rPr>
        <w:footnoteRef/>
      </w:r>
      <w:r>
        <w:t xml:space="preserve"> </w:t>
      </w:r>
      <w:r>
        <w:rPr>
          <w:lang w:val="en-AU"/>
        </w:rPr>
        <w:t xml:space="preserve">One highly </w:t>
      </w:r>
      <w:r w:rsidR="009A7A65">
        <w:rPr>
          <w:lang w:val="en-AU"/>
        </w:rPr>
        <w:t>influential</w:t>
      </w:r>
      <w:r>
        <w:rPr>
          <w:lang w:val="en-AU"/>
        </w:rPr>
        <w:t xml:space="preserve"> outlier was removed from the NSW </w:t>
      </w:r>
      <w:r w:rsidR="009A7A65">
        <w:rPr>
          <w:lang w:val="en-AU"/>
        </w:rPr>
        <w:t>samples for this analysis</w:t>
      </w:r>
    </w:p>
  </w:footnote>
  <w:footnote w:id="12">
    <w:p w14:paraId="61C1D7C6" w14:textId="236A74DF" w:rsidR="00FB64F2" w:rsidRPr="00FB64F2" w:rsidRDefault="00FB64F2" w:rsidP="00FB64F2">
      <w:pPr>
        <w:pStyle w:val="FootnoteText"/>
        <w:ind w:left="720" w:hanging="720"/>
        <w:rPr>
          <w:lang w:val="en-AU"/>
        </w:rPr>
      </w:pPr>
      <w:r>
        <w:rPr>
          <w:rStyle w:val="FootnoteReference"/>
        </w:rPr>
        <w:footnoteRef/>
      </w:r>
      <w:r>
        <w:t xml:space="preserve"> Gill, T., Johansen, K., Scarth, P., Armston, J., Trevithick, R., Flood, N. (2015). Persistent Green Vegetation Fraction. In A. Held, S. Phinn, M. Soto-Berelov, &amp; S. Jones (Eds.), AusCover Good Practice Guidelines: A technical handbook supporting calibration and validation activities of remotely sensed data product (pp. 134-154). Version 1.1. TERN AusCover, ISBN 978-0-646-94137-0.  </w:t>
      </w:r>
    </w:p>
  </w:footnote>
  <w:footnote w:id="13">
    <w:p w14:paraId="4C9A6E57" w14:textId="2CB28A63" w:rsidR="003A7F9F" w:rsidRPr="003A7F9F" w:rsidRDefault="003A7F9F" w:rsidP="00372528">
      <w:pPr>
        <w:pStyle w:val="FootnoteText"/>
        <w:ind w:left="720" w:hanging="720"/>
        <w:rPr>
          <w:lang w:val="en-AU"/>
        </w:rPr>
      </w:pPr>
      <w:r>
        <w:rPr>
          <w:rStyle w:val="FootnoteReference"/>
        </w:rPr>
        <w:footnoteRef/>
      </w:r>
      <w:r>
        <w:t xml:space="preserve"> </w:t>
      </w:r>
      <w:r w:rsidR="00372528">
        <w:t>Fisher, A., Scarth, P., Armston, J. and Danaher, T. (2018) Relating foliage and crown projective cover in Australian tree stands. Agricultural and Forest Meteorology 259; 39 – 47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B50CB"/>
    <w:multiLevelType w:val="hybridMultilevel"/>
    <w:tmpl w:val="8578F2FE"/>
    <w:lvl w:ilvl="0" w:tplc="08090011">
      <w:start w:val="1"/>
      <w:numFmt w:val="decimal"/>
      <w:lvlText w:val="%1)"/>
      <w:lvlJc w:val="left"/>
      <w:pPr>
        <w:ind w:left="940" w:hanging="360"/>
      </w:pPr>
    </w:lvl>
    <w:lvl w:ilvl="1" w:tplc="08090019">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abstractNum w:abstractNumId="1" w15:restartNumberingAfterBreak="0">
    <w:nsid w:val="1023365B"/>
    <w:multiLevelType w:val="hybridMultilevel"/>
    <w:tmpl w:val="83F283E4"/>
    <w:lvl w:ilvl="0" w:tplc="FFFFFFFF">
      <w:start w:val="1"/>
      <w:numFmt w:val="decimal"/>
      <w:lvlText w:val="%1)"/>
      <w:lvlJc w:val="left"/>
      <w:pPr>
        <w:ind w:left="720" w:hanging="500"/>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2" w15:restartNumberingAfterBreak="0">
    <w:nsid w:val="11CC7BE3"/>
    <w:multiLevelType w:val="hybridMultilevel"/>
    <w:tmpl w:val="122C6074"/>
    <w:lvl w:ilvl="0" w:tplc="DFE29CB6">
      <w:start w:val="1"/>
      <w:numFmt w:val="decimal"/>
      <w:lvlText w:val="%1."/>
      <w:lvlJc w:val="left"/>
      <w:pPr>
        <w:ind w:left="940" w:hanging="360"/>
      </w:pPr>
      <w:rPr>
        <w:rFonts w:ascii="Calibri" w:eastAsia="Calibri" w:hAnsi="Calibri" w:cs="Calibri" w:hint="default"/>
        <w:b w:val="0"/>
        <w:bCs w:val="0"/>
        <w:i w:val="0"/>
        <w:iCs w:val="0"/>
        <w:spacing w:val="0"/>
        <w:w w:val="100"/>
        <w:sz w:val="22"/>
        <w:szCs w:val="22"/>
        <w:lang w:val="en-US" w:eastAsia="en-US" w:bidi="ar-SA"/>
      </w:rPr>
    </w:lvl>
    <w:lvl w:ilvl="1" w:tplc="82CAF238">
      <w:start w:val="1"/>
      <w:numFmt w:val="lowerLetter"/>
      <w:lvlText w:val="%2."/>
      <w:lvlJc w:val="left"/>
      <w:pPr>
        <w:ind w:left="1660" w:hanging="360"/>
      </w:pPr>
      <w:rPr>
        <w:rFonts w:ascii="Calibri" w:eastAsia="Calibri" w:hAnsi="Calibri" w:cs="Calibri" w:hint="default"/>
        <w:b w:val="0"/>
        <w:bCs w:val="0"/>
        <w:i w:val="0"/>
        <w:iCs w:val="0"/>
        <w:spacing w:val="-1"/>
        <w:w w:val="100"/>
        <w:sz w:val="22"/>
        <w:szCs w:val="22"/>
        <w:lang w:val="en-US" w:eastAsia="en-US" w:bidi="ar-SA"/>
      </w:rPr>
    </w:lvl>
    <w:lvl w:ilvl="2" w:tplc="D3AC2F0C">
      <w:numFmt w:val="bullet"/>
      <w:lvlText w:val="•"/>
      <w:lvlJc w:val="left"/>
      <w:pPr>
        <w:ind w:left="2527" w:hanging="360"/>
      </w:pPr>
      <w:rPr>
        <w:rFonts w:hint="default"/>
        <w:lang w:val="en-US" w:eastAsia="en-US" w:bidi="ar-SA"/>
      </w:rPr>
    </w:lvl>
    <w:lvl w:ilvl="3" w:tplc="6E3EDFF8">
      <w:numFmt w:val="bullet"/>
      <w:lvlText w:val="•"/>
      <w:lvlJc w:val="left"/>
      <w:pPr>
        <w:ind w:left="3394" w:hanging="360"/>
      </w:pPr>
      <w:rPr>
        <w:rFonts w:hint="default"/>
        <w:lang w:val="en-US" w:eastAsia="en-US" w:bidi="ar-SA"/>
      </w:rPr>
    </w:lvl>
    <w:lvl w:ilvl="4" w:tplc="BBF8C5B6">
      <w:numFmt w:val="bullet"/>
      <w:lvlText w:val="•"/>
      <w:lvlJc w:val="left"/>
      <w:pPr>
        <w:ind w:left="4262" w:hanging="360"/>
      </w:pPr>
      <w:rPr>
        <w:rFonts w:hint="default"/>
        <w:lang w:val="en-US" w:eastAsia="en-US" w:bidi="ar-SA"/>
      </w:rPr>
    </w:lvl>
    <w:lvl w:ilvl="5" w:tplc="73C83F26">
      <w:numFmt w:val="bullet"/>
      <w:lvlText w:val="•"/>
      <w:lvlJc w:val="left"/>
      <w:pPr>
        <w:ind w:left="5129" w:hanging="360"/>
      </w:pPr>
      <w:rPr>
        <w:rFonts w:hint="default"/>
        <w:lang w:val="en-US" w:eastAsia="en-US" w:bidi="ar-SA"/>
      </w:rPr>
    </w:lvl>
    <w:lvl w:ilvl="6" w:tplc="022C9142">
      <w:numFmt w:val="bullet"/>
      <w:lvlText w:val="•"/>
      <w:lvlJc w:val="left"/>
      <w:pPr>
        <w:ind w:left="5996" w:hanging="360"/>
      </w:pPr>
      <w:rPr>
        <w:rFonts w:hint="default"/>
        <w:lang w:val="en-US" w:eastAsia="en-US" w:bidi="ar-SA"/>
      </w:rPr>
    </w:lvl>
    <w:lvl w:ilvl="7" w:tplc="1ABE671C">
      <w:numFmt w:val="bullet"/>
      <w:lvlText w:val="•"/>
      <w:lvlJc w:val="left"/>
      <w:pPr>
        <w:ind w:left="6864" w:hanging="360"/>
      </w:pPr>
      <w:rPr>
        <w:rFonts w:hint="default"/>
        <w:lang w:val="en-US" w:eastAsia="en-US" w:bidi="ar-SA"/>
      </w:rPr>
    </w:lvl>
    <w:lvl w:ilvl="8" w:tplc="FB80FC74">
      <w:numFmt w:val="bullet"/>
      <w:lvlText w:val="•"/>
      <w:lvlJc w:val="left"/>
      <w:pPr>
        <w:ind w:left="7731" w:hanging="360"/>
      </w:pPr>
      <w:rPr>
        <w:rFonts w:hint="default"/>
        <w:lang w:val="en-US" w:eastAsia="en-US" w:bidi="ar-SA"/>
      </w:rPr>
    </w:lvl>
  </w:abstractNum>
  <w:abstractNum w:abstractNumId="3" w15:restartNumberingAfterBreak="0">
    <w:nsid w:val="1D9F1A13"/>
    <w:multiLevelType w:val="hybridMultilevel"/>
    <w:tmpl w:val="DE9A3686"/>
    <w:lvl w:ilvl="0" w:tplc="1B1ED6BE">
      <w:start w:val="1"/>
      <w:numFmt w:val="lowerLetter"/>
      <w:lvlText w:val="(%1)"/>
      <w:lvlJc w:val="left"/>
      <w:pPr>
        <w:ind w:left="580" w:hanging="360"/>
      </w:pPr>
      <w:rPr>
        <w:rFonts w:hint="default"/>
      </w:rPr>
    </w:lvl>
    <w:lvl w:ilvl="1" w:tplc="0C090019" w:tentative="1">
      <w:start w:val="1"/>
      <w:numFmt w:val="lowerLetter"/>
      <w:lvlText w:val="%2."/>
      <w:lvlJc w:val="left"/>
      <w:pPr>
        <w:ind w:left="1300" w:hanging="360"/>
      </w:pPr>
    </w:lvl>
    <w:lvl w:ilvl="2" w:tplc="0C09001B" w:tentative="1">
      <w:start w:val="1"/>
      <w:numFmt w:val="lowerRoman"/>
      <w:lvlText w:val="%3."/>
      <w:lvlJc w:val="right"/>
      <w:pPr>
        <w:ind w:left="2020" w:hanging="180"/>
      </w:pPr>
    </w:lvl>
    <w:lvl w:ilvl="3" w:tplc="0C09000F" w:tentative="1">
      <w:start w:val="1"/>
      <w:numFmt w:val="decimal"/>
      <w:lvlText w:val="%4."/>
      <w:lvlJc w:val="left"/>
      <w:pPr>
        <w:ind w:left="2740" w:hanging="360"/>
      </w:pPr>
    </w:lvl>
    <w:lvl w:ilvl="4" w:tplc="0C090019" w:tentative="1">
      <w:start w:val="1"/>
      <w:numFmt w:val="lowerLetter"/>
      <w:lvlText w:val="%5."/>
      <w:lvlJc w:val="left"/>
      <w:pPr>
        <w:ind w:left="3460" w:hanging="360"/>
      </w:pPr>
    </w:lvl>
    <w:lvl w:ilvl="5" w:tplc="0C09001B" w:tentative="1">
      <w:start w:val="1"/>
      <w:numFmt w:val="lowerRoman"/>
      <w:lvlText w:val="%6."/>
      <w:lvlJc w:val="right"/>
      <w:pPr>
        <w:ind w:left="4180" w:hanging="180"/>
      </w:pPr>
    </w:lvl>
    <w:lvl w:ilvl="6" w:tplc="0C09000F" w:tentative="1">
      <w:start w:val="1"/>
      <w:numFmt w:val="decimal"/>
      <w:lvlText w:val="%7."/>
      <w:lvlJc w:val="left"/>
      <w:pPr>
        <w:ind w:left="4900" w:hanging="360"/>
      </w:pPr>
    </w:lvl>
    <w:lvl w:ilvl="7" w:tplc="0C090019" w:tentative="1">
      <w:start w:val="1"/>
      <w:numFmt w:val="lowerLetter"/>
      <w:lvlText w:val="%8."/>
      <w:lvlJc w:val="left"/>
      <w:pPr>
        <w:ind w:left="5620" w:hanging="360"/>
      </w:pPr>
    </w:lvl>
    <w:lvl w:ilvl="8" w:tplc="0C09001B" w:tentative="1">
      <w:start w:val="1"/>
      <w:numFmt w:val="lowerRoman"/>
      <w:lvlText w:val="%9."/>
      <w:lvlJc w:val="right"/>
      <w:pPr>
        <w:ind w:left="6340" w:hanging="180"/>
      </w:pPr>
    </w:lvl>
  </w:abstractNum>
  <w:abstractNum w:abstractNumId="4" w15:restartNumberingAfterBreak="0">
    <w:nsid w:val="20F22C2A"/>
    <w:multiLevelType w:val="hybridMultilevel"/>
    <w:tmpl w:val="E3E8F602"/>
    <w:lvl w:ilvl="0" w:tplc="0C090001">
      <w:start w:val="1"/>
      <w:numFmt w:val="bullet"/>
      <w:lvlText w:val=""/>
      <w:lvlJc w:val="left"/>
      <w:pPr>
        <w:ind w:left="940" w:hanging="360"/>
      </w:pPr>
      <w:rPr>
        <w:rFonts w:ascii="Symbol" w:hAnsi="Symbol"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5" w15:restartNumberingAfterBreak="0">
    <w:nsid w:val="218A727C"/>
    <w:multiLevelType w:val="hybridMultilevel"/>
    <w:tmpl w:val="256C1D2E"/>
    <w:lvl w:ilvl="0" w:tplc="FFFFFFFF">
      <w:start w:val="1"/>
      <w:numFmt w:val="decimal"/>
      <w:lvlText w:val="%1)"/>
      <w:lvlJc w:val="left"/>
      <w:pPr>
        <w:ind w:left="720" w:hanging="500"/>
      </w:pPr>
      <w:rPr>
        <w:rFonts w:hint="default"/>
      </w:rPr>
    </w:lvl>
    <w:lvl w:ilvl="1" w:tplc="E0FEFF70">
      <w:start w:val="1"/>
      <w:numFmt w:val="lowerLetter"/>
      <w:lvlText w:val="%2."/>
      <w:lvlJc w:val="left"/>
      <w:pPr>
        <w:ind w:left="1440" w:hanging="500"/>
      </w:pPr>
      <w:rPr>
        <w:rFonts w:hint="default"/>
      </w:r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6" w15:restartNumberingAfterBreak="0">
    <w:nsid w:val="476401A2"/>
    <w:multiLevelType w:val="hybridMultilevel"/>
    <w:tmpl w:val="823A73A0"/>
    <w:lvl w:ilvl="0" w:tplc="2E70C8D0">
      <w:start w:val="1"/>
      <w:numFmt w:val="decimal"/>
      <w:lvlText w:val="%1."/>
      <w:lvlJc w:val="left"/>
      <w:pPr>
        <w:ind w:left="940" w:hanging="360"/>
      </w:pPr>
      <w:rPr>
        <w:rFonts w:ascii="Calibri" w:eastAsia="Calibri" w:hAnsi="Calibri" w:cs="Calibri" w:hint="default"/>
        <w:b w:val="0"/>
        <w:bCs w:val="0"/>
        <w:i w:val="0"/>
        <w:iCs w:val="0"/>
        <w:spacing w:val="0"/>
        <w:w w:val="100"/>
        <w:sz w:val="22"/>
        <w:szCs w:val="22"/>
        <w:lang w:val="en-US" w:eastAsia="en-US" w:bidi="ar-SA"/>
      </w:rPr>
    </w:lvl>
    <w:lvl w:ilvl="1" w:tplc="5A7A8C02">
      <w:numFmt w:val="bullet"/>
      <w:lvlText w:val="•"/>
      <w:lvlJc w:val="left"/>
      <w:pPr>
        <w:ind w:left="1792" w:hanging="360"/>
      </w:pPr>
      <w:rPr>
        <w:rFonts w:hint="default"/>
        <w:lang w:val="en-US" w:eastAsia="en-US" w:bidi="ar-SA"/>
      </w:rPr>
    </w:lvl>
    <w:lvl w:ilvl="2" w:tplc="B3C03B30">
      <w:numFmt w:val="bullet"/>
      <w:lvlText w:val="•"/>
      <w:lvlJc w:val="left"/>
      <w:pPr>
        <w:ind w:left="2645" w:hanging="360"/>
      </w:pPr>
      <w:rPr>
        <w:rFonts w:hint="default"/>
        <w:lang w:val="en-US" w:eastAsia="en-US" w:bidi="ar-SA"/>
      </w:rPr>
    </w:lvl>
    <w:lvl w:ilvl="3" w:tplc="121ADEC0">
      <w:numFmt w:val="bullet"/>
      <w:lvlText w:val="•"/>
      <w:lvlJc w:val="left"/>
      <w:pPr>
        <w:ind w:left="3497" w:hanging="360"/>
      </w:pPr>
      <w:rPr>
        <w:rFonts w:hint="default"/>
        <w:lang w:val="en-US" w:eastAsia="en-US" w:bidi="ar-SA"/>
      </w:rPr>
    </w:lvl>
    <w:lvl w:ilvl="4" w:tplc="F54AB752">
      <w:numFmt w:val="bullet"/>
      <w:lvlText w:val="•"/>
      <w:lvlJc w:val="left"/>
      <w:pPr>
        <w:ind w:left="4350" w:hanging="360"/>
      </w:pPr>
      <w:rPr>
        <w:rFonts w:hint="default"/>
        <w:lang w:val="en-US" w:eastAsia="en-US" w:bidi="ar-SA"/>
      </w:rPr>
    </w:lvl>
    <w:lvl w:ilvl="5" w:tplc="5050974A">
      <w:numFmt w:val="bullet"/>
      <w:lvlText w:val="•"/>
      <w:lvlJc w:val="left"/>
      <w:pPr>
        <w:ind w:left="5203" w:hanging="360"/>
      </w:pPr>
      <w:rPr>
        <w:rFonts w:hint="default"/>
        <w:lang w:val="en-US" w:eastAsia="en-US" w:bidi="ar-SA"/>
      </w:rPr>
    </w:lvl>
    <w:lvl w:ilvl="6" w:tplc="831672EA">
      <w:numFmt w:val="bullet"/>
      <w:lvlText w:val="•"/>
      <w:lvlJc w:val="left"/>
      <w:pPr>
        <w:ind w:left="6055" w:hanging="360"/>
      </w:pPr>
      <w:rPr>
        <w:rFonts w:hint="default"/>
        <w:lang w:val="en-US" w:eastAsia="en-US" w:bidi="ar-SA"/>
      </w:rPr>
    </w:lvl>
    <w:lvl w:ilvl="7" w:tplc="FEA6F3F0">
      <w:numFmt w:val="bullet"/>
      <w:lvlText w:val="•"/>
      <w:lvlJc w:val="left"/>
      <w:pPr>
        <w:ind w:left="6908" w:hanging="360"/>
      </w:pPr>
      <w:rPr>
        <w:rFonts w:hint="default"/>
        <w:lang w:val="en-US" w:eastAsia="en-US" w:bidi="ar-SA"/>
      </w:rPr>
    </w:lvl>
    <w:lvl w:ilvl="8" w:tplc="F6BC5210">
      <w:numFmt w:val="bullet"/>
      <w:lvlText w:val="•"/>
      <w:lvlJc w:val="left"/>
      <w:pPr>
        <w:ind w:left="7761" w:hanging="360"/>
      </w:pPr>
      <w:rPr>
        <w:rFonts w:hint="default"/>
        <w:lang w:val="en-US" w:eastAsia="en-US" w:bidi="ar-SA"/>
      </w:rPr>
    </w:lvl>
  </w:abstractNum>
  <w:abstractNum w:abstractNumId="7" w15:restartNumberingAfterBreak="0">
    <w:nsid w:val="53390709"/>
    <w:multiLevelType w:val="hybridMultilevel"/>
    <w:tmpl w:val="0F5EFEB6"/>
    <w:lvl w:ilvl="0" w:tplc="0C090001">
      <w:start w:val="1"/>
      <w:numFmt w:val="bullet"/>
      <w:lvlText w:val=""/>
      <w:lvlJc w:val="left"/>
      <w:pPr>
        <w:ind w:left="940" w:hanging="360"/>
      </w:pPr>
      <w:rPr>
        <w:rFonts w:ascii="Symbol" w:hAnsi="Symbol"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8" w15:restartNumberingAfterBreak="0">
    <w:nsid w:val="62EC5282"/>
    <w:multiLevelType w:val="hybridMultilevel"/>
    <w:tmpl w:val="16C4CD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725905E6"/>
    <w:multiLevelType w:val="multilevel"/>
    <w:tmpl w:val="C6845430"/>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79"/>
        </w:tabs>
        <w:ind w:left="879" w:hanging="737"/>
      </w:pPr>
      <w:rPr>
        <w:rFonts w:hint="default"/>
      </w:rPr>
    </w:lvl>
    <w:lvl w:ilvl="2">
      <w:start w:val="1"/>
      <w:numFmt w:val="decimal"/>
      <w:pStyle w:val="Heading3"/>
      <w:lvlText w:val="%1.%2.%3."/>
      <w:lvlJc w:val="left"/>
      <w:pPr>
        <w:tabs>
          <w:tab w:val="num" w:pos="907"/>
        </w:tabs>
        <w:ind w:left="907" w:hanging="90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7F840BC"/>
    <w:multiLevelType w:val="hybridMultilevel"/>
    <w:tmpl w:val="5F605C70"/>
    <w:lvl w:ilvl="0" w:tplc="08090011">
      <w:start w:val="1"/>
      <w:numFmt w:val="decimal"/>
      <w:lvlText w:val="%1)"/>
      <w:lvlJc w:val="left"/>
      <w:pPr>
        <w:ind w:left="940" w:hanging="360"/>
      </w:pPr>
    </w:lvl>
    <w:lvl w:ilvl="1" w:tplc="08090019" w:tentative="1">
      <w:start w:val="1"/>
      <w:numFmt w:val="lowerLetter"/>
      <w:lvlText w:val="%2."/>
      <w:lvlJc w:val="left"/>
      <w:pPr>
        <w:ind w:left="1660" w:hanging="360"/>
      </w:pPr>
    </w:lvl>
    <w:lvl w:ilvl="2" w:tplc="0809001B" w:tentative="1">
      <w:start w:val="1"/>
      <w:numFmt w:val="lowerRoman"/>
      <w:lvlText w:val="%3."/>
      <w:lvlJc w:val="right"/>
      <w:pPr>
        <w:ind w:left="2380" w:hanging="180"/>
      </w:pPr>
    </w:lvl>
    <w:lvl w:ilvl="3" w:tplc="0809000F" w:tentative="1">
      <w:start w:val="1"/>
      <w:numFmt w:val="decimal"/>
      <w:lvlText w:val="%4."/>
      <w:lvlJc w:val="left"/>
      <w:pPr>
        <w:ind w:left="3100" w:hanging="360"/>
      </w:pPr>
    </w:lvl>
    <w:lvl w:ilvl="4" w:tplc="08090019" w:tentative="1">
      <w:start w:val="1"/>
      <w:numFmt w:val="lowerLetter"/>
      <w:lvlText w:val="%5."/>
      <w:lvlJc w:val="left"/>
      <w:pPr>
        <w:ind w:left="3820" w:hanging="360"/>
      </w:pPr>
    </w:lvl>
    <w:lvl w:ilvl="5" w:tplc="0809001B" w:tentative="1">
      <w:start w:val="1"/>
      <w:numFmt w:val="lowerRoman"/>
      <w:lvlText w:val="%6."/>
      <w:lvlJc w:val="right"/>
      <w:pPr>
        <w:ind w:left="4540" w:hanging="180"/>
      </w:pPr>
    </w:lvl>
    <w:lvl w:ilvl="6" w:tplc="0809000F" w:tentative="1">
      <w:start w:val="1"/>
      <w:numFmt w:val="decimal"/>
      <w:lvlText w:val="%7."/>
      <w:lvlJc w:val="left"/>
      <w:pPr>
        <w:ind w:left="5260" w:hanging="360"/>
      </w:pPr>
    </w:lvl>
    <w:lvl w:ilvl="7" w:tplc="08090019" w:tentative="1">
      <w:start w:val="1"/>
      <w:numFmt w:val="lowerLetter"/>
      <w:lvlText w:val="%8."/>
      <w:lvlJc w:val="left"/>
      <w:pPr>
        <w:ind w:left="5980" w:hanging="360"/>
      </w:pPr>
    </w:lvl>
    <w:lvl w:ilvl="8" w:tplc="0809001B" w:tentative="1">
      <w:start w:val="1"/>
      <w:numFmt w:val="lowerRoman"/>
      <w:lvlText w:val="%9."/>
      <w:lvlJc w:val="right"/>
      <w:pPr>
        <w:ind w:left="6700" w:hanging="180"/>
      </w:pPr>
    </w:lvl>
  </w:abstractNum>
  <w:num w:numId="1" w16cid:durableId="880634029">
    <w:abstractNumId w:val="2"/>
  </w:num>
  <w:num w:numId="2" w16cid:durableId="1642729021">
    <w:abstractNumId w:val="6"/>
  </w:num>
  <w:num w:numId="3" w16cid:durableId="1912807178">
    <w:abstractNumId w:val="4"/>
  </w:num>
  <w:num w:numId="4" w16cid:durableId="1889367797">
    <w:abstractNumId w:val="3"/>
  </w:num>
  <w:num w:numId="5" w16cid:durableId="999969104">
    <w:abstractNumId w:val="9"/>
  </w:num>
  <w:num w:numId="6" w16cid:durableId="214777008">
    <w:abstractNumId w:val="10"/>
  </w:num>
  <w:num w:numId="7" w16cid:durableId="1801260411">
    <w:abstractNumId w:val="1"/>
  </w:num>
  <w:num w:numId="8" w16cid:durableId="1773821960">
    <w:abstractNumId w:val="0"/>
  </w:num>
  <w:num w:numId="9" w16cid:durableId="1034774550">
    <w:abstractNumId w:val="5"/>
  </w:num>
  <w:num w:numId="10" w16cid:durableId="1977026733">
    <w:abstractNumId w:val="7"/>
  </w:num>
  <w:num w:numId="11" w16cid:durableId="14931338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3B"/>
    <w:rsid w:val="00000718"/>
    <w:rsid w:val="000010B1"/>
    <w:rsid w:val="00001F87"/>
    <w:rsid w:val="00002FBD"/>
    <w:rsid w:val="00002FCB"/>
    <w:rsid w:val="00003584"/>
    <w:rsid w:val="00003AD2"/>
    <w:rsid w:val="00003C1E"/>
    <w:rsid w:val="000046F1"/>
    <w:rsid w:val="0000472E"/>
    <w:rsid w:val="000063A8"/>
    <w:rsid w:val="000071C8"/>
    <w:rsid w:val="00007F80"/>
    <w:rsid w:val="00007FED"/>
    <w:rsid w:val="00011190"/>
    <w:rsid w:val="00011767"/>
    <w:rsid w:val="000120ED"/>
    <w:rsid w:val="00012116"/>
    <w:rsid w:val="000122B2"/>
    <w:rsid w:val="000134B4"/>
    <w:rsid w:val="000139C6"/>
    <w:rsid w:val="000153FF"/>
    <w:rsid w:val="0001617F"/>
    <w:rsid w:val="000179A4"/>
    <w:rsid w:val="000206A4"/>
    <w:rsid w:val="00021129"/>
    <w:rsid w:val="00021E18"/>
    <w:rsid w:val="000226F1"/>
    <w:rsid w:val="00023E34"/>
    <w:rsid w:val="00024BC9"/>
    <w:rsid w:val="000257D6"/>
    <w:rsid w:val="0002589A"/>
    <w:rsid w:val="00025FD6"/>
    <w:rsid w:val="0002683A"/>
    <w:rsid w:val="00027084"/>
    <w:rsid w:val="000301F8"/>
    <w:rsid w:val="00030485"/>
    <w:rsid w:val="000304F2"/>
    <w:rsid w:val="00031A91"/>
    <w:rsid w:val="00032D01"/>
    <w:rsid w:val="0003353B"/>
    <w:rsid w:val="0003357F"/>
    <w:rsid w:val="0003416F"/>
    <w:rsid w:val="00034363"/>
    <w:rsid w:val="0003494E"/>
    <w:rsid w:val="00034B65"/>
    <w:rsid w:val="00036BB4"/>
    <w:rsid w:val="00040D30"/>
    <w:rsid w:val="000410CC"/>
    <w:rsid w:val="00041857"/>
    <w:rsid w:val="00041879"/>
    <w:rsid w:val="00043A46"/>
    <w:rsid w:val="00044618"/>
    <w:rsid w:val="00044C2A"/>
    <w:rsid w:val="000451B6"/>
    <w:rsid w:val="00045CCF"/>
    <w:rsid w:val="00046895"/>
    <w:rsid w:val="00047163"/>
    <w:rsid w:val="000476DD"/>
    <w:rsid w:val="00047D3E"/>
    <w:rsid w:val="0005002E"/>
    <w:rsid w:val="000505C8"/>
    <w:rsid w:val="00050B11"/>
    <w:rsid w:val="00051599"/>
    <w:rsid w:val="000521FE"/>
    <w:rsid w:val="00052C6B"/>
    <w:rsid w:val="000539D8"/>
    <w:rsid w:val="00053F14"/>
    <w:rsid w:val="00054814"/>
    <w:rsid w:val="00054860"/>
    <w:rsid w:val="00054D39"/>
    <w:rsid w:val="00055F08"/>
    <w:rsid w:val="000574DD"/>
    <w:rsid w:val="0006183D"/>
    <w:rsid w:val="000626DF"/>
    <w:rsid w:val="000632D4"/>
    <w:rsid w:val="00063D8D"/>
    <w:rsid w:val="00065D11"/>
    <w:rsid w:val="00066A33"/>
    <w:rsid w:val="00066CB3"/>
    <w:rsid w:val="000679DA"/>
    <w:rsid w:val="00067A1B"/>
    <w:rsid w:val="00067BB6"/>
    <w:rsid w:val="00070173"/>
    <w:rsid w:val="000716D3"/>
    <w:rsid w:val="00071C8F"/>
    <w:rsid w:val="00071F69"/>
    <w:rsid w:val="00072380"/>
    <w:rsid w:val="00073915"/>
    <w:rsid w:val="00074763"/>
    <w:rsid w:val="00075CCF"/>
    <w:rsid w:val="0007639A"/>
    <w:rsid w:val="000772E0"/>
    <w:rsid w:val="000778F2"/>
    <w:rsid w:val="00077A85"/>
    <w:rsid w:val="0008016B"/>
    <w:rsid w:val="0008093B"/>
    <w:rsid w:val="0008254B"/>
    <w:rsid w:val="000834C0"/>
    <w:rsid w:val="00085B68"/>
    <w:rsid w:val="000869EE"/>
    <w:rsid w:val="00090D5B"/>
    <w:rsid w:val="00090FD8"/>
    <w:rsid w:val="000914FE"/>
    <w:rsid w:val="000920B7"/>
    <w:rsid w:val="000928F5"/>
    <w:rsid w:val="000935F0"/>
    <w:rsid w:val="000952E8"/>
    <w:rsid w:val="000955F5"/>
    <w:rsid w:val="00097CC9"/>
    <w:rsid w:val="000A01E7"/>
    <w:rsid w:val="000A38BC"/>
    <w:rsid w:val="000A38C6"/>
    <w:rsid w:val="000A39CA"/>
    <w:rsid w:val="000A3C87"/>
    <w:rsid w:val="000A4346"/>
    <w:rsid w:val="000A4F34"/>
    <w:rsid w:val="000A6773"/>
    <w:rsid w:val="000A73E7"/>
    <w:rsid w:val="000A74A3"/>
    <w:rsid w:val="000B00BC"/>
    <w:rsid w:val="000B2D84"/>
    <w:rsid w:val="000B2FC8"/>
    <w:rsid w:val="000B348C"/>
    <w:rsid w:val="000B34F2"/>
    <w:rsid w:val="000B39DD"/>
    <w:rsid w:val="000B3A70"/>
    <w:rsid w:val="000B52CB"/>
    <w:rsid w:val="000B5941"/>
    <w:rsid w:val="000C0A34"/>
    <w:rsid w:val="000C0FFB"/>
    <w:rsid w:val="000C11F1"/>
    <w:rsid w:val="000C148E"/>
    <w:rsid w:val="000C1BA0"/>
    <w:rsid w:val="000C1E94"/>
    <w:rsid w:val="000C2C92"/>
    <w:rsid w:val="000C3925"/>
    <w:rsid w:val="000C3E33"/>
    <w:rsid w:val="000C4526"/>
    <w:rsid w:val="000C5044"/>
    <w:rsid w:val="000C5C65"/>
    <w:rsid w:val="000C5EC5"/>
    <w:rsid w:val="000C65DE"/>
    <w:rsid w:val="000C6AF7"/>
    <w:rsid w:val="000D0F0C"/>
    <w:rsid w:val="000D1B05"/>
    <w:rsid w:val="000D1E49"/>
    <w:rsid w:val="000D2B78"/>
    <w:rsid w:val="000D39A0"/>
    <w:rsid w:val="000D3E4E"/>
    <w:rsid w:val="000D4942"/>
    <w:rsid w:val="000D4F17"/>
    <w:rsid w:val="000D4F93"/>
    <w:rsid w:val="000D688E"/>
    <w:rsid w:val="000D6B56"/>
    <w:rsid w:val="000D70C6"/>
    <w:rsid w:val="000D70DA"/>
    <w:rsid w:val="000E13B2"/>
    <w:rsid w:val="000E1FA4"/>
    <w:rsid w:val="000E46FA"/>
    <w:rsid w:val="000E5AB8"/>
    <w:rsid w:val="000E5FA3"/>
    <w:rsid w:val="000E65B5"/>
    <w:rsid w:val="000E679D"/>
    <w:rsid w:val="000E7AC0"/>
    <w:rsid w:val="000F00F3"/>
    <w:rsid w:val="000F1674"/>
    <w:rsid w:val="000F1D5D"/>
    <w:rsid w:val="000F25FC"/>
    <w:rsid w:val="000F6CAA"/>
    <w:rsid w:val="000F7015"/>
    <w:rsid w:val="000F7211"/>
    <w:rsid w:val="00100C1B"/>
    <w:rsid w:val="00101623"/>
    <w:rsid w:val="001022E1"/>
    <w:rsid w:val="001023AA"/>
    <w:rsid w:val="0010359C"/>
    <w:rsid w:val="00104AE4"/>
    <w:rsid w:val="0010548A"/>
    <w:rsid w:val="001057D3"/>
    <w:rsid w:val="001068C5"/>
    <w:rsid w:val="00110D5D"/>
    <w:rsid w:val="00110F5C"/>
    <w:rsid w:val="001120C5"/>
    <w:rsid w:val="001136E7"/>
    <w:rsid w:val="00114686"/>
    <w:rsid w:val="001168D8"/>
    <w:rsid w:val="00116AAC"/>
    <w:rsid w:val="0011794E"/>
    <w:rsid w:val="001217B9"/>
    <w:rsid w:val="00121B6E"/>
    <w:rsid w:val="00121CFD"/>
    <w:rsid w:val="00123687"/>
    <w:rsid w:val="00124989"/>
    <w:rsid w:val="001249D6"/>
    <w:rsid w:val="00125C68"/>
    <w:rsid w:val="00127A1F"/>
    <w:rsid w:val="00127CAB"/>
    <w:rsid w:val="00127D75"/>
    <w:rsid w:val="00131255"/>
    <w:rsid w:val="001315F8"/>
    <w:rsid w:val="00131F72"/>
    <w:rsid w:val="001331C9"/>
    <w:rsid w:val="0013432E"/>
    <w:rsid w:val="00135824"/>
    <w:rsid w:val="00135D70"/>
    <w:rsid w:val="00135DF8"/>
    <w:rsid w:val="00137B31"/>
    <w:rsid w:val="00137CC5"/>
    <w:rsid w:val="00137EF6"/>
    <w:rsid w:val="001412A0"/>
    <w:rsid w:val="001412C2"/>
    <w:rsid w:val="00141AC7"/>
    <w:rsid w:val="00141FB6"/>
    <w:rsid w:val="001421E1"/>
    <w:rsid w:val="00142BCD"/>
    <w:rsid w:val="0014428B"/>
    <w:rsid w:val="001449F2"/>
    <w:rsid w:val="00144B8D"/>
    <w:rsid w:val="00146C83"/>
    <w:rsid w:val="00146F8C"/>
    <w:rsid w:val="00151930"/>
    <w:rsid w:val="001530F5"/>
    <w:rsid w:val="00154350"/>
    <w:rsid w:val="0015437D"/>
    <w:rsid w:val="00154C3B"/>
    <w:rsid w:val="00156710"/>
    <w:rsid w:val="00157DC5"/>
    <w:rsid w:val="0016007F"/>
    <w:rsid w:val="001601B1"/>
    <w:rsid w:val="00160966"/>
    <w:rsid w:val="0016114F"/>
    <w:rsid w:val="00161587"/>
    <w:rsid w:val="001615AF"/>
    <w:rsid w:val="00163388"/>
    <w:rsid w:val="00163A61"/>
    <w:rsid w:val="00166720"/>
    <w:rsid w:val="00166967"/>
    <w:rsid w:val="00167D28"/>
    <w:rsid w:val="00171B0E"/>
    <w:rsid w:val="00171F45"/>
    <w:rsid w:val="00172613"/>
    <w:rsid w:val="00172EB8"/>
    <w:rsid w:val="00172ED2"/>
    <w:rsid w:val="00172EF0"/>
    <w:rsid w:val="001737B0"/>
    <w:rsid w:val="00175186"/>
    <w:rsid w:val="00175300"/>
    <w:rsid w:val="0017555E"/>
    <w:rsid w:val="001763B0"/>
    <w:rsid w:val="00176FC1"/>
    <w:rsid w:val="0017718E"/>
    <w:rsid w:val="00177587"/>
    <w:rsid w:val="001779FE"/>
    <w:rsid w:val="001801F9"/>
    <w:rsid w:val="001802AE"/>
    <w:rsid w:val="00180F74"/>
    <w:rsid w:val="00181C02"/>
    <w:rsid w:val="00182A2C"/>
    <w:rsid w:val="00185939"/>
    <w:rsid w:val="00185D68"/>
    <w:rsid w:val="001902BB"/>
    <w:rsid w:val="00191803"/>
    <w:rsid w:val="00191D46"/>
    <w:rsid w:val="0019417D"/>
    <w:rsid w:val="00194836"/>
    <w:rsid w:val="001950F8"/>
    <w:rsid w:val="00195506"/>
    <w:rsid w:val="00196497"/>
    <w:rsid w:val="00197BAF"/>
    <w:rsid w:val="001A1B2F"/>
    <w:rsid w:val="001A1DF8"/>
    <w:rsid w:val="001A2CB5"/>
    <w:rsid w:val="001A317C"/>
    <w:rsid w:val="001A351B"/>
    <w:rsid w:val="001A3E5A"/>
    <w:rsid w:val="001A42D3"/>
    <w:rsid w:val="001A4A27"/>
    <w:rsid w:val="001A4DD2"/>
    <w:rsid w:val="001A5A42"/>
    <w:rsid w:val="001A5DDA"/>
    <w:rsid w:val="001A5F7D"/>
    <w:rsid w:val="001A71E9"/>
    <w:rsid w:val="001A7645"/>
    <w:rsid w:val="001A7772"/>
    <w:rsid w:val="001B0056"/>
    <w:rsid w:val="001B045B"/>
    <w:rsid w:val="001B0799"/>
    <w:rsid w:val="001B08EE"/>
    <w:rsid w:val="001B0CA1"/>
    <w:rsid w:val="001B1BA6"/>
    <w:rsid w:val="001B2419"/>
    <w:rsid w:val="001B2AF8"/>
    <w:rsid w:val="001B2D56"/>
    <w:rsid w:val="001B30A3"/>
    <w:rsid w:val="001B3E58"/>
    <w:rsid w:val="001B4590"/>
    <w:rsid w:val="001B5760"/>
    <w:rsid w:val="001B5B5A"/>
    <w:rsid w:val="001B65B7"/>
    <w:rsid w:val="001C0117"/>
    <w:rsid w:val="001C0513"/>
    <w:rsid w:val="001C0B55"/>
    <w:rsid w:val="001C0D3F"/>
    <w:rsid w:val="001C0FEE"/>
    <w:rsid w:val="001C13FA"/>
    <w:rsid w:val="001C2A57"/>
    <w:rsid w:val="001C2F83"/>
    <w:rsid w:val="001C45AA"/>
    <w:rsid w:val="001C5073"/>
    <w:rsid w:val="001C5C3E"/>
    <w:rsid w:val="001D07B6"/>
    <w:rsid w:val="001D0EF3"/>
    <w:rsid w:val="001D110F"/>
    <w:rsid w:val="001D1381"/>
    <w:rsid w:val="001D1813"/>
    <w:rsid w:val="001D2341"/>
    <w:rsid w:val="001D2FC2"/>
    <w:rsid w:val="001D3CFB"/>
    <w:rsid w:val="001D3D68"/>
    <w:rsid w:val="001D3E22"/>
    <w:rsid w:val="001D4F57"/>
    <w:rsid w:val="001D510D"/>
    <w:rsid w:val="001D74BF"/>
    <w:rsid w:val="001D77E4"/>
    <w:rsid w:val="001D7B4D"/>
    <w:rsid w:val="001E02B2"/>
    <w:rsid w:val="001E145B"/>
    <w:rsid w:val="001E17DD"/>
    <w:rsid w:val="001E2725"/>
    <w:rsid w:val="001E3C46"/>
    <w:rsid w:val="001E53BC"/>
    <w:rsid w:val="001E6452"/>
    <w:rsid w:val="001E692C"/>
    <w:rsid w:val="001E7853"/>
    <w:rsid w:val="001E78C2"/>
    <w:rsid w:val="001E7B6B"/>
    <w:rsid w:val="001F0BFB"/>
    <w:rsid w:val="001F1044"/>
    <w:rsid w:val="001F156E"/>
    <w:rsid w:val="001F21BC"/>
    <w:rsid w:val="001F489A"/>
    <w:rsid w:val="001F5902"/>
    <w:rsid w:val="001F6939"/>
    <w:rsid w:val="001F73AC"/>
    <w:rsid w:val="001F73D4"/>
    <w:rsid w:val="002002C0"/>
    <w:rsid w:val="00200361"/>
    <w:rsid w:val="002004C6"/>
    <w:rsid w:val="00200592"/>
    <w:rsid w:val="002014A1"/>
    <w:rsid w:val="0020271E"/>
    <w:rsid w:val="00203AB8"/>
    <w:rsid w:val="002047D2"/>
    <w:rsid w:val="00204859"/>
    <w:rsid w:val="002061EE"/>
    <w:rsid w:val="00206A02"/>
    <w:rsid w:val="00207596"/>
    <w:rsid w:val="00207704"/>
    <w:rsid w:val="00210D76"/>
    <w:rsid w:val="00213711"/>
    <w:rsid w:val="0021401C"/>
    <w:rsid w:val="002142AA"/>
    <w:rsid w:val="00214FFD"/>
    <w:rsid w:val="00215708"/>
    <w:rsid w:val="00215924"/>
    <w:rsid w:val="00216DCB"/>
    <w:rsid w:val="002203EB"/>
    <w:rsid w:val="002207AF"/>
    <w:rsid w:val="00222D63"/>
    <w:rsid w:val="00224348"/>
    <w:rsid w:val="002256E0"/>
    <w:rsid w:val="00227791"/>
    <w:rsid w:val="00230F5D"/>
    <w:rsid w:val="00231701"/>
    <w:rsid w:val="002330F0"/>
    <w:rsid w:val="002334BB"/>
    <w:rsid w:val="00236B9E"/>
    <w:rsid w:val="00237688"/>
    <w:rsid w:val="00240486"/>
    <w:rsid w:val="002406BC"/>
    <w:rsid w:val="00240763"/>
    <w:rsid w:val="00241315"/>
    <w:rsid w:val="00244B8B"/>
    <w:rsid w:val="00246645"/>
    <w:rsid w:val="00247E32"/>
    <w:rsid w:val="00251254"/>
    <w:rsid w:val="0025209D"/>
    <w:rsid w:val="00252D03"/>
    <w:rsid w:val="002530A9"/>
    <w:rsid w:val="002535C4"/>
    <w:rsid w:val="00253B61"/>
    <w:rsid w:val="00255EDB"/>
    <w:rsid w:val="00256E07"/>
    <w:rsid w:val="0026241D"/>
    <w:rsid w:val="00264519"/>
    <w:rsid w:val="002653F9"/>
    <w:rsid w:val="002656D9"/>
    <w:rsid w:val="0026714D"/>
    <w:rsid w:val="002711EE"/>
    <w:rsid w:val="00272BBF"/>
    <w:rsid w:val="00272CEC"/>
    <w:rsid w:val="00272E65"/>
    <w:rsid w:val="0027656F"/>
    <w:rsid w:val="002769EA"/>
    <w:rsid w:val="00280913"/>
    <w:rsid w:val="00281794"/>
    <w:rsid w:val="0028252C"/>
    <w:rsid w:val="00283595"/>
    <w:rsid w:val="00284B48"/>
    <w:rsid w:val="00284BD9"/>
    <w:rsid w:val="0028572B"/>
    <w:rsid w:val="00285E7C"/>
    <w:rsid w:val="0028632A"/>
    <w:rsid w:val="0028707F"/>
    <w:rsid w:val="00287545"/>
    <w:rsid w:val="002877B2"/>
    <w:rsid w:val="002908B9"/>
    <w:rsid w:val="00290E60"/>
    <w:rsid w:val="00292A3A"/>
    <w:rsid w:val="00294240"/>
    <w:rsid w:val="002945A7"/>
    <w:rsid w:val="002947FC"/>
    <w:rsid w:val="00296264"/>
    <w:rsid w:val="002966DF"/>
    <w:rsid w:val="00297368"/>
    <w:rsid w:val="002973FD"/>
    <w:rsid w:val="002A0808"/>
    <w:rsid w:val="002A16C9"/>
    <w:rsid w:val="002A223D"/>
    <w:rsid w:val="002A328B"/>
    <w:rsid w:val="002A4542"/>
    <w:rsid w:val="002A56E0"/>
    <w:rsid w:val="002A582D"/>
    <w:rsid w:val="002A60D3"/>
    <w:rsid w:val="002B0F13"/>
    <w:rsid w:val="002B3589"/>
    <w:rsid w:val="002B35F5"/>
    <w:rsid w:val="002B5CD5"/>
    <w:rsid w:val="002B7A69"/>
    <w:rsid w:val="002B7C14"/>
    <w:rsid w:val="002B7F6A"/>
    <w:rsid w:val="002C19C9"/>
    <w:rsid w:val="002C1BD4"/>
    <w:rsid w:val="002C1F27"/>
    <w:rsid w:val="002C27AD"/>
    <w:rsid w:val="002C2B11"/>
    <w:rsid w:val="002C3832"/>
    <w:rsid w:val="002C38F6"/>
    <w:rsid w:val="002C4DB7"/>
    <w:rsid w:val="002C540E"/>
    <w:rsid w:val="002C5414"/>
    <w:rsid w:val="002C5694"/>
    <w:rsid w:val="002C65CB"/>
    <w:rsid w:val="002C7228"/>
    <w:rsid w:val="002C76AC"/>
    <w:rsid w:val="002C7826"/>
    <w:rsid w:val="002C795F"/>
    <w:rsid w:val="002C7B20"/>
    <w:rsid w:val="002D04E1"/>
    <w:rsid w:val="002D0613"/>
    <w:rsid w:val="002D0AA0"/>
    <w:rsid w:val="002D15DF"/>
    <w:rsid w:val="002D2CA9"/>
    <w:rsid w:val="002D3115"/>
    <w:rsid w:val="002D33E7"/>
    <w:rsid w:val="002D4CF0"/>
    <w:rsid w:val="002D4EFC"/>
    <w:rsid w:val="002D53C5"/>
    <w:rsid w:val="002D6828"/>
    <w:rsid w:val="002D69FB"/>
    <w:rsid w:val="002D6EF1"/>
    <w:rsid w:val="002D70CB"/>
    <w:rsid w:val="002D7EE0"/>
    <w:rsid w:val="002E0375"/>
    <w:rsid w:val="002E2080"/>
    <w:rsid w:val="002E4BC6"/>
    <w:rsid w:val="002E4BFF"/>
    <w:rsid w:val="002E5539"/>
    <w:rsid w:val="002E628F"/>
    <w:rsid w:val="002E65F9"/>
    <w:rsid w:val="002E7AF4"/>
    <w:rsid w:val="002F02B9"/>
    <w:rsid w:val="002F030E"/>
    <w:rsid w:val="002F0942"/>
    <w:rsid w:val="002F0EA3"/>
    <w:rsid w:val="002F1289"/>
    <w:rsid w:val="002F2B8A"/>
    <w:rsid w:val="002F39A2"/>
    <w:rsid w:val="002F3ECD"/>
    <w:rsid w:val="002F4015"/>
    <w:rsid w:val="002F4281"/>
    <w:rsid w:val="002F4A81"/>
    <w:rsid w:val="002F50F4"/>
    <w:rsid w:val="002F5165"/>
    <w:rsid w:val="002F54ED"/>
    <w:rsid w:val="002F5C2E"/>
    <w:rsid w:val="002F6538"/>
    <w:rsid w:val="002F7283"/>
    <w:rsid w:val="003008AB"/>
    <w:rsid w:val="00303941"/>
    <w:rsid w:val="00304BCE"/>
    <w:rsid w:val="003063DC"/>
    <w:rsid w:val="00306672"/>
    <w:rsid w:val="00306719"/>
    <w:rsid w:val="00307191"/>
    <w:rsid w:val="003108A6"/>
    <w:rsid w:val="00310C3C"/>
    <w:rsid w:val="00313A0C"/>
    <w:rsid w:val="00313AC6"/>
    <w:rsid w:val="00313D13"/>
    <w:rsid w:val="00315322"/>
    <w:rsid w:val="00316B64"/>
    <w:rsid w:val="00320E1F"/>
    <w:rsid w:val="00322DFA"/>
    <w:rsid w:val="00324999"/>
    <w:rsid w:val="0032536F"/>
    <w:rsid w:val="00325783"/>
    <w:rsid w:val="003258A8"/>
    <w:rsid w:val="00325B90"/>
    <w:rsid w:val="003260C1"/>
    <w:rsid w:val="00326699"/>
    <w:rsid w:val="0032718E"/>
    <w:rsid w:val="00327DA1"/>
    <w:rsid w:val="003319AC"/>
    <w:rsid w:val="00331BAF"/>
    <w:rsid w:val="00331E15"/>
    <w:rsid w:val="003327BE"/>
    <w:rsid w:val="0033390E"/>
    <w:rsid w:val="00333AD7"/>
    <w:rsid w:val="00335093"/>
    <w:rsid w:val="00336211"/>
    <w:rsid w:val="00336AAB"/>
    <w:rsid w:val="0033727E"/>
    <w:rsid w:val="00340A2E"/>
    <w:rsid w:val="00345BA1"/>
    <w:rsid w:val="00345F2E"/>
    <w:rsid w:val="00346B84"/>
    <w:rsid w:val="00346BB9"/>
    <w:rsid w:val="003476D8"/>
    <w:rsid w:val="00350E3A"/>
    <w:rsid w:val="00351824"/>
    <w:rsid w:val="00351BBD"/>
    <w:rsid w:val="003520AB"/>
    <w:rsid w:val="00352E77"/>
    <w:rsid w:val="003532E9"/>
    <w:rsid w:val="00353A58"/>
    <w:rsid w:val="0035553A"/>
    <w:rsid w:val="0035590B"/>
    <w:rsid w:val="00355AAA"/>
    <w:rsid w:val="0035778B"/>
    <w:rsid w:val="00363B57"/>
    <w:rsid w:val="00366DB8"/>
    <w:rsid w:val="00367E68"/>
    <w:rsid w:val="003701E0"/>
    <w:rsid w:val="003702C4"/>
    <w:rsid w:val="0037161D"/>
    <w:rsid w:val="003719FF"/>
    <w:rsid w:val="00371D3A"/>
    <w:rsid w:val="003722D0"/>
    <w:rsid w:val="00372528"/>
    <w:rsid w:val="00372B0D"/>
    <w:rsid w:val="0037304F"/>
    <w:rsid w:val="00373A71"/>
    <w:rsid w:val="00373C67"/>
    <w:rsid w:val="0037447C"/>
    <w:rsid w:val="00376215"/>
    <w:rsid w:val="00377C14"/>
    <w:rsid w:val="003806DD"/>
    <w:rsid w:val="00382CAB"/>
    <w:rsid w:val="00382F9E"/>
    <w:rsid w:val="00383021"/>
    <w:rsid w:val="00383435"/>
    <w:rsid w:val="00383AC4"/>
    <w:rsid w:val="00383B1F"/>
    <w:rsid w:val="003840CA"/>
    <w:rsid w:val="0038466B"/>
    <w:rsid w:val="00385D7D"/>
    <w:rsid w:val="0038669D"/>
    <w:rsid w:val="0038719F"/>
    <w:rsid w:val="00387FCF"/>
    <w:rsid w:val="0039165A"/>
    <w:rsid w:val="003919B1"/>
    <w:rsid w:val="003937A3"/>
    <w:rsid w:val="00393916"/>
    <w:rsid w:val="003947A7"/>
    <w:rsid w:val="00395416"/>
    <w:rsid w:val="00396700"/>
    <w:rsid w:val="00397544"/>
    <w:rsid w:val="003979BE"/>
    <w:rsid w:val="00397DF7"/>
    <w:rsid w:val="00397FD9"/>
    <w:rsid w:val="003A15BB"/>
    <w:rsid w:val="003A1A9E"/>
    <w:rsid w:val="003A32AE"/>
    <w:rsid w:val="003A33F6"/>
    <w:rsid w:val="003A3FBB"/>
    <w:rsid w:val="003A4414"/>
    <w:rsid w:val="003A4C7B"/>
    <w:rsid w:val="003A5AE3"/>
    <w:rsid w:val="003A7F9F"/>
    <w:rsid w:val="003B018F"/>
    <w:rsid w:val="003B1A45"/>
    <w:rsid w:val="003B3CF9"/>
    <w:rsid w:val="003B42C4"/>
    <w:rsid w:val="003B4CF1"/>
    <w:rsid w:val="003B6241"/>
    <w:rsid w:val="003B66AB"/>
    <w:rsid w:val="003B67F8"/>
    <w:rsid w:val="003B7260"/>
    <w:rsid w:val="003B7B88"/>
    <w:rsid w:val="003B7C4D"/>
    <w:rsid w:val="003C40A7"/>
    <w:rsid w:val="003C4104"/>
    <w:rsid w:val="003C5B73"/>
    <w:rsid w:val="003C633B"/>
    <w:rsid w:val="003C6827"/>
    <w:rsid w:val="003C6FB8"/>
    <w:rsid w:val="003C7016"/>
    <w:rsid w:val="003C7146"/>
    <w:rsid w:val="003C76B4"/>
    <w:rsid w:val="003D04CA"/>
    <w:rsid w:val="003D0785"/>
    <w:rsid w:val="003D13A4"/>
    <w:rsid w:val="003D198A"/>
    <w:rsid w:val="003D1D4F"/>
    <w:rsid w:val="003D3CD7"/>
    <w:rsid w:val="003D54B4"/>
    <w:rsid w:val="003D6474"/>
    <w:rsid w:val="003D7768"/>
    <w:rsid w:val="003D7C72"/>
    <w:rsid w:val="003E16EF"/>
    <w:rsid w:val="003E31A4"/>
    <w:rsid w:val="003E4EE0"/>
    <w:rsid w:val="003E50A4"/>
    <w:rsid w:val="003E67C9"/>
    <w:rsid w:val="003E6BE0"/>
    <w:rsid w:val="003F04FE"/>
    <w:rsid w:val="003F14BB"/>
    <w:rsid w:val="003F1B5D"/>
    <w:rsid w:val="003F2E2D"/>
    <w:rsid w:val="003F3FEC"/>
    <w:rsid w:val="003F6628"/>
    <w:rsid w:val="003F6BAB"/>
    <w:rsid w:val="003F75C2"/>
    <w:rsid w:val="003F765C"/>
    <w:rsid w:val="003F7D02"/>
    <w:rsid w:val="00400439"/>
    <w:rsid w:val="004020BF"/>
    <w:rsid w:val="004021D7"/>
    <w:rsid w:val="004032A0"/>
    <w:rsid w:val="00404027"/>
    <w:rsid w:val="00404810"/>
    <w:rsid w:val="00405EFB"/>
    <w:rsid w:val="00406CEB"/>
    <w:rsid w:val="00406F27"/>
    <w:rsid w:val="00410D29"/>
    <w:rsid w:val="004110D9"/>
    <w:rsid w:val="00411ACF"/>
    <w:rsid w:val="00411E0A"/>
    <w:rsid w:val="004120C7"/>
    <w:rsid w:val="00412E76"/>
    <w:rsid w:val="0041346C"/>
    <w:rsid w:val="00413B30"/>
    <w:rsid w:val="00414F63"/>
    <w:rsid w:val="00416488"/>
    <w:rsid w:val="00416AF2"/>
    <w:rsid w:val="00416B5A"/>
    <w:rsid w:val="00416D04"/>
    <w:rsid w:val="004205EA"/>
    <w:rsid w:val="00421A68"/>
    <w:rsid w:val="0042210C"/>
    <w:rsid w:val="00423045"/>
    <w:rsid w:val="00423574"/>
    <w:rsid w:val="00424384"/>
    <w:rsid w:val="0042511D"/>
    <w:rsid w:val="004252C9"/>
    <w:rsid w:val="0042554C"/>
    <w:rsid w:val="004255AA"/>
    <w:rsid w:val="004257F3"/>
    <w:rsid w:val="00425D8D"/>
    <w:rsid w:val="0042628D"/>
    <w:rsid w:val="0042736E"/>
    <w:rsid w:val="004276F9"/>
    <w:rsid w:val="004277FE"/>
    <w:rsid w:val="00427B26"/>
    <w:rsid w:val="00430930"/>
    <w:rsid w:val="00430F83"/>
    <w:rsid w:val="00431372"/>
    <w:rsid w:val="0043161A"/>
    <w:rsid w:val="00431635"/>
    <w:rsid w:val="00431715"/>
    <w:rsid w:val="00431F71"/>
    <w:rsid w:val="00433EFF"/>
    <w:rsid w:val="00433F60"/>
    <w:rsid w:val="004346A7"/>
    <w:rsid w:val="00434781"/>
    <w:rsid w:val="00434994"/>
    <w:rsid w:val="00434E83"/>
    <w:rsid w:val="00434F69"/>
    <w:rsid w:val="00435095"/>
    <w:rsid w:val="004360FE"/>
    <w:rsid w:val="00437377"/>
    <w:rsid w:val="0043738C"/>
    <w:rsid w:val="004373F5"/>
    <w:rsid w:val="004378AF"/>
    <w:rsid w:val="00441616"/>
    <w:rsid w:val="004428EA"/>
    <w:rsid w:val="0044291A"/>
    <w:rsid w:val="00442EEE"/>
    <w:rsid w:val="0044527B"/>
    <w:rsid w:val="0044540B"/>
    <w:rsid w:val="0044575B"/>
    <w:rsid w:val="00445C25"/>
    <w:rsid w:val="00446EF8"/>
    <w:rsid w:val="00450E91"/>
    <w:rsid w:val="004518A0"/>
    <w:rsid w:val="004519C3"/>
    <w:rsid w:val="0045231C"/>
    <w:rsid w:val="0045301F"/>
    <w:rsid w:val="00453B08"/>
    <w:rsid w:val="00453B64"/>
    <w:rsid w:val="004542B1"/>
    <w:rsid w:val="0045527B"/>
    <w:rsid w:val="00455BD2"/>
    <w:rsid w:val="00455DD8"/>
    <w:rsid w:val="00455DE2"/>
    <w:rsid w:val="0045713E"/>
    <w:rsid w:val="00457E4F"/>
    <w:rsid w:val="004601C3"/>
    <w:rsid w:val="00460E39"/>
    <w:rsid w:val="004613E7"/>
    <w:rsid w:val="00462685"/>
    <w:rsid w:val="00462E48"/>
    <w:rsid w:val="00463033"/>
    <w:rsid w:val="00463C33"/>
    <w:rsid w:val="004641C9"/>
    <w:rsid w:val="00465AFD"/>
    <w:rsid w:val="004713B2"/>
    <w:rsid w:val="004713BE"/>
    <w:rsid w:val="004717EE"/>
    <w:rsid w:val="00471A8E"/>
    <w:rsid w:val="00473162"/>
    <w:rsid w:val="0047340E"/>
    <w:rsid w:val="00473FF8"/>
    <w:rsid w:val="00474FAB"/>
    <w:rsid w:val="004755E4"/>
    <w:rsid w:val="00477494"/>
    <w:rsid w:val="004800F1"/>
    <w:rsid w:val="00480437"/>
    <w:rsid w:val="00481246"/>
    <w:rsid w:val="004828F7"/>
    <w:rsid w:val="004829BE"/>
    <w:rsid w:val="00483FEF"/>
    <w:rsid w:val="00485466"/>
    <w:rsid w:val="0048677E"/>
    <w:rsid w:val="004872DC"/>
    <w:rsid w:val="0048784E"/>
    <w:rsid w:val="00490313"/>
    <w:rsid w:val="00490BBC"/>
    <w:rsid w:val="00491745"/>
    <w:rsid w:val="00491835"/>
    <w:rsid w:val="00491855"/>
    <w:rsid w:val="00491C8E"/>
    <w:rsid w:val="00493586"/>
    <w:rsid w:val="00493646"/>
    <w:rsid w:val="0049390E"/>
    <w:rsid w:val="00493E1B"/>
    <w:rsid w:val="004962B5"/>
    <w:rsid w:val="0049725D"/>
    <w:rsid w:val="004A13C4"/>
    <w:rsid w:val="004A1B02"/>
    <w:rsid w:val="004A2949"/>
    <w:rsid w:val="004A2BA0"/>
    <w:rsid w:val="004A3F4B"/>
    <w:rsid w:val="004A475B"/>
    <w:rsid w:val="004A48B2"/>
    <w:rsid w:val="004A78CC"/>
    <w:rsid w:val="004A7E9F"/>
    <w:rsid w:val="004A7F08"/>
    <w:rsid w:val="004B34B2"/>
    <w:rsid w:val="004B5908"/>
    <w:rsid w:val="004B5E42"/>
    <w:rsid w:val="004B61F7"/>
    <w:rsid w:val="004B7208"/>
    <w:rsid w:val="004C0DE2"/>
    <w:rsid w:val="004C1128"/>
    <w:rsid w:val="004C2B53"/>
    <w:rsid w:val="004C2BBF"/>
    <w:rsid w:val="004C5874"/>
    <w:rsid w:val="004C66CD"/>
    <w:rsid w:val="004D095B"/>
    <w:rsid w:val="004D1150"/>
    <w:rsid w:val="004D1E78"/>
    <w:rsid w:val="004D225C"/>
    <w:rsid w:val="004D3367"/>
    <w:rsid w:val="004D3381"/>
    <w:rsid w:val="004D3C56"/>
    <w:rsid w:val="004D42EF"/>
    <w:rsid w:val="004D455E"/>
    <w:rsid w:val="004D4746"/>
    <w:rsid w:val="004D5434"/>
    <w:rsid w:val="004D55EF"/>
    <w:rsid w:val="004D563E"/>
    <w:rsid w:val="004D6CE2"/>
    <w:rsid w:val="004E0609"/>
    <w:rsid w:val="004E07C0"/>
    <w:rsid w:val="004E2694"/>
    <w:rsid w:val="004E2C7D"/>
    <w:rsid w:val="004E2CA9"/>
    <w:rsid w:val="004E4B3F"/>
    <w:rsid w:val="004E4F94"/>
    <w:rsid w:val="004E5021"/>
    <w:rsid w:val="004E5D44"/>
    <w:rsid w:val="004E6160"/>
    <w:rsid w:val="004E6BE1"/>
    <w:rsid w:val="004E76E4"/>
    <w:rsid w:val="004E7C70"/>
    <w:rsid w:val="004E7CB9"/>
    <w:rsid w:val="004E7EB5"/>
    <w:rsid w:val="004F0A6C"/>
    <w:rsid w:val="004F2052"/>
    <w:rsid w:val="004F223C"/>
    <w:rsid w:val="004F27CD"/>
    <w:rsid w:val="004F3FF5"/>
    <w:rsid w:val="004F5434"/>
    <w:rsid w:val="004F5ACE"/>
    <w:rsid w:val="004F5D05"/>
    <w:rsid w:val="004F62D4"/>
    <w:rsid w:val="004F7D4B"/>
    <w:rsid w:val="00502B67"/>
    <w:rsid w:val="00502F0C"/>
    <w:rsid w:val="00502FB5"/>
    <w:rsid w:val="005037CD"/>
    <w:rsid w:val="00503AB0"/>
    <w:rsid w:val="00503EC4"/>
    <w:rsid w:val="005043B1"/>
    <w:rsid w:val="00504980"/>
    <w:rsid w:val="00504B78"/>
    <w:rsid w:val="00505568"/>
    <w:rsid w:val="005070D5"/>
    <w:rsid w:val="00507F2E"/>
    <w:rsid w:val="00510CE0"/>
    <w:rsid w:val="00513F6A"/>
    <w:rsid w:val="00514C8D"/>
    <w:rsid w:val="00514FE6"/>
    <w:rsid w:val="00516475"/>
    <w:rsid w:val="0051655C"/>
    <w:rsid w:val="0051657C"/>
    <w:rsid w:val="005174BF"/>
    <w:rsid w:val="0051771B"/>
    <w:rsid w:val="005212EB"/>
    <w:rsid w:val="0052382C"/>
    <w:rsid w:val="00523C20"/>
    <w:rsid w:val="005246F6"/>
    <w:rsid w:val="00524843"/>
    <w:rsid w:val="0052792B"/>
    <w:rsid w:val="00530700"/>
    <w:rsid w:val="00531487"/>
    <w:rsid w:val="00531AE3"/>
    <w:rsid w:val="0053546B"/>
    <w:rsid w:val="005356A3"/>
    <w:rsid w:val="005356DD"/>
    <w:rsid w:val="00535965"/>
    <w:rsid w:val="005374E9"/>
    <w:rsid w:val="00540F9A"/>
    <w:rsid w:val="00541390"/>
    <w:rsid w:val="00541563"/>
    <w:rsid w:val="00541771"/>
    <w:rsid w:val="005431C3"/>
    <w:rsid w:val="005435AE"/>
    <w:rsid w:val="00543654"/>
    <w:rsid w:val="00544A46"/>
    <w:rsid w:val="00546137"/>
    <w:rsid w:val="0054615C"/>
    <w:rsid w:val="00546E09"/>
    <w:rsid w:val="00547BCD"/>
    <w:rsid w:val="005508AF"/>
    <w:rsid w:val="00550A39"/>
    <w:rsid w:val="0055104B"/>
    <w:rsid w:val="00552168"/>
    <w:rsid w:val="00552515"/>
    <w:rsid w:val="00555D7C"/>
    <w:rsid w:val="00557B9F"/>
    <w:rsid w:val="005600C3"/>
    <w:rsid w:val="005629A3"/>
    <w:rsid w:val="005639CD"/>
    <w:rsid w:val="00563BB8"/>
    <w:rsid w:val="00565330"/>
    <w:rsid w:val="0056561C"/>
    <w:rsid w:val="005664FF"/>
    <w:rsid w:val="005702E5"/>
    <w:rsid w:val="005708A7"/>
    <w:rsid w:val="005710E6"/>
    <w:rsid w:val="005717D3"/>
    <w:rsid w:val="00572E30"/>
    <w:rsid w:val="00573E4D"/>
    <w:rsid w:val="00573E51"/>
    <w:rsid w:val="005741F1"/>
    <w:rsid w:val="0057449E"/>
    <w:rsid w:val="00574738"/>
    <w:rsid w:val="00574F4C"/>
    <w:rsid w:val="005758FB"/>
    <w:rsid w:val="005764E5"/>
    <w:rsid w:val="00576BED"/>
    <w:rsid w:val="00577A47"/>
    <w:rsid w:val="00577A62"/>
    <w:rsid w:val="00577BED"/>
    <w:rsid w:val="00577F87"/>
    <w:rsid w:val="00580677"/>
    <w:rsid w:val="0058207A"/>
    <w:rsid w:val="00582E7D"/>
    <w:rsid w:val="005846B5"/>
    <w:rsid w:val="00584B13"/>
    <w:rsid w:val="00584B8A"/>
    <w:rsid w:val="0058587B"/>
    <w:rsid w:val="00585A0D"/>
    <w:rsid w:val="00585F36"/>
    <w:rsid w:val="005864F1"/>
    <w:rsid w:val="005901D0"/>
    <w:rsid w:val="005907FB"/>
    <w:rsid w:val="00591398"/>
    <w:rsid w:val="00591576"/>
    <w:rsid w:val="005918AB"/>
    <w:rsid w:val="005918C1"/>
    <w:rsid w:val="00591924"/>
    <w:rsid w:val="0059267A"/>
    <w:rsid w:val="005928AD"/>
    <w:rsid w:val="00592B1B"/>
    <w:rsid w:val="00592ED7"/>
    <w:rsid w:val="00593205"/>
    <w:rsid w:val="005938FB"/>
    <w:rsid w:val="00593969"/>
    <w:rsid w:val="00593C32"/>
    <w:rsid w:val="00593F13"/>
    <w:rsid w:val="0059472E"/>
    <w:rsid w:val="00594B5F"/>
    <w:rsid w:val="00595B67"/>
    <w:rsid w:val="00596825"/>
    <w:rsid w:val="005978EA"/>
    <w:rsid w:val="00597F3C"/>
    <w:rsid w:val="005A0009"/>
    <w:rsid w:val="005A08D1"/>
    <w:rsid w:val="005A16A6"/>
    <w:rsid w:val="005A1F58"/>
    <w:rsid w:val="005A437A"/>
    <w:rsid w:val="005A4575"/>
    <w:rsid w:val="005A4687"/>
    <w:rsid w:val="005A5415"/>
    <w:rsid w:val="005A5F1B"/>
    <w:rsid w:val="005A6518"/>
    <w:rsid w:val="005A6BAE"/>
    <w:rsid w:val="005A7391"/>
    <w:rsid w:val="005B0C49"/>
    <w:rsid w:val="005B0DA3"/>
    <w:rsid w:val="005B345A"/>
    <w:rsid w:val="005B46FA"/>
    <w:rsid w:val="005B49C4"/>
    <w:rsid w:val="005B4B7C"/>
    <w:rsid w:val="005B5755"/>
    <w:rsid w:val="005B6F5E"/>
    <w:rsid w:val="005B714B"/>
    <w:rsid w:val="005C07B3"/>
    <w:rsid w:val="005C0D12"/>
    <w:rsid w:val="005C1A24"/>
    <w:rsid w:val="005C1C0C"/>
    <w:rsid w:val="005C2577"/>
    <w:rsid w:val="005C2D6E"/>
    <w:rsid w:val="005C2EE9"/>
    <w:rsid w:val="005C4379"/>
    <w:rsid w:val="005C448D"/>
    <w:rsid w:val="005C61FD"/>
    <w:rsid w:val="005C7187"/>
    <w:rsid w:val="005D3566"/>
    <w:rsid w:val="005D40EB"/>
    <w:rsid w:val="005D439B"/>
    <w:rsid w:val="005D46EE"/>
    <w:rsid w:val="005D5E8A"/>
    <w:rsid w:val="005D5F42"/>
    <w:rsid w:val="005D7113"/>
    <w:rsid w:val="005E0755"/>
    <w:rsid w:val="005E1247"/>
    <w:rsid w:val="005E1850"/>
    <w:rsid w:val="005E3FD3"/>
    <w:rsid w:val="005E448B"/>
    <w:rsid w:val="005E46E3"/>
    <w:rsid w:val="005E4A88"/>
    <w:rsid w:val="005E59E7"/>
    <w:rsid w:val="005E750D"/>
    <w:rsid w:val="005F06DF"/>
    <w:rsid w:val="005F09A9"/>
    <w:rsid w:val="005F283A"/>
    <w:rsid w:val="005F2A0B"/>
    <w:rsid w:val="005F3DA9"/>
    <w:rsid w:val="005F4155"/>
    <w:rsid w:val="005F6468"/>
    <w:rsid w:val="005F6D96"/>
    <w:rsid w:val="005F7A46"/>
    <w:rsid w:val="00600CA7"/>
    <w:rsid w:val="00600CCA"/>
    <w:rsid w:val="00601E8D"/>
    <w:rsid w:val="0060212F"/>
    <w:rsid w:val="006022C5"/>
    <w:rsid w:val="0060274B"/>
    <w:rsid w:val="00602E81"/>
    <w:rsid w:val="00603A4B"/>
    <w:rsid w:val="00603B8F"/>
    <w:rsid w:val="0060426B"/>
    <w:rsid w:val="0060488A"/>
    <w:rsid w:val="006057EF"/>
    <w:rsid w:val="006063D7"/>
    <w:rsid w:val="00607D9B"/>
    <w:rsid w:val="00607EF8"/>
    <w:rsid w:val="006135AA"/>
    <w:rsid w:val="006140AD"/>
    <w:rsid w:val="006147BA"/>
    <w:rsid w:val="00614BD9"/>
    <w:rsid w:val="00615AF2"/>
    <w:rsid w:val="00617C70"/>
    <w:rsid w:val="00617FC5"/>
    <w:rsid w:val="00620979"/>
    <w:rsid w:val="00621CE4"/>
    <w:rsid w:val="00621D65"/>
    <w:rsid w:val="00622793"/>
    <w:rsid w:val="00624C6D"/>
    <w:rsid w:val="0062567D"/>
    <w:rsid w:val="00625D16"/>
    <w:rsid w:val="0062766C"/>
    <w:rsid w:val="0062785B"/>
    <w:rsid w:val="006278F0"/>
    <w:rsid w:val="00630F33"/>
    <w:rsid w:val="0063199A"/>
    <w:rsid w:val="00632832"/>
    <w:rsid w:val="006345C6"/>
    <w:rsid w:val="00634691"/>
    <w:rsid w:val="0063657B"/>
    <w:rsid w:val="006408FF"/>
    <w:rsid w:val="00641AE4"/>
    <w:rsid w:val="00642538"/>
    <w:rsid w:val="006428D2"/>
    <w:rsid w:val="00643DF5"/>
    <w:rsid w:val="00644FA2"/>
    <w:rsid w:val="00645E15"/>
    <w:rsid w:val="006461A8"/>
    <w:rsid w:val="00646D68"/>
    <w:rsid w:val="00647343"/>
    <w:rsid w:val="00647DD8"/>
    <w:rsid w:val="006505F0"/>
    <w:rsid w:val="006508F0"/>
    <w:rsid w:val="00651621"/>
    <w:rsid w:val="00652A4A"/>
    <w:rsid w:val="0065304E"/>
    <w:rsid w:val="00653DF1"/>
    <w:rsid w:val="00654CC6"/>
    <w:rsid w:val="006559F8"/>
    <w:rsid w:val="00655E89"/>
    <w:rsid w:val="006579C0"/>
    <w:rsid w:val="00657E67"/>
    <w:rsid w:val="0066030E"/>
    <w:rsid w:val="00660433"/>
    <w:rsid w:val="00661D0B"/>
    <w:rsid w:val="00661FEA"/>
    <w:rsid w:val="006632A7"/>
    <w:rsid w:val="00663472"/>
    <w:rsid w:val="006639FE"/>
    <w:rsid w:val="006642CC"/>
    <w:rsid w:val="0066522C"/>
    <w:rsid w:val="00665F7C"/>
    <w:rsid w:val="0066742D"/>
    <w:rsid w:val="006675CD"/>
    <w:rsid w:val="00670280"/>
    <w:rsid w:val="00670669"/>
    <w:rsid w:val="0067183B"/>
    <w:rsid w:val="00672571"/>
    <w:rsid w:val="00672B6F"/>
    <w:rsid w:val="00673309"/>
    <w:rsid w:val="006733FD"/>
    <w:rsid w:val="00674E22"/>
    <w:rsid w:val="0067612D"/>
    <w:rsid w:val="00676AB4"/>
    <w:rsid w:val="00680958"/>
    <w:rsid w:val="006815D5"/>
    <w:rsid w:val="006844CA"/>
    <w:rsid w:val="00684DD5"/>
    <w:rsid w:val="006852D1"/>
    <w:rsid w:val="00686994"/>
    <w:rsid w:val="00687538"/>
    <w:rsid w:val="00687A19"/>
    <w:rsid w:val="00687CB8"/>
    <w:rsid w:val="00690AF0"/>
    <w:rsid w:val="00690E39"/>
    <w:rsid w:val="00690E75"/>
    <w:rsid w:val="006914B4"/>
    <w:rsid w:val="00691950"/>
    <w:rsid w:val="006926F5"/>
    <w:rsid w:val="0069277B"/>
    <w:rsid w:val="006928A0"/>
    <w:rsid w:val="00692F75"/>
    <w:rsid w:val="00693232"/>
    <w:rsid w:val="00695F72"/>
    <w:rsid w:val="00696F4B"/>
    <w:rsid w:val="00696F82"/>
    <w:rsid w:val="006A0AF3"/>
    <w:rsid w:val="006A1D61"/>
    <w:rsid w:val="006A1E37"/>
    <w:rsid w:val="006A2297"/>
    <w:rsid w:val="006A3A16"/>
    <w:rsid w:val="006A4A3B"/>
    <w:rsid w:val="006A5018"/>
    <w:rsid w:val="006A52AE"/>
    <w:rsid w:val="006A5A55"/>
    <w:rsid w:val="006A69AE"/>
    <w:rsid w:val="006B19AB"/>
    <w:rsid w:val="006B1D08"/>
    <w:rsid w:val="006B2BA6"/>
    <w:rsid w:val="006B32EE"/>
    <w:rsid w:val="006B3909"/>
    <w:rsid w:val="006B3C2D"/>
    <w:rsid w:val="006B4975"/>
    <w:rsid w:val="006B50E0"/>
    <w:rsid w:val="006B7126"/>
    <w:rsid w:val="006B7F5B"/>
    <w:rsid w:val="006C0510"/>
    <w:rsid w:val="006C34E6"/>
    <w:rsid w:val="006C413B"/>
    <w:rsid w:val="006C4DB6"/>
    <w:rsid w:val="006C5241"/>
    <w:rsid w:val="006C56FB"/>
    <w:rsid w:val="006C58A0"/>
    <w:rsid w:val="006C5987"/>
    <w:rsid w:val="006C5AB4"/>
    <w:rsid w:val="006C5BD0"/>
    <w:rsid w:val="006C6EFB"/>
    <w:rsid w:val="006D02D9"/>
    <w:rsid w:val="006D0500"/>
    <w:rsid w:val="006D1442"/>
    <w:rsid w:val="006D146C"/>
    <w:rsid w:val="006D29A3"/>
    <w:rsid w:val="006D2F6C"/>
    <w:rsid w:val="006D31D0"/>
    <w:rsid w:val="006D4525"/>
    <w:rsid w:val="006D4A5C"/>
    <w:rsid w:val="006D4F4A"/>
    <w:rsid w:val="006D6000"/>
    <w:rsid w:val="006D6454"/>
    <w:rsid w:val="006D6AE9"/>
    <w:rsid w:val="006D6AFC"/>
    <w:rsid w:val="006D6BDB"/>
    <w:rsid w:val="006D6C16"/>
    <w:rsid w:val="006D7BFA"/>
    <w:rsid w:val="006E0E04"/>
    <w:rsid w:val="006E1119"/>
    <w:rsid w:val="006E1C09"/>
    <w:rsid w:val="006E1DED"/>
    <w:rsid w:val="006E2FA6"/>
    <w:rsid w:val="006E3A77"/>
    <w:rsid w:val="006E3F7A"/>
    <w:rsid w:val="006E6F9F"/>
    <w:rsid w:val="006E76F8"/>
    <w:rsid w:val="006F0D9A"/>
    <w:rsid w:val="006F143B"/>
    <w:rsid w:val="006F24F5"/>
    <w:rsid w:val="006F28C4"/>
    <w:rsid w:val="006F29B0"/>
    <w:rsid w:val="006F4B29"/>
    <w:rsid w:val="006F5192"/>
    <w:rsid w:val="006F65D2"/>
    <w:rsid w:val="006F747B"/>
    <w:rsid w:val="006F776D"/>
    <w:rsid w:val="006F7BD1"/>
    <w:rsid w:val="00700ACF"/>
    <w:rsid w:val="0070155D"/>
    <w:rsid w:val="00701CCA"/>
    <w:rsid w:val="00702CCD"/>
    <w:rsid w:val="0070384B"/>
    <w:rsid w:val="0070580B"/>
    <w:rsid w:val="00705C52"/>
    <w:rsid w:val="0071091B"/>
    <w:rsid w:val="00712326"/>
    <w:rsid w:val="00713031"/>
    <w:rsid w:val="007139D2"/>
    <w:rsid w:val="00714842"/>
    <w:rsid w:val="00714D8B"/>
    <w:rsid w:val="007160E5"/>
    <w:rsid w:val="00716A2A"/>
    <w:rsid w:val="00716C04"/>
    <w:rsid w:val="00716D2F"/>
    <w:rsid w:val="00717856"/>
    <w:rsid w:val="007204AB"/>
    <w:rsid w:val="0072125B"/>
    <w:rsid w:val="00721697"/>
    <w:rsid w:val="00721B3D"/>
    <w:rsid w:val="00722AEE"/>
    <w:rsid w:val="00722C2C"/>
    <w:rsid w:val="00727DC6"/>
    <w:rsid w:val="00727E5C"/>
    <w:rsid w:val="00727E73"/>
    <w:rsid w:val="00730186"/>
    <w:rsid w:val="00731155"/>
    <w:rsid w:val="0073341C"/>
    <w:rsid w:val="00733AAD"/>
    <w:rsid w:val="007341F1"/>
    <w:rsid w:val="00734684"/>
    <w:rsid w:val="007346EA"/>
    <w:rsid w:val="00735AD5"/>
    <w:rsid w:val="00735B35"/>
    <w:rsid w:val="00736CEC"/>
    <w:rsid w:val="0073710F"/>
    <w:rsid w:val="007417A9"/>
    <w:rsid w:val="00743E5F"/>
    <w:rsid w:val="00743FDD"/>
    <w:rsid w:val="00744532"/>
    <w:rsid w:val="00744E53"/>
    <w:rsid w:val="00745C72"/>
    <w:rsid w:val="00745E96"/>
    <w:rsid w:val="00746F02"/>
    <w:rsid w:val="00746FE9"/>
    <w:rsid w:val="00747DE1"/>
    <w:rsid w:val="007507B1"/>
    <w:rsid w:val="00750E61"/>
    <w:rsid w:val="0075159E"/>
    <w:rsid w:val="00752A65"/>
    <w:rsid w:val="00754B1E"/>
    <w:rsid w:val="0075510A"/>
    <w:rsid w:val="0075547C"/>
    <w:rsid w:val="00756C9B"/>
    <w:rsid w:val="007570F0"/>
    <w:rsid w:val="007571AB"/>
    <w:rsid w:val="007574BE"/>
    <w:rsid w:val="00757D5D"/>
    <w:rsid w:val="007600F8"/>
    <w:rsid w:val="00760354"/>
    <w:rsid w:val="007604C0"/>
    <w:rsid w:val="007627AB"/>
    <w:rsid w:val="007629F6"/>
    <w:rsid w:val="00762D6C"/>
    <w:rsid w:val="00763339"/>
    <w:rsid w:val="00763846"/>
    <w:rsid w:val="00763E59"/>
    <w:rsid w:val="00764876"/>
    <w:rsid w:val="00764C54"/>
    <w:rsid w:val="00764F2D"/>
    <w:rsid w:val="00764F30"/>
    <w:rsid w:val="0076580C"/>
    <w:rsid w:val="007659C0"/>
    <w:rsid w:val="00765B47"/>
    <w:rsid w:val="00766AEE"/>
    <w:rsid w:val="00766E88"/>
    <w:rsid w:val="00767953"/>
    <w:rsid w:val="007705E3"/>
    <w:rsid w:val="007706DF"/>
    <w:rsid w:val="007710A9"/>
    <w:rsid w:val="00771265"/>
    <w:rsid w:val="00772F0F"/>
    <w:rsid w:val="00773EA0"/>
    <w:rsid w:val="0077474B"/>
    <w:rsid w:val="0077478A"/>
    <w:rsid w:val="00774E72"/>
    <w:rsid w:val="00775CC2"/>
    <w:rsid w:val="00776395"/>
    <w:rsid w:val="00776C06"/>
    <w:rsid w:val="00777955"/>
    <w:rsid w:val="0078008F"/>
    <w:rsid w:val="00780B22"/>
    <w:rsid w:val="00781731"/>
    <w:rsid w:val="00782469"/>
    <w:rsid w:val="007834B0"/>
    <w:rsid w:val="007863D3"/>
    <w:rsid w:val="00786ABD"/>
    <w:rsid w:val="0079074B"/>
    <w:rsid w:val="007911B1"/>
    <w:rsid w:val="0079227F"/>
    <w:rsid w:val="00792A2F"/>
    <w:rsid w:val="00792B6F"/>
    <w:rsid w:val="00793914"/>
    <w:rsid w:val="0079466E"/>
    <w:rsid w:val="007948CB"/>
    <w:rsid w:val="00795235"/>
    <w:rsid w:val="00795E9E"/>
    <w:rsid w:val="00796E6A"/>
    <w:rsid w:val="007973BC"/>
    <w:rsid w:val="007A0170"/>
    <w:rsid w:val="007A02BB"/>
    <w:rsid w:val="007A08AE"/>
    <w:rsid w:val="007A0B00"/>
    <w:rsid w:val="007A1779"/>
    <w:rsid w:val="007A1C3F"/>
    <w:rsid w:val="007A1FE9"/>
    <w:rsid w:val="007A28BD"/>
    <w:rsid w:val="007A32DD"/>
    <w:rsid w:val="007A363D"/>
    <w:rsid w:val="007A5B47"/>
    <w:rsid w:val="007A688D"/>
    <w:rsid w:val="007A78D1"/>
    <w:rsid w:val="007B0A44"/>
    <w:rsid w:val="007B0AFE"/>
    <w:rsid w:val="007B12AB"/>
    <w:rsid w:val="007B1814"/>
    <w:rsid w:val="007B2769"/>
    <w:rsid w:val="007B3851"/>
    <w:rsid w:val="007B3A43"/>
    <w:rsid w:val="007B6473"/>
    <w:rsid w:val="007B68A6"/>
    <w:rsid w:val="007B6A21"/>
    <w:rsid w:val="007B725B"/>
    <w:rsid w:val="007B7AFA"/>
    <w:rsid w:val="007C06EE"/>
    <w:rsid w:val="007C0C05"/>
    <w:rsid w:val="007C1F94"/>
    <w:rsid w:val="007C2C09"/>
    <w:rsid w:val="007C36C7"/>
    <w:rsid w:val="007C3E3C"/>
    <w:rsid w:val="007C4877"/>
    <w:rsid w:val="007C500F"/>
    <w:rsid w:val="007C5BB7"/>
    <w:rsid w:val="007C5FF2"/>
    <w:rsid w:val="007C7370"/>
    <w:rsid w:val="007C75DB"/>
    <w:rsid w:val="007D0323"/>
    <w:rsid w:val="007D078E"/>
    <w:rsid w:val="007D0CA3"/>
    <w:rsid w:val="007D101B"/>
    <w:rsid w:val="007D1433"/>
    <w:rsid w:val="007D18DA"/>
    <w:rsid w:val="007D4196"/>
    <w:rsid w:val="007D550F"/>
    <w:rsid w:val="007D55C6"/>
    <w:rsid w:val="007D57EE"/>
    <w:rsid w:val="007D5939"/>
    <w:rsid w:val="007D7490"/>
    <w:rsid w:val="007D7D91"/>
    <w:rsid w:val="007D7FF8"/>
    <w:rsid w:val="007E05AA"/>
    <w:rsid w:val="007E319C"/>
    <w:rsid w:val="007E3697"/>
    <w:rsid w:val="007E4D42"/>
    <w:rsid w:val="007E5AEE"/>
    <w:rsid w:val="007E6943"/>
    <w:rsid w:val="007E6F8E"/>
    <w:rsid w:val="007E6FB3"/>
    <w:rsid w:val="007E797D"/>
    <w:rsid w:val="007F0481"/>
    <w:rsid w:val="007F0DC2"/>
    <w:rsid w:val="007F0E9E"/>
    <w:rsid w:val="007F3FBC"/>
    <w:rsid w:val="007F5073"/>
    <w:rsid w:val="007F7200"/>
    <w:rsid w:val="007F7641"/>
    <w:rsid w:val="008026FB"/>
    <w:rsid w:val="00802F83"/>
    <w:rsid w:val="00803835"/>
    <w:rsid w:val="00803870"/>
    <w:rsid w:val="00804BBF"/>
    <w:rsid w:val="00805D4C"/>
    <w:rsid w:val="00806B51"/>
    <w:rsid w:val="008105E8"/>
    <w:rsid w:val="00811ED7"/>
    <w:rsid w:val="00812A96"/>
    <w:rsid w:val="008131E1"/>
    <w:rsid w:val="008131E7"/>
    <w:rsid w:val="00814A3D"/>
    <w:rsid w:val="008165F1"/>
    <w:rsid w:val="0081676B"/>
    <w:rsid w:val="00821184"/>
    <w:rsid w:val="00821396"/>
    <w:rsid w:val="00821B95"/>
    <w:rsid w:val="00821D9D"/>
    <w:rsid w:val="008235D2"/>
    <w:rsid w:val="00823EE8"/>
    <w:rsid w:val="0082427B"/>
    <w:rsid w:val="008248B0"/>
    <w:rsid w:val="00825283"/>
    <w:rsid w:val="00825AF1"/>
    <w:rsid w:val="0082644C"/>
    <w:rsid w:val="00826FD2"/>
    <w:rsid w:val="00827FDD"/>
    <w:rsid w:val="0083118A"/>
    <w:rsid w:val="008312C1"/>
    <w:rsid w:val="00831F90"/>
    <w:rsid w:val="00833600"/>
    <w:rsid w:val="0083519B"/>
    <w:rsid w:val="008351C2"/>
    <w:rsid w:val="0083615F"/>
    <w:rsid w:val="00836BF0"/>
    <w:rsid w:val="008371D3"/>
    <w:rsid w:val="00841883"/>
    <w:rsid w:val="00841F29"/>
    <w:rsid w:val="00842C4D"/>
    <w:rsid w:val="008445C8"/>
    <w:rsid w:val="00845194"/>
    <w:rsid w:val="00845632"/>
    <w:rsid w:val="00846236"/>
    <w:rsid w:val="00846691"/>
    <w:rsid w:val="00847253"/>
    <w:rsid w:val="00847773"/>
    <w:rsid w:val="0085003D"/>
    <w:rsid w:val="008504F1"/>
    <w:rsid w:val="008514D9"/>
    <w:rsid w:val="00851E27"/>
    <w:rsid w:val="008529C8"/>
    <w:rsid w:val="0085398B"/>
    <w:rsid w:val="00853AFC"/>
    <w:rsid w:val="00853B24"/>
    <w:rsid w:val="00853F06"/>
    <w:rsid w:val="00855AFE"/>
    <w:rsid w:val="00856817"/>
    <w:rsid w:val="00856CCE"/>
    <w:rsid w:val="00856FFF"/>
    <w:rsid w:val="008576C4"/>
    <w:rsid w:val="008576DB"/>
    <w:rsid w:val="00857F15"/>
    <w:rsid w:val="0086022A"/>
    <w:rsid w:val="008607A5"/>
    <w:rsid w:val="008607D3"/>
    <w:rsid w:val="008609FB"/>
    <w:rsid w:val="00861D56"/>
    <w:rsid w:val="00863688"/>
    <w:rsid w:val="00863A09"/>
    <w:rsid w:val="00863C67"/>
    <w:rsid w:val="00864627"/>
    <w:rsid w:val="00865429"/>
    <w:rsid w:val="00865B24"/>
    <w:rsid w:val="008668B7"/>
    <w:rsid w:val="00866950"/>
    <w:rsid w:val="008670D1"/>
    <w:rsid w:val="008702E6"/>
    <w:rsid w:val="008722FD"/>
    <w:rsid w:val="008723F2"/>
    <w:rsid w:val="008732BA"/>
    <w:rsid w:val="00873A82"/>
    <w:rsid w:val="00874739"/>
    <w:rsid w:val="00875224"/>
    <w:rsid w:val="008772C6"/>
    <w:rsid w:val="008779CA"/>
    <w:rsid w:val="00880B9A"/>
    <w:rsid w:val="00881D15"/>
    <w:rsid w:val="00882D4F"/>
    <w:rsid w:val="00885F0C"/>
    <w:rsid w:val="008866E5"/>
    <w:rsid w:val="00887459"/>
    <w:rsid w:val="008877A4"/>
    <w:rsid w:val="00890AA7"/>
    <w:rsid w:val="00890B42"/>
    <w:rsid w:val="00890CB1"/>
    <w:rsid w:val="00890E66"/>
    <w:rsid w:val="00891639"/>
    <w:rsid w:val="008918C0"/>
    <w:rsid w:val="00892052"/>
    <w:rsid w:val="00893795"/>
    <w:rsid w:val="008938AF"/>
    <w:rsid w:val="00893E6F"/>
    <w:rsid w:val="0089505C"/>
    <w:rsid w:val="008A0B1A"/>
    <w:rsid w:val="008A231F"/>
    <w:rsid w:val="008A2D16"/>
    <w:rsid w:val="008A3533"/>
    <w:rsid w:val="008A3E48"/>
    <w:rsid w:val="008A4330"/>
    <w:rsid w:val="008A434B"/>
    <w:rsid w:val="008A43A3"/>
    <w:rsid w:val="008A5942"/>
    <w:rsid w:val="008A6743"/>
    <w:rsid w:val="008A6835"/>
    <w:rsid w:val="008A7037"/>
    <w:rsid w:val="008A7B1A"/>
    <w:rsid w:val="008A7C7D"/>
    <w:rsid w:val="008B04AB"/>
    <w:rsid w:val="008B0910"/>
    <w:rsid w:val="008B17A2"/>
    <w:rsid w:val="008B1994"/>
    <w:rsid w:val="008B1A93"/>
    <w:rsid w:val="008B3D6A"/>
    <w:rsid w:val="008B49D2"/>
    <w:rsid w:val="008B5103"/>
    <w:rsid w:val="008B604A"/>
    <w:rsid w:val="008B66B5"/>
    <w:rsid w:val="008B6DF6"/>
    <w:rsid w:val="008C1EB5"/>
    <w:rsid w:val="008C1F2F"/>
    <w:rsid w:val="008C34A0"/>
    <w:rsid w:val="008C50FD"/>
    <w:rsid w:val="008C5373"/>
    <w:rsid w:val="008C7480"/>
    <w:rsid w:val="008C78F7"/>
    <w:rsid w:val="008D1AE3"/>
    <w:rsid w:val="008D1D0D"/>
    <w:rsid w:val="008D2E28"/>
    <w:rsid w:val="008D4CE1"/>
    <w:rsid w:val="008D75E2"/>
    <w:rsid w:val="008D7E9D"/>
    <w:rsid w:val="008E0D9B"/>
    <w:rsid w:val="008E1FD3"/>
    <w:rsid w:val="008E2421"/>
    <w:rsid w:val="008E2C33"/>
    <w:rsid w:val="008E37D1"/>
    <w:rsid w:val="008E3DEE"/>
    <w:rsid w:val="008E40A0"/>
    <w:rsid w:val="008E5482"/>
    <w:rsid w:val="008E55BB"/>
    <w:rsid w:val="008E76CC"/>
    <w:rsid w:val="008F1C10"/>
    <w:rsid w:val="008F1DE1"/>
    <w:rsid w:val="008F299F"/>
    <w:rsid w:val="008F30B5"/>
    <w:rsid w:val="008F340E"/>
    <w:rsid w:val="008F4DBB"/>
    <w:rsid w:val="008F50B3"/>
    <w:rsid w:val="008F52A0"/>
    <w:rsid w:val="008F531E"/>
    <w:rsid w:val="008F5555"/>
    <w:rsid w:val="008F6822"/>
    <w:rsid w:val="008F7AAA"/>
    <w:rsid w:val="008F7C22"/>
    <w:rsid w:val="00900330"/>
    <w:rsid w:val="0090072B"/>
    <w:rsid w:val="009014F7"/>
    <w:rsid w:val="00901719"/>
    <w:rsid w:val="00903A64"/>
    <w:rsid w:val="00903BE6"/>
    <w:rsid w:val="00903E5D"/>
    <w:rsid w:val="00904A36"/>
    <w:rsid w:val="00904F73"/>
    <w:rsid w:val="009066AB"/>
    <w:rsid w:val="009101D6"/>
    <w:rsid w:val="00910462"/>
    <w:rsid w:val="00912251"/>
    <w:rsid w:val="00912CF2"/>
    <w:rsid w:val="00912EBD"/>
    <w:rsid w:val="00913405"/>
    <w:rsid w:val="009148D4"/>
    <w:rsid w:val="00915B63"/>
    <w:rsid w:val="00916817"/>
    <w:rsid w:val="00917424"/>
    <w:rsid w:val="00920179"/>
    <w:rsid w:val="00921B36"/>
    <w:rsid w:val="00922AA4"/>
    <w:rsid w:val="00923D7D"/>
    <w:rsid w:val="009242AE"/>
    <w:rsid w:val="00924A7C"/>
    <w:rsid w:val="00927588"/>
    <w:rsid w:val="009321BC"/>
    <w:rsid w:val="00932543"/>
    <w:rsid w:val="00932E2C"/>
    <w:rsid w:val="009336CD"/>
    <w:rsid w:val="009338D6"/>
    <w:rsid w:val="00933B85"/>
    <w:rsid w:val="00933D36"/>
    <w:rsid w:val="0093430F"/>
    <w:rsid w:val="00934FF9"/>
    <w:rsid w:val="009355CD"/>
    <w:rsid w:val="009359A7"/>
    <w:rsid w:val="009361AF"/>
    <w:rsid w:val="00936942"/>
    <w:rsid w:val="009369FC"/>
    <w:rsid w:val="00936DC8"/>
    <w:rsid w:val="00937A68"/>
    <w:rsid w:val="009414FE"/>
    <w:rsid w:val="0094161C"/>
    <w:rsid w:val="009428A8"/>
    <w:rsid w:val="009438CF"/>
    <w:rsid w:val="00943AC0"/>
    <w:rsid w:val="00945B89"/>
    <w:rsid w:val="00945E46"/>
    <w:rsid w:val="009460B1"/>
    <w:rsid w:val="0094652E"/>
    <w:rsid w:val="00946D5B"/>
    <w:rsid w:val="0094734D"/>
    <w:rsid w:val="009473FA"/>
    <w:rsid w:val="0094775A"/>
    <w:rsid w:val="00947D4D"/>
    <w:rsid w:val="00951411"/>
    <w:rsid w:val="009518AC"/>
    <w:rsid w:val="00951AA4"/>
    <w:rsid w:val="009522ED"/>
    <w:rsid w:val="00952774"/>
    <w:rsid w:val="00952A08"/>
    <w:rsid w:val="00952FD1"/>
    <w:rsid w:val="00953738"/>
    <w:rsid w:val="00957B6A"/>
    <w:rsid w:val="00960968"/>
    <w:rsid w:val="009613F3"/>
    <w:rsid w:val="0096163C"/>
    <w:rsid w:val="00963A4D"/>
    <w:rsid w:val="00963CBD"/>
    <w:rsid w:val="00963D3C"/>
    <w:rsid w:val="009646CB"/>
    <w:rsid w:val="00964EAA"/>
    <w:rsid w:val="00966957"/>
    <w:rsid w:val="00966E5C"/>
    <w:rsid w:val="00967E0B"/>
    <w:rsid w:val="009716B0"/>
    <w:rsid w:val="00972948"/>
    <w:rsid w:val="0097296D"/>
    <w:rsid w:val="009739CF"/>
    <w:rsid w:val="00973D7B"/>
    <w:rsid w:val="00973E22"/>
    <w:rsid w:val="009744F1"/>
    <w:rsid w:val="0097454A"/>
    <w:rsid w:val="009749C1"/>
    <w:rsid w:val="00981605"/>
    <w:rsid w:val="00986B4E"/>
    <w:rsid w:val="00987401"/>
    <w:rsid w:val="009877A2"/>
    <w:rsid w:val="00987F8A"/>
    <w:rsid w:val="0099074D"/>
    <w:rsid w:val="00992723"/>
    <w:rsid w:val="009935A0"/>
    <w:rsid w:val="009938F8"/>
    <w:rsid w:val="00993B32"/>
    <w:rsid w:val="00993CD9"/>
    <w:rsid w:val="00993FC3"/>
    <w:rsid w:val="00994088"/>
    <w:rsid w:val="009943E2"/>
    <w:rsid w:val="009959AE"/>
    <w:rsid w:val="009966C2"/>
    <w:rsid w:val="009A0B99"/>
    <w:rsid w:val="009A231C"/>
    <w:rsid w:val="009A3833"/>
    <w:rsid w:val="009A4778"/>
    <w:rsid w:val="009A4AA1"/>
    <w:rsid w:val="009A7A65"/>
    <w:rsid w:val="009A7D0F"/>
    <w:rsid w:val="009B00D0"/>
    <w:rsid w:val="009B0608"/>
    <w:rsid w:val="009B0A5A"/>
    <w:rsid w:val="009B0E14"/>
    <w:rsid w:val="009B1D9F"/>
    <w:rsid w:val="009B21AC"/>
    <w:rsid w:val="009B3FF1"/>
    <w:rsid w:val="009B4E72"/>
    <w:rsid w:val="009B65CB"/>
    <w:rsid w:val="009B67D9"/>
    <w:rsid w:val="009B68BE"/>
    <w:rsid w:val="009B68C1"/>
    <w:rsid w:val="009B71B6"/>
    <w:rsid w:val="009B743E"/>
    <w:rsid w:val="009B7B59"/>
    <w:rsid w:val="009C16B0"/>
    <w:rsid w:val="009C1DB9"/>
    <w:rsid w:val="009C2C26"/>
    <w:rsid w:val="009C2D0E"/>
    <w:rsid w:val="009C2D16"/>
    <w:rsid w:val="009C38E4"/>
    <w:rsid w:val="009C42A5"/>
    <w:rsid w:val="009C4B4F"/>
    <w:rsid w:val="009C6E76"/>
    <w:rsid w:val="009C72F7"/>
    <w:rsid w:val="009C7BF9"/>
    <w:rsid w:val="009C7F81"/>
    <w:rsid w:val="009D0D93"/>
    <w:rsid w:val="009D1474"/>
    <w:rsid w:val="009D1536"/>
    <w:rsid w:val="009D21F5"/>
    <w:rsid w:val="009D238E"/>
    <w:rsid w:val="009D3910"/>
    <w:rsid w:val="009D6316"/>
    <w:rsid w:val="009D6883"/>
    <w:rsid w:val="009D7BAF"/>
    <w:rsid w:val="009D7C72"/>
    <w:rsid w:val="009D7EF2"/>
    <w:rsid w:val="009E06BD"/>
    <w:rsid w:val="009E08C9"/>
    <w:rsid w:val="009E18D0"/>
    <w:rsid w:val="009E1C04"/>
    <w:rsid w:val="009E380A"/>
    <w:rsid w:val="009E4B12"/>
    <w:rsid w:val="009E5680"/>
    <w:rsid w:val="009E5795"/>
    <w:rsid w:val="009E6096"/>
    <w:rsid w:val="009E78F3"/>
    <w:rsid w:val="009E79BD"/>
    <w:rsid w:val="009F01BD"/>
    <w:rsid w:val="009F0800"/>
    <w:rsid w:val="009F09F0"/>
    <w:rsid w:val="009F216D"/>
    <w:rsid w:val="009F3AAE"/>
    <w:rsid w:val="009F3C81"/>
    <w:rsid w:val="009F4457"/>
    <w:rsid w:val="009F74D1"/>
    <w:rsid w:val="009F77EF"/>
    <w:rsid w:val="009F7E24"/>
    <w:rsid w:val="00A02906"/>
    <w:rsid w:val="00A02C75"/>
    <w:rsid w:val="00A03D5B"/>
    <w:rsid w:val="00A043FC"/>
    <w:rsid w:val="00A04B0F"/>
    <w:rsid w:val="00A05138"/>
    <w:rsid w:val="00A06C71"/>
    <w:rsid w:val="00A06E81"/>
    <w:rsid w:val="00A11779"/>
    <w:rsid w:val="00A11B21"/>
    <w:rsid w:val="00A12095"/>
    <w:rsid w:val="00A125F7"/>
    <w:rsid w:val="00A1325E"/>
    <w:rsid w:val="00A148FB"/>
    <w:rsid w:val="00A14981"/>
    <w:rsid w:val="00A14E55"/>
    <w:rsid w:val="00A16B02"/>
    <w:rsid w:val="00A179AF"/>
    <w:rsid w:val="00A211A6"/>
    <w:rsid w:val="00A212B7"/>
    <w:rsid w:val="00A214AE"/>
    <w:rsid w:val="00A2176E"/>
    <w:rsid w:val="00A21D18"/>
    <w:rsid w:val="00A23011"/>
    <w:rsid w:val="00A26929"/>
    <w:rsid w:val="00A26BC8"/>
    <w:rsid w:val="00A26FFB"/>
    <w:rsid w:val="00A27090"/>
    <w:rsid w:val="00A3103C"/>
    <w:rsid w:val="00A31271"/>
    <w:rsid w:val="00A314B2"/>
    <w:rsid w:val="00A314F0"/>
    <w:rsid w:val="00A31851"/>
    <w:rsid w:val="00A32BAB"/>
    <w:rsid w:val="00A3306F"/>
    <w:rsid w:val="00A33DD6"/>
    <w:rsid w:val="00A34020"/>
    <w:rsid w:val="00A351C5"/>
    <w:rsid w:val="00A351FF"/>
    <w:rsid w:val="00A35925"/>
    <w:rsid w:val="00A35E86"/>
    <w:rsid w:val="00A36BB3"/>
    <w:rsid w:val="00A376BF"/>
    <w:rsid w:val="00A409BE"/>
    <w:rsid w:val="00A418D1"/>
    <w:rsid w:val="00A41DAE"/>
    <w:rsid w:val="00A41EAF"/>
    <w:rsid w:val="00A42B6F"/>
    <w:rsid w:val="00A4390D"/>
    <w:rsid w:val="00A4440B"/>
    <w:rsid w:val="00A44996"/>
    <w:rsid w:val="00A45A54"/>
    <w:rsid w:val="00A46D41"/>
    <w:rsid w:val="00A46D58"/>
    <w:rsid w:val="00A478AA"/>
    <w:rsid w:val="00A51189"/>
    <w:rsid w:val="00A5164B"/>
    <w:rsid w:val="00A532C2"/>
    <w:rsid w:val="00A538C6"/>
    <w:rsid w:val="00A54F1D"/>
    <w:rsid w:val="00A571C3"/>
    <w:rsid w:val="00A57226"/>
    <w:rsid w:val="00A5751E"/>
    <w:rsid w:val="00A57F0F"/>
    <w:rsid w:val="00A60EBB"/>
    <w:rsid w:val="00A63066"/>
    <w:rsid w:val="00A63B03"/>
    <w:rsid w:val="00A64118"/>
    <w:rsid w:val="00A64B10"/>
    <w:rsid w:val="00A65930"/>
    <w:rsid w:val="00A65F8F"/>
    <w:rsid w:val="00A66E0C"/>
    <w:rsid w:val="00A711BA"/>
    <w:rsid w:val="00A71C0D"/>
    <w:rsid w:val="00A7267A"/>
    <w:rsid w:val="00A73575"/>
    <w:rsid w:val="00A74714"/>
    <w:rsid w:val="00A751E8"/>
    <w:rsid w:val="00A754DE"/>
    <w:rsid w:val="00A7634C"/>
    <w:rsid w:val="00A7794F"/>
    <w:rsid w:val="00A77D6E"/>
    <w:rsid w:val="00A81A00"/>
    <w:rsid w:val="00A81B03"/>
    <w:rsid w:val="00A825F9"/>
    <w:rsid w:val="00A83692"/>
    <w:rsid w:val="00A83BA6"/>
    <w:rsid w:val="00A84D69"/>
    <w:rsid w:val="00A84FD9"/>
    <w:rsid w:val="00A86BCB"/>
    <w:rsid w:val="00A90968"/>
    <w:rsid w:val="00A91157"/>
    <w:rsid w:val="00A9208C"/>
    <w:rsid w:val="00A95816"/>
    <w:rsid w:val="00A96AD7"/>
    <w:rsid w:val="00A96CA6"/>
    <w:rsid w:val="00A9720F"/>
    <w:rsid w:val="00A978E6"/>
    <w:rsid w:val="00A97E95"/>
    <w:rsid w:val="00AA0519"/>
    <w:rsid w:val="00AA07B0"/>
    <w:rsid w:val="00AA07E6"/>
    <w:rsid w:val="00AA095B"/>
    <w:rsid w:val="00AA0B0C"/>
    <w:rsid w:val="00AA1F13"/>
    <w:rsid w:val="00AA254A"/>
    <w:rsid w:val="00AA27BC"/>
    <w:rsid w:val="00AA3179"/>
    <w:rsid w:val="00AA40FB"/>
    <w:rsid w:val="00AA4CCC"/>
    <w:rsid w:val="00AA4EF1"/>
    <w:rsid w:val="00AA50EE"/>
    <w:rsid w:val="00AA55A3"/>
    <w:rsid w:val="00AA5E0A"/>
    <w:rsid w:val="00AA6839"/>
    <w:rsid w:val="00AA7E24"/>
    <w:rsid w:val="00AB02BB"/>
    <w:rsid w:val="00AB0328"/>
    <w:rsid w:val="00AB0396"/>
    <w:rsid w:val="00AB1464"/>
    <w:rsid w:val="00AB150C"/>
    <w:rsid w:val="00AB17F2"/>
    <w:rsid w:val="00AB3910"/>
    <w:rsid w:val="00AB4278"/>
    <w:rsid w:val="00AB5B29"/>
    <w:rsid w:val="00AB69CA"/>
    <w:rsid w:val="00AB6B92"/>
    <w:rsid w:val="00AC0A77"/>
    <w:rsid w:val="00AC14D2"/>
    <w:rsid w:val="00AC28FB"/>
    <w:rsid w:val="00AC3886"/>
    <w:rsid w:val="00AC450A"/>
    <w:rsid w:val="00AC4C02"/>
    <w:rsid w:val="00AC5295"/>
    <w:rsid w:val="00AC5C07"/>
    <w:rsid w:val="00AC5F08"/>
    <w:rsid w:val="00AC6A12"/>
    <w:rsid w:val="00AD0C19"/>
    <w:rsid w:val="00AD133E"/>
    <w:rsid w:val="00AD2277"/>
    <w:rsid w:val="00AD2862"/>
    <w:rsid w:val="00AD3C5E"/>
    <w:rsid w:val="00AD3CB7"/>
    <w:rsid w:val="00AD620F"/>
    <w:rsid w:val="00AD639E"/>
    <w:rsid w:val="00AD673E"/>
    <w:rsid w:val="00AE0581"/>
    <w:rsid w:val="00AE0854"/>
    <w:rsid w:val="00AE0CA1"/>
    <w:rsid w:val="00AE0DA1"/>
    <w:rsid w:val="00AE0EFE"/>
    <w:rsid w:val="00AE189B"/>
    <w:rsid w:val="00AE1FAA"/>
    <w:rsid w:val="00AE2444"/>
    <w:rsid w:val="00AE253C"/>
    <w:rsid w:val="00AE45C4"/>
    <w:rsid w:val="00AE49A1"/>
    <w:rsid w:val="00AE5162"/>
    <w:rsid w:val="00AE5BF7"/>
    <w:rsid w:val="00AE5D4E"/>
    <w:rsid w:val="00AE60EC"/>
    <w:rsid w:val="00AE6735"/>
    <w:rsid w:val="00AE72FF"/>
    <w:rsid w:val="00AE7473"/>
    <w:rsid w:val="00AF0201"/>
    <w:rsid w:val="00AF316A"/>
    <w:rsid w:val="00AF3B02"/>
    <w:rsid w:val="00AF413A"/>
    <w:rsid w:val="00AF4D9D"/>
    <w:rsid w:val="00AF590F"/>
    <w:rsid w:val="00AF6848"/>
    <w:rsid w:val="00AF6B3C"/>
    <w:rsid w:val="00AF73FE"/>
    <w:rsid w:val="00AF793F"/>
    <w:rsid w:val="00B00D32"/>
    <w:rsid w:val="00B01245"/>
    <w:rsid w:val="00B0335C"/>
    <w:rsid w:val="00B0403F"/>
    <w:rsid w:val="00B04335"/>
    <w:rsid w:val="00B050F6"/>
    <w:rsid w:val="00B058C3"/>
    <w:rsid w:val="00B05977"/>
    <w:rsid w:val="00B07F12"/>
    <w:rsid w:val="00B10068"/>
    <w:rsid w:val="00B1064D"/>
    <w:rsid w:val="00B11B86"/>
    <w:rsid w:val="00B165F4"/>
    <w:rsid w:val="00B16C3F"/>
    <w:rsid w:val="00B170E2"/>
    <w:rsid w:val="00B221F5"/>
    <w:rsid w:val="00B22CD7"/>
    <w:rsid w:val="00B22F77"/>
    <w:rsid w:val="00B237A3"/>
    <w:rsid w:val="00B25388"/>
    <w:rsid w:val="00B25D80"/>
    <w:rsid w:val="00B26199"/>
    <w:rsid w:val="00B26F9A"/>
    <w:rsid w:val="00B27D30"/>
    <w:rsid w:val="00B30364"/>
    <w:rsid w:val="00B3170E"/>
    <w:rsid w:val="00B31B0C"/>
    <w:rsid w:val="00B322AC"/>
    <w:rsid w:val="00B32D34"/>
    <w:rsid w:val="00B33BC1"/>
    <w:rsid w:val="00B34009"/>
    <w:rsid w:val="00B34899"/>
    <w:rsid w:val="00B36FB1"/>
    <w:rsid w:val="00B41B74"/>
    <w:rsid w:val="00B42ADE"/>
    <w:rsid w:val="00B44552"/>
    <w:rsid w:val="00B50D48"/>
    <w:rsid w:val="00B52EB0"/>
    <w:rsid w:val="00B538BE"/>
    <w:rsid w:val="00B53BA1"/>
    <w:rsid w:val="00B542FB"/>
    <w:rsid w:val="00B54349"/>
    <w:rsid w:val="00B54502"/>
    <w:rsid w:val="00B548D0"/>
    <w:rsid w:val="00B54C34"/>
    <w:rsid w:val="00B55D28"/>
    <w:rsid w:val="00B562B2"/>
    <w:rsid w:val="00B56A10"/>
    <w:rsid w:val="00B57CBB"/>
    <w:rsid w:val="00B601EE"/>
    <w:rsid w:val="00B61E46"/>
    <w:rsid w:val="00B627CC"/>
    <w:rsid w:val="00B636EC"/>
    <w:rsid w:val="00B650AE"/>
    <w:rsid w:val="00B66678"/>
    <w:rsid w:val="00B66988"/>
    <w:rsid w:val="00B67B11"/>
    <w:rsid w:val="00B715B3"/>
    <w:rsid w:val="00B72936"/>
    <w:rsid w:val="00B74F33"/>
    <w:rsid w:val="00B75846"/>
    <w:rsid w:val="00B763B7"/>
    <w:rsid w:val="00B76DAE"/>
    <w:rsid w:val="00B7709E"/>
    <w:rsid w:val="00B77B98"/>
    <w:rsid w:val="00B80635"/>
    <w:rsid w:val="00B80687"/>
    <w:rsid w:val="00B807EA"/>
    <w:rsid w:val="00B80D12"/>
    <w:rsid w:val="00B81BEB"/>
    <w:rsid w:val="00B82261"/>
    <w:rsid w:val="00B8250E"/>
    <w:rsid w:val="00B82F1C"/>
    <w:rsid w:val="00B833A1"/>
    <w:rsid w:val="00B83E41"/>
    <w:rsid w:val="00B846BF"/>
    <w:rsid w:val="00B85182"/>
    <w:rsid w:val="00B85A3D"/>
    <w:rsid w:val="00B86611"/>
    <w:rsid w:val="00B8738E"/>
    <w:rsid w:val="00B874F2"/>
    <w:rsid w:val="00B87984"/>
    <w:rsid w:val="00B9116C"/>
    <w:rsid w:val="00B91266"/>
    <w:rsid w:val="00B91C0D"/>
    <w:rsid w:val="00B929BA"/>
    <w:rsid w:val="00B93BB5"/>
    <w:rsid w:val="00B96261"/>
    <w:rsid w:val="00B969FF"/>
    <w:rsid w:val="00BA004B"/>
    <w:rsid w:val="00BA01F4"/>
    <w:rsid w:val="00BA091A"/>
    <w:rsid w:val="00BA0ED2"/>
    <w:rsid w:val="00BA1780"/>
    <w:rsid w:val="00BA1E5A"/>
    <w:rsid w:val="00BA2257"/>
    <w:rsid w:val="00BA3593"/>
    <w:rsid w:val="00BA386D"/>
    <w:rsid w:val="00BA5446"/>
    <w:rsid w:val="00BA56D6"/>
    <w:rsid w:val="00BA5AC2"/>
    <w:rsid w:val="00BA5E27"/>
    <w:rsid w:val="00BA6951"/>
    <w:rsid w:val="00BA7030"/>
    <w:rsid w:val="00BA74E3"/>
    <w:rsid w:val="00BB00E6"/>
    <w:rsid w:val="00BB06DC"/>
    <w:rsid w:val="00BB0C8C"/>
    <w:rsid w:val="00BB212F"/>
    <w:rsid w:val="00BB323B"/>
    <w:rsid w:val="00BB329F"/>
    <w:rsid w:val="00BB41B1"/>
    <w:rsid w:val="00BB5BB9"/>
    <w:rsid w:val="00BB60E1"/>
    <w:rsid w:val="00BB78DB"/>
    <w:rsid w:val="00BC075B"/>
    <w:rsid w:val="00BC0B82"/>
    <w:rsid w:val="00BC1675"/>
    <w:rsid w:val="00BC3086"/>
    <w:rsid w:val="00BC4E9D"/>
    <w:rsid w:val="00BC4F03"/>
    <w:rsid w:val="00BC6242"/>
    <w:rsid w:val="00BC8FF7"/>
    <w:rsid w:val="00BD0B7D"/>
    <w:rsid w:val="00BD21ED"/>
    <w:rsid w:val="00BD2972"/>
    <w:rsid w:val="00BD299E"/>
    <w:rsid w:val="00BD365C"/>
    <w:rsid w:val="00BD388F"/>
    <w:rsid w:val="00BD4B3D"/>
    <w:rsid w:val="00BD614B"/>
    <w:rsid w:val="00BD684D"/>
    <w:rsid w:val="00BD6B2C"/>
    <w:rsid w:val="00BD745B"/>
    <w:rsid w:val="00BE0027"/>
    <w:rsid w:val="00BE20D4"/>
    <w:rsid w:val="00BE4C66"/>
    <w:rsid w:val="00BE5082"/>
    <w:rsid w:val="00BE58A2"/>
    <w:rsid w:val="00BE6E75"/>
    <w:rsid w:val="00BF2178"/>
    <w:rsid w:val="00BF2566"/>
    <w:rsid w:val="00BF327E"/>
    <w:rsid w:val="00BF47BB"/>
    <w:rsid w:val="00BF7A7B"/>
    <w:rsid w:val="00C00BEA"/>
    <w:rsid w:val="00C00CA0"/>
    <w:rsid w:val="00C00FFF"/>
    <w:rsid w:val="00C02AD4"/>
    <w:rsid w:val="00C02FE7"/>
    <w:rsid w:val="00C03112"/>
    <w:rsid w:val="00C03C2B"/>
    <w:rsid w:val="00C03CBE"/>
    <w:rsid w:val="00C057F5"/>
    <w:rsid w:val="00C07AFE"/>
    <w:rsid w:val="00C12360"/>
    <w:rsid w:val="00C12CC4"/>
    <w:rsid w:val="00C135F7"/>
    <w:rsid w:val="00C15791"/>
    <w:rsid w:val="00C15D70"/>
    <w:rsid w:val="00C1670A"/>
    <w:rsid w:val="00C17281"/>
    <w:rsid w:val="00C172BA"/>
    <w:rsid w:val="00C17990"/>
    <w:rsid w:val="00C20434"/>
    <w:rsid w:val="00C207C3"/>
    <w:rsid w:val="00C228E2"/>
    <w:rsid w:val="00C22987"/>
    <w:rsid w:val="00C23148"/>
    <w:rsid w:val="00C231A9"/>
    <w:rsid w:val="00C23250"/>
    <w:rsid w:val="00C23486"/>
    <w:rsid w:val="00C237C9"/>
    <w:rsid w:val="00C240F9"/>
    <w:rsid w:val="00C24D5F"/>
    <w:rsid w:val="00C250A8"/>
    <w:rsid w:val="00C2542B"/>
    <w:rsid w:val="00C2782D"/>
    <w:rsid w:val="00C301EA"/>
    <w:rsid w:val="00C307FE"/>
    <w:rsid w:val="00C30E46"/>
    <w:rsid w:val="00C32553"/>
    <w:rsid w:val="00C329E5"/>
    <w:rsid w:val="00C338CE"/>
    <w:rsid w:val="00C338D3"/>
    <w:rsid w:val="00C3510A"/>
    <w:rsid w:val="00C376FE"/>
    <w:rsid w:val="00C37BE9"/>
    <w:rsid w:val="00C41FDE"/>
    <w:rsid w:val="00C4265F"/>
    <w:rsid w:val="00C42A68"/>
    <w:rsid w:val="00C43663"/>
    <w:rsid w:val="00C45EA0"/>
    <w:rsid w:val="00C45EF0"/>
    <w:rsid w:val="00C4682E"/>
    <w:rsid w:val="00C46B05"/>
    <w:rsid w:val="00C472A0"/>
    <w:rsid w:val="00C47319"/>
    <w:rsid w:val="00C47490"/>
    <w:rsid w:val="00C50489"/>
    <w:rsid w:val="00C50AE5"/>
    <w:rsid w:val="00C51FA4"/>
    <w:rsid w:val="00C52D0B"/>
    <w:rsid w:val="00C546F2"/>
    <w:rsid w:val="00C55D4F"/>
    <w:rsid w:val="00C564B7"/>
    <w:rsid w:val="00C56677"/>
    <w:rsid w:val="00C56DA3"/>
    <w:rsid w:val="00C60371"/>
    <w:rsid w:val="00C605D7"/>
    <w:rsid w:val="00C613BC"/>
    <w:rsid w:val="00C617FA"/>
    <w:rsid w:val="00C61FF3"/>
    <w:rsid w:val="00C635EA"/>
    <w:rsid w:val="00C6385A"/>
    <w:rsid w:val="00C63FF9"/>
    <w:rsid w:val="00C648BA"/>
    <w:rsid w:val="00C6493D"/>
    <w:rsid w:val="00C657BC"/>
    <w:rsid w:val="00C66F65"/>
    <w:rsid w:val="00C673F3"/>
    <w:rsid w:val="00C6759A"/>
    <w:rsid w:val="00C67710"/>
    <w:rsid w:val="00C679D0"/>
    <w:rsid w:val="00C71032"/>
    <w:rsid w:val="00C718DD"/>
    <w:rsid w:val="00C71A36"/>
    <w:rsid w:val="00C72152"/>
    <w:rsid w:val="00C722B7"/>
    <w:rsid w:val="00C726E1"/>
    <w:rsid w:val="00C73D0D"/>
    <w:rsid w:val="00C75036"/>
    <w:rsid w:val="00C75061"/>
    <w:rsid w:val="00C753CE"/>
    <w:rsid w:val="00C75753"/>
    <w:rsid w:val="00C75CB2"/>
    <w:rsid w:val="00C75DE9"/>
    <w:rsid w:val="00C75F13"/>
    <w:rsid w:val="00C7692F"/>
    <w:rsid w:val="00C76EDB"/>
    <w:rsid w:val="00C77B56"/>
    <w:rsid w:val="00C77F18"/>
    <w:rsid w:val="00C81955"/>
    <w:rsid w:val="00C8256B"/>
    <w:rsid w:val="00C82717"/>
    <w:rsid w:val="00C82EEF"/>
    <w:rsid w:val="00C8408E"/>
    <w:rsid w:val="00C854B8"/>
    <w:rsid w:val="00C85A27"/>
    <w:rsid w:val="00C871DB"/>
    <w:rsid w:val="00C8767B"/>
    <w:rsid w:val="00C878E5"/>
    <w:rsid w:val="00C9204B"/>
    <w:rsid w:val="00C922EB"/>
    <w:rsid w:val="00C92580"/>
    <w:rsid w:val="00C9264D"/>
    <w:rsid w:val="00C92CB7"/>
    <w:rsid w:val="00C942C9"/>
    <w:rsid w:val="00C94704"/>
    <w:rsid w:val="00C94913"/>
    <w:rsid w:val="00C94EF3"/>
    <w:rsid w:val="00C95CF5"/>
    <w:rsid w:val="00CA0E4A"/>
    <w:rsid w:val="00CA12EC"/>
    <w:rsid w:val="00CA2935"/>
    <w:rsid w:val="00CA29A1"/>
    <w:rsid w:val="00CA3DF5"/>
    <w:rsid w:val="00CA4A41"/>
    <w:rsid w:val="00CA4D20"/>
    <w:rsid w:val="00CA5EC3"/>
    <w:rsid w:val="00CA679B"/>
    <w:rsid w:val="00CA6C50"/>
    <w:rsid w:val="00CA77F8"/>
    <w:rsid w:val="00CA7A32"/>
    <w:rsid w:val="00CB0141"/>
    <w:rsid w:val="00CB108C"/>
    <w:rsid w:val="00CB176F"/>
    <w:rsid w:val="00CB23C9"/>
    <w:rsid w:val="00CB3679"/>
    <w:rsid w:val="00CB4181"/>
    <w:rsid w:val="00CB4E9F"/>
    <w:rsid w:val="00CB63F6"/>
    <w:rsid w:val="00CB65DB"/>
    <w:rsid w:val="00CB66DA"/>
    <w:rsid w:val="00CB69E9"/>
    <w:rsid w:val="00CB6CD8"/>
    <w:rsid w:val="00CB78CA"/>
    <w:rsid w:val="00CB7B4E"/>
    <w:rsid w:val="00CB7FD7"/>
    <w:rsid w:val="00CC018E"/>
    <w:rsid w:val="00CC0A56"/>
    <w:rsid w:val="00CC300D"/>
    <w:rsid w:val="00CC3885"/>
    <w:rsid w:val="00CC3D04"/>
    <w:rsid w:val="00CC4C18"/>
    <w:rsid w:val="00CC5679"/>
    <w:rsid w:val="00CC67A0"/>
    <w:rsid w:val="00CC6E1D"/>
    <w:rsid w:val="00CD0860"/>
    <w:rsid w:val="00CD09D1"/>
    <w:rsid w:val="00CD0B31"/>
    <w:rsid w:val="00CD1470"/>
    <w:rsid w:val="00CD1B57"/>
    <w:rsid w:val="00CD2256"/>
    <w:rsid w:val="00CD2317"/>
    <w:rsid w:val="00CD232E"/>
    <w:rsid w:val="00CD3663"/>
    <w:rsid w:val="00CD3F79"/>
    <w:rsid w:val="00CD43F1"/>
    <w:rsid w:val="00CD50B3"/>
    <w:rsid w:val="00CD5DF9"/>
    <w:rsid w:val="00CD7011"/>
    <w:rsid w:val="00CD7054"/>
    <w:rsid w:val="00CD76FC"/>
    <w:rsid w:val="00CE0300"/>
    <w:rsid w:val="00CE120C"/>
    <w:rsid w:val="00CE1E40"/>
    <w:rsid w:val="00CE267C"/>
    <w:rsid w:val="00CE31BB"/>
    <w:rsid w:val="00CE4506"/>
    <w:rsid w:val="00CE476B"/>
    <w:rsid w:val="00CF0422"/>
    <w:rsid w:val="00CF0D66"/>
    <w:rsid w:val="00CF12F7"/>
    <w:rsid w:val="00CF1CFE"/>
    <w:rsid w:val="00CF26A5"/>
    <w:rsid w:val="00CF459A"/>
    <w:rsid w:val="00CF4C01"/>
    <w:rsid w:val="00CF79A0"/>
    <w:rsid w:val="00D006B0"/>
    <w:rsid w:val="00D00942"/>
    <w:rsid w:val="00D03816"/>
    <w:rsid w:val="00D04106"/>
    <w:rsid w:val="00D04762"/>
    <w:rsid w:val="00D05D72"/>
    <w:rsid w:val="00D061A3"/>
    <w:rsid w:val="00D0642A"/>
    <w:rsid w:val="00D069BD"/>
    <w:rsid w:val="00D070CB"/>
    <w:rsid w:val="00D07E6C"/>
    <w:rsid w:val="00D07EB2"/>
    <w:rsid w:val="00D110D3"/>
    <w:rsid w:val="00D1200C"/>
    <w:rsid w:val="00D1239C"/>
    <w:rsid w:val="00D129DC"/>
    <w:rsid w:val="00D139A2"/>
    <w:rsid w:val="00D13CD8"/>
    <w:rsid w:val="00D13E5D"/>
    <w:rsid w:val="00D16D40"/>
    <w:rsid w:val="00D1712A"/>
    <w:rsid w:val="00D20790"/>
    <w:rsid w:val="00D20839"/>
    <w:rsid w:val="00D20CE8"/>
    <w:rsid w:val="00D20D74"/>
    <w:rsid w:val="00D21AF4"/>
    <w:rsid w:val="00D22D07"/>
    <w:rsid w:val="00D23F10"/>
    <w:rsid w:val="00D24678"/>
    <w:rsid w:val="00D24A54"/>
    <w:rsid w:val="00D24EDF"/>
    <w:rsid w:val="00D250C7"/>
    <w:rsid w:val="00D25500"/>
    <w:rsid w:val="00D25AA0"/>
    <w:rsid w:val="00D25FDD"/>
    <w:rsid w:val="00D2666D"/>
    <w:rsid w:val="00D26A5E"/>
    <w:rsid w:val="00D27630"/>
    <w:rsid w:val="00D30B2D"/>
    <w:rsid w:val="00D31834"/>
    <w:rsid w:val="00D3217E"/>
    <w:rsid w:val="00D3299A"/>
    <w:rsid w:val="00D32EE0"/>
    <w:rsid w:val="00D32FEE"/>
    <w:rsid w:val="00D33177"/>
    <w:rsid w:val="00D334ED"/>
    <w:rsid w:val="00D35170"/>
    <w:rsid w:val="00D36FAD"/>
    <w:rsid w:val="00D376D0"/>
    <w:rsid w:val="00D377CE"/>
    <w:rsid w:val="00D37901"/>
    <w:rsid w:val="00D405AF"/>
    <w:rsid w:val="00D42FAD"/>
    <w:rsid w:val="00D4322B"/>
    <w:rsid w:val="00D433D1"/>
    <w:rsid w:val="00D44E67"/>
    <w:rsid w:val="00D47C50"/>
    <w:rsid w:val="00D50073"/>
    <w:rsid w:val="00D5277D"/>
    <w:rsid w:val="00D52AD8"/>
    <w:rsid w:val="00D5313A"/>
    <w:rsid w:val="00D533B0"/>
    <w:rsid w:val="00D53615"/>
    <w:rsid w:val="00D54156"/>
    <w:rsid w:val="00D55678"/>
    <w:rsid w:val="00D56790"/>
    <w:rsid w:val="00D56EE1"/>
    <w:rsid w:val="00D57BEF"/>
    <w:rsid w:val="00D57CB5"/>
    <w:rsid w:val="00D60168"/>
    <w:rsid w:val="00D61BAB"/>
    <w:rsid w:val="00D61BF4"/>
    <w:rsid w:val="00D62AA1"/>
    <w:rsid w:val="00D6351D"/>
    <w:rsid w:val="00D6645B"/>
    <w:rsid w:val="00D6669F"/>
    <w:rsid w:val="00D66F72"/>
    <w:rsid w:val="00D71759"/>
    <w:rsid w:val="00D72C0C"/>
    <w:rsid w:val="00D738FD"/>
    <w:rsid w:val="00D73A06"/>
    <w:rsid w:val="00D75092"/>
    <w:rsid w:val="00D75484"/>
    <w:rsid w:val="00D75518"/>
    <w:rsid w:val="00D76C69"/>
    <w:rsid w:val="00D76EB6"/>
    <w:rsid w:val="00D80431"/>
    <w:rsid w:val="00D80932"/>
    <w:rsid w:val="00D81186"/>
    <w:rsid w:val="00D81392"/>
    <w:rsid w:val="00D81447"/>
    <w:rsid w:val="00D81E4D"/>
    <w:rsid w:val="00D826A5"/>
    <w:rsid w:val="00D82863"/>
    <w:rsid w:val="00D82FFF"/>
    <w:rsid w:val="00D8311A"/>
    <w:rsid w:val="00D87117"/>
    <w:rsid w:val="00D87B06"/>
    <w:rsid w:val="00D9062D"/>
    <w:rsid w:val="00D914EE"/>
    <w:rsid w:val="00D92F4B"/>
    <w:rsid w:val="00D93B64"/>
    <w:rsid w:val="00D9427D"/>
    <w:rsid w:val="00D96E46"/>
    <w:rsid w:val="00D96E65"/>
    <w:rsid w:val="00DA07CC"/>
    <w:rsid w:val="00DA1AAA"/>
    <w:rsid w:val="00DA231E"/>
    <w:rsid w:val="00DA3047"/>
    <w:rsid w:val="00DA3981"/>
    <w:rsid w:val="00DA492F"/>
    <w:rsid w:val="00DA4E01"/>
    <w:rsid w:val="00DA4EA5"/>
    <w:rsid w:val="00DA5A89"/>
    <w:rsid w:val="00DA649D"/>
    <w:rsid w:val="00DA74DB"/>
    <w:rsid w:val="00DB047B"/>
    <w:rsid w:val="00DB0713"/>
    <w:rsid w:val="00DB1037"/>
    <w:rsid w:val="00DB1F8D"/>
    <w:rsid w:val="00DB2AD0"/>
    <w:rsid w:val="00DB3761"/>
    <w:rsid w:val="00DB3B4E"/>
    <w:rsid w:val="00DB5FEC"/>
    <w:rsid w:val="00DB7232"/>
    <w:rsid w:val="00DC03B9"/>
    <w:rsid w:val="00DC2143"/>
    <w:rsid w:val="00DC27B7"/>
    <w:rsid w:val="00DC378B"/>
    <w:rsid w:val="00DC5327"/>
    <w:rsid w:val="00DC55B3"/>
    <w:rsid w:val="00DC5785"/>
    <w:rsid w:val="00DC6231"/>
    <w:rsid w:val="00DC79F2"/>
    <w:rsid w:val="00DD14B6"/>
    <w:rsid w:val="00DD190A"/>
    <w:rsid w:val="00DD1D93"/>
    <w:rsid w:val="00DD3FF5"/>
    <w:rsid w:val="00DD4996"/>
    <w:rsid w:val="00DD6A1C"/>
    <w:rsid w:val="00DD785A"/>
    <w:rsid w:val="00DD792E"/>
    <w:rsid w:val="00DE24C7"/>
    <w:rsid w:val="00DE2E8E"/>
    <w:rsid w:val="00DE3D10"/>
    <w:rsid w:val="00DE42A5"/>
    <w:rsid w:val="00DE5AE6"/>
    <w:rsid w:val="00DE6277"/>
    <w:rsid w:val="00DF1ABB"/>
    <w:rsid w:val="00DF1D80"/>
    <w:rsid w:val="00DF2FA4"/>
    <w:rsid w:val="00DF3369"/>
    <w:rsid w:val="00DF410E"/>
    <w:rsid w:val="00DF660F"/>
    <w:rsid w:val="00DF716A"/>
    <w:rsid w:val="00E00329"/>
    <w:rsid w:val="00E011D8"/>
    <w:rsid w:val="00E02BB2"/>
    <w:rsid w:val="00E040CE"/>
    <w:rsid w:val="00E0477B"/>
    <w:rsid w:val="00E05050"/>
    <w:rsid w:val="00E05594"/>
    <w:rsid w:val="00E07D8E"/>
    <w:rsid w:val="00E1033C"/>
    <w:rsid w:val="00E11048"/>
    <w:rsid w:val="00E12EE1"/>
    <w:rsid w:val="00E14523"/>
    <w:rsid w:val="00E15DEF"/>
    <w:rsid w:val="00E165AD"/>
    <w:rsid w:val="00E167CA"/>
    <w:rsid w:val="00E16ED7"/>
    <w:rsid w:val="00E1770A"/>
    <w:rsid w:val="00E17DD1"/>
    <w:rsid w:val="00E2031B"/>
    <w:rsid w:val="00E21D60"/>
    <w:rsid w:val="00E22999"/>
    <w:rsid w:val="00E2395D"/>
    <w:rsid w:val="00E23B5D"/>
    <w:rsid w:val="00E23C16"/>
    <w:rsid w:val="00E23CC7"/>
    <w:rsid w:val="00E24E11"/>
    <w:rsid w:val="00E255D5"/>
    <w:rsid w:val="00E25BD6"/>
    <w:rsid w:val="00E26106"/>
    <w:rsid w:val="00E26CBF"/>
    <w:rsid w:val="00E2716D"/>
    <w:rsid w:val="00E305A2"/>
    <w:rsid w:val="00E31314"/>
    <w:rsid w:val="00E33A0C"/>
    <w:rsid w:val="00E33C31"/>
    <w:rsid w:val="00E34374"/>
    <w:rsid w:val="00E35046"/>
    <w:rsid w:val="00E36166"/>
    <w:rsid w:val="00E365E8"/>
    <w:rsid w:val="00E36919"/>
    <w:rsid w:val="00E36AB3"/>
    <w:rsid w:val="00E376FF"/>
    <w:rsid w:val="00E40EBD"/>
    <w:rsid w:val="00E4100A"/>
    <w:rsid w:val="00E44589"/>
    <w:rsid w:val="00E449C9"/>
    <w:rsid w:val="00E4559F"/>
    <w:rsid w:val="00E45A23"/>
    <w:rsid w:val="00E51E8E"/>
    <w:rsid w:val="00E51F26"/>
    <w:rsid w:val="00E52138"/>
    <w:rsid w:val="00E54C20"/>
    <w:rsid w:val="00E562CF"/>
    <w:rsid w:val="00E56E16"/>
    <w:rsid w:val="00E576EB"/>
    <w:rsid w:val="00E6066F"/>
    <w:rsid w:val="00E615BB"/>
    <w:rsid w:val="00E61ABA"/>
    <w:rsid w:val="00E62D3B"/>
    <w:rsid w:val="00E6362A"/>
    <w:rsid w:val="00E63CDD"/>
    <w:rsid w:val="00E665FB"/>
    <w:rsid w:val="00E66810"/>
    <w:rsid w:val="00E6745E"/>
    <w:rsid w:val="00E67AA9"/>
    <w:rsid w:val="00E703F4"/>
    <w:rsid w:val="00E71325"/>
    <w:rsid w:val="00E717D4"/>
    <w:rsid w:val="00E72522"/>
    <w:rsid w:val="00E744F3"/>
    <w:rsid w:val="00E76B59"/>
    <w:rsid w:val="00E76B68"/>
    <w:rsid w:val="00E76C38"/>
    <w:rsid w:val="00E76E56"/>
    <w:rsid w:val="00E800FD"/>
    <w:rsid w:val="00E802CA"/>
    <w:rsid w:val="00E81170"/>
    <w:rsid w:val="00E81356"/>
    <w:rsid w:val="00E82239"/>
    <w:rsid w:val="00E8243A"/>
    <w:rsid w:val="00E843C2"/>
    <w:rsid w:val="00E84622"/>
    <w:rsid w:val="00E8534D"/>
    <w:rsid w:val="00E87BFF"/>
    <w:rsid w:val="00E87C91"/>
    <w:rsid w:val="00E910DF"/>
    <w:rsid w:val="00E92992"/>
    <w:rsid w:val="00E9348D"/>
    <w:rsid w:val="00E96128"/>
    <w:rsid w:val="00E96816"/>
    <w:rsid w:val="00EA238C"/>
    <w:rsid w:val="00EA2BE1"/>
    <w:rsid w:val="00EA3D27"/>
    <w:rsid w:val="00EA4533"/>
    <w:rsid w:val="00EA5288"/>
    <w:rsid w:val="00EA55C2"/>
    <w:rsid w:val="00EA6C8A"/>
    <w:rsid w:val="00EA76C1"/>
    <w:rsid w:val="00EA7EAF"/>
    <w:rsid w:val="00EB0494"/>
    <w:rsid w:val="00EB0A7D"/>
    <w:rsid w:val="00EB0CBE"/>
    <w:rsid w:val="00EB1443"/>
    <w:rsid w:val="00EB1DB0"/>
    <w:rsid w:val="00EB208C"/>
    <w:rsid w:val="00EB23C4"/>
    <w:rsid w:val="00EB28BD"/>
    <w:rsid w:val="00EB3660"/>
    <w:rsid w:val="00EB38B0"/>
    <w:rsid w:val="00EB3B66"/>
    <w:rsid w:val="00EB53F5"/>
    <w:rsid w:val="00EB5D51"/>
    <w:rsid w:val="00EB6342"/>
    <w:rsid w:val="00EB65AA"/>
    <w:rsid w:val="00EB67E9"/>
    <w:rsid w:val="00EB7EB2"/>
    <w:rsid w:val="00EC0059"/>
    <w:rsid w:val="00EC0907"/>
    <w:rsid w:val="00EC0908"/>
    <w:rsid w:val="00EC090A"/>
    <w:rsid w:val="00EC1836"/>
    <w:rsid w:val="00EC1AC2"/>
    <w:rsid w:val="00EC26E1"/>
    <w:rsid w:val="00EC3E43"/>
    <w:rsid w:val="00EC4B4E"/>
    <w:rsid w:val="00EC5CE1"/>
    <w:rsid w:val="00EC6C61"/>
    <w:rsid w:val="00EC6E62"/>
    <w:rsid w:val="00EC791C"/>
    <w:rsid w:val="00ED0504"/>
    <w:rsid w:val="00ED053B"/>
    <w:rsid w:val="00ED10FF"/>
    <w:rsid w:val="00ED16D5"/>
    <w:rsid w:val="00ED2BB0"/>
    <w:rsid w:val="00ED2FC0"/>
    <w:rsid w:val="00ED50AD"/>
    <w:rsid w:val="00ED51A1"/>
    <w:rsid w:val="00ED5B34"/>
    <w:rsid w:val="00ED67BB"/>
    <w:rsid w:val="00EE0DC1"/>
    <w:rsid w:val="00EE0E15"/>
    <w:rsid w:val="00EE2594"/>
    <w:rsid w:val="00EE25C3"/>
    <w:rsid w:val="00EE322B"/>
    <w:rsid w:val="00EE3515"/>
    <w:rsid w:val="00EE4557"/>
    <w:rsid w:val="00EE52DB"/>
    <w:rsid w:val="00EE566F"/>
    <w:rsid w:val="00EE6668"/>
    <w:rsid w:val="00EE71A0"/>
    <w:rsid w:val="00EE753A"/>
    <w:rsid w:val="00EE78A0"/>
    <w:rsid w:val="00EF080C"/>
    <w:rsid w:val="00EF0A46"/>
    <w:rsid w:val="00EF18A2"/>
    <w:rsid w:val="00EF1D73"/>
    <w:rsid w:val="00EF2DD3"/>
    <w:rsid w:val="00EF4A59"/>
    <w:rsid w:val="00EF5B0F"/>
    <w:rsid w:val="00EF5B4F"/>
    <w:rsid w:val="00EF62BF"/>
    <w:rsid w:val="00EF63B7"/>
    <w:rsid w:val="00EF64BC"/>
    <w:rsid w:val="00EF64E7"/>
    <w:rsid w:val="00EF6BE2"/>
    <w:rsid w:val="00F014AC"/>
    <w:rsid w:val="00F0223B"/>
    <w:rsid w:val="00F02BFE"/>
    <w:rsid w:val="00F030A3"/>
    <w:rsid w:val="00F037AD"/>
    <w:rsid w:val="00F03A37"/>
    <w:rsid w:val="00F049C5"/>
    <w:rsid w:val="00F07037"/>
    <w:rsid w:val="00F0728A"/>
    <w:rsid w:val="00F10318"/>
    <w:rsid w:val="00F12ACE"/>
    <w:rsid w:val="00F12C71"/>
    <w:rsid w:val="00F12C76"/>
    <w:rsid w:val="00F13404"/>
    <w:rsid w:val="00F145ED"/>
    <w:rsid w:val="00F14CD5"/>
    <w:rsid w:val="00F14F9C"/>
    <w:rsid w:val="00F15055"/>
    <w:rsid w:val="00F15600"/>
    <w:rsid w:val="00F15785"/>
    <w:rsid w:val="00F15890"/>
    <w:rsid w:val="00F15EB4"/>
    <w:rsid w:val="00F17539"/>
    <w:rsid w:val="00F176F2"/>
    <w:rsid w:val="00F21D37"/>
    <w:rsid w:val="00F226FE"/>
    <w:rsid w:val="00F23933"/>
    <w:rsid w:val="00F23B0C"/>
    <w:rsid w:val="00F246F2"/>
    <w:rsid w:val="00F25C4C"/>
    <w:rsid w:val="00F25EBD"/>
    <w:rsid w:val="00F268F2"/>
    <w:rsid w:val="00F27075"/>
    <w:rsid w:val="00F2778A"/>
    <w:rsid w:val="00F307CD"/>
    <w:rsid w:val="00F30B4A"/>
    <w:rsid w:val="00F31382"/>
    <w:rsid w:val="00F31F21"/>
    <w:rsid w:val="00F32855"/>
    <w:rsid w:val="00F33C55"/>
    <w:rsid w:val="00F34C70"/>
    <w:rsid w:val="00F34EB9"/>
    <w:rsid w:val="00F356AE"/>
    <w:rsid w:val="00F35F1D"/>
    <w:rsid w:val="00F36414"/>
    <w:rsid w:val="00F3711B"/>
    <w:rsid w:val="00F37C85"/>
    <w:rsid w:val="00F37EA6"/>
    <w:rsid w:val="00F4002E"/>
    <w:rsid w:val="00F4024B"/>
    <w:rsid w:val="00F40A6F"/>
    <w:rsid w:val="00F42C56"/>
    <w:rsid w:val="00F443F3"/>
    <w:rsid w:val="00F449DB"/>
    <w:rsid w:val="00F44B65"/>
    <w:rsid w:val="00F457B5"/>
    <w:rsid w:val="00F47F72"/>
    <w:rsid w:val="00F512D5"/>
    <w:rsid w:val="00F51A11"/>
    <w:rsid w:val="00F51EBC"/>
    <w:rsid w:val="00F561EB"/>
    <w:rsid w:val="00F57A13"/>
    <w:rsid w:val="00F609C6"/>
    <w:rsid w:val="00F62ECF"/>
    <w:rsid w:val="00F634BB"/>
    <w:rsid w:val="00F64857"/>
    <w:rsid w:val="00F64940"/>
    <w:rsid w:val="00F65295"/>
    <w:rsid w:val="00F65A04"/>
    <w:rsid w:val="00F65B3B"/>
    <w:rsid w:val="00F6778E"/>
    <w:rsid w:val="00F67826"/>
    <w:rsid w:val="00F67E34"/>
    <w:rsid w:val="00F70FFC"/>
    <w:rsid w:val="00F71B0E"/>
    <w:rsid w:val="00F71BD6"/>
    <w:rsid w:val="00F72006"/>
    <w:rsid w:val="00F73D32"/>
    <w:rsid w:val="00F74CF6"/>
    <w:rsid w:val="00F74E89"/>
    <w:rsid w:val="00F76121"/>
    <w:rsid w:val="00F77920"/>
    <w:rsid w:val="00F80082"/>
    <w:rsid w:val="00F8184F"/>
    <w:rsid w:val="00F81DB0"/>
    <w:rsid w:val="00F82238"/>
    <w:rsid w:val="00F82AD5"/>
    <w:rsid w:val="00F8530E"/>
    <w:rsid w:val="00F85574"/>
    <w:rsid w:val="00F86C29"/>
    <w:rsid w:val="00F92BB5"/>
    <w:rsid w:val="00F92D58"/>
    <w:rsid w:val="00F94885"/>
    <w:rsid w:val="00F951EC"/>
    <w:rsid w:val="00F954C1"/>
    <w:rsid w:val="00F962B9"/>
    <w:rsid w:val="00F96EDC"/>
    <w:rsid w:val="00F974EA"/>
    <w:rsid w:val="00FA005F"/>
    <w:rsid w:val="00FA03B2"/>
    <w:rsid w:val="00FA04CA"/>
    <w:rsid w:val="00FA0DA7"/>
    <w:rsid w:val="00FA1A8C"/>
    <w:rsid w:val="00FA1C8D"/>
    <w:rsid w:val="00FA1EE7"/>
    <w:rsid w:val="00FA2110"/>
    <w:rsid w:val="00FA26E1"/>
    <w:rsid w:val="00FA2D44"/>
    <w:rsid w:val="00FA32A3"/>
    <w:rsid w:val="00FA36F4"/>
    <w:rsid w:val="00FA5AA5"/>
    <w:rsid w:val="00FA5CC0"/>
    <w:rsid w:val="00FA5F41"/>
    <w:rsid w:val="00FA6CAC"/>
    <w:rsid w:val="00FA7615"/>
    <w:rsid w:val="00FB1A88"/>
    <w:rsid w:val="00FB20CE"/>
    <w:rsid w:val="00FB21F2"/>
    <w:rsid w:val="00FB458F"/>
    <w:rsid w:val="00FB4643"/>
    <w:rsid w:val="00FB507A"/>
    <w:rsid w:val="00FB64F2"/>
    <w:rsid w:val="00FB64FD"/>
    <w:rsid w:val="00FB694D"/>
    <w:rsid w:val="00FB6E11"/>
    <w:rsid w:val="00FB72F0"/>
    <w:rsid w:val="00FB79D2"/>
    <w:rsid w:val="00FC096C"/>
    <w:rsid w:val="00FC0A6F"/>
    <w:rsid w:val="00FC0D6B"/>
    <w:rsid w:val="00FC2D53"/>
    <w:rsid w:val="00FC2F0C"/>
    <w:rsid w:val="00FC3172"/>
    <w:rsid w:val="00FC3A59"/>
    <w:rsid w:val="00FC3D67"/>
    <w:rsid w:val="00FC5F52"/>
    <w:rsid w:val="00FC62D5"/>
    <w:rsid w:val="00FC6503"/>
    <w:rsid w:val="00FC718D"/>
    <w:rsid w:val="00FC77AB"/>
    <w:rsid w:val="00FC79E1"/>
    <w:rsid w:val="00FD1186"/>
    <w:rsid w:val="00FD23C8"/>
    <w:rsid w:val="00FD2699"/>
    <w:rsid w:val="00FD3177"/>
    <w:rsid w:val="00FD3868"/>
    <w:rsid w:val="00FD41D0"/>
    <w:rsid w:val="00FD453E"/>
    <w:rsid w:val="00FD6335"/>
    <w:rsid w:val="00FD6533"/>
    <w:rsid w:val="00FD6A23"/>
    <w:rsid w:val="00FD6F85"/>
    <w:rsid w:val="00FE03AC"/>
    <w:rsid w:val="00FE3CEB"/>
    <w:rsid w:val="00FE4A98"/>
    <w:rsid w:val="00FE4BC1"/>
    <w:rsid w:val="00FE50FD"/>
    <w:rsid w:val="00FE6E9A"/>
    <w:rsid w:val="00FE722C"/>
    <w:rsid w:val="00FE74A2"/>
    <w:rsid w:val="00FE79EF"/>
    <w:rsid w:val="00FF048C"/>
    <w:rsid w:val="00FF42FD"/>
    <w:rsid w:val="00FF6CDB"/>
    <w:rsid w:val="0166554C"/>
    <w:rsid w:val="020218E7"/>
    <w:rsid w:val="0208D51B"/>
    <w:rsid w:val="03833F1E"/>
    <w:rsid w:val="03B43F6E"/>
    <w:rsid w:val="045DA2CA"/>
    <w:rsid w:val="049620EC"/>
    <w:rsid w:val="05630160"/>
    <w:rsid w:val="05B2A190"/>
    <w:rsid w:val="05DC619B"/>
    <w:rsid w:val="063B4D7B"/>
    <w:rsid w:val="0A160E2C"/>
    <w:rsid w:val="0BC6EEA1"/>
    <w:rsid w:val="0D34EEB7"/>
    <w:rsid w:val="0D73878D"/>
    <w:rsid w:val="0DCC42B0"/>
    <w:rsid w:val="0ED653D0"/>
    <w:rsid w:val="0F0E1470"/>
    <w:rsid w:val="1031CC92"/>
    <w:rsid w:val="10AADC59"/>
    <w:rsid w:val="113F4E74"/>
    <w:rsid w:val="11DEAD97"/>
    <w:rsid w:val="12490F95"/>
    <w:rsid w:val="126C4671"/>
    <w:rsid w:val="134872CD"/>
    <w:rsid w:val="143DBF2A"/>
    <w:rsid w:val="144F3C58"/>
    <w:rsid w:val="15F15C01"/>
    <w:rsid w:val="165F0073"/>
    <w:rsid w:val="1775AF52"/>
    <w:rsid w:val="17BF690E"/>
    <w:rsid w:val="1831D960"/>
    <w:rsid w:val="1AF9EA67"/>
    <w:rsid w:val="1BBEBBE5"/>
    <w:rsid w:val="1BF84286"/>
    <w:rsid w:val="1C891F34"/>
    <w:rsid w:val="1C9F8180"/>
    <w:rsid w:val="1FF28F29"/>
    <w:rsid w:val="1FF6FB7C"/>
    <w:rsid w:val="2097193B"/>
    <w:rsid w:val="20997AB4"/>
    <w:rsid w:val="210E2FAD"/>
    <w:rsid w:val="22154466"/>
    <w:rsid w:val="2289C91D"/>
    <w:rsid w:val="23AACF3B"/>
    <w:rsid w:val="242152FA"/>
    <w:rsid w:val="247B2358"/>
    <w:rsid w:val="27CFA32D"/>
    <w:rsid w:val="28A03B20"/>
    <w:rsid w:val="2E6EB308"/>
    <w:rsid w:val="3077076F"/>
    <w:rsid w:val="31EA17C3"/>
    <w:rsid w:val="3470DEB0"/>
    <w:rsid w:val="3587A24D"/>
    <w:rsid w:val="3590E71E"/>
    <w:rsid w:val="36287CDE"/>
    <w:rsid w:val="3874028A"/>
    <w:rsid w:val="39BCA7C1"/>
    <w:rsid w:val="39EC3628"/>
    <w:rsid w:val="3B568E23"/>
    <w:rsid w:val="3B708B16"/>
    <w:rsid w:val="3D003EFB"/>
    <w:rsid w:val="3D7C114F"/>
    <w:rsid w:val="3EE96DD0"/>
    <w:rsid w:val="406C52DA"/>
    <w:rsid w:val="407D0182"/>
    <w:rsid w:val="419F1DB2"/>
    <w:rsid w:val="4273603B"/>
    <w:rsid w:val="4438332F"/>
    <w:rsid w:val="45A61BC2"/>
    <w:rsid w:val="464308EE"/>
    <w:rsid w:val="4661D55A"/>
    <w:rsid w:val="47ACCABA"/>
    <w:rsid w:val="47B0383B"/>
    <w:rsid w:val="48122864"/>
    <w:rsid w:val="4819A1B9"/>
    <w:rsid w:val="48D6FE30"/>
    <w:rsid w:val="4A004276"/>
    <w:rsid w:val="4B92DF0F"/>
    <w:rsid w:val="4C69EE00"/>
    <w:rsid w:val="4D380EAC"/>
    <w:rsid w:val="4E3C810F"/>
    <w:rsid w:val="50EC79FD"/>
    <w:rsid w:val="52FE1DD7"/>
    <w:rsid w:val="535BE797"/>
    <w:rsid w:val="5572DDFC"/>
    <w:rsid w:val="56B8EE12"/>
    <w:rsid w:val="570C18A2"/>
    <w:rsid w:val="570E1017"/>
    <w:rsid w:val="58F94625"/>
    <w:rsid w:val="5986475D"/>
    <w:rsid w:val="5ABA0DE7"/>
    <w:rsid w:val="5B0A273A"/>
    <w:rsid w:val="5B0E84B1"/>
    <w:rsid w:val="5D197F7A"/>
    <w:rsid w:val="5EBAEEFF"/>
    <w:rsid w:val="5EC98F3A"/>
    <w:rsid w:val="606F45AC"/>
    <w:rsid w:val="610E134E"/>
    <w:rsid w:val="612831A9"/>
    <w:rsid w:val="625DBA50"/>
    <w:rsid w:val="63B8EC8B"/>
    <w:rsid w:val="63C7FAB6"/>
    <w:rsid w:val="64873A96"/>
    <w:rsid w:val="6656AF88"/>
    <w:rsid w:val="66C6EC81"/>
    <w:rsid w:val="67B66C75"/>
    <w:rsid w:val="67BF5475"/>
    <w:rsid w:val="67FB902E"/>
    <w:rsid w:val="68815A1E"/>
    <w:rsid w:val="68A63508"/>
    <w:rsid w:val="6ABCD270"/>
    <w:rsid w:val="6AFAE726"/>
    <w:rsid w:val="6B06608B"/>
    <w:rsid w:val="6B70BABE"/>
    <w:rsid w:val="6BDB17C7"/>
    <w:rsid w:val="6C048241"/>
    <w:rsid w:val="6EEB7116"/>
    <w:rsid w:val="6F3692B6"/>
    <w:rsid w:val="740BEF21"/>
    <w:rsid w:val="7598B409"/>
    <w:rsid w:val="771DA8C3"/>
    <w:rsid w:val="77B910FD"/>
    <w:rsid w:val="783FFE6F"/>
    <w:rsid w:val="796DC8A3"/>
    <w:rsid w:val="79C8C90B"/>
    <w:rsid w:val="79F1522A"/>
    <w:rsid w:val="7B3B4953"/>
    <w:rsid w:val="7B5AB715"/>
    <w:rsid w:val="7B755686"/>
    <w:rsid w:val="7E8F61DB"/>
    <w:rsid w:val="7F7D31E5"/>
    <w:rsid w:val="7FE09829"/>
    <w:rsid w:val="7FEC918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9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1023AA"/>
    <w:pPr>
      <w:numPr>
        <w:numId w:val="5"/>
      </w:numPr>
      <w:spacing w:before="120" w:after="120"/>
      <w:outlineLvl w:val="0"/>
    </w:pPr>
    <w:rPr>
      <w:rFonts w:ascii="Calibri Light" w:eastAsia="Calibri Light" w:hAnsi="Calibri Light" w:cs="Calibri Light"/>
      <w:color w:val="2E5395"/>
      <w:sz w:val="32"/>
      <w:szCs w:val="32"/>
    </w:rPr>
  </w:style>
  <w:style w:type="paragraph" w:styleId="Heading2">
    <w:name w:val="heading 2"/>
    <w:basedOn w:val="Normal"/>
    <w:uiPriority w:val="9"/>
    <w:unhideWhenUsed/>
    <w:qFormat/>
    <w:pPr>
      <w:numPr>
        <w:ilvl w:val="1"/>
        <w:numId w:val="5"/>
      </w:numPr>
      <w:spacing w:before="161"/>
      <w:outlineLvl w:val="1"/>
    </w:pPr>
    <w:rPr>
      <w:rFonts w:ascii="Calibri Light" w:eastAsia="Calibri Light" w:hAnsi="Calibri Light" w:cs="Calibri Light"/>
      <w:sz w:val="26"/>
      <w:szCs w:val="26"/>
    </w:rPr>
  </w:style>
  <w:style w:type="paragraph" w:styleId="Heading3">
    <w:name w:val="heading 3"/>
    <w:basedOn w:val="Normal"/>
    <w:next w:val="Normal"/>
    <w:link w:val="Heading3Char"/>
    <w:uiPriority w:val="9"/>
    <w:unhideWhenUsed/>
    <w:qFormat/>
    <w:rsid w:val="00F31F21"/>
    <w:pPr>
      <w:keepNext/>
      <w:keepLines/>
      <w:numPr>
        <w:ilvl w:val="2"/>
        <w:numId w:val="5"/>
      </w:numPr>
      <w:spacing w:before="120"/>
      <w:ind w:left="879" w:hanging="737"/>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023AA"/>
    <w:pPr>
      <w:spacing w:before="159" w:line="259" w:lineRule="auto"/>
      <w:ind w:left="220" w:right="277"/>
    </w:pPr>
  </w:style>
  <w:style w:type="paragraph" w:styleId="Title">
    <w:name w:val="Title"/>
    <w:basedOn w:val="Normal"/>
    <w:uiPriority w:val="10"/>
    <w:qFormat/>
    <w:pPr>
      <w:ind w:left="220"/>
    </w:pPr>
    <w:rPr>
      <w:rFonts w:ascii="Calibri Light" w:eastAsia="Calibri Light" w:hAnsi="Calibri Light" w:cs="Calibri Light"/>
      <w:sz w:val="56"/>
      <w:szCs w:val="56"/>
    </w:rPr>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paragraph" w:styleId="Revision">
    <w:name w:val="Revision"/>
    <w:hidden/>
    <w:uiPriority w:val="99"/>
    <w:semiHidden/>
    <w:rsid w:val="002C7826"/>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2C7826"/>
    <w:rPr>
      <w:sz w:val="16"/>
      <w:szCs w:val="16"/>
    </w:rPr>
  </w:style>
  <w:style w:type="paragraph" w:styleId="CommentText">
    <w:name w:val="annotation text"/>
    <w:basedOn w:val="Normal"/>
    <w:link w:val="CommentTextChar"/>
    <w:uiPriority w:val="99"/>
    <w:unhideWhenUsed/>
    <w:rsid w:val="002C7826"/>
    <w:rPr>
      <w:sz w:val="20"/>
      <w:szCs w:val="20"/>
    </w:rPr>
  </w:style>
  <w:style w:type="character" w:customStyle="1" w:styleId="CommentTextChar">
    <w:name w:val="Comment Text Char"/>
    <w:basedOn w:val="DefaultParagraphFont"/>
    <w:link w:val="CommentText"/>
    <w:uiPriority w:val="99"/>
    <w:rsid w:val="002C782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C7826"/>
    <w:rPr>
      <w:b/>
      <w:bCs/>
    </w:rPr>
  </w:style>
  <w:style w:type="character" w:customStyle="1" w:styleId="CommentSubjectChar">
    <w:name w:val="Comment Subject Char"/>
    <w:basedOn w:val="CommentTextChar"/>
    <w:link w:val="CommentSubject"/>
    <w:uiPriority w:val="99"/>
    <w:semiHidden/>
    <w:rsid w:val="002C7826"/>
    <w:rPr>
      <w:rFonts w:ascii="Calibri" w:eastAsia="Calibri" w:hAnsi="Calibri" w:cs="Calibri"/>
      <w:b/>
      <w:bCs/>
      <w:sz w:val="20"/>
      <w:szCs w:val="20"/>
    </w:rPr>
  </w:style>
  <w:style w:type="character" w:styleId="Mention">
    <w:name w:val="Mention"/>
    <w:basedOn w:val="DefaultParagraphFont"/>
    <w:uiPriority w:val="99"/>
    <w:unhideWhenUsed/>
    <w:rsid w:val="00FA5CC0"/>
    <w:rPr>
      <w:color w:val="2B579A"/>
      <w:shd w:val="clear" w:color="auto" w:fill="E1DFDD"/>
    </w:rPr>
  </w:style>
  <w:style w:type="character" w:styleId="Hyperlink">
    <w:name w:val="Hyperlink"/>
    <w:basedOn w:val="DefaultParagraphFont"/>
    <w:uiPriority w:val="99"/>
    <w:unhideWhenUsed/>
    <w:rsid w:val="00FB79D2"/>
    <w:rPr>
      <w:color w:val="0000FF" w:themeColor="hyperlink"/>
      <w:u w:val="single"/>
    </w:rPr>
  </w:style>
  <w:style w:type="character" w:styleId="UnresolvedMention">
    <w:name w:val="Unresolved Mention"/>
    <w:basedOn w:val="DefaultParagraphFont"/>
    <w:uiPriority w:val="99"/>
    <w:semiHidden/>
    <w:unhideWhenUsed/>
    <w:rsid w:val="00FB79D2"/>
    <w:rPr>
      <w:color w:val="605E5C"/>
      <w:shd w:val="clear" w:color="auto" w:fill="E1DFDD"/>
    </w:rPr>
  </w:style>
  <w:style w:type="paragraph" w:styleId="FootnoteText">
    <w:name w:val="footnote text"/>
    <w:basedOn w:val="Normal"/>
    <w:link w:val="FootnoteTextChar"/>
    <w:uiPriority w:val="99"/>
    <w:unhideWhenUsed/>
    <w:rsid w:val="00003C1E"/>
    <w:rPr>
      <w:sz w:val="20"/>
      <w:szCs w:val="20"/>
    </w:rPr>
  </w:style>
  <w:style w:type="character" w:customStyle="1" w:styleId="FootnoteTextChar">
    <w:name w:val="Footnote Text Char"/>
    <w:basedOn w:val="DefaultParagraphFont"/>
    <w:link w:val="FootnoteText"/>
    <w:uiPriority w:val="99"/>
    <w:rsid w:val="00003C1E"/>
    <w:rPr>
      <w:rFonts w:ascii="Calibri" w:eastAsia="Calibri" w:hAnsi="Calibri" w:cs="Calibri"/>
      <w:sz w:val="20"/>
      <w:szCs w:val="20"/>
    </w:rPr>
  </w:style>
  <w:style w:type="character" w:styleId="FootnoteReference">
    <w:name w:val="footnote reference"/>
    <w:basedOn w:val="DefaultParagraphFont"/>
    <w:uiPriority w:val="99"/>
    <w:semiHidden/>
    <w:unhideWhenUsed/>
    <w:rsid w:val="00003C1E"/>
    <w:rPr>
      <w:vertAlign w:val="superscript"/>
    </w:rPr>
  </w:style>
  <w:style w:type="character" w:customStyle="1" w:styleId="Heading3Char">
    <w:name w:val="Heading 3 Char"/>
    <w:basedOn w:val="DefaultParagraphFont"/>
    <w:link w:val="Heading3"/>
    <w:uiPriority w:val="9"/>
    <w:rsid w:val="00F31F21"/>
    <w:rPr>
      <w:rFonts w:asciiTheme="majorHAnsi" w:eastAsiaTheme="majorEastAsia" w:hAnsiTheme="majorHAnsi" w:cstheme="majorBidi"/>
      <w:color w:val="243F60" w:themeColor="accent1" w:themeShade="7F"/>
      <w:sz w:val="24"/>
      <w:szCs w:val="24"/>
    </w:rPr>
  </w:style>
  <w:style w:type="paragraph" w:styleId="Caption">
    <w:name w:val="caption"/>
    <w:basedOn w:val="Normal"/>
    <w:next w:val="Normal"/>
    <w:uiPriority w:val="35"/>
    <w:unhideWhenUsed/>
    <w:qFormat/>
    <w:rsid w:val="00A41DAE"/>
    <w:pPr>
      <w:spacing w:after="200"/>
      <w:ind w:left="220"/>
    </w:pPr>
    <w:rPr>
      <w:i/>
      <w:iCs/>
      <w:color w:val="1F497D" w:themeColor="text2"/>
      <w:sz w:val="18"/>
      <w:szCs w:val="18"/>
    </w:rPr>
  </w:style>
  <w:style w:type="table" w:styleId="TableGrid">
    <w:name w:val="Table Grid"/>
    <w:basedOn w:val="TableNormal"/>
    <w:uiPriority w:val="39"/>
    <w:rsid w:val="00EE3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41D0"/>
    <w:pPr>
      <w:tabs>
        <w:tab w:val="center" w:pos="4513"/>
        <w:tab w:val="right" w:pos="9026"/>
      </w:tabs>
    </w:pPr>
  </w:style>
  <w:style w:type="character" w:customStyle="1" w:styleId="HeaderChar">
    <w:name w:val="Header Char"/>
    <w:basedOn w:val="DefaultParagraphFont"/>
    <w:link w:val="Header"/>
    <w:uiPriority w:val="99"/>
    <w:rsid w:val="00FD41D0"/>
    <w:rPr>
      <w:rFonts w:ascii="Calibri" w:eastAsia="Calibri" w:hAnsi="Calibri" w:cs="Calibri"/>
    </w:rPr>
  </w:style>
  <w:style w:type="paragraph" w:styleId="Footer">
    <w:name w:val="footer"/>
    <w:basedOn w:val="Normal"/>
    <w:link w:val="FooterChar"/>
    <w:uiPriority w:val="99"/>
    <w:unhideWhenUsed/>
    <w:rsid w:val="00FD41D0"/>
    <w:pPr>
      <w:tabs>
        <w:tab w:val="center" w:pos="4513"/>
        <w:tab w:val="right" w:pos="9026"/>
      </w:tabs>
    </w:pPr>
  </w:style>
  <w:style w:type="character" w:customStyle="1" w:styleId="FooterChar">
    <w:name w:val="Footer Char"/>
    <w:basedOn w:val="DefaultParagraphFont"/>
    <w:link w:val="Footer"/>
    <w:uiPriority w:val="99"/>
    <w:rsid w:val="00FD41D0"/>
    <w:rPr>
      <w:rFonts w:ascii="Calibri" w:eastAsia="Calibri" w:hAnsi="Calibri" w:cs="Calibri"/>
    </w:rPr>
  </w:style>
  <w:style w:type="character" w:styleId="FollowedHyperlink">
    <w:name w:val="FollowedHyperlink"/>
    <w:basedOn w:val="DefaultParagraphFont"/>
    <w:uiPriority w:val="99"/>
    <w:semiHidden/>
    <w:unhideWhenUsed/>
    <w:rsid w:val="00DA07CC"/>
    <w:rPr>
      <w:color w:val="800080" w:themeColor="followedHyperlink"/>
      <w:u w:val="single"/>
    </w:rPr>
  </w:style>
  <w:style w:type="character" w:customStyle="1" w:styleId="BodyTextChar">
    <w:name w:val="Body Text Char"/>
    <w:basedOn w:val="DefaultParagraphFont"/>
    <w:link w:val="BodyText"/>
    <w:uiPriority w:val="1"/>
    <w:rsid w:val="00952FD1"/>
    <w:rPr>
      <w:rFonts w:ascii="Calibri" w:eastAsia="Calibri" w:hAnsi="Calibri" w:cs="Calibri"/>
    </w:rPr>
  </w:style>
  <w:style w:type="paragraph" w:styleId="EndnoteText">
    <w:name w:val="endnote text"/>
    <w:basedOn w:val="Normal"/>
    <w:link w:val="EndnoteTextChar"/>
    <w:uiPriority w:val="99"/>
    <w:semiHidden/>
    <w:unhideWhenUsed/>
    <w:rsid w:val="00100C1B"/>
    <w:rPr>
      <w:sz w:val="20"/>
      <w:szCs w:val="20"/>
    </w:rPr>
  </w:style>
  <w:style w:type="character" w:customStyle="1" w:styleId="EndnoteTextChar">
    <w:name w:val="Endnote Text Char"/>
    <w:basedOn w:val="DefaultParagraphFont"/>
    <w:link w:val="EndnoteText"/>
    <w:uiPriority w:val="99"/>
    <w:semiHidden/>
    <w:rsid w:val="00100C1B"/>
    <w:rPr>
      <w:rFonts w:ascii="Calibri" w:eastAsia="Calibri" w:hAnsi="Calibri" w:cs="Calibri"/>
      <w:sz w:val="20"/>
      <w:szCs w:val="20"/>
    </w:rPr>
  </w:style>
  <w:style w:type="character" w:styleId="EndnoteReference">
    <w:name w:val="endnote reference"/>
    <w:basedOn w:val="DefaultParagraphFont"/>
    <w:uiPriority w:val="99"/>
    <w:semiHidden/>
    <w:unhideWhenUsed/>
    <w:rsid w:val="00100C1B"/>
    <w:rPr>
      <w:vertAlign w:val="superscript"/>
    </w:rPr>
  </w:style>
  <w:style w:type="paragraph" w:customStyle="1" w:styleId="Default">
    <w:name w:val="Default"/>
    <w:rsid w:val="0073341C"/>
    <w:pPr>
      <w:widowControl/>
      <w:adjustRightInd w:val="0"/>
    </w:pPr>
    <w:rPr>
      <w:rFonts w:ascii="Calibri" w:hAnsi="Calibri" w:cs="Calibri"/>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06650">
      <w:bodyDiv w:val="1"/>
      <w:marLeft w:val="0"/>
      <w:marRight w:val="0"/>
      <w:marTop w:val="0"/>
      <w:marBottom w:val="0"/>
      <w:divBdr>
        <w:top w:val="none" w:sz="0" w:space="0" w:color="auto"/>
        <w:left w:val="none" w:sz="0" w:space="0" w:color="auto"/>
        <w:bottom w:val="none" w:sz="0" w:space="0" w:color="auto"/>
        <w:right w:val="none" w:sz="0" w:space="0" w:color="auto"/>
      </w:divBdr>
    </w:div>
    <w:div w:id="172228700">
      <w:bodyDiv w:val="1"/>
      <w:marLeft w:val="0"/>
      <w:marRight w:val="0"/>
      <w:marTop w:val="0"/>
      <w:marBottom w:val="0"/>
      <w:divBdr>
        <w:top w:val="none" w:sz="0" w:space="0" w:color="auto"/>
        <w:left w:val="none" w:sz="0" w:space="0" w:color="auto"/>
        <w:bottom w:val="none" w:sz="0" w:space="0" w:color="auto"/>
        <w:right w:val="none" w:sz="0" w:space="0" w:color="auto"/>
      </w:divBdr>
    </w:div>
    <w:div w:id="254217478">
      <w:bodyDiv w:val="1"/>
      <w:marLeft w:val="0"/>
      <w:marRight w:val="0"/>
      <w:marTop w:val="0"/>
      <w:marBottom w:val="0"/>
      <w:divBdr>
        <w:top w:val="none" w:sz="0" w:space="0" w:color="auto"/>
        <w:left w:val="none" w:sz="0" w:space="0" w:color="auto"/>
        <w:bottom w:val="none" w:sz="0" w:space="0" w:color="auto"/>
        <w:right w:val="none" w:sz="0" w:space="0" w:color="auto"/>
      </w:divBdr>
    </w:div>
    <w:div w:id="393089716">
      <w:bodyDiv w:val="1"/>
      <w:marLeft w:val="0"/>
      <w:marRight w:val="0"/>
      <w:marTop w:val="0"/>
      <w:marBottom w:val="0"/>
      <w:divBdr>
        <w:top w:val="none" w:sz="0" w:space="0" w:color="auto"/>
        <w:left w:val="none" w:sz="0" w:space="0" w:color="auto"/>
        <w:bottom w:val="none" w:sz="0" w:space="0" w:color="auto"/>
        <w:right w:val="none" w:sz="0" w:space="0" w:color="auto"/>
      </w:divBdr>
    </w:div>
    <w:div w:id="449201185">
      <w:bodyDiv w:val="1"/>
      <w:marLeft w:val="0"/>
      <w:marRight w:val="0"/>
      <w:marTop w:val="0"/>
      <w:marBottom w:val="0"/>
      <w:divBdr>
        <w:top w:val="none" w:sz="0" w:space="0" w:color="auto"/>
        <w:left w:val="none" w:sz="0" w:space="0" w:color="auto"/>
        <w:bottom w:val="none" w:sz="0" w:space="0" w:color="auto"/>
        <w:right w:val="none" w:sz="0" w:space="0" w:color="auto"/>
      </w:divBdr>
    </w:div>
    <w:div w:id="666905160">
      <w:bodyDiv w:val="1"/>
      <w:marLeft w:val="0"/>
      <w:marRight w:val="0"/>
      <w:marTop w:val="0"/>
      <w:marBottom w:val="0"/>
      <w:divBdr>
        <w:top w:val="none" w:sz="0" w:space="0" w:color="auto"/>
        <w:left w:val="none" w:sz="0" w:space="0" w:color="auto"/>
        <w:bottom w:val="none" w:sz="0" w:space="0" w:color="auto"/>
        <w:right w:val="none" w:sz="0" w:space="0" w:color="auto"/>
      </w:divBdr>
    </w:div>
    <w:div w:id="758599775">
      <w:bodyDiv w:val="1"/>
      <w:marLeft w:val="0"/>
      <w:marRight w:val="0"/>
      <w:marTop w:val="0"/>
      <w:marBottom w:val="0"/>
      <w:divBdr>
        <w:top w:val="none" w:sz="0" w:space="0" w:color="auto"/>
        <w:left w:val="none" w:sz="0" w:space="0" w:color="auto"/>
        <w:bottom w:val="none" w:sz="0" w:space="0" w:color="auto"/>
        <w:right w:val="none" w:sz="0" w:space="0" w:color="auto"/>
      </w:divBdr>
    </w:div>
    <w:div w:id="775254754">
      <w:bodyDiv w:val="1"/>
      <w:marLeft w:val="0"/>
      <w:marRight w:val="0"/>
      <w:marTop w:val="0"/>
      <w:marBottom w:val="0"/>
      <w:divBdr>
        <w:top w:val="none" w:sz="0" w:space="0" w:color="auto"/>
        <w:left w:val="none" w:sz="0" w:space="0" w:color="auto"/>
        <w:bottom w:val="none" w:sz="0" w:space="0" w:color="auto"/>
        <w:right w:val="none" w:sz="0" w:space="0" w:color="auto"/>
      </w:divBdr>
    </w:div>
    <w:div w:id="806437607">
      <w:bodyDiv w:val="1"/>
      <w:marLeft w:val="0"/>
      <w:marRight w:val="0"/>
      <w:marTop w:val="0"/>
      <w:marBottom w:val="0"/>
      <w:divBdr>
        <w:top w:val="none" w:sz="0" w:space="0" w:color="auto"/>
        <w:left w:val="none" w:sz="0" w:space="0" w:color="auto"/>
        <w:bottom w:val="none" w:sz="0" w:space="0" w:color="auto"/>
        <w:right w:val="none" w:sz="0" w:space="0" w:color="auto"/>
      </w:divBdr>
    </w:div>
    <w:div w:id="847406237">
      <w:bodyDiv w:val="1"/>
      <w:marLeft w:val="0"/>
      <w:marRight w:val="0"/>
      <w:marTop w:val="0"/>
      <w:marBottom w:val="0"/>
      <w:divBdr>
        <w:top w:val="none" w:sz="0" w:space="0" w:color="auto"/>
        <w:left w:val="none" w:sz="0" w:space="0" w:color="auto"/>
        <w:bottom w:val="none" w:sz="0" w:space="0" w:color="auto"/>
        <w:right w:val="none" w:sz="0" w:space="0" w:color="auto"/>
      </w:divBdr>
    </w:div>
    <w:div w:id="881677231">
      <w:bodyDiv w:val="1"/>
      <w:marLeft w:val="0"/>
      <w:marRight w:val="0"/>
      <w:marTop w:val="0"/>
      <w:marBottom w:val="0"/>
      <w:divBdr>
        <w:top w:val="none" w:sz="0" w:space="0" w:color="auto"/>
        <w:left w:val="none" w:sz="0" w:space="0" w:color="auto"/>
        <w:bottom w:val="none" w:sz="0" w:space="0" w:color="auto"/>
        <w:right w:val="none" w:sz="0" w:space="0" w:color="auto"/>
      </w:divBdr>
    </w:div>
    <w:div w:id="1135872563">
      <w:bodyDiv w:val="1"/>
      <w:marLeft w:val="0"/>
      <w:marRight w:val="0"/>
      <w:marTop w:val="0"/>
      <w:marBottom w:val="0"/>
      <w:divBdr>
        <w:top w:val="none" w:sz="0" w:space="0" w:color="auto"/>
        <w:left w:val="none" w:sz="0" w:space="0" w:color="auto"/>
        <w:bottom w:val="none" w:sz="0" w:space="0" w:color="auto"/>
        <w:right w:val="none" w:sz="0" w:space="0" w:color="auto"/>
      </w:divBdr>
    </w:div>
    <w:div w:id="1138299184">
      <w:bodyDiv w:val="1"/>
      <w:marLeft w:val="0"/>
      <w:marRight w:val="0"/>
      <w:marTop w:val="0"/>
      <w:marBottom w:val="0"/>
      <w:divBdr>
        <w:top w:val="none" w:sz="0" w:space="0" w:color="auto"/>
        <w:left w:val="none" w:sz="0" w:space="0" w:color="auto"/>
        <w:bottom w:val="none" w:sz="0" w:space="0" w:color="auto"/>
        <w:right w:val="none" w:sz="0" w:space="0" w:color="auto"/>
      </w:divBdr>
    </w:div>
    <w:div w:id="1176383959">
      <w:bodyDiv w:val="1"/>
      <w:marLeft w:val="0"/>
      <w:marRight w:val="0"/>
      <w:marTop w:val="0"/>
      <w:marBottom w:val="0"/>
      <w:divBdr>
        <w:top w:val="none" w:sz="0" w:space="0" w:color="auto"/>
        <w:left w:val="none" w:sz="0" w:space="0" w:color="auto"/>
        <w:bottom w:val="none" w:sz="0" w:space="0" w:color="auto"/>
        <w:right w:val="none" w:sz="0" w:space="0" w:color="auto"/>
      </w:divBdr>
    </w:div>
    <w:div w:id="1216358563">
      <w:bodyDiv w:val="1"/>
      <w:marLeft w:val="0"/>
      <w:marRight w:val="0"/>
      <w:marTop w:val="0"/>
      <w:marBottom w:val="0"/>
      <w:divBdr>
        <w:top w:val="none" w:sz="0" w:space="0" w:color="auto"/>
        <w:left w:val="none" w:sz="0" w:space="0" w:color="auto"/>
        <w:bottom w:val="none" w:sz="0" w:space="0" w:color="auto"/>
        <w:right w:val="none" w:sz="0" w:space="0" w:color="auto"/>
      </w:divBdr>
    </w:div>
    <w:div w:id="1260984144">
      <w:bodyDiv w:val="1"/>
      <w:marLeft w:val="0"/>
      <w:marRight w:val="0"/>
      <w:marTop w:val="0"/>
      <w:marBottom w:val="0"/>
      <w:divBdr>
        <w:top w:val="none" w:sz="0" w:space="0" w:color="auto"/>
        <w:left w:val="none" w:sz="0" w:space="0" w:color="auto"/>
        <w:bottom w:val="none" w:sz="0" w:space="0" w:color="auto"/>
        <w:right w:val="none" w:sz="0" w:space="0" w:color="auto"/>
      </w:divBdr>
    </w:div>
    <w:div w:id="1276600431">
      <w:bodyDiv w:val="1"/>
      <w:marLeft w:val="0"/>
      <w:marRight w:val="0"/>
      <w:marTop w:val="0"/>
      <w:marBottom w:val="0"/>
      <w:divBdr>
        <w:top w:val="none" w:sz="0" w:space="0" w:color="auto"/>
        <w:left w:val="none" w:sz="0" w:space="0" w:color="auto"/>
        <w:bottom w:val="none" w:sz="0" w:space="0" w:color="auto"/>
        <w:right w:val="none" w:sz="0" w:space="0" w:color="auto"/>
      </w:divBdr>
    </w:div>
    <w:div w:id="1344237865">
      <w:bodyDiv w:val="1"/>
      <w:marLeft w:val="0"/>
      <w:marRight w:val="0"/>
      <w:marTop w:val="0"/>
      <w:marBottom w:val="0"/>
      <w:divBdr>
        <w:top w:val="none" w:sz="0" w:space="0" w:color="auto"/>
        <w:left w:val="none" w:sz="0" w:space="0" w:color="auto"/>
        <w:bottom w:val="none" w:sz="0" w:space="0" w:color="auto"/>
        <w:right w:val="none" w:sz="0" w:space="0" w:color="auto"/>
      </w:divBdr>
    </w:div>
    <w:div w:id="1442873208">
      <w:bodyDiv w:val="1"/>
      <w:marLeft w:val="0"/>
      <w:marRight w:val="0"/>
      <w:marTop w:val="0"/>
      <w:marBottom w:val="0"/>
      <w:divBdr>
        <w:top w:val="none" w:sz="0" w:space="0" w:color="auto"/>
        <w:left w:val="none" w:sz="0" w:space="0" w:color="auto"/>
        <w:bottom w:val="none" w:sz="0" w:space="0" w:color="auto"/>
        <w:right w:val="none" w:sz="0" w:space="0" w:color="auto"/>
      </w:divBdr>
    </w:div>
    <w:div w:id="1446459060">
      <w:bodyDiv w:val="1"/>
      <w:marLeft w:val="0"/>
      <w:marRight w:val="0"/>
      <w:marTop w:val="0"/>
      <w:marBottom w:val="0"/>
      <w:divBdr>
        <w:top w:val="none" w:sz="0" w:space="0" w:color="auto"/>
        <w:left w:val="none" w:sz="0" w:space="0" w:color="auto"/>
        <w:bottom w:val="none" w:sz="0" w:space="0" w:color="auto"/>
        <w:right w:val="none" w:sz="0" w:space="0" w:color="auto"/>
      </w:divBdr>
    </w:div>
    <w:div w:id="1531071545">
      <w:bodyDiv w:val="1"/>
      <w:marLeft w:val="0"/>
      <w:marRight w:val="0"/>
      <w:marTop w:val="0"/>
      <w:marBottom w:val="0"/>
      <w:divBdr>
        <w:top w:val="none" w:sz="0" w:space="0" w:color="auto"/>
        <w:left w:val="none" w:sz="0" w:space="0" w:color="auto"/>
        <w:bottom w:val="none" w:sz="0" w:space="0" w:color="auto"/>
        <w:right w:val="none" w:sz="0" w:space="0" w:color="auto"/>
      </w:divBdr>
    </w:div>
    <w:div w:id="1546671330">
      <w:bodyDiv w:val="1"/>
      <w:marLeft w:val="0"/>
      <w:marRight w:val="0"/>
      <w:marTop w:val="0"/>
      <w:marBottom w:val="0"/>
      <w:divBdr>
        <w:top w:val="none" w:sz="0" w:space="0" w:color="auto"/>
        <w:left w:val="none" w:sz="0" w:space="0" w:color="auto"/>
        <w:bottom w:val="none" w:sz="0" w:space="0" w:color="auto"/>
        <w:right w:val="none" w:sz="0" w:space="0" w:color="auto"/>
      </w:divBdr>
    </w:div>
    <w:div w:id="1591088067">
      <w:bodyDiv w:val="1"/>
      <w:marLeft w:val="0"/>
      <w:marRight w:val="0"/>
      <w:marTop w:val="0"/>
      <w:marBottom w:val="0"/>
      <w:divBdr>
        <w:top w:val="none" w:sz="0" w:space="0" w:color="auto"/>
        <w:left w:val="none" w:sz="0" w:space="0" w:color="auto"/>
        <w:bottom w:val="none" w:sz="0" w:space="0" w:color="auto"/>
        <w:right w:val="none" w:sz="0" w:space="0" w:color="auto"/>
      </w:divBdr>
    </w:div>
    <w:div w:id="1603488295">
      <w:bodyDiv w:val="1"/>
      <w:marLeft w:val="0"/>
      <w:marRight w:val="0"/>
      <w:marTop w:val="0"/>
      <w:marBottom w:val="0"/>
      <w:divBdr>
        <w:top w:val="none" w:sz="0" w:space="0" w:color="auto"/>
        <w:left w:val="none" w:sz="0" w:space="0" w:color="auto"/>
        <w:bottom w:val="none" w:sz="0" w:space="0" w:color="auto"/>
        <w:right w:val="none" w:sz="0" w:space="0" w:color="auto"/>
      </w:divBdr>
    </w:div>
    <w:div w:id="1649364807">
      <w:bodyDiv w:val="1"/>
      <w:marLeft w:val="0"/>
      <w:marRight w:val="0"/>
      <w:marTop w:val="0"/>
      <w:marBottom w:val="0"/>
      <w:divBdr>
        <w:top w:val="none" w:sz="0" w:space="0" w:color="auto"/>
        <w:left w:val="none" w:sz="0" w:space="0" w:color="auto"/>
        <w:bottom w:val="none" w:sz="0" w:space="0" w:color="auto"/>
        <w:right w:val="none" w:sz="0" w:space="0" w:color="auto"/>
      </w:divBdr>
    </w:div>
    <w:div w:id="1800151891">
      <w:bodyDiv w:val="1"/>
      <w:marLeft w:val="0"/>
      <w:marRight w:val="0"/>
      <w:marTop w:val="0"/>
      <w:marBottom w:val="0"/>
      <w:divBdr>
        <w:top w:val="none" w:sz="0" w:space="0" w:color="auto"/>
        <w:left w:val="none" w:sz="0" w:space="0" w:color="auto"/>
        <w:bottom w:val="none" w:sz="0" w:space="0" w:color="auto"/>
        <w:right w:val="none" w:sz="0" w:space="0" w:color="auto"/>
      </w:divBdr>
    </w:div>
    <w:div w:id="1848985405">
      <w:bodyDiv w:val="1"/>
      <w:marLeft w:val="0"/>
      <w:marRight w:val="0"/>
      <w:marTop w:val="0"/>
      <w:marBottom w:val="0"/>
      <w:divBdr>
        <w:top w:val="none" w:sz="0" w:space="0" w:color="auto"/>
        <w:left w:val="none" w:sz="0" w:space="0" w:color="auto"/>
        <w:bottom w:val="none" w:sz="0" w:space="0" w:color="auto"/>
        <w:right w:val="none" w:sz="0" w:space="0" w:color="auto"/>
      </w:divBdr>
    </w:div>
    <w:div w:id="1859463673">
      <w:bodyDiv w:val="1"/>
      <w:marLeft w:val="0"/>
      <w:marRight w:val="0"/>
      <w:marTop w:val="0"/>
      <w:marBottom w:val="0"/>
      <w:divBdr>
        <w:top w:val="none" w:sz="0" w:space="0" w:color="auto"/>
        <w:left w:val="none" w:sz="0" w:space="0" w:color="auto"/>
        <w:bottom w:val="none" w:sz="0" w:space="0" w:color="auto"/>
        <w:right w:val="none" w:sz="0" w:space="0" w:color="auto"/>
      </w:divBdr>
    </w:div>
    <w:div w:id="1896351284">
      <w:bodyDiv w:val="1"/>
      <w:marLeft w:val="0"/>
      <w:marRight w:val="0"/>
      <w:marTop w:val="0"/>
      <w:marBottom w:val="0"/>
      <w:divBdr>
        <w:top w:val="none" w:sz="0" w:space="0" w:color="auto"/>
        <w:left w:val="none" w:sz="0" w:space="0" w:color="auto"/>
        <w:bottom w:val="none" w:sz="0" w:space="0" w:color="auto"/>
        <w:right w:val="none" w:sz="0" w:space="0" w:color="auto"/>
      </w:divBdr>
    </w:div>
    <w:div w:id="1950434716">
      <w:bodyDiv w:val="1"/>
      <w:marLeft w:val="0"/>
      <w:marRight w:val="0"/>
      <w:marTop w:val="0"/>
      <w:marBottom w:val="0"/>
      <w:divBdr>
        <w:top w:val="none" w:sz="0" w:space="0" w:color="auto"/>
        <w:left w:val="none" w:sz="0" w:space="0" w:color="auto"/>
        <w:bottom w:val="none" w:sz="0" w:space="0" w:color="auto"/>
        <w:right w:val="none" w:sz="0" w:space="0" w:color="auto"/>
      </w:divBdr>
    </w:div>
    <w:div w:id="1956210952">
      <w:bodyDiv w:val="1"/>
      <w:marLeft w:val="0"/>
      <w:marRight w:val="0"/>
      <w:marTop w:val="0"/>
      <w:marBottom w:val="0"/>
      <w:divBdr>
        <w:top w:val="none" w:sz="0" w:space="0" w:color="auto"/>
        <w:left w:val="none" w:sz="0" w:space="0" w:color="auto"/>
        <w:bottom w:val="none" w:sz="0" w:space="0" w:color="auto"/>
        <w:right w:val="none" w:sz="0" w:space="0" w:color="auto"/>
      </w:divBdr>
    </w:div>
    <w:div w:id="2137793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49FCD-EBE2-4961-AF73-549F7EC08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6973</Words>
  <Characters>39750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review of gateway checks December 2024</dc:title>
  <dc:subject/>
  <dc:creator/>
  <cp:keywords/>
  <cp:lastModifiedBy/>
  <cp:revision>1</cp:revision>
  <dcterms:created xsi:type="dcterms:W3CDTF">2024-12-10T02:45:00Z</dcterms:created>
  <dcterms:modified xsi:type="dcterms:W3CDTF">2024-12-10T02:45:00Z</dcterms:modified>
</cp:coreProperties>
</file>