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60" w:rsidRPr="005E1C98" w:rsidRDefault="00F80960" w:rsidP="00F80960">
      <w:pPr>
        <w:pStyle w:val="Heading1"/>
      </w:pPr>
      <w:bookmarkStart w:id="0" w:name="_GoBack"/>
      <w:bookmarkEnd w:id="0"/>
      <w:r>
        <w:t>Human Induced Regeneration projects and how they affect the management of land at a property scale</w:t>
      </w:r>
    </w:p>
    <w:p w:rsidR="00F80960" w:rsidRDefault="00F80960" w:rsidP="00F80960">
      <w:pPr>
        <w:spacing w:before="240"/>
      </w:pPr>
      <w:r>
        <w:t xml:space="preserve">The human induced regeneration (HIR) method is designed to achieve forest cover by carrying out eligible activities that encourage regeneration of Australian native tree species that are indigenous to a project’s local area. </w:t>
      </w:r>
    </w:p>
    <w:p w:rsidR="00F80960" w:rsidRDefault="00F80960" w:rsidP="00F80960">
      <w:pPr>
        <w:spacing w:before="240"/>
      </w:pPr>
      <w:r>
        <w:t>Eligible activities must be conducted within a project area but may not occupy the entire space. It is important to understand how project areas are defined and what this means for managing the land.</w:t>
      </w:r>
      <w:r w:rsidRPr="00764A35">
        <w:t xml:space="preserve"> </w:t>
      </w:r>
      <w:r>
        <w:t>For more information about specific requirements, please refer to the relevant method.</w:t>
      </w:r>
    </w:p>
    <w:p w:rsidR="00F80960" w:rsidRPr="00764A35" w:rsidRDefault="00F80960" w:rsidP="00F80960">
      <w:pPr>
        <w:pStyle w:val="Heading3"/>
        <w:rPr>
          <w:rStyle w:val="Heading4Char"/>
          <w:rFonts w:eastAsia="Cambria"/>
        </w:rPr>
      </w:pPr>
      <w:r w:rsidRPr="00764A35">
        <w:rPr>
          <w:rStyle w:val="Heading4Char"/>
          <w:rFonts w:eastAsia="Cambria"/>
        </w:rPr>
        <w:t>Project area</w:t>
      </w:r>
    </w:p>
    <w:p w:rsidR="00F80960" w:rsidRDefault="00F80960" w:rsidP="00F80960">
      <w:r>
        <w:t xml:space="preserve">For all area-based Emissions Reduction Fund </w:t>
      </w:r>
      <w:r w:rsidRPr="00FB2045">
        <w:t>project</w:t>
      </w:r>
      <w:r>
        <w:t>s, the project</w:t>
      </w:r>
      <w:r w:rsidRPr="00FB2045">
        <w:t xml:space="preserve"> area</w:t>
      </w:r>
      <w:r>
        <w:t xml:space="preserve"> refers to the area of</w:t>
      </w:r>
      <w:r w:rsidRPr="00FB2045">
        <w:t xml:space="preserve"> land on which the project </w:t>
      </w:r>
      <w:r>
        <w:t>activities</w:t>
      </w:r>
      <w:r w:rsidRPr="00FB2045">
        <w:t xml:space="preserve"> ha</w:t>
      </w:r>
      <w:r>
        <w:t>ve</w:t>
      </w:r>
      <w:r w:rsidRPr="00FB2045">
        <w:t xml:space="preserve"> been, </w:t>
      </w:r>
      <w:r>
        <w:t>are</w:t>
      </w:r>
      <w:r w:rsidRPr="00FB2045">
        <w:t xml:space="preserve"> being, or </w:t>
      </w:r>
      <w:r>
        <w:t>are</w:t>
      </w:r>
      <w:r w:rsidRPr="00FB2045">
        <w:t xml:space="preserve"> </w:t>
      </w:r>
      <w:r>
        <w:t xml:space="preserve">intended to </w:t>
      </w:r>
      <w:r w:rsidRPr="00FB2045">
        <w:t>be, implemented.</w:t>
      </w:r>
      <w:r>
        <w:t xml:space="preserve"> In many cases the property boundary is used to define the project area.</w:t>
      </w:r>
    </w:p>
    <w:p w:rsidR="00F80960" w:rsidRPr="00115201" w:rsidRDefault="00F80960" w:rsidP="00F80960">
      <w:pPr>
        <w:pStyle w:val="Heading3"/>
        <w:rPr>
          <w:rStyle w:val="Heading4Char"/>
          <w:rFonts w:eastAsia="Cambria"/>
        </w:rPr>
      </w:pPr>
      <w:r w:rsidRPr="00115201">
        <w:rPr>
          <w:rStyle w:val="Heading4Char"/>
          <w:rFonts w:eastAsia="Cambria"/>
        </w:rPr>
        <w:t xml:space="preserve">Non-project area </w:t>
      </w:r>
    </w:p>
    <w:p w:rsidR="00F80960" w:rsidRDefault="00F80960" w:rsidP="00F80960">
      <w:r>
        <w:t xml:space="preserve">A non-project area refers to land that is not part of a project area; for example, land that adjoins a project area that is managed for grazing purposes. Non-project areas are not regulated under the Emissions Reduction Fund. </w:t>
      </w:r>
    </w:p>
    <w:p w:rsidR="00F80960" w:rsidRDefault="00F80960" w:rsidP="00F80960">
      <w:r w:rsidRPr="00115201">
        <w:rPr>
          <w:rStyle w:val="Heading3Char"/>
          <w:rFonts w:eastAsia="Cambria"/>
        </w:rPr>
        <w:t>Carbon estimation area</w:t>
      </w:r>
      <w:r>
        <w:rPr>
          <w:rStyle w:val="Heading4Char"/>
          <w:rFonts w:eastAsia="Cambria"/>
        </w:rPr>
        <w:t xml:space="preserve"> </w:t>
      </w:r>
    </w:p>
    <w:p w:rsidR="00F80960" w:rsidRPr="006E1BF4" w:rsidRDefault="00F80960" w:rsidP="00F80960">
      <w:pPr>
        <w:rPr>
          <w:szCs w:val="22"/>
        </w:rPr>
      </w:pPr>
      <w:r>
        <w:t xml:space="preserve">A carbon estimation area (CEA) is an area of land within a project area, </w:t>
      </w:r>
      <w:r w:rsidRPr="00764A35">
        <w:t xml:space="preserve">where </w:t>
      </w:r>
      <w:r>
        <w:t xml:space="preserve">eligible </w:t>
      </w:r>
      <w:r w:rsidRPr="00764A35">
        <w:t>project activities are carried out, and</w:t>
      </w:r>
      <w:r>
        <w:t xml:space="preserve"> for which </w:t>
      </w:r>
      <w:r w:rsidRPr="00764A35">
        <w:t>a project participant expects to receive Australian carbon credit units (ACCUs).</w:t>
      </w:r>
      <w:r>
        <w:rPr>
          <w:sz w:val="24"/>
        </w:rPr>
        <w:t xml:space="preserve"> </w:t>
      </w:r>
      <w:r w:rsidRPr="006E1BF4">
        <w:rPr>
          <w:szCs w:val="22"/>
        </w:rPr>
        <w:t xml:space="preserve">These areas must be managed in accordance with the Emissions Reduction Fund legislation and the rules of the relevant method. Please refer to the </w:t>
      </w:r>
      <w:r>
        <w:rPr>
          <w:szCs w:val="22"/>
        </w:rPr>
        <w:t xml:space="preserve">method and the </w:t>
      </w:r>
      <w:hyperlink r:id="rId7" w:history="1">
        <w:r w:rsidRPr="006E1BF4">
          <w:rPr>
            <w:rStyle w:val="Hyperlink"/>
            <w:szCs w:val="22"/>
          </w:rPr>
          <w:t>Interim operational policy—stratification of carbon estimation areas under the NFMR and HIR methods</w:t>
        </w:r>
      </w:hyperlink>
      <w:r w:rsidRPr="006E1BF4">
        <w:rPr>
          <w:szCs w:val="22"/>
        </w:rPr>
        <w:t xml:space="preserve"> for further information on how to stratify a CEA. </w:t>
      </w:r>
    </w:p>
    <w:p w:rsidR="00F80960" w:rsidRDefault="00F80960" w:rsidP="00F80960">
      <w:r w:rsidRPr="00115201">
        <w:rPr>
          <w:rStyle w:val="Heading3Char"/>
          <w:rFonts w:eastAsia="Cambria"/>
        </w:rPr>
        <w:t>Exclusion area</w:t>
      </w:r>
    </w:p>
    <w:p w:rsidR="00F80960" w:rsidRDefault="00F80960" w:rsidP="00F80960">
      <w:r>
        <w:t xml:space="preserve">An exclusion area is any land within the project area on which project activities are not being carried out. Management of the exclusion area is not controlled under the Emissions Reduction Fund with the potential exception of where a </w:t>
      </w:r>
      <w:hyperlink r:id="rId8" w:history="1">
        <w:r w:rsidRPr="0068074D">
          <w:rPr>
            <w:rStyle w:val="Hyperlink"/>
          </w:rPr>
          <w:t xml:space="preserve">carbon maintenance obligation (Part 8 of the </w:t>
        </w:r>
        <w:r w:rsidRPr="0068074D">
          <w:rPr>
            <w:rStyle w:val="Hyperlink"/>
            <w:i/>
          </w:rPr>
          <w:t>Carbon Credits (Carbon Farming Initiative) Act 2011</w:t>
        </w:r>
        <w:r w:rsidRPr="0068074D">
          <w:rPr>
            <w:rStyle w:val="Hyperlink"/>
          </w:rPr>
          <w:t>)</w:t>
        </w:r>
      </w:hyperlink>
      <w:r>
        <w:t xml:space="preserve"> is placed on the property. In that circumstance, landholders may be required to do or not do specific activities across the project area. </w:t>
      </w:r>
    </w:p>
    <w:p w:rsidR="00F80960" w:rsidRDefault="00F80960" w:rsidP="00F80960">
      <w:r>
        <w:t xml:space="preserve">However, should you decide to expand your HIR project by adding a new CEA from within the project area, management actions you take now may affect eligibility in the </w:t>
      </w:r>
      <w:proofErr w:type="gramStart"/>
      <w:r>
        <w:t>future.</w:t>
      </w:r>
      <w:proofErr w:type="gramEnd"/>
    </w:p>
    <w:p w:rsidR="00F80960" w:rsidRPr="002B132B" w:rsidRDefault="00F80960" w:rsidP="00F80960">
      <w:pPr>
        <w:rPr>
          <w:b/>
          <w:bCs/>
        </w:rPr>
      </w:pPr>
      <w:r>
        <w:rPr>
          <w:b/>
          <w:bCs/>
        </w:rPr>
        <w:lastRenderedPageBreak/>
        <w:t>Figure 1: I</w:t>
      </w:r>
      <w:r w:rsidRPr="002B132B">
        <w:rPr>
          <w:b/>
          <w:bCs/>
        </w:rPr>
        <w:t xml:space="preserve">llustrative example of a how </w:t>
      </w:r>
      <w:r>
        <w:rPr>
          <w:b/>
          <w:bCs/>
        </w:rPr>
        <w:t>a property</w:t>
      </w:r>
      <w:r w:rsidRPr="002B132B">
        <w:rPr>
          <w:b/>
          <w:bCs/>
        </w:rPr>
        <w:t xml:space="preserve"> may be managed for the twin purposes of a HIR project and grazing</w:t>
      </w:r>
      <w:r>
        <w:rPr>
          <w:b/>
          <w:bCs/>
        </w:rPr>
        <w:t>.</w:t>
      </w:r>
    </w:p>
    <w:p w:rsidR="00F80960" w:rsidRDefault="00F80960" w:rsidP="00F80960">
      <w:pPr>
        <w:spacing w:after="0"/>
        <w:rPr>
          <w:bCs/>
        </w:rPr>
      </w:pPr>
    </w:p>
    <w:p w:rsidR="00F80960" w:rsidRDefault="00F80960" w:rsidP="00F80960">
      <w:pPr>
        <w:spacing w:after="0"/>
        <w:rPr>
          <w:bCs/>
        </w:rPr>
      </w:pPr>
      <w:r w:rsidRPr="00890208">
        <w:rPr>
          <w:bCs/>
          <w:noProof/>
          <w:lang w:eastAsia="en-AU"/>
        </w:rPr>
        <w:drawing>
          <wp:inline distT="0" distB="0" distL="0" distR="0" wp14:anchorId="51D62C1D" wp14:editId="2067436E">
            <wp:extent cx="6327464" cy="53783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3118\AppData\Local\Microsoft\Windows\INetCache\Content.Outlook\ZCKBXGPD\HIR_diagram_27_4_18.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327464" cy="5378344"/>
                    </a:xfrm>
                    <a:prstGeom prst="rect">
                      <a:avLst/>
                    </a:prstGeom>
                    <a:noFill/>
                    <a:ln>
                      <a:noFill/>
                    </a:ln>
                  </pic:spPr>
                </pic:pic>
              </a:graphicData>
            </a:graphic>
          </wp:inline>
        </w:drawing>
      </w:r>
    </w:p>
    <w:p w:rsidR="0099420C" w:rsidRPr="00F80960" w:rsidRDefault="0099420C" w:rsidP="00F80960">
      <w:pPr>
        <w:spacing w:after="0"/>
        <w:rPr>
          <w:highlight w:val="yellow"/>
        </w:rPr>
      </w:pPr>
    </w:p>
    <w:sectPr w:rsidR="0099420C" w:rsidRPr="00F80960" w:rsidSect="00AD649E">
      <w:headerReference w:type="even" r:id="rId10"/>
      <w:headerReference w:type="default" r:id="rId11"/>
      <w:footerReference w:type="even" r:id="rId12"/>
      <w:footerReference w:type="default" r:id="rId13"/>
      <w:headerReference w:type="first" r:id="rId14"/>
      <w:footerReference w:type="first" r:id="rId15"/>
      <w:pgSz w:w="11900" w:h="16840" w:code="9"/>
      <w:pgMar w:top="889" w:right="1080" w:bottom="993" w:left="1080" w:header="397"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60" w:rsidRDefault="00F80960" w:rsidP="00176C28">
      <w:r>
        <w:separator/>
      </w:r>
    </w:p>
  </w:endnote>
  <w:endnote w:type="continuationSeparator" w:id="0">
    <w:p w:rsidR="00F80960" w:rsidRDefault="00F80960"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102" w:rsidRDefault="00514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9E" w:rsidRDefault="00AD649E" w:rsidP="00AD649E">
    <w:pPr>
      <w:rPr>
        <w:color w:val="006EA6"/>
      </w:rPr>
    </w:pPr>
    <w:r>
      <w:rPr>
        <w:noProof/>
        <w:color w:val="005874"/>
        <w:sz w:val="18"/>
        <w:szCs w:val="18"/>
        <w:lang w:eastAsia="en-AU"/>
      </w:rPr>
      <w:drawing>
        <wp:anchor distT="0" distB="0" distL="114300" distR="114300" simplePos="0" relativeHeight="251692544" behindDoc="0" locked="0" layoutInCell="1" allowOverlap="1" wp14:anchorId="1ADBB2F5" wp14:editId="796D1560">
          <wp:simplePos x="0" y="0"/>
          <wp:positionH relativeFrom="column">
            <wp:posOffset>180340</wp:posOffset>
          </wp:positionH>
          <wp:positionV relativeFrom="paragraph">
            <wp:posOffset>71120</wp:posOffset>
          </wp:positionV>
          <wp:extent cx="5849620" cy="71755"/>
          <wp:effectExtent l="0" t="0" r="0" b="4445"/>
          <wp:wrapSquare wrapText="bothSides"/>
          <wp:docPr id="4" name="Picture 4"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rsidR="0065750A" w:rsidRPr="009C30B4" w:rsidRDefault="00AD649E" w:rsidP="0099420C">
    <w:pPr>
      <w:pStyle w:val="Footer"/>
    </w:pPr>
    <w:r w:rsidRPr="009C30B4">
      <w:t>GPO Box 621 Canberra ACT 2601</w:t>
    </w:r>
    <w:r w:rsidRPr="009C30B4">
      <w:tab/>
      <w:t>1300 553 542</w:t>
    </w:r>
    <w:r w:rsidRPr="009C30B4">
      <w:tab/>
    </w:r>
    <w:hyperlink r:id="rId2" w:history="1">
      <w:r w:rsidRPr="009C30B4">
        <w:rPr>
          <w:rStyle w:val="Hyperlink"/>
          <w:sz w:val="16"/>
        </w:rPr>
        <w:t>enquiries@cleanenergyregulator.gov.au</w:t>
      </w:r>
    </w:hyperlink>
    <w:r w:rsidRPr="009C30B4">
      <w:tab/>
    </w:r>
    <w:hyperlink r:id="rId3" w:history="1">
      <w:r w:rsidRPr="009C30B4">
        <w:rPr>
          <w:rStyle w:val="Hyperlink"/>
          <w:sz w:val="16"/>
        </w:rPr>
        <w:t>www.cleanenergyregulator.gov.au</w:t>
      </w:r>
    </w:hyperlink>
    <w:r w:rsidRPr="009C30B4">
      <w:t xml:space="preserve"> </w:t>
    </w:r>
    <w:r w:rsidRPr="009C30B4">
      <w:tab/>
    </w:r>
    <w:r w:rsidRPr="009C30B4">
      <w:fldChar w:fldCharType="begin"/>
    </w:r>
    <w:r w:rsidRPr="009C30B4">
      <w:instrText xml:space="preserve"> PAGE   \* MERGEFORMAT </w:instrText>
    </w:r>
    <w:r w:rsidRPr="009C30B4">
      <w:fldChar w:fldCharType="separate"/>
    </w:r>
    <w:r w:rsidR="00514102">
      <w:rPr>
        <w:noProof/>
      </w:rPr>
      <w:t>2</w:t>
    </w:r>
    <w:r w:rsidRPr="009C30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9E" w:rsidRDefault="00AD649E" w:rsidP="00AD649E">
    <w:pPr>
      <w:rPr>
        <w:color w:val="006EA6"/>
      </w:rPr>
    </w:pPr>
    <w:r>
      <w:rPr>
        <w:noProof/>
        <w:color w:val="005874"/>
        <w:sz w:val="18"/>
        <w:szCs w:val="18"/>
        <w:lang w:eastAsia="en-AU"/>
      </w:rPr>
      <w:drawing>
        <wp:anchor distT="0" distB="0" distL="114300" distR="114300" simplePos="0" relativeHeight="251690496" behindDoc="0" locked="0" layoutInCell="1" allowOverlap="1" wp14:anchorId="34B24D3A" wp14:editId="3749882E">
          <wp:simplePos x="0" y="0"/>
          <wp:positionH relativeFrom="column">
            <wp:posOffset>180340</wp:posOffset>
          </wp:positionH>
          <wp:positionV relativeFrom="paragraph">
            <wp:posOffset>71120</wp:posOffset>
          </wp:positionV>
          <wp:extent cx="5849620" cy="71755"/>
          <wp:effectExtent l="0" t="0" r="0" b="4445"/>
          <wp:wrapSquare wrapText="bothSides"/>
          <wp:docPr id="3" name="Picture 3"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rsidR="0065750A" w:rsidRPr="0099420C" w:rsidRDefault="00AD649E" w:rsidP="0099420C">
    <w:pPr>
      <w:pStyle w:val="Footer"/>
    </w:pPr>
    <w:r w:rsidRPr="0099420C">
      <w:t>GPO Box 621 Canberra ACT 2601</w:t>
    </w:r>
    <w:r w:rsidRPr="0099420C">
      <w:tab/>
      <w:t>1300 553 542</w:t>
    </w:r>
    <w:r w:rsidRPr="0099420C">
      <w:tab/>
    </w:r>
    <w:hyperlink r:id="rId2" w:history="1">
      <w:r w:rsidRPr="0099420C">
        <w:rPr>
          <w:rStyle w:val="Hyperlink"/>
          <w:rFonts w:asciiTheme="minorHAnsi" w:hAnsiTheme="minorHAnsi"/>
          <w:sz w:val="16"/>
          <w:u w:val="none"/>
        </w:rPr>
        <w:t>enquiries@cleanenergyregulator.gov.au</w:t>
      </w:r>
    </w:hyperlink>
    <w:r w:rsidRPr="0099420C">
      <w:tab/>
    </w:r>
    <w:hyperlink r:id="rId3" w:history="1">
      <w:r w:rsidRPr="0099420C">
        <w:rPr>
          <w:rStyle w:val="Hyperlink"/>
          <w:rFonts w:asciiTheme="minorHAnsi" w:hAnsiTheme="minorHAnsi"/>
          <w:sz w:val="16"/>
          <w:u w:val="none"/>
        </w:rPr>
        <w:t>www.cleanenergyregulator.gov.au</w:t>
      </w:r>
    </w:hyperlink>
    <w:r w:rsidRPr="0099420C">
      <w:t xml:space="preserve"> </w:t>
    </w:r>
    <w:r w:rsidRPr="0099420C">
      <w:tab/>
    </w:r>
    <w:r w:rsidRPr="0099420C">
      <w:fldChar w:fldCharType="begin"/>
    </w:r>
    <w:r w:rsidRPr="0099420C">
      <w:instrText xml:space="preserve"> PAGE   \* MERGEFORMAT </w:instrText>
    </w:r>
    <w:r w:rsidRPr="0099420C">
      <w:fldChar w:fldCharType="separate"/>
    </w:r>
    <w:r w:rsidR="00514102">
      <w:rPr>
        <w:noProof/>
      </w:rPr>
      <w:t>1</w:t>
    </w:r>
    <w:r w:rsidRPr="009942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60" w:rsidRDefault="00F80960" w:rsidP="00176C28">
      <w:r>
        <w:separator/>
      </w:r>
    </w:p>
  </w:footnote>
  <w:footnote w:type="continuationSeparator" w:id="0">
    <w:p w:rsidR="00F80960" w:rsidRDefault="00F80960" w:rsidP="001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102" w:rsidRDefault="00514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0A" w:rsidRDefault="00AD649E" w:rsidP="00176C28">
    <w:pPr>
      <w:pStyle w:val="Header"/>
    </w:pPr>
    <w:r>
      <w:rPr>
        <w:noProof/>
        <w:lang w:eastAsia="en-AU"/>
      </w:rPr>
      <w:drawing>
        <wp:anchor distT="0" distB="0" distL="114300" distR="114300" simplePos="0" relativeHeight="251688448" behindDoc="0" locked="0" layoutInCell="1" allowOverlap="1" wp14:anchorId="07F86E7C" wp14:editId="60B34FFB">
          <wp:simplePos x="0" y="0"/>
          <wp:positionH relativeFrom="column">
            <wp:posOffset>-683895</wp:posOffset>
          </wp:positionH>
          <wp:positionV relativeFrom="paragraph">
            <wp:posOffset>-250825</wp:posOffset>
          </wp:positionV>
          <wp:extent cx="7596000" cy="1008000"/>
          <wp:effectExtent l="0" t="0" r="5080" b="1905"/>
          <wp:wrapSquare wrapText="bothSides"/>
          <wp:docPr id="5" name="Picture 5"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75_CER_Word-Doc-Ext-Portrait-Follower.png"/>
                  <pic:cNvPicPr>
                    <a:picLocks noChangeAspect="1" noChangeArrowheads="1"/>
                  </pic:cNvPicPr>
                </pic:nvPicPr>
                <pic:blipFill>
                  <a:blip r:embed="rId1"/>
                  <a:srcRect/>
                  <a:stretch>
                    <a:fillRect/>
                  </a:stretch>
                </pic:blipFill>
                <pic:spPr bwMode="auto">
                  <a:xfrm>
                    <a:off x="0" y="0"/>
                    <a:ext cx="7596000" cy="10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EA6" w:rsidRDefault="00AD649E" w:rsidP="009D7DC5">
    <w:pPr>
      <w:pStyle w:val="Header"/>
      <w:tabs>
        <w:tab w:val="clear" w:pos="4320"/>
        <w:tab w:val="clear" w:pos="8640"/>
        <w:tab w:val="left" w:pos="1440"/>
      </w:tabs>
    </w:pPr>
    <w:r>
      <w:rPr>
        <w:noProof/>
        <w:lang w:eastAsia="en-AU"/>
      </w:rPr>
      <w:drawing>
        <wp:anchor distT="0" distB="0" distL="114300" distR="114300" simplePos="0" relativeHeight="251686400" behindDoc="0" locked="0" layoutInCell="1" allowOverlap="1" wp14:anchorId="136D2377" wp14:editId="5CF64912">
          <wp:simplePos x="0" y="0"/>
          <wp:positionH relativeFrom="column">
            <wp:posOffset>-685800</wp:posOffset>
          </wp:positionH>
          <wp:positionV relativeFrom="paragraph">
            <wp:posOffset>-260985</wp:posOffset>
          </wp:positionV>
          <wp:extent cx="7560945" cy="2133600"/>
          <wp:effectExtent l="0" t="0" r="1905" b="0"/>
          <wp:wrapSquare wrapText="bothSides"/>
          <wp:docPr id="7" name="Picture 7"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475_CER_Word-Doc-Int-Portrait-Cover"/>
                  <pic:cNvPicPr>
                    <a:picLocks noChangeAspect="1" noChangeArrowheads="1"/>
                  </pic:cNvPicPr>
                </pic:nvPicPr>
                <pic:blipFill>
                  <a:blip r:embed="rId1"/>
                  <a:stretch>
                    <a:fillRect/>
                  </a:stretch>
                </pic:blipFill>
                <pic:spPr bwMode="auto">
                  <a:xfrm>
                    <a:off x="0" y="0"/>
                    <a:ext cx="7560945" cy="213360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A0A51BC"/>
    <w:multiLevelType w:val="multilevel"/>
    <w:tmpl w:val="AE904858"/>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34A09"/>
    <w:multiLevelType w:val="hybridMultilevel"/>
    <w:tmpl w:val="DB8C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6"/>
  </w:num>
  <w:num w:numId="3">
    <w:abstractNumId w:val="17"/>
  </w:num>
  <w:num w:numId="4">
    <w:abstractNumId w:val="12"/>
  </w:num>
  <w:num w:numId="5">
    <w:abstractNumId w:val="13"/>
  </w:num>
  <w:num w:numId="6">
    <w:abstractNumId w:val="19"/>
  </w:num>
  <w:num w:numId="7">
    <w:abstractNumId w:val="2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4"/>
  </w:num>
  <w:num w:numId="21">
    <w:abstractNumId w:val="28"/>
  </w:num>
  <w:num w:numId="22">
    <w:abstractNumId w:val="10"/>
  </w:num>
  <w:num w:numId="23">
    <w:abstractNumId w:val="29"/>
  </w:num>
  <w:num w:numId="24">
    <w:abstractNumId w:val="22"/>
  </w:num>
  <w:num w:numId="25">
    <w:abstractNumId w:val="18"/>
  </w:num>
  <w:num w:numId="26">
    <w:abstractNumId w:val="15"/>
  </w:num>
  <w:num w:numId="27">
    <w:abstractNumId w:val="27"/>
  </w:num>
  <w:num w:numId="28">
    <w:abstractNumId w:val="25"/>
  </w:num>
  <w:num w:numId="29">
    <w:abstractNumId w:val="23"/>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60"/>
    <w:rsid w:val="00031090"/>
    <w:rsid w:val="0003582F"/>
    <w:rsid w:val="000378B6"/>
    <w:rsid w:val="0006682F"/>
    <w:rsid w:val="000678AA"/>
    <w:rsid w:val="000906DE"/>
    <w:rsid w:val="000B2225"/>
    <w:rsid w:val="000E5A13"/>
    <w:rsid w:val="000F6B44"/>
    <w:rsid w:val="00112E29"/>
    <w:rsid w:val="001276AA"/>
    <w:rsid w:val="001651F7"/>
    <w:rsid w:val="00176871"/>
    <w:rsid w:val="00176C28"/>
    <w:rsid w:val="00197F43"/>
    <w:rsid w:val="001B66AA"/>
    <w:rsid w:val="001D5E01"/>
    <w:rsid w:val="002118E5"/>
    <w:rsid w:val="00216E5D"/>
    <w:rsid w:val="00235B98"/>
    <w:rsid w:val="002622E9"/>
    <w:rsid w:val="0029262D"/>
    <w:rsid w:val="002A7EA6"/>
    <w:rsid w:val="002C427B"/>
    <w:rsid w:val="002F1986"/>
    <w:rsid w:val="00365CD3"/>
    <w:rsid w:val="00370CE8"/>
    <w:rsid w:val="00371059"/>
    <w:rsid w:val="003A0D22"/>
    <w:rsid w:val="00420BF6"/>
    <w:rsid w:val="00426275"/>
    <w:rsid w:val="004559EF"/>
    <w:rsid w:val="00471682"/>
    <w:rsid w:val="00480154"/>
    <w:rsid w:val="00494F07"/>
    <w:rsid w:val="004A581F"/>
    <w:rsid w:val="004C6DF4"/>
    <w:rsid w:val="004D3F8B"/>
    <w:rsid w:val="00514102"/>
    <w:rsid w:val="00516089"/>
    <w:rsid w:val="0052457E"/>
    <w:rsid w:val="005430A4"/>
    <w:rsid w:val="00585D42"/>
    <w:rsid w:val="005A266D"/>
    <w:rsid w:val="00602E93"/>
    <w:rsid w:val="0061010A"/>
    <w:rsid w:val="00622DA5"/>
    <w:rsid w:val="006423DF"/>
    <w:rsid w:val="006530B0"/>
    <w:rsid w:val="0065750A"/>
    <w:rsid w:val="00662ED8"/>
    <w:rsid w:val="00674932"/>
    <w:rsid w:val="00680B5A"/>
    <w:rsid w:val="006A1906"/>
    <w:rsid w:val="006A37D7"/>
    <w:rsid w:val="006A7A4E"/>
    <w:rsid w:val="00724B10"/>
    <w:rsid w:val="0076397A"/>
    <w:rsid w:val="00767FAB"/>
    <w:rsid w:val="007773D1"/>
    <w:rsid w:val="007813EC"/>
    <w:rsid w:val="00790E79"/>
    <w:rsid w:val="007A5CF8"/>
    <w:rsid w:val="007B31E7"/>
    <w:rsid w:val="007C310C"/>
    <w:rsid w:val="00805956"/>
    <w:rsid w:val="00816D8B"/>
    <w:rsid w:val="00826A84"/>
    <w:rsid w:val="00885AB6"/>
    <w:rsid w:val="00890472"/>
    <w:rsid w:val="008A4F2A"/>
    <w:rsid w:val="008C63A1"/>
    <w:rsid w:val="008E6CE0"/>
    <w:rsid w:val="008F548E"/>
    <w:rsid w:val="00906DED"/>
    <w:rsid w:val="0093226C"/>
    <w:rsid w:val="009757EB"/>
    <w:rsid w:val="009801E4"/>
    <w:rsid w:val="0099420C"/>
    <w:rsid w:val="009A2199"/>
    <w:rsid w:val="009A2E7F"/>
    <w:rsid w:val="009C30B4"/>
    <w:rsid w:val="009D01EB"/>
    <w:rsid w:val="009D4D75"/>
    <w:rsid w:val="009D7DC5"/>
    <w:rsid w:val="00A114F2"/>
    <w:rsid w:val="00A41A11"/>
    <w:rsid w:val="00A44C0C"/>
    <w:rsid w:val="00A50A9D"/>
    <w:rsid w:val="00AB04A4"/>
    <w:rsid w:val="00AB1D66"/>
    <w:rsid w:val="00AD3999"/>
    <w:rsid w:val="00AD649E"/>
    <w:rsid w:val="00AF5F77"/>
    <w:rsid w:val="00B44479"/>
    <w:rsid w:val="00B832A4"/>
    <w:rsid w:val="00BA3D6B"/>
    <w:rsid w:val="00BD1D62"/>
    <w:rsid w:val="00BD5ED5"/>
    <w:rsid w:val="00C067A3"/>
    <w:rsid w:val="00C06FDE"/>
    <w:rsid w:val="00C3122E"/>
    <w:rsid w:val="00C33420"/>
    <w:rsid w:val="00C40CF0"/>
    <w:rsid w:val="00C86B48"/>
    <w:rsid w:val="00CA3600"/>
    <w:rsid w:val="00CA3DBC"/>
    <w:rsid w:val="00CA63D2"/>
    <w:rsid w:val="00CB7ED6"/>
    <w:rsid w:val="00D07937"/>
    <w:rsid w:val="00D435BB"/>
    <w:rsid w:val="00DB16FB"/>
    <w:rsid w:val="00DC3A30"/>
    <w:rsid w:val="00DD61F7"/>
    <w:rsid w:val="00DF0F4C"/>
    <w:rsid w:val="00E770EC"/>
    <w:rsid w:val="00E94FFF"/>
    <w:rsid w:val="00E956A9"/>
    <w:rsid w:val="00EA7A28"/>
    <w:rsid w:val="00F1084B"/>
    <w:rsid w:val="00F2767A"/>
    <w:rsid w:val="00F32404"/>
    <w:rsid w:val="00F67F4E"/>
    <w:rsid w:val="00F70B17"/>
    <w:rsid w:val="00F8070C"/>
    <w:rsid w:val="00F80960"/>
    <w:rsid w:val="00F94571"/>
    <w:rsid w:val="00FA7635"/>
    <w:rsid w:val="00FB26CE"/>
    <w:rsid w:val="00FC20CB"/>
    <w:rsid w:val="00FC5CAA"/>
    <w:rsid w:val="00FD263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06ea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uiPriority="8" w:qFormat="1"/>
    <w:lsdException w:name="heading 1" w:uiPriority="2" w:qFormat="1"/>
    <w:lsdException w:name="heading 2" w:qFormat="1"/>
    <w:lsdException w:name="heading 3" w:uiPriority="4" w:qFormat="1"/>
    <w:lsdException w:name="heading 4" w:semiHidden="1" w:uiPriority="5"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80960"/>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Theme="minorHAnsi" w:eastAsia="Times New Roman" w:hAnsiTheme="minorHAnsi" w:cstheme="minorHAns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asciiTheme="minorHAnsi" w:eastAsia="Times New Roman" w:hAnsiTheme="minorHAnsi" w:cstheme="minorHAnsi"/>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Theme="minorHAnsi" w:eastAsia="Times New Roman" w:hAnsiTheme="minorHAnsi" w:cstheme="minorHAns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asciiTheme="minorHAnsi" w:eastAsiaTheme="minorEastAsia" w:hAnsiTheme="minorHAnsi" w:cstheme="minorBidi"/>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asciiTheme="minorHAnsi" w:eastAsiaTheme="majorEastAsia" w:hAnsiTheme="minorHAnsi" w:cstheme="majorBidi"/>
      <w:b/>
      <w:color w:val="000000" w:themeColor="text1"/>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asciiTheme="minorHAnsi" w:eastAsiaTheme="minorEastAsia" w:hAnsiTheme="minorHAnsi" w:cstheme="minorBidi"/>
      <w:b/>
      <w:bCs/>
      <w:color w:val="000000" w:themeColor="text1"/>
      <w:sz w:val="21"/>
      <w:szCs w:val="22"/>
    </w:rPr>
  </w:style>
  <w:style w:type="paragraph" w:styleId="Heading7">
    <w:name w:val="heading 7"/>
    <w:basedOn w:val="Normal"/>
    <w:next w:val="Normal"/>
    <w:link w:val="Heading7Char"/>
    <w:uiPriority w:val="99"/>
    <w:unhideWhenUsed/>
    <w:rsid w:val="009D4D75"/>
    <w:pPr>
      <w:keepNext/>
      <w:keepLines/>
      <w:spacing w:before="200" w:after="0"/>
      <w:outlineLvl w:val="6"/>
    </w:pPr>
    <w:rPr>
      <w:rFonts w:asciiTheme="minorHAnsi" w:eastAsiaTheme="majorEastAsia" w:hAnsiTheme="min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FA7635"/>
    <w:rPr>
      <w:rFonts w:asciiTheme="minorHAnsi" w:eastAsia="Times New Roman" w:hAnsiTheme="minorHAnsi" w:cstheme="minorHAnsi"/>
      <w:b/>
      <w:bCs/>
      <w:color w:val="005874"/>
      <w:sz w:val="30"/>
      <w:szCs w:val="26"/>
      <w:lang w:eastAsia="en-US"/>
    </w:rPr>
  </w:style>
  <w:style w:type="character" w:customStyle="1" w:styleId="Heading1Char">
    <w:name w:val="Heading 1 Char"/>
    <w:aliases w:val="CER Heading 1 Char"/>
    <w:basedOn w:val="DefaultParagraphFont"/>
    <w:link w:val="Heading1"/>
    <w:uiPriority w:val="2"/>
    <w:rsid w:val="00FA7635"/>
    <w:rPr>
      <w:rFonts w:asciiTheme="minorHAnsi" w:eastAsia="Times New Roman" w:hAnsiTheme="minorHAnsi" w:cstheme="minorHAnsi"/>
      <w:b/>
      <w:bCs/>
      <w:color w:val="005874"/>
      <w:kern w:val="32"/>
      <w:sz w:val="40"/>
      <w:szCs w:val="24"/>
      <w:lang w:eastAsia="en-US"/>
    </w:rPr>
  </w:style>
  <w:style w:type="character" w:customStyle="1" w:styleId="Heading3Char">
    <w:name w:val="Heading 3 Char"/>
    <w:aliases w:val="CER Heading 3 Char"/>
    <w:basedOn w:val="DefaultParagraphFont"/>
    <w:link w:val="Heading3"/>
    <w:uiPriority w:val="4"/>
    <w:rsid w:val="00FA7635"/>
    <w:rPr>
      <w:rFonts w:asciiTheme="minorHAnsi" w:eastAsia="Times New Roman" w:hAnsiTheme="minorHAnsi" w:cstheme="minorHAnsi"/>
      <w:b/>
      <w:bCs/>
      <w:color w:val="005874"/>
      <w:sz w:val="25"/>
      <w:szCs w:val="24"/>
      <w:lang w:eastAsia="en-US"/>
    </w:rPr>
  </w:style>
  <w:style w:type="character" w:customStyle="1" w:styleId="Heading4Char">
    <w:name w:val="Heading 4 Char"/>
    <w:aliases w:val="CER Heading 4 Char"/>
    <w:basedOn w:val="DefaultParagraphFont"/>
    <w:link w:val="Heading4"/>
    <w:uiPriority w:val="5"/>
    <w:rsid w:val="00FA7635"/>
    <w:rPr>
      <w:rFonts w:asciiTheme="minorHAnsi" w:eastAsiaTheme="minorEastAsia" w:hAnsiTheme="minorHAnsi" w:cstheme="minorBidi"/>
      <w:bCs/>
      <w:color w:val="005874"/>
      <w:sz w:val="25"/>
      <w:szCs w:val="28"/>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rPr>
      <w:rFonts w:asciiTheme="minorHAnsi" w:hAnsiTheme="minorHAnsi" w:cstheme="minorHAnsi"/>
      <w:color w:val="000000" w:themeColor="text1"/>
    </w:r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9420C"/>
    <w:pPr>
      <w:tabs>
        <w:tab w:val="left" w:pos="2694"/>
        <w:tab w:val="left" w:pos="3969"/>
        <w:tab w:val="left" w:pos="6946"/>
        <w:tab w:val="right" w:pos="9498"/>
      </w:tabs>
      <w:ind w:left="284" w:right="242"/>
    </w:pPr>
    <w:rPr>
      <w:rFonts w:asciiTheme="minorHAnsi" w:hAnsiTheme="minorHAnsi" w:cstheme="minorHAnsi"/>
      <w:color w:val="005874"/>
      <w:sz w:val="16"/>
      <w:szCs w:val="16"/>
    </w:rPr>
  </w:style>
  <w:style w:type="character" w:customStyle="1" w:styleId="FooterChar">
    <w:name w:val="Footer Char"/>
    <w:basedOn w:val="DefaultParagraphFont"/>
    <w:link w:val="Footer"/>
    <w:uiPriority w:val="99"/>
    <w:rsid w:val="0099420C"/>
    <w:rPr>
      <w:rFonts w:asciiTheme="minorHAnsi" w:hAnsiTheme="minorHAnsi" w:cstheme="minorHAnsi"/>
      <w:color w:val="005874"/>
      <w:sz w:val="16"/>
      <w:szCs w:val="16"/>
      <w:lang w:eastAsia="en-US"/>
    </w:rPr>
  </w:style>
  <w:style w:type="character" w:styleId="Hyperlink">
    <w:name w:val="Hyperlink"/>
    <w:basedOn w:val="DefaultParagraphFont"/>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rFonts w:asciiTheme="minorHAnsi" w:hAnsiTheme="minorHAnsi" w:cstheme="minorHAnsi"/>
      <w:color w:val="auto"/>
    </w:rPr>
  </w:style>
  <w:style w:type="character" w:customStyle="1" w:styleId="CERbulletsChar">
    <w:name w:val="CER bullets Char"/>
    <w:basedOn w:val="DefaultParagraphFont"/>
    <w:link w:val="CERbullets"/>
    <w:uiPriority w:val="7"/>
    <w:rsid w:val="00FA7635"/>
    <w:rPr>
      <w:rFonts w:asciiTheme="minorHAnsi" w:hAnsiTheme="minorHAnsi" w:cstheme="minorHAnsi"/>
      <w:sz w:val="22"/>
      <w:szCs w:val="24"/>
      <w:lang w:eastAsia="en-US"/>
    </w:rPr>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basedOn w:val="DefaultParagraphFont"/>
    <w:link w:val="Heading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FollowedHyperlink">
    <w:name w:val="FollowedHyperlink"/>
    <w:basedOn w:val="DefaultParagraphFont"/>
    <w:uiPriority w:val="99"/>
    <w:rsid w:val="00BD5ED5"/>
    <w:rPr>
      <w:rFonts w:asciiTheme="minorHAnsi" w:hAnsiTheme="minorHAnsi"/>
      <w:color w:val="00A7D3"/>
      <w:sz w:val="22"/>
      <w:u w:val="single"/>
    </w:rPr>
  </w:style>
  <w:style w:type="paragraph" w:styleId="ListParagraph">
    <w:name w:val="List Paragraph"/>
    <w:basedOn w:val="Normal"/>
    <w:uiPriority w:val="34"/>
    <w:rsid w:val="0099420C"/>
    <w:pPr>
      <w:ind w:left="720"/>
      <w:contextualSpacing/>
    </w:pPr>
    <w:rPr>
      <w:rFonts w:asciiTheme="minorHAnsi" w:hAnsiTheme="minorHAnsi" w:cstheme="minorHAnsi"/>
      <w:color w:val="000000" w:themeColor="text1"/>
    </w:rPr>
  </w:style>
  <w:style w:type="paragraph" w:customStyle="1" w:styleId="CERnumbering">
    <w:name w:val="CER numbering"/>
    <w:basedOn w:val="CERbullets"/>
    <w:link w:val="CERnumberingChar"/>
    <w:uiPriority w:val="8"/>
    <w:qFormat/>
    <w:rsid w:val="0099420C"/>
    <w:pPr>
      <w:numPr>
        <w:numId w:val="31"/>
      </w:numPr>
    </w:pPr>
  </w:style>
  <w:style w:type="character" w:customStyle="1" w:styleId="CERnumberingChar">
    <w:name w:val="CER numbering Char"/>
    <w:basedOn w:val="CERbulletsChar"/>
    <w:link w:val="CERnumbering"/>
    <w:uiPriority w:val="8"/>
    <w:rsid w:val="0099420C"/>
    <w:rPr>
      <w:rFonts w:asciiTheme="minorHAnsi" w:hAnsiTheme="minorHAnsi"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11A00101"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cleanenergyregulator.gov.au/ERF/Forms-and-resources/Regulatory-Guidance/sequestration-guidan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OP952</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Emissions Reduction Fund</Value>
    </CommonTopic>
    <Requires_x0020_Higher_x0020_Approval xmlns="32e2fb52-454c-4a55-9e7f-b565c4403fdc">false</Requires_x0020_Higher_x0020_Approval>
    <PublishingStartDate xmlns="http://schemas.microsoft.com/sharepoint/v3" xsi:nil="true"/>
  </documentManagement>
</p:properties>
</file>

<file path=customXml/itemProps1.xml><?xml version="1.0" encoding="utf-8"?>
<ds:datastoreItem xmlns:ds="http://schemas.openxmlformats.org/officeDocument/2006/customXml" ds:itemID="{5B02EEDE-31EF-41F0-9B20-5C7A2867699E}"/>
</file>

<file path=customXml/itemProps2.xml><?xml version="1.0" encoding="utf-8"?>
<ds:datastoreItem xmlns:ds="http://schemas.openxmlformats.org/officeDocument/2006/customXml" ds:itemID="{53431059-DAA5-4771-B722-40DB8CB387D3}"/>
</file>

<file path=customXml/itemProps3.xml><?xml version="1.0" encoding="utf-8"?>
<ds:datastoreItem xmlns:ds="http://schemas.openxmlformats.org/officeDocument/2006/customXml" ds:itemID="{FADC0135-77C5-407F-83A0-BE0AD157CDDA}"/>
</file>

<file path=customXml/itemProps4.xml><?xml version="1.0" encoding="utf-8"?>
<ds:datastoreItem xmlns:ds="http://schemas.openxmlformats.org/officeDocument/2006/customXml" ds:itemID="{57CA15B3-FD6D-452A-B469-D65B4F7231BB}"/>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Induced Regeneration projects and how they affect the management of land at a property scale guidance</dc:title>
  <dc:subject/>
  <dc:creator/>
  <cp:keywords/>
  <cp:lastModifiedBy/>
  <cp:revision>1</cp:revision>
  <dcterms:created xsi:type="dcterms:W3CDTF">2018-04-30T01:05:00Z</dcterms:created>
  <dcterms:modified xsi:type="dcterms:W3CDTF">2018-04-30T01:05:00Z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