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902C9" w14:textId="319CFFDE" w:rsidR="00977234" w:rsidRPr="008671C6" w:rsidRDefault="00B16D30" w:rsidP="00146FC8">
      <w:pPr>
        <w:pStyle w:val="CERcovertitle"/>
        <w:tabs>
          <w:tab w:val="left" w:pos="5103"/>
        </w:tabs>
        <w:spacing w:before="2520"/>
        <w:ind w:left="5103" w:right="-41"/>
        <w:rPr>
          <w:sz w:val="46"/>
          <w:szCs w:val="46"/>
        </w:rPr>
      </w:pPr>
      <w:r>
        <w:drawing>
          <wp:anchor distT="0" distB="0" distL="114300" distR="114300" simplePos="0" relativeHeight="251658242" behindDoc="0" locked="0" layoutInCell="1" allowOverlap="1" wp14:anchorId="711A514B" wp14:editId="491A345E">
            <wp:simplePos x="0" y="0"/>
            <wp:positionH relativeFrom="column">
              <wp:posOffset>180975</wp:posOffset>
            </wp:positionH>
            <wp:positionV relativeFrom="page">
              <wp:posOffset>2381250</wp:posOffset>
            </wp:positionV>
            <wp:extent cx="2664000" cy="2664000"/>
            <wp:effectExtent l="0" t="0" r="0" b="0"/>
            <wp:wrapNone/>
            <wp:docPr id="22" name="Graphic 22" descr="Gears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ears outline">
                      <a:extLst>
                        <a:ext uri="{C183D7F6-B498-43B3-948B-1728B52AA6E4}">
                          <adec:decorative xmlns:adec="http://schemas.microsoft.com/office/drawing/2017/decorative" val="1"/>
                        </a:ext>
                      </a:extLst>
                    </pic:cNvPr>
                    <pic:cNvPicPr/>
                  </pic:nvPicPr>
                  <pic:blipFill>
                    <a:blip r:embed="rId9">
                      <a:extLst>
                        <a:ext uri="{96DAC541-7B7A-43D3-8B79-37D633B846F1}">
                          <asvg:svgBlip xmlns:asvg="http://schemas.microsoft.com/office/drawing/2016/SVG/main" r:embed="rId10"/>
                        </a:ext>
                      </a:extLst>
                    </a:blip>
                    <a:stretch>
                      <a:fillRect/>
                    </a:stretch>
                  </pic:blipFill>
                  <pic:spPr>
                    <a:xfrm>
                      <a:off x="0" y="0"/>
                      <a:ext cx="2664000" cy="2664000"/>
                    </a:xfrm>
                    <a:prstGeom prst="rect">
                      <a:avLst/>
                    </a:prstGeom>
                  </pic:spPr>
                </pic:pic>
              </a:graphicData>
            </a:graphic>
            <wp14:sizeRelH relativeFrom="page">
              <wp14:pctWidth>0</wp14:pctWidth>
            </wp14:sizeRelH>
            <wp14:sizeRelV relativeFrom="page">
              <wp14:pctHeight>0</wp14:pctHeight>
            </wp14:sizeRelV>
          </wp:anchor>
        </w:drawing>
      </w:r>
      <w:r w:rsidR="001813DE" w:rsidRPr="001813DE">
        <w:rPr>
          <w:rFonts w:asciiTheme="minorHAnsi" w:hAnsiTheme="minorHAnsi"/>
        </w:rPr>
        <mc:AlternateContent>
          <mc:Choice Requires="wps">
            <w:drawing>
              <wp:anchor distT="0" distB="0" distL="114300" distR="114300" simplePos="0" relativeHeight="251658240" behindDoc="0" locked="0" layoutInCell="1" allowOverlap="1" wp14:anchorId="41A7BA9F" wp14:editId="2C5189F0">
                <wp:simplePos x="0" y="0"/>
                <wp:positionH relativeFrom="column">
                  <wp:posOffset>-19050</wp:posOffset>
                </wp:positionH>
                <wp:positionV relativeFrom="paragraph">
                  <wp:posOffset>893445</wp:posOffset>
                </wp:positionV>
                <wp:extent cx="6192000" cy="6185230"/>
                <wp:effectExtent l="0" t="0" r="0" b="6350"/>
                <wp:wrapNone/>
                <wp:docPr id="15" name="Freeform: Shape 15">
                  <a:extLst xmlns:a="http://schemas.openxmlformats.org/drawingml/2006/main">
                    <a:ext uri="{FF2B5EF4-FFF2-40B4-BE49-F238E27FC236}">
                      <a16:creationId xmlns:a16="http://schemas.microsoft.com/office/drawing/2014/main" id="{833A9379-F33B-6747-102E-56A337149380}"/>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92000" cy="6185230"/>
                        </a:xfrm>
                        <a:custGeom>
                          <a:avLst/>
                          <a:gdLst>
                            <a:gd name="connsiteX0" fmla="*/ 5805660 w 7550841"/>
                            <a:gd name="connsiteY0" fmla="*/ 5698644 h 7542959"/>
                            <a:gd name="connsiteX1" fmla="*/ 7449582 w 7550841"/>
                            <a:gd name="connsiteY1" fmla="*/ 5698644 h 7542959"/>
                            <a:gd name="connsiteX2" fmla="*/ 7550841 w 7550841"/>
                            <a:gd name="connsiteY2" fmla="*/ 5788610 h 7542959"/>
                            <a:gd name="connsiteX3" fmla="*/ 7550841 w 7550841"/>
                            <a:gd name="connsiteY3" fmla="*/ 7441836 h 7542959"/>
                            <a:gd name="connsiteX4" fmla="*/ 7449582 w 7550841"/>
                            <a:gd name="connsiteY4" fmla="*/ 7542959 h 7542959"/>
                            <a:gd name="connsiteX5" fmla="*/ 5805660 w 7550841"/>
                            <a:gd name="connsiteY5" fmla="*/ 7542959 h 7542959"/>
                            <a:gd name="connsiteX6" fmla="*/ 5704401 w 7550841"/>
                            <a:gd name="connsiteY6" fmla="*/ 7441836 h 7542959"/>
                            <a:gd name="connsiteX7" fmla="*/ 5704401 w 7550841"/>
                            <a:gd name="connsiteY7" fmla="*/ 5788610 h 7542959"/>
                            <a:gd name="connsiteX8" fmla="*/ 3894784 w 7550841"/>
                            <a:gd name="connsiteY8" fmla="*/ 5698644 h 7542959"/>
                            <a:gd name="connsiteX9" fmla="*/ 5559985 w 7550841"/>
                            <a:gd name="connsiteY9" fmla="*/ 5698644 h 7542959"/>
                            <a:gd name="connsiteX10" fmla="*/ 5650604 w 7550841"/>
                            <a:gd name="connsiteY10" fmla="*/ 5788610 h 7542959"/>
                            <a:gd name="connsiteX11" fmla="*/ 5650604 w 7550841"/>
                            <a:gd name="connsiteY11" fmla="*/ 7441836 h 7542959"/>
                            <a:gd name="connsiteX12" fmla="*/ 5559985 w 7550841"/>
                            <a:gd name="connsiteY12" fmla="*/ 7542959 h 7542959"/>
                            <a:gd name="connsiteX13" fmla="*/ 3894784 w 7550841"/>
                            <a:gd name="connsiteY13" fmla="*/ 7542959 h 7542959"/>
                            <a:gd name="connsiteX14" fmla="*/ 3804166 w 7550841"/>
                            <a:gd name="connsiteY14" fmla="*/ 7441836 h 7542959"/>
                            <a:gd name="connsiteX15" fmla="*/ 3804166 w 7550841"/>
                            <a:gd name="connsiteY15" fmla="*/ 5788610 h 7542959"/>
                            <a:gd name="connsiteX16" fmla="*/ 2001855 w 7550841"/>
                            <a:gd name="connsiteY16" fmla="*/ 5698644 h 7542959"/>
                            <a:gd name="connsiteX17" fmla="*/ 3645777 w 7550841"/>
                            <a:gd name="connsiteY17" fmla="*/ 5698644 h 7542959"/>
                            <a:gd name="connsiteX18" fmla="*/ 3747036 w 7550841"/>
                            <a:gd name="connsiteY18" fmla="*/ 5788610 h 7542959"/>
                            <a:gd name="connsiteX19" fmla="*/ 3747036 w 7550841"/>
                            <a:gd name="connsiteY19" fmla="*/ 7441836 h 7542959"/>
                            <a:gd name="connsiteX20" fmla="*/ 3645777 w 7550841"/>
                            <a:gd name="connsiteY20" fmla="*/ 7542959 h 7542959"/>
                            <a:gd name="connsiteX21" fmla="*/ 2001855 w 7550841"/>
                            <a:gd name="connsiteY21" fmla="*/ 7542959 h 7542959"/>
                            <a:gd name="connsiteX22" fmla="*/ 1900596 w 7550841"/>
                            <a:gd name="connsiteY22" fmla="*/ 7441836 h 7542959"/>
                            <a:gd name="connsiteX23" fmla="*/ 1900596 w 7550841"/>
                            <a:gd name="connsiteY23" fmla="*/ 5788610 h 7542959"/>
                            <a:gd name="connsiteX24" fmla="*/ 3894784 w 7550841"/>
                            <a:gd name="connsiteY24" fmla="*/ 3796819 h 7542959"/>
                            <a:gd name="connsiteX25" fmla="*/ 5115195 w 7550841"/>
                            <a:gd name="connsiteY25" fmla="*/ 3796819 h 7542959"/>
                            <a:gd name="connsiteX26" fmla="*/ 5559985 w 7550841"/>
                            <a:gd name="connsiteY26" fmla="*/ 3796819 h 7542959"/>
                            <a:gd name="connsiteX27" fmla="*/ 5805660 w 7550841"/>
                            <a:gd name="connsiteY27" fmla="*/ 3796819 h 7542959"/>
                            <a:gd name="connsiteX28" fmla="*/ 6759117 w 7550841"/>
                            <a:gd name="connsiteY28" fmla="*/ 3796819 h 7542959"/>
                            <a:gd name="connsiteX29" fmla="*/ 7449582 w 7550841"/>
                            <a:gd name="connsiteY29" fmla="*/ 3796819 h 7542959"/>
                            <a:gd name="connsiteX30" fmla="*/ 7550841 w 7550841"/>
                            <a:gd name="connsiteY30" fmla="*/ 3886786 h 7542959"/>
                            <a:gd name="connsiteX31" fmla="*/ 7550841 w 7550841"/>
                            <a:gd name="connsiteY31" fmla="*/ 5540012 h 7542959"/>
                            <a:gd name="connsiteX32" fmla="*/ 7449582 w 7550841"/>
                            <a:gd name="connsiteY32" fmla="*/ 5641134 h 7542959"/>
                            <a:gd name="connsiteX33" fmla="*/ 6759117 w 7550841"/>
                            <a:gd name="connsiteY33" fmla="*/ 5641134 h 7542959"/>
                            <a:gd name="connsiteX34" fmla="*/ 5805660 w 7550841"/>
                            <a:gd name="connsiteY34" fmla="*/ 5641134 h 7542959"/>
                            <a:gd name="connsiteX35" fmla="*/ 5559985 w 7550841"/>
                            <a:gd name="connsiteY35" fmla="*/ 5641134 h 7542959"/>
                            <a:gd name="connsiteX36" fmla="*/ 5115195 w 7550841"/>
                            <a:gd name="connsiteY36" fmla="*/ 5641134 h 7542959"/>
                            <a:gd name="connsiteX37" fmla="*/ 3894784 w 7550841"/>
                            <a:gd name="connsiteY37" fmla="*/ 5641134 h 7542959"/>
                            <a:gd name="connsiteX38" fmla="*/ 3804166 w 7550841"/>
                            <a:gd name="connsiteY38" fmla="*/ 5551150 h 7542959"/>
                            <a:gd name="connsiteX39" fmla="*/ 3804166 w 7550841"/>
                            <a:gd name="connsiteY39" fmla="*/ 3897961 h 7542959"/>
                            <a:gd name="connsiteX40" fmla="*/ 1991217 w 7550841"/>
                            <a:gd name="connsiteY40" fmla="*/ 3796819 h 7542959"/>
                            <a:gd name="connsiteX41" fmla="*/ 3656417 w 7550841"/>
                            <a:gd name="connsiteY41" fmla="*/ 3796819 h 7542959"/>
                            <a:gd name="connsiteX42" fmla="*/ 3747036 w 7550841"/>
                            <a:gd name="connsiteY42" fmla="*/ 3897961 h 7542959"/>
                            <a:gd name="connsiteX43" fmla="*/ 3747036 w 7550841"/>
                            <a:gd name="connsiteY43" fmla="*/ 5551150 h 7542959"/>
                            <a:gd name="connsiteX44" fmla="*/ 3656417 w 7550841"/>
                            <a:gd name="connsiteY44" fmla="*/ 5641134 h 7542959"/>
                            <a:gd name="connsiteX45" fmla="*/ 1991217 w 7550841"/>
                            <a:gd name="connsiteY45" fmla="*/ 5641134 h 7542959"/>
                            <a:gd name="connsiteX46" fmla="*/ 1900599 w 7550841"/>
                            <a:gd name="connsiteY46" fmla="*/ 5551150 h 7542959"/>
                            <a:gd name="connsiteX47" fmla="*/ 1900599 w 7550841"/>
                            <a:gd name="connsiteY47" fmla="*/ 3897961 h 7542959"/>
                            <a:gd name="connsiteX48" fmla="*/ 90980 w 7550841"/>
                            <a:gd name="connsiteY48" fmla="*/ 3796819 h 7542959"/>
                            <a:gd name="connsiteX49" fmla="*/ 1756180 w 7550841"/>
                            <a:gd name="connsiteY49" fmla="*/ 3796819 h 7542959"/>
                            <a:gd name="connsiteX50" fmla="*/ 1846799 w 7550841"/>
                            <a:gd name="connsiteY50" fmla="*/ 3886785 h 7542959"/>
                            <a:gd name="connsiteX51" fmla="*/ 1846799 w 7550841"/>
                            <a:gd name="connsiteY51" fmla="*/ 5540011 h 7542959"/>
                            <a:gd name="connsiteX52" fmla="*/ 1756180 w 7550841"/>
                            <a:gd name="connsiteY52" fmla="*/ 5641134 h 7542959"/>
                            <a:gd name="connsiteX53" fmla="*/ 90980 w 7550841"/>
                            <a:gd name="connsiteY53" fmla="*/ 5641134 h 7542959"/>
                            <a:gd name="connsiteX54" fmla="*/ 361 w 7550841"/>
                            <a:gd name="connsiteY54" fmla="*/ 5540011 h 7542959"/>
                            <a:gd name="connsiteX55" fmla="*/ 361 w 7550841"/>
                            <a:gd name="connsiteY55" fmla="*/ 3886785 h 7542959"/>
                            <a:gd name="connsiteX56" fmla="*/ 90009 w 7550841"/>
                            <a:gd name="connsiteY56" fmla="*/ 0 h 7542959"/>
                            <a:gd name="connsiteX57" fmla="*/ 3645017 w 7550841"/>
                            <a:gd name="connsiteY57" fmla="*/ 0 h 7542959"/>
                            <a:gd name="connsiteX58" fmla="*/ 3735026 w 7550841"/>
                            <a:gd name="connsiteY58" fmla="*/ 90009 h 7542959"/>
                            <a:gd name="connsiteX59" fmla="*/ 3735026 w 7550841"/>
                            <a:gd name="connsiteY59" fmla="*/ 1226288 h 7542959"/>
                            <a:gd name="connsiteX60" fmla="*/ 3735026 w 7550841"/>
                            <a:gd name="connsiteY60" fmla="*/ 1744021 h 7542959"/>
                            <a:gd name="connsiteX61" fmla="*/ 3735026 w 7550841"/>
                            <a:gd name="connsiteY61" fmla="*/ 1991367 h 7542959"/>
                            <a:gd name="connsiteX62" fmla="*/ 3735026 w 7550841"/>
                            <a:gd name="connsiteY62" fmla="*/ 2879939 h 7542959"/>
                            <a:gd name="connsiteX63" fmla="*/ 3735026 w 7550841"/>
                            <a:gd name="connsiteY63" fmla="*/ 3633858 h 7542959"/>
                            <a:gd name="connsiteX64" fmla="*/ 3645017 w 7550841"/>
                            <a:gd name="connsiteY64" fmla="*/ 3735028 h 7542959"/>
                            <a:gd name="connsiteX65" fmla="*/ 2689118 w 7550841"/>
                            <a:gd name="connsiteY65" fmla="*/ 3735028 h 7542959"/>
                            <a:gd name="connsiteX66" fmla="*/ 1991366 w 7550841"/>
                            <a:gd name="connsiteY66" fmla="*/ 3735028 h 7542959"/>
                            <a:gd name="connsiteX67" fmla="*/ 1744020 w 7550841"/>
                            <a:gd name="connsiteY67" fmla="*/ 3735028 h 7542959"/>
                            <a:gd name="connsiteX68" fmla="*/ 1035107 w 7550841"/>
                            <a:gd name="connsiteY68" fmla="*/ 3735028 h 7542959"/>
                            <a:gd name="connsiteX69" fmla="*/ 90009 w 7550841"/>
                            <a:gd name="connsiteY69" fmla="*/ 3735028 h 7542959"/>
                            <a:gd name="connsiteX70" fmla="*/ 0 w 7550841"/>
                            <a:gd name="connsiteY70" fmla="*/ 3633858 h 7542959"/>
                            <a:gd name="connsiteX71" fmla="*/ 0 w 7550841"/>
                            <a:gd name="connsiteY71" fmla="*/ 2879939 h 7542959"/>
                            <a:gd name="connsiteX72" fmla="*/ 0 w 7550841"/>
                            <a:gd name="connsiteY72" fmla="*/ 1991367 h 7542959"/>
                            <a:gd name="connsiteX73" fmla="*/ 0 w 7550841"/>
                            <a:gd name="connsiteY73" fmla="*/ 1744021 h 7542959"/>
                            <a:gd name="connsiteX74" fmla="*/ 0 w 7550841"/>
                            <a:gd name="connsiteY74" fmla="*/ 1226288 h 7542959"/>
                            <a:gd name="connsiteX75" fmla="*/ 0 w 7550841"/>
                            <a:gd name="connsiteY75" fmla="*/ 90009 h 75429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Lst>
                          <a:rect l="l" t="t" r="r" b="b"/>
                          <a:pathLst>
                            <a:path w="7550841" h="7542959">
                              <a:moveTo>
                                <a:pt x="5805660" y="5698644"/>
                              </a:moveTo>
                              <a:lnTo>
                                <a:pt x="7449582" y="5698644"/>
                              </a:lnTo>
                              <a:lnTo>
                                <a:pt x="7550841" y="5788610"/>
                              </a:lnTo>
                              <a:lnTo>
                                <a:pt x="7550841" y="7441836"/>
                              </a:lnTo>
                              <a:lnTo>
                                <a:pt x="7449582" y="7542959"/>
                              </a:lnTo>
                              <a:lnTo>
                                <a:pt x="5805660" y="7542959"/>
                              </a:lnTo>
                              <a:lnTo>
                                <a:pt x="5704401" y="7441836"/>
                              </a:lnTo>
                              <a:lnTo>
                                <a:pt x="5704401" y="5788610"/>
                              </a:lnTo>
                              <a:close/>
                              <a:moveTo>
                                <a:pt x="3894784" y="5698644"/>
                              </a:moveTo>
                              <a:lnTo>
                                <a:pt x="5559985" y="5698644"/>
                              </a:lnTo>
                              <a:lnTo>
                                <a:pt x="5650604" y="5788610"/>
                              </a:lnTo>
                              <a:lnTo>
                                <a:pt x="5650604" y="7441836"/>
                              </a:lnTo>
                              <a:lnTo>
                                <a:pt x="5559985" y="7542959"/>
                              </a:lnTo>
                              <a:lnTo>
                                <a:pt x="3894784" y="7542959"/>
                              </a:lnTo>
                              <a:lnTo>
                                <a:pt x="3804166" y="7441836"/>
                              </a:lnTo>
                              <a:lnTo>
                                <a:pt x="3804166" y="5788610"/>
                              </a:lnTo>
                              <a:close/>
                              <a:moveTo>
                                <a:pt x="2001855" y="5698644"/>
                              </a:moveTo>
                              <a:lnTo>
                                <a:pt x="3645777" y="5698644"/>
                              </a:lnTo>
                              <a:lnTo>
                                <a:pt x="3747036" y="5788610"/>
                              </a:lnTo>
                              <a:lnTo>
                                <a:pt x="3747036" y="7441836"/>
                              </a:lnTo>
                              <a:lnTo>
                                <a:pt x="3645777" y="7542959"/>
                              </a:lnTo>
                              <a:lnTo>
                                <a:pt x="2001855" y="7542959"/>
                              </a:lnTo>
                              <a:lnTo>
                                <a:pt x="1900596" y="7441836"/>
                              </a:lnTo>
                              <a:lnTo>
                                <a:pt x="1900596" y="5788610"/>
                              </a:lnTo>
                              <a:close/>
                              <a:moveTo>
                                <a:pt x="3894784" y="3796819"/>
                              </a:moveTo>
                              <a:lnTo>
                                <a:pt x="5115195" y="3796819"/>
                              </a:lnTo>
                              <a:lnTo>
                                <a:pt x="5559985" y="3796819"/>
                              </a:lnTo>
                              <a:lnTo>
                                <a:pt x="5805660" y="3796819"/>
                              </a:lnTo>
                              <a:lnTo>
                                <a:pt x="6759117" y="3796819"/>
                              </a:lnTo>
                              <a:lnTo>
                                <a:pt x="7449582" y="3796819"/>
                              </a:lnTo>
                              <a:lnTo>
                                <a:pt x="7550841" y="3886786"/>
                              </a:lnTo>
                              <a:lnTo>
                                <a:pt x="7550841" y="5540012"/>
                              </a:lnTo>
                              <a:lnTo>
                                <a:pt x="7449582" y="5641134"/>
                              </a:lnTo>
                              <a:lnTo>
                                <a:pt x="6759117" y="5641134"/>
                              </a:lnTo>
                              <a:lnTo>
                                <a:pt x="5805660" y="5641134"/>
                              </a:lnTo>
                              <a:lnTo>
                                <a:pt x="5559985" y="5641134"/>
                              </a:lnTo>
                              <a:lnTo>
                                <a:pt x="5115195" y="5641134"/>
                              </a:lnTo>
                              <a:lnTo>
                                <a:pt x="3894784" y="5641134"/>
                              </a:lnTo>
                              <a:lnTo>
                                <a:pt x="3804166" y="5551150"/>
                              </a:lnTo>
                              <a:lnTo>
                                <a:pt x="3804166" y="3897961"/>
                              </a:lnTo>
                              <a:close/>
                              <a:moveTo>
                                <a:pt x="1991217" y="3796819"/>
                              </a:moveTo>
                              <a:lnTo>
                                <a:pt x="3656417" y="3796819"/>
                              </a:lnTo>
                              <a:lnTo>
                                <a:pt x="3747036" y="3897961"/>
                              </a:lnTo>
                              <a:lnTo>
                                <a:pt x="3747036" y="5551150"/>
                              </a:lnTo>
                              <a:lnTo>
                                <a:pt x="3656417" y="5641134"/>
                              </a:lnTo>
                              <a:lnTo>
                                <a:pt x="1991217" y="5641134"/>
                              </a:lnTo>
                              <a:lnTo>
                                <a:pt x="1900599" y="5551150"/>
                              </a:lnTo>
                              <a:lnTo>
                                <a:pt x="1900599" y="3897961"/>
                              </a:lnTo>
                              <a:close/>
                              <a:moveTo>
                                <a:pt x="90980" y="3796819"/>
                              </a:moveTo>
                              <a:lnTo>
                                <a:pt x="1756180" y="3796819"/>
                              </a:lnTo>
                              <a:lnTo>
                                <a:pt x="1846799" y="3886785"/>
                              </a:lnTo>
                              <a:lnTo>
                                <a:pt x="1846799" y="5540011"/>
                              </a:lnTo>
                              <a:lnTo>
                                <a:pt x="1756180" y="5641134"/>
                              </a:lnTo>
                              <a:lnTo>
                                <a:pt x="90980" y="5641134"/>
                              </a:lnTo>
                              <a:lnTo>
                                <a:pt x="361" y="5540011"/>
                              </a:lnTo>
                              <a:lnTo>
                                <a:pt x="361" y="3886785"/>
                              </a:lnTo>
                              <a:close/>
                              <a:moveTo>
                                <a:pt x="90009" y="0"/>
                              </a:moveTo>
                              <a:lnTo>
                                <a:pt x="3645017" y="0"/>
                              </a:lnTo>
                              <a:lnTo>
                                <a:pt x="3735026" y="90009"/>
                              </a:lnTo>
                              <a:lnTo>
                                <a:pt x="3735026" y="1226288"/>
                              </a:lnTo>
                              <a:lnTo>
                                <a:pt x="3735026" y="1744021"/>
                              </a:lnTo>
                              <a:lnTo>
                                <a:pt x="3735026" y="1991367"/>
                              </a:lnTo>
                              <a:lnTo>
                                <a:pt x="3735026" y="2879939"/>
                              </a:lnTo>
                              <a:lnTo>
                                <a:pt x="3735026" y="3633858"/>
                              </a:lnTo>
                              <a:lnTo>
                                <a:pt x="3645017" y="3735028"/>
                              </a:lnTo>
                              <a:lnTo>
                                <a:pt x="2689118" y="3735028"/>
                              </a:lnTo>
                              <a:lnTo>
                                <a:pt x="1991366" y="3735028"/>
                              </a:lnTo>
                              <a:lnTo>
                                <a:pt x="1744020" y="3735028"/>
                              </a:lnTo>
                              <a:lnTo>
                                <a:pt x="1035107" y="3735028"/>
                              </a:lnTo>
                              <a:lnTo>
                                <a:pt x="90009" y="3735028"/>
                              </a:lnTo>
                              <a:lnTo>
                                <a:pt x="0" y="3633858"/>
                              </a:lnTo>
                              <a:lnTo>
                                <a:pt x="0" y="2879939"/>
                              </a:lnTo>
                              <a:lnTo>
                                <a:pt x="0" y="1991367"/>
                              </a:lnTo>
                              <a:lnTo>
                                <a:pt x="0" y="1744021"/>
                              </a:lnTo>
                              <a:lnTo>
                                <a:pt x="0" y="1226288"/>
                              </a:lnTo>
                              <a:lnTo>
                                <a:pt x="0" y="90009"/>
                              </a:lnTo>
                              <a:close/>
                            </a:path>
                          </a:pathLst>
                        </a:custGeom>
                        <a:solidFill>
                          <a:srgbClr val="FED799"/>
                        </a:solidFill>
                        <a:ln>
                          <a:noFill/>
                        </a:ln>
                        <a:effectLst/>
                      </wps:spPr>
                      <wps:bodyPr wrap="square" anchor="ctr">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svg="http://schemas.microsoft.com/office/drawing/2016/SVG/main" xmlns:a16="http://schemas.microsoft.com/office/drawing/2014/main" xmlns:a14="http://schemas.microsoft.com/office/drawing/2010/main" xmlns:arto="http://schemas.microsoft.com/office/word/2006/arto">
            <w:pict w14:anchorId="4E8A261D">
              <v:shape id="Freeform: Shape 15" style="position:absolute;margin-left:-1.5pt;margin-top:70.35pt;width:487.55pt;height:48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coordsize="7550841,7542959" o:spid="_x0000_s1026" fillcolor="#fed799" stroked="f" path="m5805660,5698644r1643922,l7550841,5788610r,1653226l7449582,7542959r-1643922,l5704401,7441836r,-1653226l5805660,5698644xm3894784,5698644r1665201,l5650604,5788610r,1653226l5559985,7542959r-1665201,l3804166,7441836r,-1653226l3894784,5698644xm2001855,5698644r1643922,l3747036,5788610r,1653226l3645777,7542959r-1643922,l1900596,7441836r,-1653226l2001855,5698644xm3894784,3796819r1220411,l5559985,3796819r245675,l6759117,3796819r690465,l7550841,3886786r,1653226l7449582,5641134r-690465,l5805660,5641134r-245675,l5115195,5641134r-1220411,l3804166,5551150r,-1653189l3894784,3796819xm1991217,3796819r1665200,l3747036,3897961r,1653189l3656417,5641134r-1665200,l1900599,5551150r,-1653189l1991217,3796819xm90980,3796819r1665200,l1846799,3886785r,1653226l1756180,5641134r-1665200,l361,5540011r,-1653226l90980,3796819xm90009,l3645017,r90009,90009l3735026,1226288r,517733l3735026,1991367r,888572l3735026,3633858r-90009,101170l2689118,3735028r-697752,l1744020,3735028r-708913,l90009,3735028,,3633858,,2879939,,1991367,,1744021,,1226288,,90009,9000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" w14:anchorId="40ECCB04">
                <v:path arrowok="t" o:connecttype="custom" o:connectlocs="4760880,4672891;6108963,4672891;6192000,4746663;6192000,6102309;6108963,6185230;4760880,6185230;4677843,6102309;4677843,4746663;3193883,4672891;4559416,4672891;4633728,4746663;4633728,6102309;4559416,6185230;3193883,6185230;3119572,6102309;3119572,4746663;1641603,4672891;2989687,4672891;3072724,4746663;3072724,6102309;2989687,6185230;1641603,6185230;1558567,6102309;1558567,4746663;3193883,3113393;4194670,3113393;4559416,3113393;4760880,3113393;5542754,3113393;6108963,3113393;6192000,3187166;6192000,4542812;6108963,4625733;5542754,4625733;4760880,4625733;4559416,4625733;4194670,4625733;3193883,4625733;3119572,4551946;3119572,3196330;1632880,3113393;2998412,3113393;3072724,3196330;3072724,4551946;2998412,4625733;1632880,4625733;1558569,4551946;1558569,3196330;74607,3113393;1440140,3113393;1514451,3187166;1514451,4542812;1440140,4625733;74607,4625733;296,4542812;296,3187166;73811,0;2989064,0;3062875,73807;3062875,1005557;3062875,1430098;3062875,1632922;3062875,2361551;3062875,2979765;2989064,3062725;2205187,3062725;1633002,3062725;1430168,3062725;848830,3062725;73811,3062725;0,2979765;0,2361551;0,1632922;0,1430098;0,1005557;0,73807" o:connectangles="0,0,0,0,0,0,0,0,0,0,0,0,0,0,0,0,0,0,0,0,0,0,0,0,0,0,0,0,0,0,0,0,0,0,0,0,0,0,0,0,0,0,0,0,0,0,0,0,0,0,0,0,0,0,0,0,0,0,0,0,0,0,0,0,0,0,0,0,0,0,0,0,0,0,0,0"/>
                <o:lock v:ext="edit" aspectratio="t"/>
              </v:shape>
            </w:pict>
          </mc:Fallback>
        </mc:AlternateContent>
      </w:r>
      <w:r w:rsidR="008671C6" w:rsidRPr="008671C6">
        <w:rPr>
          <w:rFonts w:asciiTheme="minorHAnsi" w:hAnsiTheme="minorHAnsi"/>
          <w:sz w:val="46"/>
          <w:szCs w:val="46"/>
        </w:rPr>
        <w:t>Guidance on aggregated facility reporting</w:t>
      </w:r>
      <w:r w:rsidR="008A4470">
        <w:rPr>
          <w:rFonts w:asciiTheme="minorHAnsi" w:hAnsiTheme="minorHAnsi"/>
          <w:sz w:val="46"/>
          <w:szCs w:val="46"/>
        </w:rPr>
        <w:t>,</w:t>
      </w:r>
      <w:r w:rsidR="008671C6" w:rsidRPr="008671C6">
        <w:rPr>
          <w:rFonts w:asciiTheme="minorHAnsi" w:hAnsiTheme="minorHAnsi"/>
          <w:sz w:val="46"/>
          <w:szCs w:val="46"/>
        </w:rPr>
        <w:t xml:space="preserve"> percentage estimates</w:t>
      </w:r>
      <w:r w:rsidR="00353440">
        <w:rPr>
          <w:rFonts w:asciiTheme="minorHAnsi" w:hAnsiTheme="minorHAnsi"/>
          <w:sz w:val="46"/>
          <w:szCs w:val="46"/>
        </w:rPr>
        <w:t>,</w:t>
      </w:r>
      <w:r w:rsidR="008671C6" w:rsidRPr="008671C6">
        <w:rPr>
          <w:rFonts w:asciiTheme="minorHAnsi" w:hAnsiTheme="minorHAnsi"/>
          <w:sz w:val="46"/>
          <w:szCs w:val="46"/>
        </w:rPr>
        <w:t xml:space="preserve"> and incidental emissions and energy</w:t>
      </w:r>
    </w:p>
    <w:p w14:paraId="3B543F96" w14:textId="7CE15D24" w:rsidR="003A5739" w:rsidRPr="00531F3B" w:rsidRDefault="00260B02" w:rsidP="001813DE">
      <w:pPr>
        <w:pStyle w:val="BodyText1"/>
        <w:tabs>
          <w:tab w:val="left" w:pos="3969"/>
        </w:tabs>
        <w:ind w:left="5103" w:right="101"/>
      </w:pPr>
      <w:r>
        <w:t xml:space="preserve">July </w:t>
      </w:r>
      <w:r w:rsidR="0068486A">
        <w:t>202</w:t>
      </w:r>
      <w:r w:rsidR="008F2877">
        <w:t>6</w:t>
      </w:r>
    </w:p>
    <w:p w14:paraId="6519C78F" w14:textId="77777777" w:rsidR="00235142" w:rsidRPr="00874B8F" w:rsidRDefault="00346AEF" w:rsidP="005B2609">
      <w:pPr>
        <w:pStyle w:val="Heading1"/>
      </w:pPr>
      <w:bookmarkStart w:id="0" w:name="_Toc108431773"/>
      <w:bookmarkStart w:id="1" w:name="_Toc108453845"/>
      <w:bookmarkStart w:id="2" w:name="_Toc235706754"/>
      <w:r>
        <w:rPr>
          <w:noProof/>
        </w:rPr>
        <w:drawing>
          <wp:anchor distT="0" distB="0" distL="114300" distR="114300" simplePos="0" relativeHeight="251658243" behindDoc="0" locked="0" layoutInCell="1" allowOverlap="1" wp14:anchorId="68F54FFC" wp14:editId="52125661">
            <wp:simplePos x="0" y="0"/>
            <wp:positionH relativeFrom="column">
              <wp:posOffset>1619250</wp:posOffset>
            </wp:positionH>
            <wp:positionV relativeFrom="page">
              <wp:posOffset>6944995</wp:posOffset>
            </wp:positionV>
            <wp:extent cx="1327785" cy="1306195"/>
            <wp:effectExtent l="0" t="0" r="0" b="0"/>
            <wp:wrapNone/>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11">
                      <a:duotone>
                        <a:prstClr val="black"/>
                        <a:schemeClr val="accent2">
                          <a:lumMod val="75000"/>
                          <a:tint val="45000"/>
                          <a:satMod val="400000"/>
                        </a:schemeClr>
                      </a:duotone>
                      <a:extLst>
                        <a:ext uri="{BEBA8EAE-BF5A-486C-A8C5-ECC9F3942E4B}">
                          <a14:imgProps xmlns:a14="http://schemas.microsoft.com/office/drawing/2010/main">
                            <a14:imgLayer r:embed="rId12">
                              <a14:imgEffect>
                                <a14:colorTemperature colorTemp="7200"/>
                              </a14:imgEffect>
                              <a14:imgEffect>
                                <a14:saturation sat="300000"/>
                              </a14:imgEffect>
                            </a14:imgLayer>
                          </a14:imgProps>
                        </a:ext>
                      </a:extLst>
                    </a:blip>
                    <a:stretch>
                      <a:fillRect/>
                    </a:stretch>
                  </pic:blipFill>
                  <pic:spPr>
                    <a:xfrm>
                      <a:off x="0" y="0"/>
                      <a:ext cx="1327785" cy="1306195"/>
                    </a:xfrm>
                    <a:prstGeom prst="rect">
                      <a:avLst/>
                    </a:prstGeom>
                  </pic:spPr>
                </pic:pic>
              </a:graphicData>
            </a:graphic>
            <wp14:sizeRelH relativeFrom="page">
              <wp14:pctWidth>0</wp14:pctWidth>
            </wp14:sizeRelH>
            <wp14:sizeRelV relativeFrom="page">
              <wp14:pctHeight>0</wp14:pctHeight>
            </wp14:sizeRelV>
          </wp:anchor>
        </w:drawing>
      </w:r>
      <w:r w:rsidR="00166FC1">
        <w:rPr>
          <w:noProof/>
        </w:rPr>
        <w:drawing>
          <wp:anchor distT="0" distB="0" distL="114300" distR="114300" simplePos="0" relativeHeight="251658247" behindDoc="0" locked="0" layoutInCell="1" allowOverlap="1" wp14:anchorId="1F99CBE1" wp14:editId="639DA6C4">
            <wp:simplePos x="0" y="0"/>
            <wp:positionH relativeFrom="column">
              <wp:posOffset>4772025</wp:posOffset>
            </wp:positionH>
            <wp:positionV relativeFrom="page">
              <wp:posOffset>6929120</wp:posOffset>
            </wp:positionV>
            <wp:extent cx="1328400" cy="1328400"/>
            <wp:effectExtent l="0" t="0" r="5715" b="0"/>
            <wp:wrapNone/>
            <wp:docPr id="27" name="Graphic 27" descr="Bulldozer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Bulldozer outline">
                      <a:extLst>
                        <a:ext uri="{C183D7F6-B498-43B3-948B-1728B52AA6E4}">
                          <adec:decorative xmlns:adec="http://schemas.microsoft.com/office/drawing/2017/decorative" val="1"/>
                        </a:ext>
                      </a:extLst>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sidR="0048085B">
        <w:rPr>
          <w:noProof/>
        </w:rPr>
        <w:drawing>
          <wp:anchor distT="0" distB="0" distL="114300" distR="114300" simplePos="0" relativeHeight="251658246" behindDoc="0" locked="0" layoutInCell="1" allowOverlap="1" wp14:anchorId="321350E1" wp14:editId="4D7A4014">
            <wp:simplePos x="0" y="0"/>
            <wp:positionH relativeFrom="column">
              <wp:posOffset>3848100</wp:posOffset>
            </wp:positionH>
            <wp:positionV relativeFrom="page">
              <wp:posOffset>5262245</wp:posOffset>
            </wp:positionV>
            <wp:extent cx="1419860" cy="1419860"/>
            <wp:effectExtent l="0" t="0" r="8890" b="0"/>
            <wp:wrapNone/>
            <wp:docPr id="20" name="Graphic 20" descr="Solar Panels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olar Panels outline">
                      <a:extLst>
                        <a:ext uri="{C183D7F6-B498-43B3-948B-1728B52AA6E4}">
                          <adec:decorative xmlns:adec="http://schemas.microsoft.com/office/drawing/2017/decorative" val="1"/>
                        </a:ext>
                      </a:extLst>
                    </pic:cNvPr>
                    <pic:cNvPicPr/>
                  </pic:nvPicPr>
                  <pic:blipFill>
                    <a:blip r:embed="rId15">
                      <a:extLst>
                        <a:ext uri="{96DAC541-7B7A-43D3-8B79-37D633B846F1}">
                          <asvg:svgBlip xmlns:asvg="http://schemas.microsoft.com/office/drawing/2016/SVG/main" r:embed="rId16"/>
                        </a:ext>
                      </a:extLst>
                    </a:blip>
                    <a:stretch>
                      <a:fillRect/>
                    </a:stretch>
                  </pic:blipFill>
                  <pic:spPr>
                    <a:xfrm>
                      <a:off x="0" y="0"/>
                      <a:ext cx="1419860" cy="1419860"/>
                    </a:xfrm>
                    <a:prstGeom prst="rect">
                      <a:avLst/>
                    </a:prstGeom>
                  </pic:spPr>
                </pic:pic>
              </a:graphicData>
            </a:graphic>
            <wp14:sizeRelH relativeFrom="page">
              <wp14:pctWidth>0</wp14:pctWidth>
            </wp14:sizeRelH>
            <wp14:sizeRelV relativeFrom="page">
              <wp14:pctHeight>0</wp14:pctHeight>
            </wp14:sizeRelV>
          </wp:anchor>
        </w:drawing>
      </w:r>
      <w:r w:rsidR="00B45921">
        <w:rPr>
          <w:noProof/>
        </w:rPr>
        <w:drawing>
          <wp:anchor distT="0" distB="0" distL="114300" distR="114300" simplePos="0" relativeHeight="251658245" behindDoc="0" locked="0" layoutInCell="1" allowOverlap="1" wp14:anchorId="51D0E73D" wp14:editId="49FE7E8F">
            <wp:simplePos x="0" y="0"/>
            <wp:positionH relativeFrom="column">
              <wp:posOffset>1657350</wp:posOffset>
            </wp:positionH>
            <wp:positionV relativeFrom="page">
              <wp:posOffset>5367020</wp:posOffset>
            </wp:positionV>
            <wp:extent cx="1327785" cy="1327785"/>
            <wp:effectExtent l="0" t="0" r="0" b="0"/>
            <wp:wrapNone/>
            <wp:docPr id="18" name="Graphic 18" descr="Factory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actory outline">
                      <a:extLst>
                        <a:ext uri="{C183D7F6-B498-43B3-948B-1728B52AA6E4}">
                          <adec:decorative xmlns:adec="http://schemas.microsoft.com/office/drawing/2017/decorative" val="1"/>
                        </a:ext>
                      </a:extLst>
                    </pic:cNvPr>
                    <pic:cNvPicPr/>
                  </pic:nvPicPr>
                  <pic:blipFill>
                    <a:blip r:embed="rId17">
                      <a:extLst>
                        <a:ext uri="{96DAC541-7B7A-43D3-8B79-37D633B846F1}">
                          <asvg:svgBlip xmlns:asvg="http://schemas.microsoft.com/office/drawing/2016/SVG/main" r:embed="rId18"/>
                        </a:ext>
                      </a:extLst>
                    </a:blip>
                    <a:stretch>
                      <a:fillRect/>
                    </a:stretch>
                  </pic:blipFill>
                  <pic:spPr>
                    <a:xfrm>
                      <a:off x="0" y="0"/>
                      <a:ext cx="1327785" cy="1327785"/>
                    </a:xfrm>
                    <a:prstGeom prst="rect">
                      <a:avLst/>
                    </a:prstGeom>
                  </pic:spPr>
                </pic:pic>
              </a:graphicData>
            </a:graphic>
            <wp14:sizeRelH relativeFrom="page">
              <wp14:pctWidth>0</wp14:pctWidth>
            </wp14:sizeRelH>
            <wp14:sizeRelV relativeFrom="page">
              <wp14:pctHeight>0</wp14:pctHeight>
            </wp14:sizeRelV>
          </wp:anchor>
        </w:drawing>
      </w:r>
      <w:r w:rsidR="00B16D30">
        <w:rPr>
          <w:noProof/>
        </w:rPr>
        <w:drawing>
          <wp:anchor distT="0" distB="0" distL="114300" distR="114300" simplePos="0" relativeHeight="251658241" behindDoc="0" locked="0" layoutInCell="1" allowOverlap="1" wp14:anchorId="4B5271F4" wp14:editId="35E4E506">
            <wp:simplePos x="0" y="0"/>
            <wp:positionH relativeFrom="column">
              <wp:posOffset>76200</wp:posOffset>
            </wp:positionH>
            <wp:positionV relativeFrom="page">
              <wp:posOffset>5372100</wp:posOffset>
            </wp:positionV>
            <wp:extent cx="1327785" cy="1327785"/>
            <wp:effectExtent l="0" t="0" r="5715" b="0"/>
            <wp:wrapNone/>
            <wp:docPr id="16" name="Graphic 16" descr="Power Plant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Power Plant outline">
                      <a:extLst>
                        <a:ext uri="{C183D7F6-B498-43B3-948B-1728B52AA6E4}">
                          <adec:decorative xmlns:adec="http://schemas.microsoft.com/office/drawing/2017/decorative" val="1"/>
                        </a:ext>
                      </a:extLst>
                    </pic:cNvPr>
                    <pic:cNvPicPr/>
                  </pic:nvPicPr>
                  <pic:blipFill>
                    <a:blip r:embed="rId19">
                      <a:extLst>
                        <a:ext uri="{96DAC541-7B7A-43D3-8B79-37D633B846F1}">
                          <asvg:svgBlip xmlns:asvg="http://schemas.microsoft.com/office/drawing/2016/SVG/main" r:embed="rId20"/>
                        </a:ext>
                      </a:extLst>
                    </a:blip>
                    <a:stretch>
                      <a:fillRect/>
                    </a:stretch>
                  </pic:blipFill>
                  <pic:spPr>
                    <a:xfrm>
                      <a:off x="0" y="0"/>
                      <a:ext cx="1327785" cy="1327785"/>
                    </a:xfrm>
                    <a:prstGeom prst="rect">
                      <a:avLst/>
                    </a:prstGeom>
                  </pic:spPr>
                </pic:pic>
              </a:graphicData>
            </a:graphic>
            <wp14:sizeRelH relativeFrom="page">
              <wp14:pctWidth>0</wp14:pctWidth>
            </wp14:sizeRelH>
            <wp14:sizeRelV relativeFrom="page">
              <wp14:pctHeight>0</wp14:pctHeight>
            </wp14:sizeRelV>
          </wp:anchor>
        </w:drawing>
      </w:r>
      <w:r w:rsidR="00B16D30">
        <w:rPr>
          <w:noProof/>
        </w:rPr>
        <w:drawing>
          <wp:anchor distT="0" distB="0" distL="114300" distR="114300" simplePos="0" relativeHeight="251658244" behindDoc="0" locked="0" layoutInCell="1" allowOverlap="1" wp14:anchorId="27AA53C8" wp14:editId="745894F7">
            <wp:simplePos x="0" y="0"/>
            <wp:positionH relativeFrom="column">
              <wp:posOffset>3197923</wp:posOffset>
            </wp:positionH>
            <wp:positionV relativeFrom="page">
              <wp:posOffset>6931025</wp:posOffset>
            </wp:positionV>
            <wp:extent cx="1328400" cy="1328400"/>
            <wp:effectExtent l="0" t="0" r="0" b="0"/>
            <wp:wrapNone/>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pic:nvPicPr>
                  <pic:blipFill>
                    <a:blip r:embed="rId21">
                      <a:duotone>
                        <a:prstClr val="black"/>
                        <a:schemeClr val="accent2">
                          <a:lumMod val="75000"/>
                          <a:tint val="45000"/>
                          <a:satMod val="400000"/>
                        </a:schemeClr>
                      </a:duotone>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sidR="003A5739" w:rsidRPr="00531F3B">
        <w:br w:type="page"/>
      </w:r>
      <w:bookmarkStart w:id="3" w:name="_Toc447009035"/>
      <w:bookmarkStart w:id="4" w:name="_Toc413749884"/>
      <w:r w:rsidR="00235142" w:rsidRPr="00874B8F">
        <w:lastRenderedPageBreak/>
        <w:t>Contents</w:t>
      </w:r>
      <w:bookmarkEnd w:id="0"/>
      <w:bookmarkEnd w:id="1"/>
      <w:bookmarkEnd w:id="2"/>
    </w:p>
    <w:p w14:paraId="48BB0356" w14:textId="3DA80E81" w:rsidR="00CB15DC" w:rsidRDefault="00235142">
      <w:pPr>
        <w:pStyle w:val="TOC1"/>
        <w:rPr>
          <w:rFonts w:eastAsiaTheme="minorEastAsia" w:cstheme="minorBidi"/>
          <w:b w:val="0"/>
          <w:noProof/>
          <w:color w:val="auto"/>
          <w:kern w:val="2"/>
          <w:sz w:val="24"/>
          <w:lang w:eastAsia="en-AU"/>
          <w14:ligatures w14:val="standardContextual"/>
        </w:rPr>
      </w:pPr>
      <w:r>
        <w:fldChar w:fldCharType="begin"/>
      </w:r>
      <w:r>
        <w:instrText xml:space="preserve"> TOC  \* MERGEFORMAT </w:instrText>
      </w:r>
      <w:r>
        <w:fldChar w:fldCharType="separate"/>
      </w:r>
      <w:r w:rsidR="00CB15DC">
        <w:rPr>
          <w:noProof/>
        </w:rPr>
        <w:t>Contents</w:t>
      </w:r>
      <w:r w:rsidR="00CB15DC">
        <w:rPr>
          <w:noProof/>
        </w:rPr>
        <w:tab/>
      </w:r>
      <w:r w:rsidR="00CB15DC">
        <w:rPr>
          <w:noProof/>
        </w:rPr>
        <w:fldChar w:fldCharType="begin"/>
      </w:r>
      <w:r w:rsidR="00CB15DC">
        <w:rPr>
          <w:noProof/>
        </w:rPr>
        <w:instrText xml:space="preserve"> PAGEREF _Toc235706754 \h </w:instrText>
      </w:r>
      <w:r w:rsidR="00CB15DC">
        <w:rPr>
          <w:noProof/>
        </w:rPr>
      </w:r>
      <w:r w:rsidR="00CB15DC">
        <w:rPr>
          <w:noProof/>
        </w:rPr>
        <w:fldChar w:fldCharType="separate"/>
      </w:r>
      <w:r w:rsidR="00CB15DC">
        <w:rPr>
          <w:noProof/>
        </w:rPr>
        <w:t>1</w:t>
      </w:r>
      <w:r w:rsidR="00CB15DC">
        <w:rPr>
          <w:noProof/>
        </w:rPr>
        <w:fldChar w:fldCharType="end"/>
      </w:r>
    </w:p>
    <w:p w14:paraId="497BD0DC" w14:textId="2965C588" w:rsidR="00CB15DC" w:rsidRDefault="00CB15DC">
      <w:pPr>
        <w:pStyle w:val="TOC1"/>
        <w:rPr>
          <w:rFonts w:eastAsiaTheme="minorEastAsia" w:cstheme="minorBidi"/>
          <w:b w:val="0"/>
          <w:noProof/>
          <w:color w:val="auto"/>
          <w:kern w:val="2"/>
          <w:sz w:val="24"/>
          <w:lang w:eastAsia="en-AU"/>
          <w14:ligatures w14:val="standardContextual"/>
        </w:rPr>
      </w:pPr>
      <w:r w:rsidRPr="002D58DF">
        <w:rPr>
          <w:noProof/>
          <w:lang w:val="en-GB"/>
        </w:rPr>
        <w:t>Definitions and abbreviations</w:t>
      </w:r>
      <w:r>
        <w:rPr>
          <w:noProof/>
        </w:rPr>
        <w:tab/>
      </w:r>
      <w:r>
        <w:rPr>
          <w:noProof/>
        </w:rPr>
        <w:fldChar w:fldCharType="begin"/>
      </w:r>
      <w:r>
        <w:rPr>
          <w:noProof/>
        </w:rPr>
        <w:instrText xml:space="preserve"> PAGEREF _Toc235706755 \h </w:instrText>
      </w:r>
      <w:r>
        <w:rPr>
          <w:noProof/>
        </w:rPr>
      </w:r>
      <w:r>
        <w:rPr>
          <w:noProof/>
        </w:rPr>
        <w:fldChar w:fldCharType="separate"/>
      </w:r>
      <w:r>
        <w:rPr>
          <w:noProof/>
        </w:rPr>
        <w:t>3</w:t>
      </w:r>
      <w:r>
        <w:rPr>
          <w:noProof/>
        </w:rPr>
        <w:fldChar w:fldCharType="end"/>
      </w:r>
    </w:p>
    <w:p w14:paraId="2E0860DD" w14:textId="7F9488F9" w:rsidR="00CB15DC" w:rsidRDefault="00CB15DC">
      <w:pPr>
        <w:pStyle w:val="TOC1"/>
        <w:rPr>
          <w:rFonts w:eastAsiaTheme="minorEastAsia" w:cstheme="minorBidi"/>
          <w:b w:val="0"/>
          <w:noProof/>
          <w:color w:val="auto"/>
          <w:kern w:val="2"/>
          <w:sz w:val="24"/>
          <w:lang w:eastAsia="en-AU"/>
          <w14:ligatures w14:val="standardContextual"/>
        </w:rPr>
      </w:pPr>
      <w:r w:rsidRPr="002D58DF">
        <w:rPr>
          <w:noProof/>
          <w:lang w:val="en-GB"/>
        </w:rPr>
        <w:t>Disclaimer</w:t>
      </w:r>
      <w:r>
        <w:rPr>
          <w:noProof/>
        </w:rPr>
        <w:tab/>
      </w:r>
      <w:r>
        <w:rPr>
          <w:noProof/>
        </w:rPr>
        <w:fldChar w:fldCharType="begin"/>
      </w:r>
      <w:r>
        <w:rPr>
          <w:noProof/>
        </w:rPr>
        <w:instrText xml:space="preserve"> PAGEREF _Toc235706756 \h </w:instrText>
      </w:r>
      <w:r>
        <w:rPr>
          <w:noProof/>
        </w:rPr>
      </w:r>
      <w:r>
        <w:rPr>
          <w:noProof/>
        </w:rPr>
        <w:fldChar w:fldCharType="separate"/>
      </w:r>
      <w:r>
        <w:rPr>
          <w:noProof/>
        </w:rPr>
        <w:t>4</w:t>
      </w:r>
      <w:r>
        <w:rPr>
          <w:noProof/>
        </w:rPr>
        <w:fldChar w:fldCharType="end"/>
      </w:r>
    </w:p>
    <w:p w14:paraId="1278C911" w14:textId="419BAE66" w:rsidR="00CB15DC" w:rsidRDefault="00CB15DC">
      <w:pPr>
        <w:pStyle w:val="TOC1"/>
        <w:rPr>
          <w:rFonts w:eastAsiaTheme="minorEastAsia" w:cstheme="minorBidi"/>
          <w:b w:val="0"/>
          <w:noProof/>
          <w:color w:val="auto"/>
          <w:kern w:val="2"/>
          <w:sz w:val="24"/>
          <w:lang w:eastAsia="en-AU"/>
          <w14:ligatures w14:val="standardContextual"/>
        </w:rPr>
      </w:pPr>
      <w:r w:rsidRPr="002D58DF">
        <w:rPr>
          <w:rFonts w:eastAsiaTheme="minorEastAsia"/>
          <w:noProof/>
        </w:rPr>
        <w:t>2025–26 updates</w:t>
      </w:r>
      <w:r>
        <w:rPr>
          <w:noProof/>
        </w:rPr>
        <w:tab/>
      </w:r>
      <w:r>
        <w:rPr>
          <w:noProof/>
        </w:rPr>
        <w:fldChar w:fldCharType="begin"/>
      </w:r>
      <w:r>
        <w:rPr>
          <w:noProof/>
        </w:rPr>
        <w:instrText xml:space="preserve"> PAGEREF _Toc235706757 \h </w:instrText>
      </w:r>
      <w:r>
        <w:rPr>
          <w:noProof/>
        </w:rPr>
      </w:r>
      <w:r>
        <w:rPr>
          <w:noProof/>
        </w:rPr>
        <w:fldChar w:fldCharType="separate"/>
      </w:r>
      <w:r>
        <w:rPr>
          <w:noProof/>
        </w:rPr>
        <w:t>5</w:t>
      </w:r>
      <w:r>
        <w:rPr>
          <w:noProof/>
        </w:rPr>
        <w:fldChar w:fldCharType="end"/>
      </w:r>
    </w:p>
    <w:p w14:paraId="3EC64F4B" w14:textId="65B50E4B" w:rsidR="00CB15DC" w:rsidRDefault="00CB15DC">
      <w:pPr>
        <w:pStyle w:val="TOC1"/>
        <w:rPr>
          <w:rFonts w:eastAsiaTheme="minorEastAsia" w:cstheme="minorBidi"/>
          <w:b w:val="0"/>
          <w:noProof/>
          <w:color w:val="auto"/>
          <w:kern w:val="2"/>
          <w:sz w:val="24"/>
          <w:lang w:eastAsia="en-AU"/>
          <w14:ligatures w14:val="standardContextual"/>
        </w:rPr>
      </w:pPr>
      <w:r>
        <w:rPr>
          <w:noProof/>
        </w:rPr>
        <w:t>Purpose</w:t>
      </w:r>
      <w:r>
        <w:rPr>
          <w:noProof/>
        </w:rPr>
        <w:tab/>
      </w:r>
      <w:r>
        <w:rPr>
          <w:noProof/>
        </w:rPr>
        <w:fldChar w:fldCharType="begin"/>
      </w:r>
      <w:r>
        <w:rPr>
          <w:noProof/>
        </w:rPr>
        <w:instrText xml:space="preserve"> PAGEREF _Toc235706758 \h </w:instrText>
      </w:r>
      <w:r>
        <w:rPr>
          <w:noProof/>
        </w:rPr>
      </w:r>
      <w:r>
        <w:rPr>
          <w:noProof/>
        </w:rPr>
        <w:fldChar w:fldCharType="separate"/>
      </w:r>
      <w:r>
        <w:rPr>
          <w:noProof/>
        </w:rPr>
        <w:t>5</w:t>
      </w:r>
      <w:r>
        <w:rPr>
          <w:noProof/>
        </w:rPr>
        <w:fldChar w:fldCharType="end"/>
      </w:r>
    </w:p>
    <w:p w14:paraId="58DCB9F9" w14:textId="7F06132B" w:rsidR="00CB15DC" w:rsidRDefault="00CB15DC">
      <w:pPr>
        <w:pStyle w:val="TOC1"/>
        <w:rPr>
          <w:rFonts w:eastAsiaTheme="minorEastAsia" w:cstheme="minorBidi"/>
          <w:b w:val="0"/>
          <w:noProof/>
          <w:color w:val="auto"/>
          <w:kern w:val="2"/>
          <w:sz w:val="24"/>
          <w:lang w:eastAsia="en-AU"/>
          <w14:ligatures w14:val="standardContextual"/>
        </w:rPr>
      </w:pPr>
      <w:r>
        <w:rPr>
          <w:noProof/>
        </w:rPr>
        <w:t>Aggregating facility data</w:t>
      </w:r>
      <w:r>
        <w:rPr>
          <w:noProof/>
        </w:rPr>
        <w:tab/>
      </w:r>
      <w:r>
        <w:rPr>
          <w:noProof/>
        </w:rPr>
        <w:fldChar w:fldCharType="begin"/>
      </w:r>
      <w:r>
        <w:rPr>
          <w:noProof/>
        </w:rPr>
        <w:instrText xml:space="preserve"> PAGEREF _Toc235706759 \h </w:instrText>
      </w:r>
      <w:r>
        <w:rPr>
          <w:noProof/>
        </w:rPr>
      </w:r>
      <w:r>
        <w:rPr>
          <w:noProof/>
        </w:rPr>
        <w:fldChar w:fldCharType="separate"/>
      </w:r>
      <w:r>
        <w:rPr>
          <w:noProof/>
        </w:rPr>
        <w:t>6</w:t>
      </w:r>
      <w:r>
        <w:rPr>
          <w:noProof/>
        </w:rPr>
        <w:fldChar w:fldCharType="end"/>
      </w:r>
    </w:p>
    <w:p w14:paraId="26D77B79" w14:textId="3952A273" w:rsidR="00CB15DC" w:rsidRDefault="00CB15DC">
      <w:pPr>
        <w:pStyle w:val="TOC2"/>
        <w:rPr>
          <w:rFonts w:eastAsiaTheme="minorEastAsia" w:cstheme="minorBidi"/>
          <w:noProof/>
          <w:color w:val="auto"/>
          <w:kern w:val="2"/>
          <w:sz w:val="24"/>
          <w:lang w:eastAsia="en-AU"/>
          <w14:ligatures w14:val="standardContextual"/>
        </w:rPr>
      </w:pPr>
      <w:r>
        <w:rPr>
          <w:noProof/>
        </w:rPr>
        <w:t>When can facility data be reported as an aggregate?</w:t>
      </w:r>
      <w:r>
        <w:rPr>
          <w:noProof/>
        </w:rPr>
        <w:tab/>
      </w:r>
      <w:r>
        <w:rPr>
          <w:noProof/>
        </w:rPr>
        <w:fldChar w:fldCharType="begin"/>
      </w:r>
      <w:r>
        <w:rPr>
          <w:noProof/>
        </w:rPr>
        <w:instrText xml:space="preserve"> PAGEREF _Toc235706760 \h </w:instrText>
      </w:r>
      <w:r>
        <w:rPr>
          <w:noProof/>
        </w:rPr>
      </w:r>
      <w:r>
        <w:rPr>
          <w:noProof/>
        </w:rPr>
        <w:fldChar w:fldCharType="separate"/>
      </w:r>
      <w:r>
        <w:rPr>
          <w:noProof/>
        </w:rPr>
        <w:t>6</w:t>
      </w:r>
      <w:r>
        <w:rPr>
          <w:noProof/>
        </w:rPr>
        <w:fldChar w:fldCharType="end"/>
      </w:r>
    </w:p>
    <w:p w14:paraId="33A887A8" w14:textId="4EFBA2F0" w:rsidR="00CB15DC" w:rsidRDefault="00CB15DC">
      <w:pPr>
        <w:pStyle w:val="TOC2"/>
        <w:rPr>
          <w:rFonts w:eastAsiaTheme="minorEastAsia" w:cstheme="minorBidi"/>
          <w:noProof/>
          <w:color w:val="auto"/>
          <w:kern w:val="2"/>
          <w:sz w:val="24"/>
          <w:lang w:eastAsia="en-AU"/>
          <w14:ligatures w14:val="standardContextual"/>
        </w:rPr>
      </w:pPr>
      <w:r>
        <w:rPr>
          <w:noProof/>
        </w:rPr>
        <w:t>What must be reported?</w:t>
      </w:r>
      <w:r>
        <w:rPr>
          <w:noProof/>
        </w:rPr>
        <w:tab/>
      </w:r>
      <w:r>
        <w:rPr>
          <w:noProof/>
        </w:rPr>
        <w:fldChar w:fldCharType="begin"/>
      </w:r>
      <w:r>
        <w:rPr>
          <w:noProof/>
        </w:rPr>
        <w:instrText xml:space="preserve"> PAGEREF _Toc235706761 \h </w:instrText>
      </w:r>
      <w:r>
        <w:rPr>
          <w:noProof/>
        </w:rPr>
      </w:r>
      <w:r>
        <w:rPr>
          <w:noProof/>
        </w:rPr>
        <w:fldChar w:fldCharType="separate"/>
      </w:r>
      <w:r>
        <w:rPr>
          <w:noProof/>
        </w:rPr>
        <w:t>6</w:t>
      </w:r>
      <w:r>
        <w:rPr>
          <w:noProof/>
        </w:rPr>
        <w:fldChar w:fldCharType="end"/>
      </w:r>
    </w:p>
    <w:p w14:paraId="6369026F" w14:textId="65660168" w:rsidR="00CB15DC" w:rsidRDefault="00CB15DC">
      <w:pPr>
        <w:pStyle w:val="TOC2"/>
        <w:rPr>
          <w:rFonts w:eastAsiaTheme="minorEastAsia" w:cstheme="minorBidi"/>
          <w:noProof/>
          <w:color w:val="auto"/>
          <w:kern w:val="2"/>
          <w:sz w:val="24"/>
          <w:lang w:eastAsia="en-AU"/>
          <w14:ligatures w14:val="standardContextual"/>
        </w:rPr>
      </w:pPr>
      <w:r>
        <w:rPr>
          <w:noProof/>
        </w:rPr>
        <w:t>Reporting aggregated amounts in the Emissions and Energy Reporting System</w:t>
      </w:r>
      <w:r>
        <w:rPr>
          <w:noProof/>
        </w:rPr>
        <w:tab/>
      </w:r>
      <w:r>
        <w:rPr>
          <w:noProof/>
        </w:rPr>
        <w:fldChar w:fldCharType="begin"/>
      </w:r>
      <w:r>
        <w:rPr>
          <w:noProof/>
        </w:rPr>
        <w:instrText xml:space="preserve"> PAGEREF _Toc235706762 \h </w:instrText>
      </w:r>
      <w:r>
        <w:rPr>
          <w:noProof/>
        </w:rPr>
      </w:r>
      <w:r>
        <w:rPr>
          <w:noProof/>
        </w:rPr>
        <w:fldChar w:fldCharType="separate"/>
      </w:r>
      <w:r>
        <w:rPr>
          <w:noProof/>
        </w:rPr>
        <w:t>7</w:t>
      </w:r>
      <w:r>
        <w:rPr>
          <w:noProof/>
        </w:rPr>
        <w:fldChar w:fldCharType="end"/>
      </w:r>
    </w:p>
    <w:p w14:paraId="4E8F4453" w14:textId="5CE86655" w:rsidR="00CB15DC" w:rsidRDefault="00CB15DC">
      <w:pPr>
        <w:pStyle w:val="TOC2"/>
        <w:rPr>
          <w:rFonts w:eastAsiaTheme="minorEastAsia" w:cstheme="minorBidi"/>
          <w:noProof/>
          <w:color w:val="auto"/>
          <w:kern w:val="2"/>
          <w:sz w:val="24"/>
          <w:lang w:eastAsia="en-AU"/>
          <w14:ligatures w14:val="standardContextual"/>
        </w:rPr>
      </w:pPr>
      <w:r>
        <w:rPr>
          <w:noProof/>
        </w:rPr>
        <w:t>Aggregating by group member</w:t>
      </w:r>
      <w:r>
        <w:rPr>
          <w:noProof/>
        </w:rPr>
        <w:tab/>
      </w:r>
      <w:r>
        <w:rPr>
          <w:noProof/>
        </w:rPr>
        <w:fldChar w:fldCharType="begin"/>
      </w:r>
      <w:r>
        <w:rPr>
          <w:noProof/>
        </w:rPr>
        <w:instrText xml:space="preserve"> PAGEREF _Toc235706763 \h </w:instrText>
      </w:r>
      <w:r>
        <w:rPr>
          <w:noProof/>
        </w:rPr>
      </w:r>
      <w:r>
        <w:rPr>
          <w:noProof/>
        </w:rPr>
        <w:fldChar w:fldCharType="separate"/>
      </w:r>
      <w:r>
        <w:rPr>
          <w:noProof/>
        </w:rPr>
        <w:t>7</w:t>
      </w:r>
      <w:r>
        <w:rPr>
          <w:noProof/>
        </w:rPr>
        <w:fldChar w:fldCharType="end"/>
      </w:r>
    </w:p>
    <w:p w14:paraId="693D027C" w14:textId="5EE59F5E" w:rsidR="00CB15DC" w:rsidRDefault="00CB15DC">
      <w:pPr>
        <w:pStyle w:val="TOC2"/>
        <w:rPr>
          <w:rFonts w:eastAsiaTheme="minorEastAsia" w:cstheme="minorBidi"/>
          <w:noProof/>
          <w:color w:val="auto"/>
          <w:kern w:val="2"/>
          <w:sz w:val="24"/>
          <w:lang w:eastAsia="en-AU"/>
          <w14:ligatures w14:val="standardContextual"/>
        </w:rPr>
      </w:pPr>
      <w:r w:rsidRPr="002D58DF">
        <w:rPr>
          <w:noProof/>
        </w:rPr>
        <w:t>Aggregating by business unit</w:t>
      </w:r>
      <w:r>
        <w:rPr>
          <w:noProof/>
        </w:rPr>
        <w:tab/>
      </w:r>
      <w:r>
        <w:rPr>
          <w:noProof/>
        </w:rPr>
        <w:fldChar w:fldCharType="begin"/>
      </w:r>
      <w:r>
        <w:rPr>
          <w:noProof/>
        </w:rPr>
        <w:instrText xml:space="preserve"> PAGEREF _Toc235706764 \h </w:instrText>
      </w:r>
      <w:r>
        <w:rPr>
          <w:noProof/>
        </w:rPr>
      </w:r>
      <w:r>
        <w:rPr>
          <w:noProof/>
        </w:rPr>
        <w:fldChar w:fldCharType="separate"/>
      </w:r>
      <w:r>
        <w:rPr>
          <w:noProof/>
        </w:rPr>
        <w:t>8</w:t>
      </w:r>
      <w:r>
        <w:rPr>
          <w:noProof/>
        </w:rPr>
        <w:fldChar w:fldCharType="end"/>
      </w:r>
    </w:p>
    <w:p w14:paraId="6495432F" w14:textId="210D9873" w:rsidR="00CB15DC" w:rsidRDefault="00CB15DC">
      <w:pPr>
        <w:pStyle w:val="TOC3"/>
        <w:rPr>
          <w:rFonts w:eastAsiaTheme="minorEastAsia" w:cstheme="minorBidi"/>
          <w:noProof/>
          <w:color w:val="auto"/>
          <w:kern w:val="2"/>
          <w:sz w:val="24"/>
          <w:lang w:eastAsia="en-AU"/>
          <w14:ligatures w14:val="standardContextual"/>
        </w:rPr>
      </w:pPr>
      <w:r>
        <w:rPr>
          <w:noProof/>
        </w:rPr>
        <w:t>Reporting by business unit</w:t>
      </w:r>
      <w:r>
        <w:rPr>
          <w:noProof/>
        </w:rPr>
        <w:tab/>
      </w:r>
      <w:r>
        <w:rPr>
          <w:noProof/>
        </w:rPr>
        <w:fldChar w:fldCharType="begin"/>
      </w:r>
      <w:r>
        <w:rPr>
          <w:noProof/>
        </w:rPr>
        <w:instrText xml:space="preserve"> PAGEREF _Toc235706765 \h </w:instrText>
      </w:r>
      <w:r>
        <w:rPr>
          <w:noProof/>
        </w:rPr>
      </w:r>
      <w:r>
        <w:rPr>
          <w:noProof/>
        </w:rPr>
        <w:fldChar w:fldCharType="separate"/>
      </w:r>
      <w:r>
        <w:rPr>
          <w:noProof/>
        </w:rPr>
        <w:t>9</w:t>
      </w:r>
      <w:r>
        <w:rPr>
          <w:noProof/>
        </w:rPr>
        <w:fldChar w:fldCharType="end"/>
      </w:r>
    </w:p>
    <w:p w14:paraId="4D3F50BE" w14:textId="4E31B94E" w:rsidR="00CB15DC" w:rsidRDefault="00CB15DC">
      <w:pPr>
        <w:pStyle w:val="TOC2"/>
        <w:rPr>
          <w:rFonts w:eastAsiaTheme="minorEastAsia" w:cstheme="minorBidi"/>
          <w:noProof/>
          <w:color w:val="auto"/>
          <w:kern w:val="2"/>
          <w:sz w:val="24"/>
          <w:lang w:eastAsia="en-AU"/>
          <w14:ligatures w14:val="standardContextual"/>
        </w:rPr>
      </w:pPr>
      <w:r>
        <w:rPr>
          <w:noProof/>
        </w:rPr>
        <w:t>More complex corporate structures</w:t>
      </w:r>
      <w:r>
        <w:rPr>
          <w:noProof/>
        </w:rPr>
        <w:tab/>
      </w:r>
      <w:r>
        <w:rPr>
          <w:noProof/>
        </w:rPr>
        <w:fldChar w:fldCharType="begin"/>
      </w:r>
      <w:r>
        <w:rPr>
          <w:noProof/>
        </w:rPr>
        <w:instrText xml:space="preserve"> PAGEREF _Toc235706766 \h </w:instrText>
      </w:r>
      <w:r>
        <w:rPr>
          <w:noProof/>
        </w:rPr>
      </w:r>
      <w:r>
        <w:rPr>
          <w:noProof/>
        </w:rPr>
        <w:fldChar w:fldCharType="separate"/>
      </w:r>
      <w:r>
        <w:rPr>
          <w:noProof/>
        </w:rPr>
        <w:t>10</w:t>
      </w:r>
      <w:r>
        <w:rPr>
          <w:noProof/>
        </w:rPr>
        <w:fldChar w:fldCharType="end"/>
      </w:r>
    </w:p>
    <w:p w14:paraId="11096DBB" w14:textId="3C85AB93" w:rsidR="00CB15DC" w:rsidRDefault="00CB15DC">
      <w:pPr>
        <w:pStyle w:val="TOC1"/>
        <w:rPr>
          <w:rFonts w:eastAsiaTheme="minorEastAsia" w:cstheme="minorBidi"/>
          <w:b w:val="0"/>
          <w:noProof/>
          <w:color w:val="auto"/>
          <w:kern w:val="2"/>
          <w:sz w:val="24"/>
          <w:lang w:eastAsia="en-AU"/>
          <w14:ligatures w14:val="standardContextual"/>
        </w:rPr>
      </w:pPr>
      <w:r>
        <w:rPr>
          <w:noProof/>
        </w:rPr>
        <w:t>Percentage reporting</w:t>
      </w:r>
      <w:r>
        <w:rPr>
          <w:noProof/>
        </w:rPr>
        <w:tab/>
      </w:r>
      <w:r>
        <w:rPr>
          <w:noProof/>
        </w:rPr>
        <w:fldChar w:fldCharType="begin"/>
      </w:r>
      <w:r>
        <w:rPr>
          <w:noProof/>
        </w:rPr>
        <w:instrText xml:space="preserve"> PAGEREF _Toc235706767 \h </w:instrText>
      </w:r>
      <w:r>
        <w:rPr>
          <w:noProof/>
        </w:rPr>
      </w:r>
      <w:r>
        <w:rPr>
          <w:noProof/>
        </w:rPr>
        <w:fldChar w:fldCharType="separate"/>
      </w:r>
      <w:r>
        <w:rPr>
          <w:noProof/>
        </w:rPr>
        <w:t>12</w:t>
      </w:r>
      <w:r>
        <w:rPr>
          <w:noProof/>
        </w:rPr>
        <w:fldChar w:fldCharType="end"/>
      </w:r>
    </w:p>
    <w:p w14:paraId="31C35735" w14:textId="6EA4AD52" w:rsidR="00CB15DC" w:rsidRDefault="00CB15DC">
      <w:pPr>
        <w:pStyle w:val="TOC2"/>
        <w:rPr>
          <w:rFonts w:eastAsiaTheme="minorEastAsia" w:cstheme="minorBidi"/>
          <w:noProof/>
          <w:color w:val="auto"/>
          <w:kern w:val="2"/>
          <w:sz w:val="24"/>
          <w:lang w:eastAsia="en-AU"/>
          <w14:ligatures w14:val="standardContextual"/>
        </w:rPr>
      </w:pPr>
      <w:r>
        <w:rPr>
          <w:noProof/>
        </w:rPr>
        <w:t>What is percentage reporting?</w:t>
      </w:r>
      <w:r>
        <w:rPr>
          <w:noProof/>
        </w:rPr>
        <w:tab/>
      </w:r>
      <w:r>
        <w:rPr>
          <w:noProof/>
        </w:rPr>
        <w:fldChar w:fldCharType="begin"/>
      </w:r>
      <w:r>
        <w:rPr>
          <w:noProof/>
        </w:rPr>
        <w:instrText xml:space="preserve"> PAGEREF _Toc235706768 \h </w:instrText>
      </w:r>
      <w:r>
        <w:rPr>
          <w:noProof/>
        </w:rPr>
      </w:r>
      <w:r>
        <w:rPr>
          <w:noProof/>
        </w:rPr>
        <w:fldChar w:fldCharType="separate"/>
      </w:r>
      <w:r>
        <w:rPr>
          <w:noProof/>
        </w:rPr>
        <w:t>12</w:t>
      </w:r>
      <w:r>
        <w:rPr>
          <w:noProof/>
        </w:rPr>
        <w:fldChar w:fldCharType="end"/>
      </w:r>
    </w:p>
    <w:p w14:paraId="2DF54F8A" w14:textId="38269413" w:rsidR="00CB15DC" w:rsidRDefault="00CB15DC">
      <w:pPr>
        <w:pStyle w:val="TOC2"/>
        <w:rPr>
          <w:rFonts w:eastAsiaTheme="minorEastAsia" w:cstheme="minorBidi"/>
          <w:noProof/>
          <w:color w:val="auto"/>
          <w:kern w:val="2"/>
          <w:sz w:val="24"/>
          <w:lang w:eastAsia="en-AU"/>
          <w14:ligatures w14:val="standardContextual"/>
        </w:rPr>
      </w:pPr>
      <w:r>
        <w:rPr>
          <w:noProof/>
        </w:rPr>
        <w:t>When can facility data be provided as a percentage estimate?</w:t>
      </w:r>
      <w:r>
        <w:rPr>
          <w:noProof/>
        </w:rPr>
        <w:tab/>
      </w:r>
      <w:r>
        <w:rPr>
          <w:noProof/>
        </w:rPr>
        <w:fldChar w:fldCharType="begin"/>
      </w:r>
      <w:r>
        <w:rPr>
          <w:noProof/>
        </w:rPr>
        <w:instrText xml:space="preserve"> PAGEREF _Toc235706769 \h </w:instrText>
      </w:r>
      <w:r>
        <w:rPr>
          <w:noProof/>
        </w:rPr>
      </w:r>
      <w:r>
        <w:rPr>
          <w:noProof/>
        </w:rPr>
        <w:fldChar w:fldCharType="separate"/>
      </w:r>
      <w:r>
        <w:rPr>
          <w:noProof/>
        </w:rPr>
        <w:t>12</w:t>
      </w:r>
      <w:r>
        <w:rPr>
          <w:noProof/>
        </w:rPr>
        <w:fldChar w:fldCharType="end"/>
      </w:r>
    </w:p>
    <w:p w14:paraId="36F93F52" w14:textId="42B47EBD" w:rsidR="00CB15DC" w:rsidRDefault="00CB15DC">
      <w:pPr>
        <w:pStyle w:val="TOC2"/>
        <w:rPr>
          <w:rFonts w:eastAsiaTheme="minorEastAsia" w:cstheme="minorBidi"/>
          <w:noProof/>
          <w:color w:val="auto"/>
          <w:kern w:val="2"/>
          <w:sz w:val="24"/>
          <w:lang w:eastAsia="en-AU"/>
          <w14:ligatures w14:val="standardContextual"/>
        </w:rPr>
      </w:pPr>
      <w:r>
        <w:rPr>
          <w:noProof/>
        </w:rPr>
        <w:t>What must be reported?</w:t>
      </w:r>
      <w:r>
        <w:rPr>
          <w:noProof/>
        </w:rPr>
        <w:tab/>
      </w:r>
      <w:r>
        <w:rPr>
          <w:noProof/>
        </w:rPr>
        <w:fldChar w:fldCharType="begin"/>
      </w:r>
      <w:r>
        <w:rPr>
          <w:noProof/>
        </w:rPr>
        <w:instrText xml:space="preserve"> PAGEREF _Toc235706770 \h </w:instrText>
      </w:r>
      <w:r>
        <w:rPr>
          <w:noProof/>
        </w:rPr>
      </w:r>
      <w:r>
        <w:rPr>
          <w:noProof/>
        </w:rPr>
        <w:fldChar w:fldCharType="separate"/>
      </w:r>
      <w:r>
        <w:rPr>
          <w:noProof/>
        </w:rPr>
        <w:t>13</w:t>
      </w:r>
      <w:r>
        <w:rPr>
          <w:noProof/>
        </w:rPr>
        <w:fldChar w:fldCharType="end"/>
      </w:r>
    </w:p>
    <w:p w14:paraId="12FEECA2" w14:textId="36B91CED" w:rsidR="00CB15DC" w:rsidRDefault="00CB15DC">
      <w:pPr>
        <w:pStyle w:val="TOC2"/>
        <w:rPr>
          <w:rFonts w:eastAsiaTheme="minorEastAsia" w:cstheme="minorBidi"/>
          <w:noProof/>
          <w:color w:val="auto"/>
          <w:kern w:val="2"/>
          <w:sz w:val="24"/>
          <w:lang w:eastAsia="en-AU"/>
          <w14:ligatures w14:val="standardContextual"/>
        </w:rPr>
      </w:pPr>
      <w:r>
        <w:rPr>
          <w:noProof/>
        </w:rPr>
        <w:t>How are percentage estimates calculated?</w:t>
      </w:r>
      <w:r>
        <w:rPr>
          <w:noProof/>
        </w:rPr>
        <w:tab/>
      </w:r>
      <w:r>
        <w:rPr>
          <w:noProof/>
        </w:rPr>
        <w:fldChar w:fldCharType="begin"/>
      </w:r>
      <w:r>
        <w:rPr>
          <w:noProof/>
        </w:rPr>
        <w:instrText xml:space="preserve"> PAGEREF _Toc235706771 \h </w:instrText>
      </w:r>
      <w:r>
        <w:rPr>
          <w:noProof/>
        </w:rPr>
      </w:r>
      <w:r>
        <w:rPr>
          <w:noProof/>
        </w:rPr>
        <w:fldChar w:fldCharType="separate"/>
      </w:r>
      <w:r>
        <w:rPr>
          <w:noProof/>
        </w:rPr>
        <w:t>13</w:t>
      </w:r>
      <w:r>
        <w:rPr>
          <w:noProof/>
        </w:rPr>
        <w:fldChar w:fldCharType="end"/>
      </w:r>
    </w:p>
    <w:p w14:paraId="58C8AD09" w14:textId="2C128AB3" w:rsidR="00CB15DC" w:rsidRDefault="00CB15DC">
      <w:pPr>
        <w:pStyle w:val="TOC2"/>
        <w:rPr>
          <w:rFonts w:eastAsiaTheme="minorEastAsia" w:cstheme="minorBidi"/>
          <w:noProof/>
          <w:color w:val="auto"/>
          <w:kern w:val="2"/>
          <w:sz w:val="24"/>
          <w:lang w:eastAsia="en-AU"/>
          <w14:ligatures w14:val="standardContextual"/>
        </w:rPr>
      </w:pPr>
      <w:r>
        <w:rPr>
          <w:noProof/>
        </w:rPr>
        <w:t>Making percentage estimates</w:t>
      </w:r>
      <w:r>
        <w:rPr>
          <w:noProof/>
        </w:rPr>
        <w:tab/>
      </w:r>
      <w:r>
        <w:rPr>
          <w:noProof/>
        </w:rPr>
        <w:fldChar w:fldCharType="begin"/>
      </w:r>
      <w:r>
        <w:rPr>
          <w:noProof/>
        </w:rPr>
        <w:instrText xml:space="preserve"> PAGEREF _Toc235706772 \h </w:instrText>
      </w:r>
      <w:r>
        <w:rPr>
          <w:noProof/>
        </w:rPr>
      </w:r>
      <w:r>
        <w:rPr>
          <w:noProof/>
        </w:rPr>
        <w:fldChar w:fldCharType="separate"/>
      </w:r>
      <w:r>
        <w:rPr>
          <w:noProof/>
        </w:rPr>
        <w:t>15</w:t>
      </w:r>
      <w:r>
        <w:rPr>
          <w:noProof/>
        </w:rPr>
        <w:fldChar w:fldCharType="end"/>
      </w:r>
    </w:p>
    <w:p w14:paraId="25A3163A" w14:textId="1C3F6FF2" w:rsidR="00CB15DC" w:rsidRDefault="00CB15DC">
      <w:pPr>
        <w:pStyle w:val="TOC3"/>
        <w:rPr>
          <w:rFonts w:eastAsiaTheme="minorEastAsia" w:cstheme="minorBidi"/>
          <w:noProof/>
          <w:color w:val="auto"/>
          <w:kern w:val="2"/>
          <w:sz w:val="24"/>
          <w:lang w:eastAsia="en-AU"/>
          <w14:ligatures w14:val="standardContextual"/>
        </w:rPr>
      </w:pPr>
      <w:r>
        <w:rPr>
          <w:noProof/>
        </w:rPr>
        <w:t>Example of method</w:t>
      </w:r>
      <w:r>
        <w:rPr>
          <w:noProof/>
        </w:rPr>
        <w:tab/>
      </w:r>
      <w:r>
        <w:rPr>
          <w:noProof/>
        </w:rPr>
        <w:fldChar w:fldCharType="begin"/>
      </w:r>
      <w:r>
        <w:rPr>
          <w:noProof/>
        </w:rPr>
        <w:instrText xml:space="preserve"> PAGEREF _Toc235706773 \h </w:instrText>
      </w:r>
      <w:r>
        <w:rPr>
          <w:noProof/>
        </w:rPr>
      </w:r>
      <w:r>
        <w:rPr>
          <w:noProof/>
        </w:rPr>
        <w:fldChar w:fldCharType="separate"/>
      </w:r>
      <w:r>
        <w:rPr>
          <w:noProof/>
        </w:rPr>
        <w:t>15</w:t>
      </w:r>
      <w:r>
        <w:rPr>
          <w:noProof/>
        </w:rPr>
        <w:fldChar w:fldCharType="end"/>
      </w:r>
    </w:p>
    <w:p w14:paraId="7C986E62" w14:textId="144AF043" w:rsidR="00CB15DC" w:rsidRDefault="00CB15DC">
      <w:pPr>
        <w:pStyle w:val="TOC2"/>
        <w:rPr>
          <w:rFonts w:eastAsiaTheme="minorEastAsia" w:cstheme="minorBidi"/>
          <w:noProof/>
          <w:color w:val="auto"/>
          <w:kern w:val="2"/>
          <w:sz w:val="24"/>
          <w:lang w:eastAsia="en-AU"/>
          <w14:ligatures w14:val="standardContextual"/>
        </w:rPr>
      </w:pPr>
      <w:r>
        <w:rPr>
          <w:noProof/>
        </w:rPr>
        <w:t>Record keeping</w:t>
      </w:r>
      <w:r>
        <w:rPr>
          <w:noProof/>
        </w:rPr>
        <w:tab/>
      </w:r>
      <w:r>
        <w:rPr>
          <w:noProof/>
        </w:rPr>
        <w:fldChar w:fldCharType="begin"/>
      </w:r>
      <w:r>
        <w:rPr>
          <w:noProof/>
        </w:rPr>
        <w:instrText xml:space="preserve"> PAGEREF _Toc235706774 \h </w:instrText>
      </w:r>
      <w:r>
        <w:rPr>
          <w:noProof/>
        </w:rPr>
      </w:r>
      <w:r>
        <w:rPr>
          <w:noProof/>
        </w:rPr>
        <w:fldChar w:fldCharType="separate"/>
      </w:r>
      <w:r>
        <w:rPr>
          <w:noProof/>
        </w:rPr>
        <w:t>16</w:t>
      </w:r>
      <w:r>
        <w:rPr>
          <w:noProof/>
        </w:rPr>
        <w:fldChar w:fldCharType="end"/>
      </w:r>
    </w:p>
    <w:p w14:paraId="7ECF9218" w14:textId="25AE2F26" w:rsidR="00CB15DC" w:rsidRDefault="00CB15DC">
      <w:pPr>
        <w:pStyle w:val="TOC1"/>
        <w:rPr>
          <w:rFonts w:eastAsiaTheme="minorEastAsia" w:cstheme="minorBidi"/>
          <w:b w:val="0"/>
          <w:noProof/>
          <w:color w:val="auto"/>
          <w:kern w:val="2"/>
          <w:sz w:val="24"/>
          <w:lang w:eastAsia="en-AU"/>
          <w14:ligatures w14:val="standardContextual"/>
        </w:rPr>
      </w:pPr>
      <w:r>
        <w:rPr>
          <w:noProof/>
        </w:rPr>
        <w:t>Incidental reporting</w:t>
      </w:r>
      <w:r>
        <w:rPr>
          <w:noProof/>
        </w:rPr>
        <w:tab/>
      </w:r>
      <w:r>
        <w:rPr>
          <w:noProof/>
        </w:rPr>
        <w:fldChar w:fldCharType="begin"/>
      </w:r>
      <w:r>
        <w:rPr>
          <w:noProof/>
        </w:rPr>
        <w:instrText xml:space="preserve"> PAGEREF _Toc235706775 \h </w:instrText>
      </w:r>
      <w:r>
        <w:rPr>
          <w:noProof/>
        </w:rPr>
      </w:r>
      <w:r>
        <w:rPr>
          <w:noProof/>
        </w:rPr>
        <w:fldChar w:fldCharType="separate"/>
      </w:r>
      <w:r>
        <w:rPr>
          <w:noProof/>
        </w:rPr>
        <w:t>16</w:t>
      </w:r>
      <w:r>
        <w:rPr>
          <w:noProof/>
        </w:rPr>
        <w:fldChar w:fldCharType="end"/>
      </w:r>
    </w:p>
    <w:p w14:paraId="7C24A384" w14:textId="6FEBBDC4" w:rsidR="00CB15DC" w:rsidRDefault="00CB15DC">
      <w:pPr>
        <w:pStyle w:val="TOC2"/>
        <w:rPr>
          <w:rFonts w:eastAsiaTheme="minorEastAsia" w:cstheme="minorBidi"/>
          <w:noProof/>
          <w:color w:val="auto"/>
          <w:kern w:val="2"/>
          <w:sz w:val="24"/>
          <w:lang w:eastAsia="en-AU"/>
          <w14:ligatures w14:val="standardContextual"/>
        </w:rPr>
      </w:pPr>
      <w:r>
        <w:rPr>
          <w:noProof/>
        </w:rPr>
        <w:t>What are incidental emissions and energy?</w:t>
      </w:r>
      <w:r>
        <w:rPr>
          <w:noProof/>
        </w:rPr>
        <w:tab/>
      </w:r>
      <w:r>
        <w:rPr>
          <w:noProof/>
        </w:rPr>
        <w:fldChar w:fldCharType="begin"/>
      </w:r>
      <w:r>
        <w:rPr>
          <w:noProof/>
        </w:rPr>
        <w:instrText xml:space="preserve"> PAGEREF _Toc235706776 \h </w:instrText>
      </w:r>
      <w:r>
        <w:rPr>
          <w:noProof/>
        </w:rPr>
      </w:r>
      <w:r>
        <w:rPr>
          <w:noProof/>
        </w:rPr>
        <w:fldChar w:fldCharType="separate"/>
      </w:r>
      <w:r>
        <w:rPr>
          <w:noProof/>
        </w:rPr>
        <w:t>16</w:t>
      </w:r>
      <w:r>
        <w:rPr>
          <w:noProof/>
        </w:rPr>
        <w:fldChar w:fldCharType="end"/>
      </w:r>
    </w:p>
    <w:p w14:paraId="24A20873" w14:textId="31B9C9D7" w:rsidR="00CB15DC" w:rsidRDefault="00CB15DC">
      <w:pPr>
        <w:pStyle w:val="TOC2"/>
        <w:rPr>
          <w:rFonts w:eastAsiaTheme="minorEastAsia" w:cstheme="minorBidi"/>
          <w:noProof/>
          <w:color w:val="auto"/>
          <w:kern w:val="2"/>
          <w:sz w:val="24"/>
          <w:lang w:eastAsia="en-AU"/>
          <w14:ligatures w14:val="standardContextual"/>
        </w:rPr>
      </w:pPr>
      <w:r>
        <w:rPr>
          <w:noProof/>
        </w:rPr>
        <w:t>When are sources incidental?</w:t>
      </w:r>
      <w:r>
        <w:rPr>
          <w:noProof/>
        </w:rPr>
        <w:tab/>
      </w:r>
      <w:r>
        <w:rPr>
          <w:noProof/>
        </w:rPr>
        <w:fldChar w:fldCharType="begin"/>
      </w:r>
      <w:r>
        <w:rPr>
          <w:noProof/>
        </w:rPr>
        <w:instrText xml:space="preserve"> PAGEREF _Toc235706777 \h </w:instrText>
      </w:r>
      <w:r>
        <w:rPr>
          <w:noProof/>
        </w:rPr>
      </w:r>
      <w:r>
        <w:rPr>
          <w:noProof/>
        </w:rPr>
        <w:fldChar w:fldCharType="separate"/>
      </w:r>
      <w:r>
        <w:rPr>
          <w:noProof/>
        </w:rPr>
        <w:t>17</w:t>
      </w:r>
      <w:r>
        <w:rPr>
          <w:noProof/>
        </w:rPr>
        <w:fldChar w:fldCharType="end"/>
      </w:r>
    </w:p>
    <w:p w14:paraId="772AE33D" w14:textId="5326D871" w:rsidR="00CB15DC" w:rsidRDefault="00CB15DC">
      <w:pPr>
        <w:pStyle w:val="TOC2"/>
        <w:rPr>
          <w:rFonts w:eastAsiaTheme="minorEastAsia" w:cstheme="minorBidi"/>
          <w:noProof/>
          <w:color w:val="auto"/>
          <w:kern w:val="2"/>
          <w:sz w:val="24"/>
          <w:lang w:eastAsia="en-AU"/>
          <w14:ligatures w14:val="standardContextual"/>
        </w:rPr>
      </w:pPr>
      <w:r>
        <w:rPr>
          <w:noProof/>
        </w:rPr>
        <w:t>What must be reported?</w:t>
      </w:r>
      <w:r>
        <w:rPr>
          <w:noProof/>
        </w:rPr>
        <w:tab/>
      </w:r>
      <w:r>
        <w:rPr>
          <w:noProof/>
        </w:rPr>
        <w:fldChar w:fldCharType="begin"/>
      </w:r>
      <w:r>
        <w:rPr>
          <w:noProof/>
        </w:rPr>
        <w:instrText xml:space="preserve"> PAGEREF _Toc235706778 \h </w:instrText>
      </w:r>
      <w:r>
        <w:rPr>
          <w:noProof/>
        </w:rPr>
      </w:r>
      <w:r>
        <w:rPr>
          <w:noProof/>
        </w:rPr>
        <w:fldChar w:fldCharType="separate"/>
      </w:r>
      <w:r>
        <w:rPr>
          <w:noProof/>
        </w:rPr>
        <w:t>18</w:t>
      </w:r>
      <w:r>
        <w:rPr>
          <w:noProof/>
        </w:rPr>
        <w:fldChar w:fldCharType="end"/>
      </w:r>
    </w:p>
    <w:p w14:paraId="435C9598" w14:textId="0320748B" w:rsidR="00CB15DC" w:rsidRDefault="00CB15DC">
      <w:pPr>
        <w:pStyle w:val="TOC2"/>
        <w:rPr>
          <w:rFonts w:eastAsiaTheme="minorEastAsia" w:cstheme="minorBidi"/>
          <w:noProof/>
          <w:color w:val="auto"/>
          <w:kern w:val="2"/>
          <w:sz w:val="24"/>
          <w:lang w:eastAsia="en-AU"/>
          <w14:ligatures w14:val="standardContextual"/>
        </w:rPr>
      </w:pPr>
      <w:r>
        <w:rPr>
          <w:noProof/>
        </w:rPr>
        <w:t>Incidental reporting in EERS</w:t>
      </w:r>
      <w:r>
        <w:rPr>
          <w:noProof/>
        </w:rPr>
        <w:tab/>
      </w:r>
      <w:r>
        <w:rPr>
          <w:noProof/>
        </w:rPr>
        <w:fldChar w:fldCharType="begin"/>
      </w:r>
      <w:r>
        <w:rPr>
          <w:noProof/>
        </w:rPr>
        <w:instrText xml:space="preserve"> PAGEREF _Toc235706779 \h </w:instrText>
      </w:r>
      <w:r>
        <w:rPr>
          <w:noProof/>
        </w:rPr>
      </w:r>
      <w:r>
        <w:rPr>
          <w:noProof/>
        </w:rPr>
        <w:fldChar w:fldCharType="separate"/>
      </w:r>
      <w:r>
        <w:rPr>
          <w:noProof/>
        </w:rPr>
        <w:t>18</w:t>
      </w:r>
      <w:r>
        <w:rPr>
          <w:noProof/>
        </w:rPr>
        <w:fldChar w:fldCharType="end"/>
      </w:r>
    </w:p>
    <w:p w14:paraId="51E3BA90" w14:textId="655B6EB5" w:rsidR="00CB15DC" w:rsidRDefault="00CB15DC">
      <w:pPr>
        <w:pStyle w:val="TOC2"/>
        <w:rPr>
          <w:rFonts w:eastAsiaTheme="minorEastAsia" w:cstheme="minorBidi"/>
          <w:noProof/>
          <w:color w:val="auto"/>
          <w:kern w:val="2"/>
          <w:sz w:val="24"/>
          <w:lang w:eastAsia="en-AU"/>
          <w14:ligatures w14:val="standardContextual"/>
        </w:rPr>
      </w:pPr>
      <w:r>
        <w:rPr>
          <w:noProof/>
        </w:rPr>
        <w:t>Measuring emissions and energy from incidental sources</w:t>
      </w:r>
      <w:r>
        <w:rPr>
          <w:noProof/>
        </w:rPr>
        <w:tab/>
      </w:r>
      <w:r>
        <w:rPr>
          <w:noProof/>
        </w:rPr>
        <w:fldChar w:fldCharType="begin"/>
      </w:r>
      <w:r>
        <w:rPr>
          <w:noProof/>
        </w:rPr>
        <w:instrText xml:space="preserve"> PAGEREF _Toc235706780 \h </w:instrText>
      </w:r>
      <w:r>
        <w:rPr>
          <w:noProof/>
        </w:rPr>
      </w:r>
      <w:r>
        <w:rPr>
          <w:noProof/>
        </w:rPr>
        <w:fldChar w:fldCharType="separate"/>
      </w:r>
      <w:r>
        <w:rPr>
          <w:noProof/>
        </w:rPr>
        <w:t>18</w:t>
      </w:r>
      <w:r>
        <w:rPr>
          <w:noProof/>
        </w:rPr>
        <w:fldChar w:fldCharType="end"/>
      </w:r>
    </w:p>
    <w:p w14:paraId="2879180E" w14:textId="139AB279" w:rsidR="00CB15DC" w:rsidRDefault="00CB15DC">
      <w:pPr>
        <w:pStyle w:val="TOC3"/>
        <w:rPr>
          <w:rFonts w:eastAsiaTheme="minorEastAsia" w:cstheme="minorBidi"/>
          <w:noProof/>
          <w:color w:val="auto"/>
          <w:kern w:val="2"/>
          <w:sz w:val="24"/>
          <w:lang w:eastAsia="en-AU"/>
          <w14:ligatures w14:val="standardContextual"/>
        </w:rPr>
      </w:pPr>
      <w:r>
        <w:rPr>
          <w:noProof/>
        </w:rPr>
        <w:t>Example of method</w:t>
      </w:r>
      <w:r>
        <w:rPr>
          <w:noProof/>
        </w:rPr>
        <w:tab/>
      </w:r>
      <w:r>
        <w:rPr>
          <w:noProof/>
        </w:rPr>
        <w:fldChar w:fldCharType="begin"/>
      </w:r>
      <w:r>
        <w:rPr>
          <w:noProof/>
        </w:rPr>
        <w:instrText xml:space="preserve"> PAGEREF _Toc235706781 \h </w:instrText>
      </w:r>
      <w:r>
        <w:rPr>
          <w:noProof/>
        </w:rPr>
      </w:r>
      <w:r>
        <w:rPr>
          <w:noProof/>
        </w:rPr>
        <w:fldChar w:fldCharType="separate"/>
      </w:r>
      <w:r>
        <w:rPr>
          <w:noProof/>
        </w:rPr>
        <w:t>19</w:t>
      </w:r>
      <w:r>
        <w:rPr>
          <w:noProof/>
        </w:rPr>
        <w:fldChar w:fldCharType="end"/>
      </w:r>
    </w:p>
    <w:p w14:paraId="489CA096" w14:textId="72838356" w:rsidR="00CB15DC" w:rsidRDefault="00CB15DC">
      <w:pPr>
        <w:pStyle w:val="TOC2"/>
        <w:rPr>
          <w:rFonts w:eastAsiaTheme="minorEastAsia" w:cstheme="minorBidi"/>
          <w:noProof/>
          <w:color w:val="auto"/>
          <w:kern w:val="2"/>
          <w:sz w:val="24"/>
          <w:lang w:eastAsia="en-AU"/>
          <w14:ligatures w14:val="standardContextual"/>
        </w:rPr>
      </w:pPr>
      <w:r>
        <w:rPr>
          <w:noProof/>
        </w:rPr>
        <w:t>Record keeping</w:t>
      </w:r>
      <w:r>
        <w:rPr>
          <w:noProof/>
        </w:rPr>
        <w:tab/>
      </w:r>
      <w:r>
        <w:rPr>
          <w:noProof/>
        </w:rPr>
        <w:fldChar w:fldCharType="begin"/>
      </w:r>
      <w:r>
        <w:rPr>
          <w:noProof/>
        </w:rPr>
        <w:instrText xml:space="preserve"> PAGEREF _Toc235706782 \h </w:instrText>
      </w:r>
      <w:r>
        <w:rPr>
          <w:noProof/>
        </w:rPr>
      </w:r>
      <w:r>
        <w:rPr>
          <w:noProof/>
        </w:rPr>
        <w:fldChar w:fldCharType="separate"/>
      </w:r>
      <w:r>
        <w:rPr>
          <w:noProof/>
        </w:rPr>
        <w:t>20</w:t>
      </w:r>
      <w:r>
        <w:rPr>
          <w:noProof/>
        </w:rPr>
        <w:fldChar w:fldCharType="end"/>
      </w:r>
    </w:p>
    <w:p w14:paraId="3BC9699E" w14:textId="073C0FAB" w:rsidR="00CB15DC" w:rsidRDefault="00CB15DC">
      <w:pPr>
        <w:pStyle w:val="TOC1"/>
        <w:rPr>
          <w:rFonts w:eastAsiaTheme="minorEastAsia" w:cstheme="minorBidi"/>
          <w:b w:val="0"/>
          <w:noProof/>
          <w:color w:val="auto"/>
          <w:kern w:val="2"/>
          <w:sz w:val="24"/>
          <w:lang w:eastAsia="en-AU"/>
          <w14:ligatures w14:val="standardContextual"/>
        </w:rPr>
      </w:pPr>
      <w:r>
        <w:rPr>
          <w:noProof/>
        </w:rPr>
        <w:t>Optional reporting of small amounts of fuel combustion and electricity consumption</w:t>
      </w:r>
      <w:r>
        <w:rPr>
          <w:noProof/>
        </w:rPr>
        <w:tab/>
      </w:r>
      <w:r>
        <w:rPr>
          <w:noProof/>
        </w:rPr>
        <w:fldChar w:fldCharType="begin"/>
      </w:r>
      <w:r>
        <w:rPr>
          <w:noProof/>
        </w:rPr>
        <w:instrText xml:space="preserve"> PAGEREF _Toc235706783 \h </w:instrText>
      </w:r>
      <w:r>
        <w:rPr>
          <w:noProof/>
        </w:rPr>
      </w:r>
      <w:r>
        <w:rPr>
          <w:noProof/>
        </w:rPr>
        <w:fldChar w:fldCharType="separate"/>
      </w:r>
      <w:r>
        <w:rPr>
          <w:noProof/>
        </w:rPr>
        <w:t>20</w:t>
      </w:r>
      <w:r>
        <w:rPr>
          <w:noProof/>
        </w:rPr>
        <w:fldChar w:fldCharType="end"/>
      </w:r>
    </w:p>
    <w:p w14:paraId="38E5A50C" w14:textId="5DD0966F" w:rsidR="00CB15DC" w:rsidRDefault="00CB15DC">
      <w:pPr>
        <w:pStyle w:val="TOC2"/>
        <w:rPr>
          <w:rFonts w:eastAsiaTheme="minorEastAsia" w:cstheme="minorBidi"/>
          <w:noProof/>
          <w:color w:val="auto"/>
          <w:kern w:val="2"/>
          <w:sz w:val="24"/>
          <w:lang w:eastAsia="en-AU"/>
          <w14:ligatures w14:val="standardContextual"/>
        </w:rPr>
      </w:pPr>
      <w:r>
        <w:rPr>
          <w:noProof/>
        </w:rPr>
        <w:t>Small amounts of fuel combustion</w:t>
      </w:r>
      <w:r>
        <w:rPr>
          <w:noProof/>
        </w:rPr>
        <w:tab/>
      </w:r>
      <w:r>
        <w:rPr>
          <w:noProof/>
        </w:rPr>
        <w:fldChar w:fldCharType="begin"/>
      </w:r>
      <w:r>
        <w:rPr>
          <w:noProof/>
        </w:rPr>
        <w:instrText xml:space="preserve"> PAGEREF _Toc235706784 \h </w:instrText>
      </w:r>
      <w:r>
        <w:rPr>
          <w:noProof/>
        </w:rPr>
      </w:r>
      <w:r>
        <w:rPr>
          <w:noProof/>
        </w:rPr>
        <w:fldChar w:fldCharType="separate"/>
      </w:r>
      <w:r>
        <w:rPr>
          <w:noProof/>
        </w:rPr>
        <w:t>20</w:t>
      </w:r>
      <w:r>
        <w:rPr>
          <w:noProof/>
        </w:rPr>
        <w:fldChar w:fldCharType="end"/>
      </w:r>
    </w:p>
    <w:p w14:paraId="5CF97E3F" w14:textId="6A3E6631" w:rsidR="00CB15DC" w:rsidRDefault="00CB15DC">
      <w:pPr>
        <w:pStyle w:val="TOC2"/>
        <w:rPr>
          <w:rFonts w:eastAsiaTheme="minorEastAsia" w:cstheme="minorBidi"/>
          <w:noProof/>
          <w:color w:val="auto"/>
          <w:kern w:val="2"/>
          <w:sz w:val="24"/>
          <w:lang w:eastAsia="en-AU"/>
          <w14:ligatures w14:val="standardContextual"/>
        </w:rPr>
      </w:pPr>
      <w:r>
        <w:rPr>
          <w:noProof/>
        </w:rPr>
        <w:t>Small amounts of electricity consumption</w:t>
      </w:r>
      <w:r>
        <w:rPr>
          <w:noProof/>
        </w:rPr>
        <w:tab/>
      </w:r>
      <w:r>
        <w:rPr>
          <w:noProof/>
        </w:rPr>
        <w:fldChar w:fldCharType="begin"/>
      </w:r>
      <w:r>
        <w:rPr>
          <w:noProof/>
        </w:rPr>
        <w:instrText xml:space="preserve"> PAGEREF _Toc235706785 \h </w:instrText>
      </w:r>
      <w:r>
        <w:rPr>
          <w:noProof/>
        </w:rPr>
      </w:r>
      <w:r>
        <w:rPr>
          <w:noProof/>
        </w:rPr>
        <w:fldChar w:fldCharType="separate"/>
      </w:r>
      <w:r>
        <w:rPr>
          <w:noProof/>
        </w:rPr>
        <w:t>21</w:t>
      </w:r>
      <w:r>
        <w:rPr>
          <w:noProof/>
        </w:rPr>
        <w:fldChar w:fldCharType="end"/>
      </w:r>
    </w:p>
    <w:p w14:paraId="6A6D1C43" w14:textId="07EA9E4C" w:rsidR="00CB15DC" w:rsidRDefault="00CB15DC">
      <w:pPr>
        <w:pStyle w:val="TOC1"/>
        <w:rPr>
          <w:rFonts w:eastAsiaTheme="minorEastAsia" w:cstheme="minorBidi"/>
          <w:b w:val="0"/>
          <w:noProof/>
          <w:color w:val="auto"/>
          <w:kern w:val="2"/>
          <w:sz w:val="24"/>
          <w:lang w:eastAsia="en-AU"/>
          <w14:ligatures w14:val="standardContextual"/>
        </w:rPr>
      </w:pPr>
      <w:r>
        <w:rPr>
          <w:noProof/>
        </w:rPr>
        <w:t>More information</w:t>
      </w:r>
      <w:r>
        <w:rPr>
          <w:noProof/>
        </w:rPr>
        <w:tab/>
      </w:r>
      <w:r>
        <w:rPr>
          <w:noProof/>
        </w:rPr>
        <w:fldChar w:fldCharType="begin"/>
      </w:r>
      <w:r>
        <w:rPr>
          <w:noProof/>
        </w:rPr>
        <w:instrText xml:space="preserve"> PAGEREF _Toc235706786 \h </w:instrText>
      </w:r>
      <w:r>
        <w:rPr>
          <w:noProof/>
        </w:rPr>
      </w:r>
      <w:r>
        <w:rPr>
          <w:noProof/>
        </w:rPr>
        <w:fldChar w:fldCharType="separate"/>
      </w:r>
      <w:r>
        <w:rPr>
          <w:noProof/>
        </w:rPr>
        <w:t>21</w:t>
      </w:r>
      <w:r>
        <w:rPr>
          <w:noProof/>
        </w:rPr>
        <w:fldChar w:fldCharType="end"/>
      </w:r>
    </w:p>
    <w:p w14:paraId="6A75B548" w14:textId="76E22D53" w:rsidR="00235142" w:rsidRDefault="00235142" w:rsidP="00235142">
      <w:r>
        <w:fldChar w:fldCharType="end"/>
      </w:r>
    </w:p>
    <w:p w14:paraId="2E2C9571" w14:textId="44DBA808" w:rsidR="00C034A0" w:rsidRPr="00FF338C" w:rsidRDefault="00235142" w:rsidP="00C034A0">
      <w:pPr>
        <w:pStyle w:val="Heading1"/>
        <w:rPr>
          <w:lang w:val="en-GB"/>
        </w:rPr>
      </w:pPr>
      <w:r>
        <w:br w:type="page"/>
      </w:r>
      <w:bookmarkStart w:id="5" w:name="_Toc44419001"/>
      <w:bookmarkStart w:id="6" w:name="_Toc76039481"/>
      <w:bookmarkStart w:id="7" w:name="_Toc424883864"/>
      <w:bookmarkStart w:id="8" w:name="_Toc235706755"/>
      <w:bookmarkEnd w:id="3"/>
      <w:bookmarkEnd w:id="4"/>
      <w:r w:rsidR="00C034A0">
        <w:rPr>
          <w:lang w:val="en-GB"/>
        </w:rPr>
        <w:lastRenderedPageBreak/>
        <w:t>D</w:t>
      </w:r>
      <w:r w:rsidR="00C034A0" w:rsidRPr="00FF338C">
        <w:rPr>
          <w:lang w:val="en-GB"/>
        </w:rPr>
        <w:t xml:space="preserve">efinitions </w:t>
      </w:r>
      <w:r w:rsidR="00C034A0">
        <w:rPr>
          <w:lang w:val="en-GB"/>
        </w:rPr>
        <w:t>and a</w:t>
      </w:r>
      <w:r w:rsidR="00C034A0" w:rsidRPr="00FF338C">
        <w:rPr>
          <w:lang w:val="en-GB"/>
        </w:rPr>
        <w:t>bbreviation</w:t>
      </w:r>
      <w:r w:rsidR="00C034A0">
        <w:rPr>
          <w:lang w:val="en-GB"/>
        </w:rPr>
        <w:t>s</w:t>
      </w:r>
      <w:bookmarkEnd w:id="5"/>
      <w:bookmarkEnd w:id="6"/>
      <w:bookmarkEnd w:id="8"/>
      <w:r w:rsidR="00C034A0" w:rsidRPr="00FF338C">
        <w:rPr>
          <w:lang w:val="en-GB"/>
        </w:rPr>
        <w:t xml:space="preserve"> </w:t>
      </w:r>
    </w:p>
    <w:tbl>
      <w:tblPr>
        <w:tblStyle w:val="CERTable"/>
        <w:tblW w:w="0" w:type="auto"/>
        <w:tblLook w:val="04A0" w:firstRow="1" w:lastRow="0" w:firstColumn="1" w:lastColumn="0" w:noHBand="0" w:noVBand="1"/>
      </w:tblPr>
      <w:tblGrid>
        <w:gridCol w:w="2507"/>
        <w:gridCol w:w="7228"/>
      </w:tblGrid>
      <w:tr w:rsidR="00C034A0" w:rsidRPr="00FF338C" w14:paraId="23FF43F7" w14:textId="77777777" w:rsidTr="004C61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7" w:type="dxa"/>
          </w:tcPr>
          <w:p w14:paraId="7F6DCF36" w14:textId="77777777" w:rsidR="00C034A0" w:rsidRPr="00FF338C" w:rsidRDefault="00C034A0" w:rsidP="003148D2">
            <w:r w:rsidRPr="00FF338C">
              <w:t>Term</w:t>
            </w:r>
          </w:p>
        </w:tc>
        <w:tc>
          <w:tcPr>
            <w:tcW w:w="7228" w:type="dxa"/>
          </w:tcPr>
          <w:p w14:paraId="32B34F8B" w14:textId="77777777" w:rsidR="00C034A0" w:rsidRPr="00FF338C" w:rsidRDefault="00C034A0" w:rsidP="003148D2">
            <w:pPr>
              <w:cnfStyle w:val="100000000000" w:firstRow="1" w:lastRow="0" w:firstColumn="0" w:lastColumn="0" w:oddVBand="0" w:evenVBand="0" w:oddHBand="0" w:evenHBand="0" w:firstRowFirstColumn="0" w:firstRowLastColumn="0" w:lastRowFirstColumn="0" w:lastRowLastColumn="0"/>
            </w:pPr>
            <w:r w:rsidRPr="00FF338C">
              <w:t>Meaning</w:t>
            </w:r>
          </w:p>
        </w:tc>
      </w:tr>
      <w:tr w:rsidR="00C034A0" w:rsidRPr="00FF338C" w14:paraId="433C82CC" w14:textId="77777777" w:rsidTr="004C61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7" w:type="dxa"/>
          </w:tcPr>
          <w:p w14:paraId="12DF249D" w14:textId="77777777" w:rsidR="00C034A0" w:rsidRPr="00FF338C" w:rsidRDefault="00C034A0" w:rsidP="003148D2">
            <w:r w:rsidRPr="00FF338C">
              <w:t>ANZSIC</w:t>
            </w:r>
          </w:p>
        </w:tc>
        <w:tc>
          <w:tcPr>
            <w:tcW w:w="7228" w:type="dxa"/>
          </w:tcPr>
          <w:p w14:paraId="158C5243" w14:textId="77777777" w:rsidR="00C034A0" w:rsidRPr="00FF338C" w:rsidRDefault="00C034A0" w:rsidP="003148D2">
            <w:pPr>
              <w:cnfStyle w:val="000000100000" w:firstRow="0" w:lastRow="0" w:firstColumn="0" w:lastColumn="0" w:oddVBand="0" w:evenVBand="0" w:oddHBand="1" w:evenHBand="0" w:firstRowFirstColumn="0" w:firstRowLastColumn="0" w:lastRowFirstColumn="0" w:lastRowLastColumn="0"/>
            </w:pPr>
            <w:r w:rsidRPr="00FF338C">
              <w:t>Australian and New Zealand Standard Industrial Classification</w:t>
            </w:r>
          </w:p>
        </w:tc>
      </w:tr>
      <w:tr w:rsidR="00C034A0" w:rsidRPr="00FF338C" w14:paraId="50C12D19" w14:textId="77777777" w:rsidTr="004C61D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7" w:type="dxa"/>
          </w:tcPr>
          <w:p w14:paraId="03729744" w14:textId="77777777" w:rsidR="00C034A0" w:rsidRPr="00FF338C" w:rsidRDefault="00C034A0" w:rsidP="003148D2">
            <w:pPr>
              <w:spacing w:before="60" w:after="60"/>
            </w:pPr>
            <w:r>
              <w:t>EERS</w:t>
            </w:r>
          </w:p>
        </w:tc>
        <w:tc>
          <w:tcPr>
            <w:tcW w:w="7228" w:type="dxa"/>
          </w:tcPr>
          <w:p w14:paraId="5E21C64C" w14:textId="77777777" w:rsidR="00C034A0" w:rsidRDefault="00C034A0" w:rsidP="003148D2">
            <w:pPr>
              <w:spacing w:before="60" w:after="60"/>
              <w:cnfStyle w:val="000000010000" w:firstRow="0" w:lastRow="0" w:firstColumn="0" w:lastColumn="0" w:oddVBand="0" w:evenVBand="0" w:oddHBand="0" w:evenHBand="1" w:firstRowFirstColumn="0" w:firstRowLastColumn="0" w:lastRowFirstColumn="0" w:lastRowLastColumn="0"/>
            </w:pPr>
            <w:r>
              <w:t>Emissions and Energy Reporting System</w:t>
            </w:r>
          </w:p>
        </w:tc>
      </w:tr>
      <w:tr w:rsidR="0090780C" w:rsidRPr="00FF338C" w14:paraId="5945F059" w14:textId="77777777" w:rsidTr="004C61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7" w:type="dxa"/>
          </w:tcPr>
          <w:p w14:paraId="433EC033" w14:textId="5DD9CB19" w:rsidR="0090780C" w:rsidRDefault="00AD0E0D" w:rsidP="003148D2">
            <w:pPr>
              <w:spacing w:before="60" w:after="60"/>
            </w:pPr>
            <w:r>
              <w:t>Facility</w:t>
            </w:r>
          </w:p>
        </w:tc>
        <w:tc>
          <w:tcPr>
            <w:tcW w:w="7228" w:type="dxa"/>
          </w:tcPr>
          <w:p w14:paraId="59602A5C" w14:textId="31E1A522" w:rsidR="0090780C" w:rsidRDefault="00AD0E0D" w:rsidP="003148D2">
            <w:pPr>
              <w:spacing w:before="60" w:after="60"/>
              <w:cnfStyle w:val="000000100000" w:firstRow="0" w:lastRow="0" w:firstColumn="0" w:lastColumn="0" w:oddVBand="0" w:evenVBand="0" w:oddHBand="1" w:evenHBand="0" w:firstRowFirstColumn="0" w:firstRowLastColumn="0" w:lastRowFirstColumn="0" w:lastRowLastColumn="0"/>
            </w:pPr>
            <w:r>
              <w:t>Has the meaning given by section 9 of the</w:t>
            </w:r>
            <w:r w:rsidR="00D44F9B">
              <w:t xml:space="preserve"> NGER Act. For more information on defining a facility under the NGER </w:t>
            </w:r>
            <w:r w:rsidR="00D733BF">
              <w:t>S</w:t>
            </w:r>
            <w:r w:rsidR="00D44F9B">
              <w:t>che</w:t>
            </w:r>
            <w:r w:rsidR="006A151C">
              <w:t xml:space="preserve">me, see </w:t>
            </w:r>
            <w:hyperlink r:id="rId22" w:anchor="what-is-an-nger-facility" w:tooltip="A link to the Assess your obligations page of the Clean Energy Regulator website" w:history="1">
              <w:r w:rsidR="00F921F1">
                <w:rPr>
                  <w:rStyle w:val="Hyperlink"/>
                </w:rPr>
                <w:t>What is a Facility</w:t>
              </w:r>
              <w:r w:rsidR="00FA7139">
                <w:rPr>
                  <w:rStyle w:val="FootnoteReference"/>
                  <w:rFonts w:ascii="Calibri" w:hAnsi="Calibri"/>
                  <w:color w:val="006C93" w:themeColor="accent3"/>
                  <w:u w:val="single"/>
                </w:rPr>
                <w:footnoteReference w:id="2"/>
              </w:r>
            </w:hyperlink>
          </w:p>
        </w:tc>
      </w:tr>
      <w:tr w:rsidR="00C034A0" w:rsidRPr="00FF338C" w14:paraId="29120DA8" w14:textId="77777777" w:rsidTr="004C61D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7" w:type="dxa"/>
          </w:tcPr>
          <w:p w14:paraId="48368EDA" w14:textId="77777777" w:rsidR="00C034A0" w:rsidRPr="00FF338C" w:rsidRDefault="00C034A0" w:rsidP="003148D2">
            <w:r w:rsidRPr="00FF338C">
              <w:t>NGER</w:t>
            </w:r>
          </w:p>
        </w:tc>
        <w:tc>
          <w:tcPr>
            <w:tcW w:w="7228" w:type="dxa"/>
          </w:tcPr>
          <w:p w14:paraId="70132226" w14:textId="77777777" w:rsidR="00C034A0" w:rsidRPr="00FF338C" w:rsidRDefault="00C034A0" w:rsidP="003148D2">
            <w:pPr>
              <w:cnfStyle w:val="000000010000" w:firstRow="0" w:lastRow="0" w:firstColumn="0" w:lastColumn="0" w:oddVBand="0" w:evenVBand="0" w:oddHBand="0" w:evenHBand="1" w:firstRowFirstColumn="0" w:firstRowLastColumn="0" w:lastRowFirstColumn="0" w:lastRowLastColumn="0"/>
            </w:pPr>
            <w:r w:rsidRPr="00FF338C">
              <w:t>National Greenhouse and Energy Reporting</w:t>
            </w:r>
          </w:p>
        </w:tc>
      </w:tr>
      <w:tr w:rsidR="00C034A0" w:rsidRPr="00FF338C" w14:paraId="716455FD" w14:textId="77777777" w:rsidTr="004C61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7" w:type="dxa"/>
          </w:tcPr>
          <w:p w14:paraId="34A2B7A1" w14:textId="77777777" w:rsidR="00C034A0" w:rsidRPr="00FF338C" w:rsidRDefault="00C034A0" w:rsidP="003148D2">
            <w:r w:rsidRPr="00FF338C">
              <w:t>NGER Act</w:t>
            </w:r>
          </w:p>
        </w:tc>
        <w:tc>
          <w:tcPr>
            <w:tcW w:w="7228" w:type="dxa"/>
          </w:tcPr>
          <w:p w14:paraId="616B6DE8" w14:textId="77777777" w:rsidR="00C034A0" w:rsidRPr="00FF338C" w:rsidRDefault="00C034A0" w:rsidP="003148D2">
            <w:pPr>
              <w:cnfStyle w:val="000000100000" w:firstRow="0" w:lastRow="0" w:firstColumn="0" w:lastColumn="0" w:oddVBand="0" w:evenVBand="0" w:oddHBand="1" w:evenHBand="0" w:firstRowFirstColumn="0" w:firstRowLastColumn="0" w:lastRowFirstColumn="0" w:lastRowLastColumn="0"/>
              <w:rPr>
                <w:i/>
              </w:rPr>
            </w:pPr>
            <w:r w:rsidRPr="00FF338C">
              <w:rPr>
                <w:i/>
              </w:rPr>
              <w:t>National Greenhouse and Energy Reporting Act 2007</w:t>
            </w:r>
          </w:p>
        </w:tc>
      </w:tr>
      <w:tr w:rsidR="00C034A0" w:rsidRPr="00FF338C" w14:paraId="09965A7E" w14:textId="77777777" w:rsidTr="004C61D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7" w:type="dxa"/>
          </w:tcPr>
          <w:p w14:paraId="3143BCA7" w14:textId="77777777" w:rsidR="00C034A0" w:rsidRDefault="00C034A0" w:rsidP="003148D2">
            <w:r w:rsidRPr="00FF338C">
              <w:t>NGER legislation</w:t>
            </w:r>
          </w:p>
        </w:tc>
        <w:tc>
          <w:tcPr>
            <w:tcW w:w="7228" w:type="dxa"/>
          </w:tcPr>
          <w:p w14:paraId="0EA92252" w14:textId="77777777" w:rsidR="00C034A0" w:rsidRPr="00EB51E3" w:rsidRDefault="00C034A0" w:rsidP="003148D2">
            <w:pPr>
              <w:cnfStyle w:val="000000010000" w:firstRow="0" w:lastRow="0" w:firstColumn="0" w:lastColumn="0" w:oddVBand="0" w:evenVBand="0" w:oddHBand="0" w:evenHBand="1" w:firstRowFirstColumn="0" w:firstRowLastColumn="0" w:lastRowFirstColumn="0" w:lastRowLastColumn="0"/>
              <w:rPr>
                <w:i/>
              </w:rPr>
            </w:pPr>
            <w:r w:rsidRPr="00FF338C">
              <w:t xml:space="preserve">The NGER Act, the NGER Regulations and the </w:t>
            </w:r>
            <w:r>
              <w:t>NGER Measurement Determination</w:t>
            </w:r>
          </w:p>
        </w:tc>
      </w:tr>
      <w:tr w:rsidR="00C034A0" w:rsidRPr="00FF338C" w14:paraId="252788A6" w14:textId="77777777" w:rsidTr="004C61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7" w:type="dxa"/>
          </w:tcPr>
          <w:p w14:paraId="681A37D0" w14:textId="77777777" w:rsidR="00C034A0" w:rsidRPr="00FF338C" w:rsidRDefault="00C034A0" w:rsidP="003148D2">
            <w:r>
              <w:t>NGER Measurement Determination</w:t>
            </w:r>
          </w:p>
        </w:tc>
        <w:tc>
          <w:tcPr>
            <w:tcW w:w="7228" w:type="dxa"/>
          </w:tcPr>
          <w:p w14:paraId="50DC0E90" w14:textId="77777777" w:rsidR="00C034A0" w:rsidRPr="005029F0" w:rsidRDefault="00C034A0" w:rsidP="003148D2">
            <w:pPr>
              <w:cnfStyle w:val="000000100000" w:firstRow="0" w:lastRow="0" w:firstColumn="0" w:lastColumn="0" w:oddVBand="0" w:evenVBand="0" w:oddHBand="1" w:evenHBand="0" w:firstRowFirstColumn="0" w:firstRowLastColumn="0" w:lastRowFirstColumn="0" w:lastRowLastColumn="0"/>
            </w:pPr>
            <w:r w:rsidRPr="005029F0">
              <w:t>National Greenhouse and Energy Reporting (Measurement) Determination 2008</w:t>
            </w:r>
          </w:p>
        </w:tc>
      </w:tr>
      <w:tr w:rsidR="00C034A0" w:rsidRPr="00FF338C" w14:paraId="7539149A" w14:textId="77777777" w:rsidTr="004C61D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7" w:type="dxa"/>
          </w:tcPr>
          <w:p w14:paraId="78B21614" w14:textId="77777777" w:rsidR="00C034A0" w:rsidRPr="00FF338C" w:rsidRDefault="00C034A0" w:rsidP="003148D2">
            <w:r w:rsidRPr="00FF338C">
              <w:t>NGER Regulations</w:t>
            </w:r>
          </w:p>
        </w:tc>
        <w:tc>
          <w:tcPr>
            <w:tcW w:w="7228" w:type="dxa"/>
          </w:tcPr>
          <w:p w14:paraId="6305EBEF" w14:textId="77777777" w:rsidR="00C034A0" w:rsidRPr="005029F0" w:rsidRDefault="00C034A0" w:rsidP="003148D2">
            <w:pPr>
              <w:cnfStyle w:val="000000010000" w:firstRow="0" w:lastRow="0" w:firstColumn="0" w:lastColumn="0" w:oddVBand="0" w:evenVBand="0" w:oddHBand="0" w:evenHBand="1" w:firstRowFirstColumn="0" w:firstRowLastColumn="0" w:lastRowFirstColumn="0" w:lastRowLastColumn="0"/>
            </w:pPr>
            <w:r w:rsidRPr="005029F0">
              <w:t>National Greenhouse and Energy Reporting Regulations 2008</w:t>
            </w:r>
          </w:p>
        </w:tc>
      </w:tr>
    </w:tbl>
    <w:p w14:paraId="29D83D8D" w14:textId="77777777" w:rsidR="00C034A0" w:rsidRDefault="00C034A0" w:rsidP="00DE029E">
      <w:pPr>
        <w:rPr>
          <w:lang w:val="en-GB"/>
        </w:rPr>
      </w:pPr>
    </w:p>
    <w:p w14:paraId="363A2437" w14:textId="58C64825" w:rsidR="00F8076C" w:rsidRDefault="00F8076C" w:rsidP="00C034A0">
      <w:pPr>
        <w:spacing w:after="0"/>
        <w:rPr>
          <w:rStyle w:val="ui-provider"/>
        </w:rPr>
      </w:pPr>
    </w:p>
    <w:p w14:paraId="01A175FE" w14:textId="7BEEE440" w:rsidR="00F8076C" w:rsidRPr="00F8076C" w:rsidRDefault="00F8076C" w:rsidP="00F8076C">
      <w:pPr>
        <w:spacing w:after="0"/>
      </w:pPr>
      <w:r w:rsidRPr="00F8076C">
        <w:t xml:space="preserve">Terms in NGER legislation may have specific meanings within the law. These key words and phrases are normally identified under a heading such as Definitions, Interpretation or Dictionary or in other parts of the document. </w:t>
      </w:r>
      <w:r>
        <w:br/>
      </w:r>
    </w:p>
    <w:p w14:paraId="2A3850F7" w14:textId="71B25220" w:rsidR="00F8076C" w:rsidRPr="00F8076C" w:rsidRDefault="00F8076C" w:rsidP="00F8076C">
      <w:pPr>
        <w:spacing w:after="0"/>
      </w:pPr>
      <w:r w:rsidRPr="00F8076C">
        <w:t xml:space="preserve">For more information on interpreting legislation see </w:t>
      </w:r>
      <w:hyperlink r:id="rId23" w:tooltip="A link to the Australian Government site - Understanding Federal Legislation" w:history="1">
        <w:r w:rsidRPr="00F8076C">
          <w:rPr>
            <w:rStyle w:val="Hyperlink"/>
            <w:rFonts w:asciiTheme="minorHAnsi" w:hAnsiTheme="minorHAnsi"/>
          </w:rPr>
          <w:t>Federal Register of Legislation - Understanding Legislation</w:t>
        </w:r>
      </w:hyperlink>
      <w:r>
        <w:rPr>
          <w:rStyle w:val="FootnoteReference"/>
          <w:lang w:val="en-GB"/>
        </w:rPr>
        <w:footnoteReference w:id="3"/>
      </w:r>
      <w:r w:rsidRPr="00F8076C">
        <w:t>.</w:t>
      </w:r>
    </w:p>
    <w:p w14:paraId="67BE0963" w14:textId="1029FF77" w:rsidR="00C034A0" w:rsidRPr="00FA7139" w:rsidRDefault="00C034A0" w:rsidP="00C034A0">
      <w:pPr>
        <w:spacing w:after="0"/>
        <w:rPr>
          <w:lang w:val="en-GB"/>
        </w:rPr>
      </w:pPr>
      <w:r>
        <w:rPr>
          <w:lang w:val="en-GB"/>
        </w:rPr>
        <w:br w:type="page"/>
      </w:r>
    </w:p>
    <w:p w14:paraId="007AF987" w14:textId="77777777" w:rsidR="00C034A0" w:rsidRPr="00FF338C" w:rsidRDefault="00C034A0" w:rsidP="00C034A0">
      <w:pPr>
        <w:pStyle w:val="Heading1"/>
        <w:rPr>
          <w:lang w:val="en-GB"/>
        </w:rPr>
      </w:pPr>
      <w:bookmarkStart w:id="9" w:name="_Toc76039482"/>
      <w:bookmarkStart w:id="10" w:name="_Toc235706756"/>
      <w:r w:rsidRPr="00FF338C">
        <w:rPr>
          <w:lang w:val="en-GB"/>
        </w:rPr>
        <w:lastRenderedPageBreak/>
        <w:t>Disclaimer</w:t>
      </w:r>
      <w:bookmarkEnd w:id="9"/>
      <w:bookmarkEnd w:id="10"/>
    </w:p>
    <w:p w14:paraId="4C20E7BB" w14:textId="69C45419" w:rsidR="00C034A0" w:rsidRPr="000B3301" w:rsidRDefault="00C034A0" w:rsidP="00C034A0">
      <w:pPr>
        <w:autoSpaceDE w:val="0"/>
        <w:autoSpaceDN w:val="0"/>
        <w:adjustRightInd w:val="0"/>
        <w:rPr>
          <w:lang w:eastAsia="en-AU"/>
        </w:rPr>
      </w:pPr>
      <w:r w:rsidRPr="000B3301">
        <w:rPr>
          <w:lang w:eastAsia="en-AU"/>
        </w:rPr>
        <w:t>This</w:t>
      </w:r>
      <w:r w:rsidRPr="000B3301">
        <w:rPr>
          <w:i/>
          <w:iCs/>
          <w:lang w:eastAsia="en-AU"/>
        </w:rPr>
        <w:t xml:space="preserve"> </w:t>
      </w:r>
      <w:r w:rsidRPr="000B3301">
        <w:rPr>
          <w:lang w:eastAsia="en-AU"/>
        </w:rPr>
        <w:t>guideline has been developed by the Clean Energy Regulator (</w:t>
      </w:r>
      <w:r w:rsidR="00D40294">
        <w:rPr>
          <w:lang w:eastAsia="en-AU"/>
        </w:rPr>
        <w:t>CER</w:t>
      </w:r>
      <w:r w:rsidRPr="000B3301">
        <w:rPr>
          <w:lang w:eastAsia="en-AU"/>
        </w:rPr>
        <w:t xml:space="preserve">) to assist entities to comply with their reporting obligations under the </w:t>
      </w:r>
      <w:hyperlink r:id="rId24" w:tooltip="A link to the Australian Government legislation - the National Greenhouse and Energy reporting act 2007" w:history="1">
        <w:r w:rsidRPr="003E6C39">
          <w:rPr>
            <w:rStyle w:val="Hyperlink"/>
            <w:i/>
            <w:iCs/>
            <w:lang w:eastAsia="en-AU"/>
          </w:rPr>
          <w:t>National Greenhouse and Energy Reporting Act 2007</w:t>
        </w:r>
      </w:hyperlink>
      <w:bookmarkStart w:id="11" w:name="_Ref105748531"/>
      <w:r w:rsidRPr="003E6C39">
        <w:rPr>
          <w:rStyle w:val="FootnoteReference"/>
          <w:color w:val="000000"/>
          <w:lang w:eastAsia="en-AU"/>
        </w:rPr>
        <w:footnoteReference w:id="4"/>
      </w:r>
      <w:bookmarkEnd w:id="11"/>
      <w:r w:rsidRPr="000B3301">
        <w:rPr>
          <w:i/>
          <w:iCs/>
          <w:lang w:eastAsia="en-AU"/>
        </w:rPr>
        <w:t xml:space="preserve"> </w:t>
      </w:r>
      <w:r w:rsidRPr="000B3301">
        <w:rPr>
          <w:iCs/>
          <w:lang w:eastAsia="en-AU"/>
        </w:rPr>
        <w:t>(NGER Act)</w:t>
      </w:r>
      <w:r w:rsidRPr="000B3301">
        <w:rPr>
          <w:i/>
          <w:iCs/>
          <w:lang w:eastAsia="en-AU"/>
        </w:rPr>
        <w:t xml:space="preserve"> </w:t>
      </w:r>
      <w:r w:rsidRPr="000B3301">
        <w:rPr>
          <w:lang w:eastAsia="en-AU"/>
        </w:rPr>
        <w:t>and associated legislation.</w:t>
      </w:r>
    </w:p>
    <w:p w14:paraId="7143494F" w14:textId="5BC38807" w:rsidR="00C034A0" w:rsidRPr="000B3301" w:rsidRDefault="00C034A0" w:rsidP="00C034A0">
      <w:pPr>
        <w:autoSpaceDE w:val="0"/>
        <w:autoSpaceDN w:val="0"/>
        <w:adjustRightInd w:val="0"/>
        <w:rPr>
          <w:lang w:eastAsia="en-AU"/>
        </w:rPr>
      </w:pPr>
      <w:r w:rsidRPr="004C131A">
        <w:rPr>
          <w:lang w:eastAsia="en-AU"/>
        </w:rPr>
        <w:t>This guideline only applies to the 202</w:t>
      </w:r>
      <w:r w:rsidR="00C8536D">
        <w:rPr>
          <w:lang w:eastAsia="en-AU"/>
        </w:rPr>
        <w:t>5</w:t>
      </w:r>
      <w:r w:rsidRPr="004C131A">
        <w:rPr>
          <w:lang w:eastAsia="en-AU"/>
        </w:rPr>
        <w:t>–2</w:t>
      </w:r>
      <w:r w:rsidR="00C8536D">
        <w:rPr>
          <w:lang w:eastAsia="en-AU"/>
        </w:rPr>
        <w:t>6</w:t>
      </w:r>
      <w:r w:rsidRPr="004C131A">
        <w:rPr>
          <w:lang w:eastAsia="en-AU"/>
        </w:rPr>
        <w:t xml:space="preserve"> NGER reporting year and should be read in conjunction with the NGER </w:t>
      </w:r>
      <w:r w:rsidRPr="00D41EB0">
        <w:rPr>
          <w:lang w:eastAsia="en-AU"/>
        </w:rPr>
        <w:t xml:space="preserve">Act, </w:t>
      </w:r>
      <w:hyperlink r:id="rId25" w:tooltip="A link to the Australian Government legislation - the National Greenhouse and Energy regulations 2008" w:history="1">
        <w:r w:rsidRPr="00D41EB0">
          <w:rPr>
            <w:rStyle w:val="Hyperlink"/>
            <w:lang w:eastAsia="en-AU"/>
          </w:rPr>
          <w:t>National Greenhouse and Energy Regulations 2008</w:t>
        </w:r>
      </w:hyperlink>
      <w:r w:rsidRPr="00D41EB0">
        <w:rPr>
          <w:rStyle w:val="FootnoteReference"/>
          <w:color w:val="000000"/>
          <w:lang w:eastAsia="en-AU"/>
        </w:rPr>
        <w:footnoteReference w:id="5"/>
      </w:r>
      <w:r w:rsidRPr="00D41EB0">
        <w:rPr>
          <w:color w:val="000000"/>
          <w:lang w:eastAsia="en-AU"/>
        </w:rPr>
        <w:t xml:space="preserve"> (</w:t>
      </w:r>
      <w:r w:rsidRPr="00D41EB0">
        <w:rPr>
          <w:lang w:eastAsia="en-AU"/>
        </w:rPr>
        <w:t xml:space="preserve">NGER Regulations), and </w:t>
      </w:r>
      <w:hyperlink r:id="rId26" w:tooltip="A link to the Australian Government legislation - the National Greenhouse and Energy Measurement Determination" w:history="1">
        <w:r w:rsidRPr="00D41EB0">
          <w:rPr>
            <w:rStyle w:val="Hyperlink"/>
            <w:lang w:eastAsia="en-AU"/>
          </w:rPr>
          <w:t>National Greenhouse and Energy Reporting (Measurement) Determination 2008</w:t>
        </w:r>
      </w:hyperlink>
      <w:r w:rsidRPr="00D41EB0">
        <w:rPr>
          <w:rStyle w:val="FootnoteReference"/>
          <w:color w:val="000000"/>
          <w:lang w:eastAsia="en-AU"/>
        </w:rPr>
        <w:footnoteReference w:id="6"/>
      </w:r>
      <w:r w:rsidRPr="00D41EB0">
        <w:rPr>
          <w:lang w:eastAsia="en-AU"/>
        </w:rPr>
        <w:t xml:space="preserve"> (NGER Measurement Determination), as i</w:t>
      </w:r>
      <w:r w:rsidRPr="004C131A">
        <w:rPr>
          <w:lang w:eastAsia="en-AU"/>
        </w:rPr>
        <w:t>n force for this reporting period. These</w:t>
      </w:r>
      <w:r w:rsidRPr="000B3301">
        <w:rPr>
          <w:lang w:eastAsia="en-AU"/>
        </w:rPr>
        <w:t xml:space="preserve"> laws and their interpretation are subject to change, which may affect the accuracy of the information contained in the guideline.</w:t>
      </w:r>
    </w:p>
    <w:p w14:paraId="3142E63D" w14:textId="13E9CFD7" w:rsidR="00C034A0" w:rsidRPr="000B3301" w:rsidRDefault="00C034A0" w:rsidP="00C034A0">
      <w:pPr>
        <w:autoSpaceDE w:val="0"/>
        <w:autoSpaceDN w:val="0"/>
        <w:adjustRightInd w:val="0"/>
        <w:rPr>
          <w:lang w:eastAsia="en-AU"/>
        </w:rPr>
      </w:pPr>
      <w:r w:rsidRPr="000B3301">
        <w:rPr>
          <w:lang w:eastAsia="en-AU"/>
        </w:rPr>
        <w:t>The guidance provided in this document is not exhaustive, nor does it consider all circumstances applicable to all entities. Th</w:t>
      </w:r>
      <w:r>
        <w:rPr>
          <w:lang w:eastAsia="en-AU"/>
        </w:rPr>
        <w:t>is</w:t>
      </w:r>
      <w:r w:rsidRPr="000B3301">
        <w:rPr>
          <w:lang w:eastAsia="en-AU"/>
        </w:rPr>
        <w:t xml:space="preserve"> </w:t>
      </w:r>
      <w:r>
        <w:rPr>
          <w:lang w:eastAsia="en-AU"/>
        </w:rPr>
        <w:t>guidance</w:t>
      </w:r>
      <w:r w:rsidRPr="000B3301">
        <w:rPr>
          <w:lang w:eastAsia="en-AU"/>
        </w:rPr>
        <w:t xml:space="preserve"> is not intended to comprehensively deal with its subject area, and it is not a substitute for independent legal advice. Although entities are not bound to follow the guidance provided in this document, they must ensure they meet their obligations under the </w:t>
      </w:r>
      <w:hyperlink r:id="rId27" w:tooltip="A link to the NGER scheme page of the Clean Energy Regulator website" w:history="1">
        <w:r w:rsidRPr="00452C2E">
          <w:rPr>
            <w:rStyle w:val="Hyperlink"/>
            <w:lang w:eastAsia="en-AU"/>
          </w:rPr>
          <w:t xml:space="preserve">National Greenhouse and Energy Reporting (NGER) </w:t>
        </w:r>
        <w:r w:rsidR="00D733BF">
          <w:rPr>
            <w:rStyle w:val="Hyperlink"/>
            <w:lang w:eastAsia="en-AU"/>
          </w:rPr>
          <w:t>S</w:t>
        </w:r>
        <w:r w:rsidRPr="00452C2E">
          <w:rPr>
            <w:rStyle w:val="Hyperlink"/>
            <w:lang w:eastAsia="en-AU"/>
          </w:rPr>
          <w:t>cheme</w:t>
        </w:r>
      </w:hyperlink>
      <w:r>
        <w:rPr>
          <w:rStyle w:val="FootnoteReference"/>
          <w:lang w:eastAsia="en-AU"/>
        </w:rPr>
        <w:footnoteReference w:id="7"/>
      </w:r>
      <w:r w:rsidRPr="000B3301">
        <w:rPr>
          <w:lang w:eastAsia="en-AU"/>
        </w:rPr>
        <w:t xml:space="preserve"> at all times. </w:t>
      </w:r>
      <w:r w:rsidR="006A6438">
        <w:rPr>
          <w:lang w:eastAsia="en-AU"/>
        </w:rPr>
        <w:t xml:space="preserve">The </w:t>
      </w:r>
      <w:r w:rsidR="006D4A92">
        <w:rPr>
          <w:lang w:eastAsia="en-AU"/>
        </w:rPr>
        <w:t>CER</w:t>
      </w:r>
      <w:r w:rsidRPr="000B3301">
        <w:rPr>
          <w:lang w:eastAsia="en-AU"/>
        </w:rPr>
        <w:t xml:space="preserve"> encourages all users of this </w:t>
      </w:r>
      <w:r>
        <w:rPr>
          <w:lang w:eastAsia="en-AU"/>
        </w:rPr>
        <w:t>guidance</w:t>
      </w:r>
      <w:r w:rsidRPr="000B3301">
        <w:rPr>
          <w:lang w:eastAsia="en-AU"/>
        </w:rPr>
        <w:t xml:space="preserve"> to seek independent legal advice before taking any action or decision </w:t>
      </w:r>
      <w:r w:rsidR="00E3512A" w:rsidRPr="000B3301">
        <w:rPr>
          <w:lang w:eastAsia="en-AU"/>
        </w:rPr>
        <w:t>based on</w:t>
      </w:r>
      <w:r w:rsidRPr="000B3301">
        <w:rPr>
          <w:lang w:eastAsia="en-AU"/>
        </w:rPr>
        <w:t xml:space="preserve"> this </w:t>
      </w:r>
      <w:r>
        <w:rPr>
          <w:lang w:eastAsia="en-AU"/>
        </w:rPr>
        <w:t>guidance</w:t>
      </w:r>
      <w:r w:rsidRPr="000B3301">
        <w:rPr>
          <w:lang w:eastAsia="en-AU"/>
        </w:rPr>
        <w:t>.</w:t>
      </w:r>
    </w:p>
    <w:p w14:paraId="614F0AF4" w14:textId="48C561DB" w:rsidR="00C034A0" w:rsidRPr="000B3301" w:rsidRDefault="006A6438" w:rsidP="00C034A0">
      <w:pPr>
        <w:autoSpaceDE w:val="0"/>
        <w:autoSpaceDN w:val="0"/>
        <w:adjustRightInd w:val="0"/>
        <w:rPr>
          <w:lang w:eastAsia="en-AU"/>
        </w:rPr>
      </w:pPr>
      <w:r>
        <w:rPr>
          <w:lang w:eastAsia="en-AU"/>
        </w:rPr>
        <w:t xml:space="preserve">The </w:t>
      </w:r>
      <w:r w:rsidR="006D4A92">
        <w:rPr>
          <w:lang w:eastAsia="en-AU"/>
        </w:rPr>
        <w:t>CER</w:t>
      </w:r>
      <w:r w:rsidR="00C034A0" w:rsidRPr="000B3301">
        <w:rPr>
          <w:lang w:eastAsia="en-AU"/>
        </w:rPr>
        <w:t xml:space="preserve"> and the Australian Government will not be liable for any loss or damage from any cause (including negligence) whether arising directly, </w:t>
      </w:r>
      <w:r w:rsidR="00E3512A" w:rsidRPr="000B3301">
        <w:rPr>
          <w:lang w:eastAsia="en-AU"/>
        </w:rPr>
        <w:t>incidentally,</w:t>
      </w:r>
      <w:r w:rsidR="00C034A0" w:rsidRPr="000B3301">
        <w:rPr>
          <w:lang w:eastAsia="en-AU"/>
        </w:rPr>
        <w:t xml:space="preserve"> or as consequential loss, out of or in connection with, any use of this guideline or reliance on it, for any purpose.</w:t>
      </w:r>
    </w:p>
    <w:p w14:paraId="761D6A7B" w14:textId="4B9FA950" w:rsidR="00C034A0" w:rsidRPr="00FF338C" w:rsidRDefault="00C034A0" w:rsidP="00F44FB3">
      <w:pPr>
        <w:rPr>
          <w:rFonts w:ascii="Calibri" w:hAnsi="Calibri" w:cs="Calibri"/>
          <w:szCs w:val="22"/>
          <w:lang w:eastAsia="en-AU"/>
        </w:rPr>
      </w:pPr>
      <w:r w:rsidRPr="000B3301">
        <w:rPr>
          <w:lang w:eastAsia="en-AU"/>
        </w:rPr>
        <w:t xml:space="preserve">If an entity chooses to meet their obligations under the NGER </w:t>
      </w:r>
      <w:r w:rsidR="00D733BF">
        <w:rPr>
          <w:lang w:eastAsia="en-AU"/>
        </w:rPr>
        <w:t>S</w:t>
      </w:r>
      <w:r w:rsidRPr="000B3301">
        <w:rPr>
          <w:lang w:eastAsia="en-AU"/>
        </w:rPr>
        <w:t xml:space="preserve">cheme in a manner that is inconsistent with the guidance provided in this document, </w:t>
      </w:r>
      <w:r w:rsidR="006A6438">
        <w:rPr>
          <w:lang w:eastAsia="en-AU"/>
        </w:rPr>
        <w:t xml:space="preserve">the </w:t>
      </w:r>
      <w:r w:rsidR="00672CDE">
        <w:rPr>
          <w:lang w:eastAsia="en-AU"/>
        </w:rPr>
        <w:t>CER</w:t>
      </w:r>
      <w:r w:rsidRPr="000B3301">
        <w:rPr>
          <w:lang w:eastAsia="en-AU"/>
        </w:rPr>
        <w:t>, or an independent auditor, may require the entity to demonstrate that they are compliant with requirements of the NGER Act, NGER Regulations, and/or the NGER Measurement Determination. Entities are responsible for determining their obligations under the law and for applying the law to their individual circumstances.</w:t>
      </w:r>
    </w:p>
    <w:p w14:paraId="618AE352" w14:textId="77777777" w:rsidR="00C034A0" w:rsidRPr="00FF338C" w:rsidRDefault="00C034A0" w:rsidP="00C034A0">
      <w:pPr>
        <w:spacing w:line="276" w:lineRule="auto"/>
        <w:rPr>
          <w:rFonts w:eastAsia="Times New Roman"/>
          <w:b/>
          <w:bCs/>
          <w:color w:val="005874"/>
          <w:sz w:val="30"/>
          <w:szCs w:val="26"/>
        </w:rPr>
      </w:pPr>
      <w:r w:rsidRPr="00FF338C">
        <w:br w:type="page"/>
      </w:r>
    </w:p>
    <w:p w14:paraId="2BD43E6E" w14:textId="14726A25" w:rsidR="00734AC2" w:rsidRPr="00317A39" w:rsidRDefault="00734AC2" w:rsidP="00734AC2">
      <w:pPr>
        <w:pStyle w:val="Heading1"/>
        <w:rPr>
          <w:noProof/>
        </w:rPr>
      </w:pPr>
      <w:bookmarkStart w:id="12" w:name="_Toc106199252"/>
      <w:bookmarkStart w:id="13" w:name="_Toc106959951"/>
      <w:bookmarkStart w:id="14" w:name="_Toc76039483"/>
      <w:bookmarkStart w:id="15" w:name="_Toc235706757"/>
      <w:r w:rsidRPr="00317A39">
        <w:rPr>
          <w:rFonts w:eastAsiaTheme="minorEastAsia"/>
          <w:noProof/>
        </w:rPr>
        <w:lastRenderedPageBreak/>
        <w:t>202</w:t>
      </w:r>
      <w:r w:rsidR="00C8536D">
        <w:rPr>
          <w:rFonts w:eastAsiaTheme="minorEastAsia"/>
          <w:noProof/>
        </w:rPr>
        <w:t>5</w:t>
      </w:r>
      <w:r w:rsidRPr="00317A39">
        <w:rPr>
          <w:rFonts w:eastAsiaTheme="minorEastAsia"/>
          <w:noProof/>
        </w:rPr>
        <w:t>–2</w:t>
      </w:r>
      <w:r w:rsidR="00C8536D">
        <w:rPr>
          <w:rFonts w:eastAsiaTheme="minorEastAsia"/>
          <w:noProof/>
        </w:rPr>
        <w:t>6</w:t>
      </w:r>
      <w:r w:rsidRPr="00317A39">
        <w:rPr>
          <w:rFonts w:eastAsiaTheme="minorEastAsia"/>
          <w:noProof/>
        </w:rPr>
        <w:t xml:space="preserve"> updates</w:t>
      </w:r>
      <w:bookmarkEnd w:id="12"/>
      <w:bookmarkEnd w:id="13"/>
      <w:bookmarkEnd w:id="15"/>
      <w:r w:rsidRPr="00317A39">
        <w:rPr>
          <w:rFonts w:eastAsiaTheme="minorEastAsia"/>
          <w:noProof/>
        </w:rPr>
        <w:t> </w:t>
      </w:r>
    </w:p>
    <w:p w14:paraId="086BCA58" w14:textId="0CFBEF95" w:rsidR="00734AC2" w:rsidRPr="00317A39" w:rsidRDefault="00734AC2" w:rsidP="00734AC2">
      <w:pPr>
        <w:rPr>
          <w:noProof/>
        </w:rPr>
      </w:pPr>
      <w:r w:rsidRPr="00317A39">
        <w:rPr>
          <w:noProof/>
        </w:rPr>
        <w:t>Changes in this document for the 202</w:t>
      </w:r>
      <w:r w:rsidR="00C8536D">
        <w:rPr>
          <w:noProof/>
        </w:rPr>
        <w:t>5</w:t>
      </w:r>
      <w:r w:rsidR="00F93DD0" w:rsidRPr="00F93DD0">
        <w:rPr>
          <w:noProof/>
        </w:rPr>
        <w:t>–</w:t>
      </w:r>
      <w:r w:rsidRPr="00317A39">
        <w:rPr>
          <w:noProof/>
        </w:rPr>
        <w:t>2</w:t>
      </w:r>
      <w:r w:rsidR="00C8536D">
        <w:rPr>
          <w:noProof/>
        </w:rPr>
        <w:t>6</w:t>
      </w:r>
      <w:r w:rsidRPr="00317A39">
        <w:rPr>
          <w:noProof/>
        </w:rPr>
        <w:t xml:space="preserve"> reporting year: </w:t>
      </w:r>
    </w:p>
    <w:p w14:paraId="3B07B689" w14:textId="19CD4C39" w:rsidR="00EB3A69" w:rsidRDefault="00EB3A69" w:rsidP="001862C2">
      <w:pPr>
        <w:pStyle w:val="CERbullets"/>
        <w:rPr>
          <w:szCs w:val="22"/>
        </w:rPr>
      </w:pPr>
      <w:r>
        <w:rPr>
          <w:rStyle w:val="normaltextrun"/>
          <w:rFonts w:ascii="Calibri" w:eastAsiaTheme="minorEastAsia" w:hAnsi="Calibri" w:cs="Calibri"/>
          <w:lang w:val="en-GB"/>
        </w:rPr>
        <w:t>Minor stylistic and formatting changes have been made to this document</w:t>
      </w:r>
      <w:r w:rsidR="000248EE">
        <w:rPr>
          <w:rStyle w:val="normaltextrun"/>
          <w:rFonts w:ascii="Calibri" w:eastAsiaTheme="minorEastAsia" w:hAnsi="Calibri" w:cs="Calibri"/>
          <w:lang w:val="en-GB"/>
        </w:rPr>
        <w:t>.</w:t>
      </w:r>
      <w:r>
        <w:rPr>
          <w:rStyle w:val="scxw205828156"/>
          <w:rFonts w:ascii="Calibri" w:hAnsi="Calibri" w:cs="Calibri"/>
          <w:szCs w:val="22"/>
        </w:rPr>
        <w:t> </w:t>
      </w:r>
      <w:r>
        <w:rPr>
          <w:szCs w:val="22"/>
        </w:rPr>
        <w:br/>
      </w:r>
      <w:r>
        <w:rPr>
          <w:rStyle w:val="eop"/>
          <w:rFonts w:ascii="Calibri" w:hAnsi="Calibri" w:cs="Calibri"/>
          <w:szCs w:val="22"/>
        </w:rPr>
        <w:t> </w:t>
      </w:r>
    </w:p>
    <w:p w14:paraId="62BA5E1F" w14:textId="48A29E12" w:rsidR="001C583E" w:rsidRDefault="001C583E" w:rsidP="00EB3A69">
      <w:pPr>
        <w:pStyle w:val="paragraph"/>
        <w:spacing w:before="0" w:beforeAutospacing="0" w:after="0" w:afterAutospacing="0"/>
        <w:textAlignment w:val="baseline"/>
        <w:rPr>
          <w:rStyle w:val="normaltextrun"/>
          <w:rFonts w:ascii="Calibri" w:eastAsiaTheme="minorEastAsia" w:hAnsi="Calibri" w:cs="Calibri"/>
        </w:rPr>
      </w:pPr>
      <w:r>
        <w:rPr>
          <w:rStyle w:val="normaltextrun"/>
          <w:rFonts w:ascii="Calibri" w:eastAsiaTheme="minorEastAsia" w:hAnsi="Calibri" w:cs="Calibri"/>
        </w:rPr>
        <w:t xml:space="preserve">Read about the </w:t>
      </w:r>
      <w:hyperlink r:id="rId28" w:tooltip="A link to the NGER amendments page of the Clean Energy Regulator website" w:history="1">
        <w:r w:rsidRPr="00494A72">
          <w:rPr>
            <w:rStyle w:val="Hyperlink"/>
            <w:rFonts w:eastAsiaTheme="minorEastAsia" w:cs="Calibri"/>
          </w:rPr>
          <w:t>changes to the NGER Legislation for the 202</w:t>
        </w:r>
        <w:r w:rsidR="00F61D23">
          <w:rPr>
            <w:rStyle w:val="Hyperlink"/>
            <w:rFonts w:eastAsiaTheme="minorEastAsia" w:cs="Calibri"/>
          </w:rPr>
          <w:t>5</w:t>
        </w:r>
        <w:r w:rsidR="009958C1">
          <w:rPr>
            <w:rStyle w:val="Hyperlink"/>
            <w:rFonts w:eastAsiaTheme="minorEastAsia" w:cs="Calibri"/>
          </w:rPr>
          <w:t>-</w:t>
        </w:r>
        <w:r w:rsidRPr="00494A72">
          <w:rPr>
            <w:rStyle w:val="Hyperlink"/>
            <w:rFonts w:eastAsiaTheme="minorEastAsia" w:cs="Calibri"/>
          </w:rPr>
          <w:t>2</w:t>
        </w:r>
        <w:r w:rsidR="00F61D23">
          <w:rPr>
            <w:rStyle w:val="Hyperlink"/>
            <w:rFonts w:eastAsiaTheme="minorEastAsia" w:cs="Calibri"/>
          </w:rPr>
          <w:t>6</w:t>
        </w:r>
        <w:r w:rsidRPr="00494A72">
          <w:rPr>
            <w:rStyle w:val="Hyperlink"/>
            <w:rFonts w:eastAsiaTheme="minorEastAsia" w:cs="Calibri"/>
          </w:rPr>
          <w:t xml:space="preserve"> reporting period</w:t>
        </w:r>
        <w:r>
          <w:rPr>
            <w:rStyle w:val="FootnoteReference"/>
            <w:rFonts w:ascii="Calibri" w:eastAsiaTheme="minorEastAsia" w:hAnsi="Calibri" w:cs="Calibri"/>
            <w:color w:val="006C93" w:themeColor="accent3"/>
            <w:u w:val="single"/>
          </w:rPr>
          <w:footnoteReference w:id="8"/>
        </w:r>
        <w:r w:rsidRPr="00494A72">
          <w:rPr>
            <w:rStyle w:val="Hyperlink"/>
            <w:rFonts w:eastAsiaTheme="minorEastAsia" w:cs="Calibri"/>
          </w:rPr>
          <w:t>.</w:t>
        </w:r>
      </w:hyperlink>
    </w:p>
    <w:p w14:paraId="0135D781" w14:textId="77777777" w:rsidR="001C583E" w:rsidRDefault="001C583E" w:rsidP="00EB3A69">
      <w:pPr>
        <w:pStyle w:val="paragraph"/>
        <w:spacing w:before="0" w:beforeAutospacing="0" w:after="0" w:afterAutospacing="0"/>
        <w:textAlignment w:val="baseline"/>
        <w:rPr>
          <w:rStyle w:val="normaltextrun"/>
          <w:rFonts w:ascii="Calibri" w:eastAsiaTheme="minorEastAsia" w:hAnsi="Calibri" w:cs="Calibri"/>
          <w:sz w:val="22"/>
        </w:rPr>
      </w:pPr>
    </w:p>
    <w:p w14:paraId="283FBDB2" w14:textId="6E2A9E9C" w:rsidR="00C034A0" w:rsidRPr="0008282E" w:rsidRDefault="00C034A0" w:rsidP="00C034A0">
      <w:pPr>
        <w:pStyle w:val="Heading1"/>
        <w:spacing w:before="0" w:line="276" w:lineRule="auto"/>
      </w:pPr>
      <w:bookmarkStart w:id="16" w:name="_Toc235706758"/>
      <w:r w:rsidRPr="0008282E">
        <w:t>Purpose</w:t>
      </w:r>
      <w:bookmarkEnd w:id="7"/>
      <w:bookmarkEnd w:id="14"/>
      <w:bookmarkEnd w:id="16"/>
    </w:p>
    <w:p w14:paraId="305D27A3" w14:textId="79A8E8CE" w:rsidR="00C034A0" w:rsidRDefault="00C034A0" w:rsidP="00C034A0">
      <w:r w:rsidRPr="0008282E">
        <w:t xml:space="preserve">The NGER legislation </w:t>
      </w:r>
      <w:r>
        <w:t xml:space="preserve">sets out the requirements for corporations to report their greenhouse gas emissions, energy </w:t>
      </w:r>
      <w:r w:rsidR="00582A6C">
        <w:t>consumption,</w:t>
      </w:r>
      <w:r>
        <w:t xml:space="preserve"> and energy production. </w:t>
      </w:r>
    </w:p>
    <w:p w14:paraId="00C6671E" w14:textId="2DEC9B4E" w:rsidR="00C034A0" w:rsidRPr="0008282E" w:rsidRDefault="00C034A0" w:rsidP="00C034A0">
      <w:r>
        <w:t xml:space="preserve">The NGER legislation </w:t>
      </w:r>
      <w:r w:rsidRPr="0008282E">
        <w:t xml:space="preserve">contains special provisions that apply to reporting for smaller facilities </w:t>
      </w:r>
      <w:r>
        <w:t>and</w:t>
      </w:r>
      <w:r w:rsidRPr="0008282E">
        <w:t xml:space="preserve"> </w:t>
      </w:r>
      <w:r>
        <w:t xml:space="preserve">reporting of </w:t>
      </w:r>
      <w:r w:rsidRPr="0008282E">
        <w:t xml:space="preserve">low levels of greenhouse gas emissions, energy </w:t>
      </w:r>
      <w:r w:rsidR="00582A6C" w:rsidRPr="0008282E">
        <w:t>consumption,</w:t>
      </w:r>
      <w:r w:rsidRPr="0008282E">
        <w:t xml:space="preserve"> and energy production. These provisions exist to reduce the reporting burden for registered corporations. </w:t>
      </w:r>
    </w:p>
    <w:p w14:paraId="566EA7A3" w14:textId="48AEF14A" w:rsidR="00C034A0" w:rsidRPr="0008282E" w:rsidRDefault="00C034A0" w:rsidP="00C034A0">
      <w:r w:rsidRPr="0008282E">
        <w:t>The following topics are covered in th</w:t>
      </w:r>
      <w:r>
        <w:t>is</w:t>
      </w:r>
      <w:r w:rsidRPr="0008282E">
        <w:t xml:space="preserve"> </w:t>
      </w:r>
      <w:r>
        <w:t>guidance</w:t>
      </w:r>
      <w:r w:rsidRPr="0008282E">
        <w:t xml:space="preserve">: </w:t>
      </w:r>
    </w:p>
    <w:p w14:paraId="6E220BD4" w14:textId="77777777" w:rsidR="00C034A0" w:rsidRPr="003B1881" w:rsidRDefault="00C034A0" w:rsidP="00C034A0">
      <w:pPr>
        <w:pStyle w:val="CERbullets"/>
      </w:pPr>
      <w:bookmarkStart w:id="17" w:name="_Toc424883865"/>
      <w:bookmarkStart w:id="18" w:name="_Toc426720120"/>
      <w:r w:rsidRPr="00D117FC">
        <w:t>Aggregating facility data</w:t>
      </w:r>
      <w:r w:rsidRPr="003B1881">
        <w:t xml:space="preserve"> – applies to section 19 and 22X reports.</w:t>
      </w:r>
      <w:bookmarkEnd w:id="17"/>
      <w:bookmarkEnd w:id="18"/>
    </w:p>
    <w:p w14:paraId="2B2CB3BC" w14:textId="77777777" w:rsidR="00C034A0" w:rsidRPr="003B1881" w:rsidRDefault="00C034A0" w:rsidP="00C034A0">
      <w:pPr>
        <w:pStyle w:val="CERbullets"/>
        <w:numPr>
          <w:ilvl w:val="1"/>
          <w:numId w:val="21"/>
        </w:numPr>
      </w:pPr>
      <w:r w:rsidRPr="003B1881">
        <w:t xml:space="preserve">In certain circumstances, reporters can report data for a group of facilities that individually have not triggered the facility threshold, as an aggregated amount. That is, instead of reporting data for each facility, an aggregated amount for several facilities may be reported. </w:t>
      </w:r>
    </w:p>
    <w:p w14:paraId="6CF8068A" w14:textId="77777777" w:rsidR="00C034A0" w:rsidRPr="003B1881" w:rsidRDefault="00C034A0" w:rsidP="00C034A0">
      <w:pPr>
        <w:pStyle w:val="CERbullets"/>
        <w:numPr>
          <w:ilvl w:val="1"/>
          <w:numId w:val="21"/>
        </w:numPr>
      </w:pPr>
      <w:r w:rsidRPr="003B1881">
        <w:t xml:space="preserve">When reporting facility data in this way, a registered corporation also has the option of aggregating the data by business unit, rather than by group member with operational control. A 'business unit' is a unit that is recognised by a registered corporation as having administrative responsibility for one or more facilities of the corporation (regulation 2.01A (NGER Regulations)). </w:t>
      </w:r>
    </w:p>
    <w:p w14:paraId="021FD4C5" w14:textId="77777777" w:rsidR="00C034A0" w:rsidRPr="003B1881" w:rsidRDefault="00C034A0" w:rsidP="00C034A0">
      <w:pPr>
        <w:pStyle w:val="CERbullets"/>
      </w:pPr>
      <w:bookmarkStart w:id="19" w:name="_Toc424883866"/>
      <w:bookmarkStart w:id="20" w:name="_Toc426720121"/>
      <w:r w:rsidRPr="00D117FC">
        <w:t>Percentage reporting</w:t>
      </w:r>
      <w:r w:rsidRPr="003B1881">
        <w:t xml:space="preserve"> – applies to section 19 and 22X reports</w:t>
      </w:r>
      <w:bookmarkEnd w:id="19"/>
      <w:bookmarkEnd w:id="20"/>
      <w:r w:rsidRPr="003B1881">
        <w:t>.</w:t>
      </w:r>
    </w:p>
    <w:p w14:paraId="1A324E21" w14:textId="0D062F02" w:rsidR="00C034A0" w:rsidRPr="003B1881" w:rsidRDefault="00C034A0" w:rsidP="00C034A0">
      <w:pPr>
        <w:pStyle w:val="CERbullets"/>
        <w:numPr>
          <w:ilvl w:val="1"/>
          <w:numId w:val="21"/>
        </w:numPr>
      </w:pPr>
      <w:r w:rsidRPr="003B1881">
        <w:t xml:space="preserve">In certain circumstances, very low levels of greenhouse gas emissions, energy </w:t>
      </w:r>
      <w:r w:rsidR="00582A6C" w:rsidRPr="003B1881">
        <w:t>consumption,</w:t>
      </w:r>
      <w:r w:rsidRPr="003B1881">
        <w:t xml:space="preserve"> and energy production from one or more facilities may be reported as a percentage estimate of the reporter’s total emissions and energy. </w:t>
      </w:r>
    </w:p>
    <w:p w14:paraId="16EC0330" w14:textId="77777777" w:rsidR="00C034A0" w:rsidRPr="003B1881" w:rsidRDefault="00C034A0" w:rsidP="00C034A0">
      <w:pPr>
        <w:pStyle w:val="CERbullets"/>
      </w:pPr>
      <w:bookmarkStart w:id="21" w:name="_Toc424883867"/>
      <w:bookmarkStart w:id="22" w:name="_Toc426720122"/>
      <w:r w:rsidRPr="00D117FC">
        <w:t>Incidental reporting</w:t>
      </w:r>
      <w:r w:rsidRPr="003B1881">
        <w:t xml:space="preserve"> – applies to section 19, 22G and 22X reports</w:t>
      </w:r>
      <w:bookmarkEnd w:id="21"/>
      <w:bookmarkEnd w:id="22"/>
      <w:r w:rsidRPr="003B1881">
        <w:t>.</w:t>
      </w:r>
    </w:p>
    <w:p w14:paraId="7742FF95" w14:textId="01FD8062" w:rsidR="00C034A0" w:rsidRPr="003B1881" w:rsidRDefault="00C034A0" w:rsidP="00C034A0">
      <w:pPr>
        <w:pStyle w:val="CERbullets"/>
        <w:numPr>
          <w:ilvl w:val="1"/>
          <w:numId w:val="21"/>
        </w:numPr>
      </w:pPr>
      <w:r w:rsidRPr="003B1881">
        <w:t xml:space="preserve">In certain circumstances, greenhouse gas emissions, energy </w:t>
      </w:r>
      <w:r w:rsidR="009E6B71" w:rsidRPr="003B1881">
        <w:t>consumption,</w:t>
      </w:r>
      <w:r w:rsidRPr="003B1881">
        <w:t xml:space="preserve"> and energy production figures for a facility will be classified as 'incidental' and reporters may provide an estimated figure, provided this estimate is consistent with principles set out in the NGER Measurement Determination.</w:t>
      </w:r>
    </w:p>
    <w:p w14:paraId="6053EB57" w14:textId="77777777" w:rsidR="00C034A0" w:rsidRDefault="00C034A0" w:rsidP="00C034A0">
      <w:pPr>
        <w:pStyle w:val="CERbullets"/>
      </w:pPr>
      <w:bookmarkStart w:id="23" w:name="_Toc426720123"/>
      <w:r w:rsidRPr="00D117FC">
        <w:t>Optional reporting of small amounts of fuel combustion and electricity consumption</w:t>
      </w:r>
      <w:r w:rsidRPr="003B1881">
        <w:t xml:space="preserve"> – applies</w:t>
      </w:r>
      <w:r w:rsidRPr="0008282E">
        <w:t xml:space="preserve"> to section 19, 22G and 22X reports</w:t>
      </w:r>
      <w:bookmarkEnd w:id="23"/>
      <w:r>
        <w:t>.</w:t>
      </w:r>
    </w:p>
    <w:p w14:paraId="0E785E52" w14:textId="7A6B7BD8" w:rsidR="00C034A0" w:rsidRPr="00A760A7" w:rsidRDefault="00C034A0" w:rsidP="00C034A0">
      <w:pPr>
        <w:pStyle w:val="CERbullets"/>
        <w:numPr>
          <w:ilvl w:val="1"/>
          <w:numId w:val="21"/>
        </w:numPr>
      </w:pPr>
      <w:r>
        <w:t>R</w:t>
      </w:r>
      <w:r w:rsidRPr="0008282E">
        <w:t xml:space="preserve">eporting of small amounts of emissions and energy from </w:t>
      </w:r>
      <w:r>
        <w:t xml:space="preserve">the combustion of </w:t>
      </w:r>
      <w:r w:rsidRPr="0008282E">
        <w:t xml:space="preserve">solid, </w:t>
      </w:r>
      <w:r w:rsidR="00342CE6" w:rsidRPr="0008282E">
        <w:t>gaseous,</w:t>
      </w:r>
      <w:r w:rsidRPr="0008282E">
        <w:t xml:space="preserve"> and liquid fuel is </w:t>
      </w:r>
      <w:r w:rsidRPr="00ED43E3">
        <w:t>optional</w:t>
      </w:r>
      <w:r w:rsidRPr="005D3926">
        <w:t>,</w:t>
      </w:r>
      <w:r>
        <w:t xml:space="preserve"> p</w:t>
      </w:r>
      <w:r w:rsidRPr="0008282E">
        <w:t>rovided they fall below specified thresholds.</w:t>
      </w:r>
    </w:p>
    <w:p w14:paraId="3AC730FA" w14:textId="77777777" w:rsidR="00C034A0" w:rsidRDefault="00C034A0" w:rsidP="00C034A0">
      <w:pPr>
        <w:spacing w:after="0"/>
        <w:rPr>
          <w:rFonts w:eastAsia="Times New Roman"/>
          <w:b/>
          <w:bCs/>
          <w:color w:val="005874"/>
          <w:kern w:val="32"/>
          <w:sz w:val="40"/>
        </w:rPr>
      </w:pPr>
      <w:r>
        <w:br w:type="page"/>
      </w:r>
    </w:p>
    <w:p w14:paraId="06AEC1B6" w14:textId="77777777" w:rsidR="00C034A0" w:rsidRPr="0008282E" w:rsidRDefault="00C034A0" w:rsidP="00C034A0">
      <w:pPr>
        <w:pStyle w:val="Heading1"/>
        <w:spacing w:before="0" w:line="276" w:lineRule="auto"/>
      </w:pPr>
      <w:bookmarkStart w:id="24" w:name="_Toc76039484"/>
      <w:bookmarkStart w:id="25" w:name="_Toc235706759"/>
      <w:r w:rsidRPr="0008282E">
        <w:lastRenderedPageBreak/>
        <w:t>Aggregating facility data</w:t>
      </w:r>
      <w:bookmarkEnd w:id="24"/>
      <w:bookmarkEnd w:id="25"/>
    </w:p>
    <w:p w14:paraId="794A2341" w14:textId="77777777" w:rsidR="00C034A0" w:rsidRPr="0008282E" w:rsidRDefault="00C034A0" w:rsidP="00C034A0">
      <w:pPr>
        <w:pStyle w:val="Heading2"/>
        <w:spacing w:before="0" w:line="276" w:lineRule="auto"/>
      </w:pPr>
      <w:bookmarkStart w:id="26" w:name="_Toc424883869"/>
      <w:bookmarkStart w:id="27" w:name="_Toc76039485"/>
      <w:bookmarkStart w:id="28" w:name="_Toc235706760"/>
      <w:r w:rsidRPr="0008282E">
        <w:t>When can facility data be reported as an aggregate?</w:t>
      </w:r>
      <w:bookmarkEnd w:id="26"/>
      <w:bookmarkEnd w:id="27"/>
      <w:bookmarkEnd w:id="28"/>
    </w:p>
    <w:p w14:paraId="2C376109" w14:textId="77777777" w:rsidR="00C034A0" w:rsidRDefault="00C034A0" w:rsidP="00C034A0">
      <w:pPr>
        <w:spacing w:line="276" w:lineRule="auto"/>
      </w:pPr>
      <w:r>
        <w:t>Criteria for reporting facility data as an aggregated amount are laid out in regulation 4.25 of the NGER Regulations.</w:t>
      </w:r>
    </w:p>
    <w:p w14:paraId="639269D0" w14:textId="5852AA30" w:rsidR="00C034A0" w:rsidRDefault="00C034A0" w:rsidP="00C034A0">
      <w:pPr>
        <w:spacing w:line="276" w:lineRule="auto"/>
      </w:pPr>
      <w:r>
        <w:t>This r</w:t>
      </w:r>
      <w:r w:rsidRPr="0008282E">
        <w:t xml:space="preserve">egulation applies </w:t>
      </w:r>
      <w:r>
        <w:t xml:space="preserve">only </w:t>
      </w:r>
      <w:r w:rsidRPr="0008282E">
        <w:t xml:space="preserve">to a report provided by a corporation to </w:t>
      </w:r>
      <w:r w:rsidR="000545A1">
        <w:t>the</w:t>
      </w:r>
      <w:r w:rsidRPr="0008282E">
        <w:t xml:space="preserve"> </w:t>
      </w:r>
      <w:r w:rsidR="00E75A09">
        <w:t>CER</w:t>
      </w:r>
      <w:r w:rsidRPr="0008282E">
        <w:t xml:space="preserve"> under section 19 or 22X of the NGER Act.</w:t>
      </w:r>
      <w:r w:rsidRPr="0065489E">
        <w:t xml:space="preserve"> </w:t>
      </w:r>
      <w:r w:rsidRPr="0008282E">
        <w:t xml:space="preserve">Reporting Transfer Certificate (RTC) holders </w:t>
      </w:r>
      <w:r w:rsidR="00A95D8B" w:rsidRPr="0008282E">
        <w:t>cannot</w:t>
      </w:r>
      <w:r w:rsidRPr="0008282E">
        <w:t xml:space="preserve"> use facility aggregates in their 22G reports.</w:t>
      </w:r>
    </w:p>
    <w:p w14:paraId="02F23EB6" w14:textId="77777777" w:rsidR="00C034A0" w:rsidRPr="0008282E" w:rsidRDefault="00C034A0" w:rsidP="00C034A0">
      <w:pPr>
        <w:spacing w:line="276" w:lineRule="auto"/>
      </w:pPr>
      <w:r>
        <w:t>S</w:t>
      </w:r>
      <w:r w:rsidRPr="0008282E">
        <w:t xml:space="preserve">ection 19 and 22X reports can only </w:t>
      </w:r>
      <w:r>
        <w:t>contain</w:t>
      </w:r>
      <w:r w:rsidRPr="0008282E">
        <w:t xml:space="preserve"> aggregated amounts from facilities if, in the reporting year, the following apply: </w:t>
      </w:r>
    </w:p>
    <w:p w14:paraId="225C800B" w14:textId="087B171E" w:rsidR="00C034A0" w:rsidRPr="003B1881" w:rsidRDefault="00C034A0" w:rsidP="00C034A0">
      <w:pPr>
        <w:pStyle w:val="CERbullets"/>
        <w:spacing w:before="0" w:after="200" w:line="276" w:lineRule="auto"/>
      </w:pPr>
      <w:r w:rsidRPr="0008282E">
        <w:t xml:space="preserve">The reporter is reporting </w:t>
      </w:r>
      <w:r w:rsidRPr="003B1881">
        <w:t xml:space="preserve">on </w:t>
      </w:r>
      <w:r w:rsidRPr="009E05CB">
        <w:t>more than</w:t>
      </w:r>
      <w:r w:rsidRPr="003B1881">
        <w:t xml:space="preserve"> one facility whose operation falls below </w:t>
      </w:r>
      <w:r w:rsidR="00342CE6" w:rsidRPr="003B1881">
        <w:t>all</w:t>
      </w:r>
      <w:r w:rsidRPr="003B1881">
        <w:t xml:space="preserve"> the facility thresholds set out in section 13(d) of the NGER Act. That is, each facility in a facility aggregate must have:</w:t>
      </w:r>
    </w:p>
    <w:p w14:paraId="51A8FB1E" w14:textId="22EB631E" w:rsidR="00C034A0" w:rsidRPr="003B1881" w:rsidRDefault="00C034A0" w:rsidP="00C034A0">
      <w:pPr>
        <w:pStyle w:val="CERbullets"/>
        <w:numPr>
          <w:ilvl w:val="1"/>
          <w:numId w:val="21"/>
        </w:numPr>
        <w:spacing w:before="0" w:after="200" w:line="276" w:lineRule="auto"/>
      </w:pPr>
      <w:r w:rsidRPr="003B1881">
        <w:t xml:space="preserve">emissions of greenhouse gases </w:t>
      </w:r>
      <w:r w:rsidRPr="009E05CB">
        <w:t xml:space="preserve">less than </w:t>
      </w:r>
      <w:r w:rsidRPr="003B1881">
        <w:t xml:space="preserve">25 </w:t>
      </w:r>
      <w:proofErr w:type="spellStart"/>
      <w:r w:rsidRPr="003B1881">
        <w:t>kilotonnes</w:t>
      </w:r>
      <w:proofErr w:type="spellEnd"/>
      <w:r w:rsidRPr="003B1881">
        <w:t xml:space="preserve"> (kt) carbon dioxide equivalent (CO</w:t>
      </w:r>
      <w:r w:rsidRPr="003B1881">
        <w:rPr>
          <w:vertAlign w:val="subscript"/>
        </w:rPr>
        <w:t>2</w:t>
      </w:r>
      <w:r w:rsidRPr="003B1881">
        <w:t xml:space="preserve">-e) </w:t>
      </w:r>
    </w:p>
    <w:p w14:paraId="5AB68590" w14:textId="77777777" w:rsidR="00C034A0" w:rsidRPr="003B1881" w:rsidRDefault="00C034A0" w:rsidP="00C034A0">
      <w:pPr>
        <w:pStyle w:val="CERbullets"/>
        <w:numPr>
          <w:ilvl w:val="1"/>
          <w:numId w:val="21"/>
        </w:numPr>
        <w:spacing w:before="0" w:after="200" w:line="276" w:lineRule="auto"/>
      </w:pPr>
      <w:r w:rsidRPr="003B1881">
        <w:t xml:space="preserve">production of energy </w:t>
      </w:r>
      <w:r w:rsidRPr="009E05CB">
        <w:t xml:space="preserve">less than </w:t>
      </w:r>
      <w:r w:rsidRPr="003B1881">
        <w:t>100 terajoules (TJ)</w:t>
      </w:r>
    </w:p>
    <w:p w14:paraId="272ED316" w14:textId="6121E0CA" w:rsidR="00C034A0" w:rsidRPr="003B1881" w:rsidRDefault="00C034A0" w:rsidP="00C034A0">
      <w:pPr>
        <w:pStyle w:val="CERbullets"/>
        <w:numPr>
          <w:ilvl w:val="1"/>
          <w:numId w:val="21"/>
        </w:numPr>
        <w:spacing w:before="0" w:after="200" w:line="276" w:lineRule="auto"/>
      </w:pPr>
      <w:r w:rsidRPr="003B1881">
        <w:t xml:space="preserve">consumption of energy </w:t>
      </w:r>
      <w:r w:rsidRPr="009E05CB">
        <w:t>less than</w:t>
      </w:r>
      <w:r w:rsidRPr="003B1881">
        <w:t xml:space="preserve"> 100</w:t>
      </w:r>
      <w:r w:rsidR="008B5EA2">
        <w:t> </w:t>
      </w:r>
      <w:r w:rsidRPr="003B1881">
        <w:t>TJ.</w:t>
      </w:r>
    </w:p>
    <w:p w14:paraId="4A64AA70" w14:textId="77777777" w:rsidR="00C034A0" w:rsidRPr="0008282E" w:rsidRDefault="00C034A0" w:rsidP="00C034A0">
      <w:pPr>
        <w:pStyle w:val="CERbullets"/>
        <w:spacing w:before="0" w:after="200" w:line="276" w:lineRule="auto"/>
      </w:pPr>
      <w:r w:rsidRPr="0008282E">
        <w:t>The facilities are located within one state or territory. Facilities cannot be aggregated unless they are all located in the same state or territory. If there are below-threshold facilities located in more than one state or territory, aggregated reporting is still possible</w:t>
      </w:r>
      <w:r>
        <w:t xml:space="preserve">. However, in these circumstances, multiple facility aggregates (one for each state or territory) would be required. </w:t>
      </w:r>
    </w:p>
    <w:p w14:paraId="12EB746A" w14:textId="77777777" w:rsidR="00C034A0" w:rsidRPr="0008282E" w:rsidRDefault="00C034A0" w:rsidP="00C034A0">
      <w:pPr>
        <w:pStyle w:val="CERbullets"/>
        <w:spacing w:before="0" w:after="200" w:line="276" w:lineRule="auto"/>
      </w:pPr>
      <w:r w:rsidRPr="0008282E">
        <w:t xml:space="preserve">The facilities are attributable to one industry sector. Facilities can only be aggregated if they all have the same Australian and New Zealand Standard Industrial Classification (ANZSIC) industry code. </w:t>
      </w:r>
    </w:p>
    <w:p w14:paraId="6DDDC54C" w14:textId="77777777" w:rsidR="00C034A0" w:rsidRPr="003E3096" w:rsidRDefault="00C034A0" w:rsidP="00C034A0">
      <w:pPr>
        <w:pStyle w:val="CERbullets"/>
        <w:spacing w:before="0" w:after="200" w:line="276" w:lineRule="auto"/>
      </w:pPr>
      <w:r w:rsidRPr="003E3096">
        <w:t xml:space="preserve">None of the facilities are designated generation facilities (facilities attributable to the electricity generation ANZSIC industry classification </w:t>
      </w:r>
      <w:r>
        <w:t>–</w:t>
      </w:r>
      <w:r w:rsidRPr="003E3096">
        <w:t xml:space="preserve"> see section 7 of the NGER Act and item 54 of Schedule 2 to the NGER Regulations).</w:t>
      </w:r>
    </w:p>
    <w:p w14:paraId="6FE6D6B0" w14:textId="77777777" w:rsidR="00C034A0" w:rsidRPr="0008282E" w:rsidRDefault="00C034A0" w:rsidP="00C034A0">
      <w:pPr>
        <w:pStyle w:val="CERbullets"/>
        <w:spacing w:before="0" w:after="200" w:line="276" w:lineRule="auto"/>
      </w:pPr>
      <w:r w:rsidRPr="0008282E">
        <w:t>The facilities that are being aggregate</w:t>
      </w:r>
      <w:r>
        <w:t>d</w:t>
      </w:r>
      <w:r w:rsidRPr="0008282E">
        <w:t xml:space="preserve"> must all be under the operational control of the same group member or under the administrative responsibility of the same business unit. </w:t>
      </w:r>
    </w:p>
    <w:p w14:paraId="05C7154D" w14:textId="77777777" w:rsidR="00C034A0" w:rsidRPr="0008282E" w:rsidRDefault="00C034A0" w:rsidP="00C034A0">
      <w:pPr>
        <w:pStyle w:val="CERbullets"/>
        <w:spacing w:before="0" w:after="200" w:line="276" w:lineRule="auto"/>
      </w:pPr>
      <w:r w:rsidRPr="0008282E">
        <w:t>The aggregated data from facilities that do not meet the facility level threshold can be reported by</w:t>
      </w:r>
      <w:r>
        <w:t xml:space="preserve"> either a</w:t>
      </w:r>
      <w:r w:rsidRPr="0008282E">
        <w:t xml:space="preserve"> </w:t>
      </w:r>
      <w:r w:rsidRPr="009E05CB">
        <w:rPr>
          <w:bCs/>
        </w:rPr>
        <w:t>group member or a business unit</w:t>
      </w:r>
      <w:r w:rsidRPr="0008282E">
        <w:t xml:space="preserve">. It is not possible to aggregate data by </w:t>
      </w:r>
      <w:r>
        <w:t xml:space="preserve">both </w:t>
      </w:r>
      <w:r w:rsidRPr="0008282E">
        <w:t>group member and business unit</w:t>
      </w:r>
      <w:r>
        <w:t xml:space="preserve">, </w:t>
      </w:r>
      <w:r w:rsidRPr="0008282E">
        <w:t>one or the other must be chosen.</w:t>
      </w:r>
    </w:p>
    <w:p w14:paraId="4188EC16" w14:textId="77777777" w:rsidR="00C034A0" w:rsidRPr="0008282E" w:rsidRDefault="00C034A0" w:rsidP="00C034A0">
      <w:pPr>
        <w:pStyle w:val="Heading2"/>
        <w:spacing w:before="0" w:line="276" w:lineRule="auto"/>
      </w:pPr>
      <w:bookmarkStart w:id="29" w:name="_Toc424883870"/>
      <w:bookmarkStart w:id="30" w:name="_Toc76039486"/>
      <w:bookmarkStart w:id="31" w:name="_Toc235706761"/>
      <w:r w:rsidRPr="0008282E">
        <w:t>What must be reported?</w:t>
      </w:r>
      <w:bookmarkEnd w:id="29"/>
      <w:bookmarkEnd w:id="30"/>
      <w:bookmarkEnd w:id="31"/>
    </w:p>
    <w:p w14:paraId="3CD5DBEA" w14:textId="77777777" w:rsidR="00C034A0" w:rsidRPr="0008282E" w:rsidRDefault="00C034A0" w:rsidP="00C034A0">
      <w:pPr>
        <w:spacing w:line="276" w:lineRule="auto"/>
      </w:pPr>
      <w:r w:rsidRPr="0008282E">
        <w:t xml:space="preserve">The reporter must provide </w:t>
      </w:r>
      <w:r>
        <w:t xml:space="preserve">data on </w:t>
      </w:r>
      <w:r w:rsidRPr="0008282E">
        <w:t>greenhouse gas emissions (scope 1 and scope 2), energy consumption and energy production from the operation of the aggregated facilities</w:t>
      </w:r>
      <w:r>
        <w:t>,</w:t>
      </w:r>
      <w:r w:rsidRPr="0008282E">
        <w:t xml:space="preserve"> in accordance with the classification of fuels and energy commodities in Schedule 1 of the NGER Regulations. </w:t>
      </w:r>
    </w:p>
    <w:p w14:paraId="73626444" w14:textId="77777777" w:rsidR="00C034A0" w:rsidRPr="0008282E" w:rsidRDefault="00C034A0" w:rsidP="00C034A0">
      <w:pPr>
        <w:spacing w:line="276" w:lineRule="auto"/>
      </w:pPr>
      <w:r>
        <w:t>O</w:t>
      </w:r>
      <w:r w:rsidRPr="0008282E">
        <w:t xml:space="preserve">ther information to be provided in the report is: </w:t>
      </w:r>
    </w:p>
    <w:p w14:paraId="20AD70C1" w14:textId="77777777" w:rsidR="00C034A0" w:rsidRPr="0008282E" w:rsidRDefault="00C034A0" w:rsidP="00C034A0">
      <w:pPr>
        <w:pStyle w:val="CERbullets"/>
        <w:spacing w:before="0" w:after="200" w:line="276" w:lineRule="auto"/>
      </w:pPr>
      <w:r>
        <w:t>the number of facilities within the aggregate</w:t>
      </w:r>
    </w:p>
    <w:p w14:paraId="38CB4CE4" w14:textId="5D411E18" w:rsidR="00C034A0" w:rsidRDefault="00C034A0" w:rsidP="00C034A0">
      <w:pPr>
        <w:pStyle w:val="CERbullets"/>
        <w:spacing w:before="0" w:after="200" w:line="276" w:lineRule="auto"/>
      </w:pPr>
      <w:r>
        <w:lastRenderedPageBreak/>
        <w:t>the state o</w:t>
      </w:r>
      <w:r w:rsidR="43D01F7F">
        <w:t>r</w:t>
      </w:r>
      <w:r>
        <w:t xml:space="preserve"> territory to which each facility’s activities are attributable</w:t>
      </w:r>
    </w:p>
    <w:p w14:paraId="6A51AA2E" w14:textId="77777777" w:rsidR="00C034A0" w:rsidRDefault="00C034A0" w:rsidP="00C034A0">
      <w:pPr>
        <w:pStyle w:val="CERbullets"/>
        <w:spacing w:before="0" w:after="200" w:line="276" w:lineRule="auto"/>
      </w:pPr>
      <w:r>
        <w:t>the ANZSIC code to which each facility’s activities are attributable</w:t>
      </w:r>
    </w:p>
    <w:p w14:paraId="59FAA15E" w14:textId="77777777" w:rsidR="00C034A0" w:rsidRPr="0008282E" w:rsidRDefault="00C034A0" w:rsidP="00C034A0">
      <w:pPr>
        <w:pStyle w:val="CERbullets"/>
        <w:spacing w:before="0" w:after="200" w:line="276" w:lineRule="auto"/>
      </w:pPr>
      <w:r w:rsidRPr="0008282E">
        <w:t>if aggregated by group member—the group member</w:t>
      </w:r>
      <w:r>
        <w:t xml:space="preserve"> details</w:t>
      </w:r>
    </w:p>
    <w:p w14:paraId="7F0D7A3F" w14:textId="77777777" w:rsidR="00C034A0" w:rsidRPr="0008282E" w:rsidRDefault="00C034A0" w:rsidP="00C034A0">
      <w:pPr>
        <w:pStyle w:val="CERbullets"/>
        <w:spacing w:before="0" w:after="200" w:line="276" w:lineRule="auto"/>
      </w:pPr>
      <w:r w:rsidRPr="0008282E">
        <w:t xml:space="preserve">if aggregated by business unit—the business unit </w:t>
      </w:r>
      <w:r>
        <w:t>details</w:t>
      </w:r>
      <w:r w:rsidRPr="0008282E">
        <w:t>.</w:t>
      </w:r>
    </w:p>
    <w:p w14:paraId="4317C0B1" w14:textId="77777777" w:rsidR="00C034A0" w:rsidRPr="0008282E" w:rsidRDefault="00C034A0" w:rsidP="00C034A0">
      <w:pPr>
        <w:pStyle w:val="Heading2"/>
        <w:spacing w:before="0" w:line="276" w:lineRule="auto"/>
      </w:pPr>
      <w:bookmarkStart w:id="32" w:name="_Toc76039487"/>
      <w:bookmarkStart w:id="33" w:name="_Toc424883871"/>
      <w:bookmarkStart w:id="34" w:name="_Toc235706762"/>
      <w:r>
        <w:t>Reporting aggregated amounts in th</w:t>
      </w:r>
      <w:r w:rsidRPr="0008282E">
        <w:t>e Emissions and Energy Reporting System</w:t>
      </w:r>
      <w:bookmarkEnd w:id="32"/>
      <w:bookmarkEnd w:id="34"/>
      <w:r w:rsidRPr="0008282E">
        <w:t xml:space="preserve"> </w:t>
      </w:r>
      <w:bookmarkEnd w:id="33"/>
    </w:p>
    <w:p w14:paraId="01481F3F" w14:textId="77777777" w:rsidR="00C034A0" w:rsidRDefault="00C034A0" w:rsidP="00C034A0">
      <w:pPr>
        <w:spacing w:line="276" w:lineRule="auto"/>
        <w:rPr>
          <w:rFonts w:eastAsia="Times New Roman"/>
          <w:b/>
          <w:bCs/>
          <w:color w:val="005874"/>
          <w:sz w:val="30"/>
          <w:szCs w:val="26"/>
        </w:rPr>
      </w:pPr>
      <w:bookmarkStart w:id="35" w:name="_Toc424883872"/>
      <w:r w:rsidRPr="000B50CA">
        <w:t xml:space="preserve">Reporters using facility aggregates should create a 'facility aggregate' entity in </w:t>
      </w:r>
      <w:r>
        <w:t>the Emissions and Energy Reporting System (</w:t>
      </w:r>
      <w:r w:rsidRPr="000B50CA">
        <w:t>EERS</w:t>
      </w:r>
      <w:r>
        <w:t>)</w:t>
      </w:r>
      <w:r w:rsidRPr="000B50CA">
        <w:t xml:space="preserve">, instead of creating individual facilities. The facility aggregate entity will be set up under a group member or business unit, depending on how the reporter has chosen to report. </w:t>
      </w:r>
    </w:p>
    <w:p w14:paraId="46E3584D" w14:textId="77777777" w:rsidR="00C034A0" w:rsidRPr="0008282E" w:rsidRDefault="00C034A0" w:rsidP="00C034A0">
      <w:pPr>
        <w:pStyle w:val="Heading2"/>
        <w:spacing w:before="0" w:line="276" w:lineRule="auto"/>
      </w:pPr>
      <w:bookmarkStart w:id="36" w:name="_Toc76039488"/>
      <w:bookmarkStart w:id="37" w:name="_Toc235706763"/>
      <w:r w:rsidRPr="0008282E">
        <w:t>Aggregating by group member</w:t>
      </w:r>
      <w:bookmarkEnd w:id="35"/>
      <w:bookmarkEnd w:id="36"/>
      <w:bookmarkEnd w:id="37"/>
    </w:p>
    <w:p w14:paraId="1ABF6675" w14:textId="1C568C17" w:rsidR="00C034A0" w:rsidRPr="0008282E" w:rsidRDefault="00C034A0" w:rsidP="00C034A0">
      <w:pPr>
        <w:spacing w:line="276" w:lineRule="auto"/>
      </w:pPr>
      <w:r w:rsidRPr="0008282E">
        <w:t xml:space="preserve">A reporter may report greenhouse gas emissions, energy </w:t>
      </w:r>
      <w:r w:rsidR="009E6B71" w:rsidRPr="0008282E">
        <w:t>consumption,</w:t>
      </w:r>
      <w:r w:rsidRPr="0008282E">
        <w:t xml:space="preserve"> and energy production</w:t>
      </w:r>
      <w:r>
        <w:t xml:space="preserve"> </w:t>
      </w:r>
      <w:r w:rsidRPr="0008282E">
        <w:t>as aggregated amounts for facilities that are under the operational control of the same group member.</w:t>
      </w:r>
    </w:p>
    <w:p w14:paraId="3BCA4556" w14:textId="77777777" w:rsidR="00C034A0" w:rsidRDefault="00C034A0" w:rsidP="00C034A0">
      <w:r w:rsidRPr="0008282E">
        <w:t>Figure 1 provides an example of a controlling corporation’s structure. For simplicity, only greenhouse gas</w:t>
      </w:r>
      <w:r>
        <w:t xml:space="preserve"> </w:t>
      </w:r>
      <w:r w:rsidRPr="0008282E">
        <w:t>emissions (CO</w:t>
      </w:r>
      <w:r w:rsidRPr="0008282E">
        <w:rPr>
          <w:vertAlign w:val="subscript"/>
        </w:rPr>
        <w:t>2</w:t>
      </w:r>
      <w:r w:rsidRPr="0008282E">
        <w:t>-e) figures are provided here. Reporters also need to consider each facility's energy production and consumption when considering whether a facility threshold has been triggered.</w:t>
      </w:r>
    </w:p>
    <w:p w14:paraId="59D2BBDF" w14:textId="77777777" w:rsidR="00C034A0" w:rsidRPr="00984736" w:rsidRDefault="00C034A0" w:rsidP="00C034A0">
      <w:r>
        <w:t>In this example, all the facilities are attributable to the same industry sector, none of the facilities are designated generation facilities, and all facilities are in the same state.</w:t>
      </w:r>
    </w:p>
    <w:p w14:paraId="7C5258ED" w14:textId="3B65C174" w:rsidR="00C034A0" w:rsidRPr="0008282E" w:rsidRDefault="00C034A0" w:rsidP="0081044A">
      <w:pPr>
        <w:pStyle w:val="Caption"/>
      </w:pPr>
      <w:r w:rsidRPr="0008282E">
        <w:t>Figure 1—Corporation arranged by group member</w:t>
      </w:r>
      <w:r w:rsidR="0076205D">
        <w:t>.</w:t>
      </w:r>
    </w:p>
    <w:p w14:paraId="7E2A88BC" w14:textId="77777777" w:rsidR="00C034A0" w:rsidRPr="0008282E" w:rsidRDefault="00C034A0" w:rsidP="00E10E68">
      <w:pPr>
        <w:spacing w:line="276" w:lineRule="auto"/>
        <w:jc w:val="center"/>
      </w:pPr>
      <w:r>
        <w:rPr>
          <w:noProof/>
          <w:lang w:eastAsia="en-AU"/>
        </w:rPr>
        <w:drawing>
          <wp:inline distT="0" distB="0" distL="0" distR="0" wp14:anchorId="71CAC9C2" wp14:editId="2589B665">
            <wp:extent cx="4019550" cy="3319566"/>
            <wp:effectExtent l="0" t="0" r="0" b="0"/>
            <wp:docPr id="2" name="Picture 2" descr="A flow chart showing a controlling corporation with two group members underneath, Group Member 1 and Group Member 2. Each is linked to multiple facilities displaying their CO₂ emissions in kilotonnes. There are 5 facilities displayed under Group Member 1 and 2 facilities displayed under Group Membe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flow chart showing a controlling corporation with two group members underneath, Group Member 1 and Group Member 2. Each is linked to multiple facilities displaying their CO₂ emissions in kilotonnes. There are 5 facilities displayed under Group Member 1 and 2 facilities displayed under Group Member 2."/>
                    <pic:cNvPicPr/>
                  </pic:nvPicPr>
                  <pic:blipFill>
                    <a:blip r:embed="rId29" cstate="email">
                      <a:extLst>
                        <a:ext uri="{28A0092B-C50C-407E-A947-70E740481C1C}">
                          <a14:useLocalDpi xmlns:a14="http://schemas.microsoft.com/office/drawing/2010/main"/>
                        </a:ext>
                      </a:extLst>
                    </a:blip>
                    <a:stretch>
                      <a:fillRect/>
                    </a:stretch>
                  </pic:blipFill>
                  <pic:spPr>
                    <a:xfrm>
                      <a:off x="0" y="0"/>
                      <a:ext cx="4019550" cy="3319566"/>
                    </a:xfrm>
                    <a:prstGeom prst="rect">
                      <a:avLst/>
                    </a:prstGeom>
                  </pic:spPr>
                </pic:pic>
              </a:graphicData>
            </a:graphic>
          </wp:inline>
        </w:drawing>
      </w:r>
    </w:p>
    <w:p w14:paraId="0DB2BD7B" w14:textId="77777777" w:rsidR="00E10E68" w:rsidRPr="0008282E" w:rsidRDefault="00E10E68" w:rsidP="00E10E68">
      <w:pPr>
        <w:pStyle w:val="CERbullets"/>
        <w:spacing w:before="0" w:after="200" w:line="276" w:lineRule="auto"/>
      </w:pPr>
      <w:r w:rsidRPr="0008282E">
        <w:t>Group Members 1 and 2 are subsidiaries of the controlling corporation. Group Member 1 has operational control over Facilities 1 to 5 and Group Member 2 has operational control over Facilities 6 and 7.</w:t>
      </w:r>
    </w:p>
    <w:p w14:paraId="1D1BC9F7" w14:textId="0E916B71" w:rsidR="00E10E68" w:rsidRPr="0008282E" w:rsidRDefault="00E10E68" w:rsidP="00E10E68">
      <w:pPr>
        <w:pStyle w:val="CERbullets"/>
        <w:spacing w:before="0" w:after="200" w:line="276" w:lineRule="auto"/>
      </w:pPr>
      <w:r w:rsidRPr="0008282E">
        <w:lastRenderedPageBreak/>
        <w:t xml:space="preserve">The total greenhouse gas emissions for this corporate group </w:t>
      </w:r>
      <w:r w:rsidR="00BF59DE">
        <w:t>are</w:t>
      </w:r>
      <w:r w:rsidRPr="0008282E">
        <w:t xml:space="preserve"> 112</w:t>
      </w:r>
      <w:r w:rsidR="003A09E4">
        <w:t> </w:t>
      </w:r>
      <w:r w:rsidRPr="0008282E">
        <w:t>kt</w:t>
      </w:r>
      <w:r w:rsidR="003A09E4">
        <w:t> </w:t>
      </w:r>
      <w:r w:rsidRPr="0008282E">
        <w:t>CO</w:t>
      </w:r>
      <w:r w:rsidRPr="0008282E">
        <w:rPr>
          <w:vertAlign w:val="subscript"/>
        </w:rPr>
        <w:t>2</w:t>
      </w:r>
      <w:r w:rsidRPr="0008282E">
        <w:t>-e, triggering the corporate threshold of 50</w:t>
      </w:r>
      <w:r w:rsidR="003A09E4">
        <w:t> </w:t>
      </w:r>
      <w:r w:rsidRPr="0008282E">
        <w:t xml:space="preserve">kt. The controlling corporation must therefore report on all facilities under the operational control of its group members. </w:t>
      </w:r>
    </w:p>
    <w:p w14:paraId="4E1FB7A3" w14:textId="37C74102" w:rsidR="00E10E68" w:rsidRPr="0008282E" w:rsidRDefault="00E10E68" w:rsidP="00E10E68">
      <w:pPr>
        <w:pStyle w:val="CERbullets"/>
        <w:spacing w:before="0" w:after="200" w:line="276" w:lineRule="auto"/>
      </w:pPr>
      <w:r w:rsidRPr="0008282E">
        <w:t>To aggregate by group member, there must be more than one facility under the operational control of that group member</w:t>
      </w:r>
      <w:r>
        <w:t xml:space="preserve"> that comes below the facility threshold of 25</w:t>
      </w:r>
      <w:r w:rsidR="003A09E4">
        <w:t> </w:t>
      </w:r>
      <w:r>
        <w:t>kt</w:t>
      </w:r>
      <w:r w:rsidR="003A09E4">
        <w:t> </w:t>
      </w:r>
      <w:r w:rsidRPr="0008282E">
        <w:t>CO</w:t>
      </w:r>
      <w:r w:rsidRPr="0008282E">
        <w:rPr>
          <w:vertAlign w:val="subscript"/>
        </w:rPr>
        <w:t>2</w:t>
      </w:r>
      <w:r w:rsidRPr="0008282E">
        <w:t xml:space="preserve">-e. </w:t>
      </w:r>
    </w:p>
    <w:p w14:paraId="31D4B6D1" w14:textId="7FB0ECF1" w:rsidR="00E10E68" w:rsidRPr="0008282E" w:rsidRDefault="00E10E68" w:rsidP="00E10E68">
      <w:pPr>
        <w:pStyle w:val="CERbullets"/>
        <w:spacing w:before="0" w:after="200" w:line="276" w:lineRule="auto"/>
      </w:pPr>
      <w:r w:rsidRPr="0008282E">
        <w:t xml:space="preserve">Facilities 1, 2, 4 and 5 can be aggregated (assuming they all share the same ANZSIC code and are in the same state or territory) under Group Member 1. However, </w:t>
      </w:r>
      <w:r>
        <w:t>F</w:t>
      </w:r>
      <w:r w:rsidRPr="0008282E">
        <w:t xml:space="preserve">acility 3 cannot be aggregated as </w:t>
      </w:r>
      <w:r>
        <w:t xml:space="preserve">its </w:t>
      </w:r>
      <w:r w:rsidRPr="0008282E">
        <w:t>greenhouse gas emissions of 26</w:t>
      </w:r>
      <w:r w:rsidR="003D2293">
        <w:t> </w:t>
      </w:r>
      <w:r w:rsidRPr="0008282E">
        <w:t>kt</w:t>
      </w:r>
      <w:r w:rsidR="003D2293">
        <w:t> </w:t>
      </w:r>
      <w:r w:rsidRPr="0008282E">
        <w:t>CO</w:t>
      </w:r>
      <w:r w:rsidRPr="0008282E">
        <w:rPr>
          <w:vertAlign w:val="subscript"/>
        </w:rPr>
        <w:t>2</w:t>
      </w:r>
      <w:r w:rsidRPr="0008282E">
        <w:t xml:space="preserve">-e is above the facility threshold. </w:t>
      </w:r>
    </w:p>
    <w:p w14:paraId="795E4373" w14:textId="48763828" w:rsidR="00C034A0" w:rsidRPr="00D95E82" w:rsidRDefault="00E10E68" w:rsidP="00E10E68">
      <w:r w:rsidRPr="0008282E">
        <w:t xml:space="preserve">Group Member 2 cannot aggregate any facilities as </w:t>
      </w:r>
      <w:r>
        <w:t>F</w:t>
      </w:r>
      <w:r w:rsidRPr="0008282E">
        <w:t xml:space="preserve">acility </w:t>
      </w:r>
      <w:r>
        <w:t>6</w:t>
      </w:r>
      <w:r w:rsidRPr="0008282E">
        <w:t xml:space="preserve"> is over the greenhouse gas emissions threshold and the remaining facility (Facility 7) cannot be aggregated on its own.</w:t>
      </w:r>
    </w:p>
    <w:p w14:paraId="304E869E" w14:textId="3C81B0E5" w:rsidR="00C034A0" w:rsidRPr="0008282E" w:rsidRDefault="00C034A0" w:rsidP="00C034A0">
      <w:pPr>
        <w:pStyle w:val="Caption"/>
      </w:pPr>
      <w:r w:rsidRPr="0008282E">
        <w:t xml:space="preserve">Figure 2—Reporting </w:t>
      </w:r>
      <w:r>
        <w:t xml:space="preserve">the same corporate group with facilities </w:t>
      </w:r>
      <w:r w:rsidRPr="0008282E">
        <w:t>aggregated</w:t>
      </w:r>
      <w:r w:rsidR="0076205D">
        <w:t>.</w:t>
      </w:r>
      <w:r>
        <w:t xml:space="preserve"> </w:t>
      </w:r>
    </w:p>
    <w:p w14:paraId="4F8F2E58" w14:textId="77777777" w:rsidR="00C034A0" w:rsidRPr="0008282E" w:rsidRDefault="00C034A0" w:rsidP="00E10E68">
      <w:pPr>
        <w:spacing w:line="276" w:lineRule="auto"/>
        <w:jc w:val="center"/>
      </w:pPr>
      <w:r>
        <w:rPr>
          <w:noProof/>
          <w:lang w:eastAsia="en-AU"/>
        </w:rPr>
        <w:drawing>
          <wp:inline distT="0" distB="0" distL="0" distR="0" wp14:anchorId="3CFA887E" wp14:editId="5B174253">
            <wp:extent cx="4199861" cy="3112495"/>
            <wp:effectExtent l="0" t="0" r="0" b="0"/>
            <wp:docPr id="3" name="Picture 3" descr="A flow chart showing a controlling corporation with two group members, Group Member 1 and Group Member 2. Each is linked to multiple facilities  displaying their CO₂ emissions in kilotonnes. A Facility Aggregate (1,2,4 and 5) and Facility 3 are displayed under Group Member 1. Facility 6 and Facility 7 are shown under Group Membe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flow chart showing a controlling corporation with two group members, Group Member 1 and Group Member 2. Each is linked to multiple facilities  displaying their CO₂ emissions in kilotonnes. A Facility Aggregate (1,2,4 and 5) and Facility 3 are displayed under Group Member 1. Facility 6 and Facility 7 are shown under Group Member 2."/>
                    <pic:cNvPicPr/>
                  </pic:nvPicPr>
                  <pic:blipFill>
                    <a:blip r:embed="rId30" cstate="email">
                      <a:extLst>
                        <a:ext uri="{28A0092B-C50C-407E-A947-70E740481C1C}">
                          <a14:useLocalDpi xmlns:a14="http://schemas.microsoft.com/office/drawing/2010/main"/>
                        </a:ext>
                      </a:extLst>
                    </a:blip>
                    <a:stretch>
                      <a:fillRect/>
                    </a:stretch>
                  </pic:blipFill>
                  <pic:spPr>
                    <a:xfrm>
                      <a:off x="0" y="0"/>
                      <a:ext cx="4199267" cy="3112055"/>
                    </a:xfrm>
                    <a:prstGeom prst="rect">
                      <a:avLst/>
                    </a:prstGeom>
                  </pic:spPr>
                </pic:pic>
              </a:graphicData>
            </a:graphic>
          </wp:inline>
        </w:drawing>
      </w:r>
    </w:p>
    <w:p w14:paraId="1EEF983A" w14:textId="77777777" w:rsidR="00E10E68" w:rsidRPr="0008282E" w:rsidRDefault="00E10E68" w:rsidP="00E10E68">
      <w:pPr>
        <w:pStyle w:val="CERbullets"/>
        <w:spacing w:before="0" w:after="200" w:line="276" w:lineRule="auto"/>
      </w:pPr>
      <w:bookmarkStart w:id="38" w:name="_Toc424883873"/>
      <w:bookmarkStart w:id="39" w:name="_Toc76039489"/>
      <w:r>
        <w:t>A</w:t>
      </w:r>
      <w:r w:rsidRPr="0008282E">
        <w:t xml:space="preserve">ggregated data for </w:t>
      </w:r>
      <w:r>
        <w:t>F</w:t>
      </w:r>
      <w:r w:rsidRPr="0008282E">
        <w:t>acilities 1,</w:t>
      </w:r>
      <w:r>
        <w:t xml:space="preserve"> </w:t>
      </w:r>
      <w:r w:rsidRPr="0008282E">
        <w:t xml:space="preserve">2, 4 and 5 is reported under a </w:t>
      </w:r>
      <w:r>
        <w:t>f</w:t>
      </w:r>
      <w:r w:rsidRPr="0008282E">
        <w:t xml:space="preserve">acility </w:t>
      </w:r>
      <w:r>
        <w:t>a</w:t>
      </w:r>
      <w:r w:rsidRPr="0008282E">
        <w:t>ggregate</w:t>
      </w:r>
      <w:r>
        <w:t>.</w:t>
      </w:r>
    </w:p>
    <w:p w14:paraId="68AFB87E" w14:textId="77777777" w:rsidR="00E10E68" w:rsidRPr="0008282E" w:rsidRDefault="00E10E68" w:rsidP="00E10E68">
      <w:pPr>
        <w:pStyle w:val="CERbullets"/>
        <w:spacing w:before="0" w:after="200" w:line="276" w:lineRule="auto"/>
      </w:pPr>
      <w:r>
        <w:t>F</w:t>
      </w:r>
      <w:r w:rsidRPr="0008282E">
        <w:t xml:space="preserve">acility 3 data </w:t>
      </w:r>
      <w:r>
        <w:t xml:space="preserve">is </w:t>
      </w:r>
      <w:r w:rsidRPr="0008282E">
        <w:t>reported separately from the aggregated facilities as it triggers a facility threshold</w:t>
      </w:r>
      <w:r>
        <w:t>.</w:t>
      </w:r>
    </w:p>
    <w:p w14:paraId="66754356" w14:textId="77777777" w:rsidR="008B0235" w:rsidRPr="0081044A" w:rsidRDefault="00E10E68" w:rsidP="00876099">
      <w:pPr>
        <w:pStyle w:val="CERbullets"/>
        <w:rPr>
          <w:rStyle w:val="Heading2Char"/>
          <w:rFonts w:asciiTheme="minorHAnsi" w:eastAsia="Cambria" w:hAnsiTheme="minorHAnsi"/>
          <w:b w:val="0"/>
          <w:bCs w:val="0"/>
          <w:color w:val="auto"/>
          <w:sz w:val="22"/>
          <w:szCs w:val="24"/>
        </w:rPr>
      </w:pPr>
      <w:r w:rsidRPr="00876099">
        <w:t>Facilities 6 and 7 are reported separately as Group Member 2 is unable to aggregate facilities.</w:t>
      </w:r>
      <w:r w:rsidR="00C017AD">
        <w:br/>
      </w:r>
    </w:p>
    <w:p w14:paraId="57BEFF15" w14:textId="536F0DE7" w:rsidR="00C034A0" w:rsidRPr="0008282E" w:rsidRDefault="00C034A0" w:rsidP="0081044A">
      <w:pPr>
        <w:pStyle w:val="Heading2"/>
      </w:pPr>
      <w:bookmarkStart w:id="40" w:name="_Toc235706764"/>
      <w:r w:rsidRPr="0081044A">
        <w:rPr>
          <w:rFonts w:eastAsia="Cambria"/>
        </w:rPr>
        <w:t>Aggregating by business unit</w:t>
      </w:r>
      <w:bookmarkEnd w:id="38"/>
      <w:bookmarkEnd w:id="39"/>
      <w:bookmarkEnd w:id="40"/>
    </w:p>
    <w:p w14:paraId="554CBCFE" w14:textId="559AE73A" w:rsidR="00C034A0" w:rsidRDefault="00C034A0" w:rsidP="00C034A0">
      <w:pPr>
        <w:spacing w:line="276" w:lineRule="auto"/>
      </w:pPr>
      <w:r w:rsidRPr="0008282E">
        <w:t xml:space="preserve">A reporter may </w:t>
      </w:r>
      <w:r>
        <w:t xml:space="preserve">alternatively </w:t>
      </w:r>
      <w:r w:rsidRPr="0008282E">
        <w:t xml:space="preserve">report aggregated greenhouse gas emissions and energy data by business unit. Aggregation of facility data by business unit is permitted </w:t>
      </w:r>
      <w:r w:rsidR="00342CE6" w:rsidRPr="0008282E">
        <w:t>to</w:t>
      </w:r>
      <w:r w:rsidRPr="0008282E">
        <w:t xml:space="preserve"> reduce the reporting burden</w:t>
      </w:r>
      <w:r>
        <w:t xml:space="preserve"> and</w:t>
      </w:r>
      <w:r w:rsidRPr="0008282E">
        <w:t xml:space="preserve"> facilitate matching of greenhouse gas emissions and energy data reporting with the internal corporate structures of reporters. </w:t>
      </w:r>
    </w:p>
    <w:p w14:paraId="7BFB397B" w14:textId="54E717A0" w:rsidR="00C034A0" w:rsidRPr="0008282E" w:rsidRDefault="00C034A0" w:rsidP="00C034A0">
      <w:pPr>
        <w:spacing w:line="276" w:lineRule="auto"/>
      </w:pPr>
      <w:r>
        <w:t>Business unit reporting may be preferred by some corporate groups that internally aggregate their data by product or service</w:t>
      </w:r>
      <w:r w:rsidR="004B5E4B">
        <w:t>. For example</w:t>
      </w:r>
      <w:r>
        <w:t>,</w:t>
      </w:r>
      <w:r w:rsidR="00BB0CA8">
        <w:t xml:space="preserve"> a reporter may </w:t>
      </w:r>
      <w:r w:rsidR="00CE1574">
        <w:t>choose to aggregate their data a</w:t>
      </w:r>
      <w:r w:rsidR="00C064AC">
        <w:t>nd report</w:t>
      </w:r>
      <w:r w:rsidR="00D0537C">
        <w:t xml:space="preserve"> 3 separate business units: </w:t>
      </w:r>
      <w:r>
        <w:t xml:space="preserve">a cement </w:t>
      </w:r>
      <w:r w:rsidR="00F34F9C">
        <w:t>business</w:t>
      </w:r>
      <w:r>
        <w:t xml:space="preserve"> unit, a brick </w:t>
      </w:r>
      <w:r w:rsidR="00F34F9C">
        <w:t xml:space="preserve">business </w:t>
      </w:r>
      <w:r>
        <w:t>unit, and</w:t>
      </w:r>
      <w:r w:rsidR="089BE3C9">
        <w:t xml:space="preserve"> </w:t>
      </w:r>
      <w:r>
        <w:t xml:space="preserve">a corporate services </w:t>
      </w:r>
      <w:r w:rsidR="00F34F9C">
        <w:t>business unit</w:t>
      </w:r>
      <w:r>
        <w:t>.</w:t>
      </w:r>
    </w:p>
    <w:p w14:paraId="6FD92262" w14:textId="77777777" w:rsidR="00C034A0" w:rsidRPr="0008282E" w:rsidRDefault="00C034A0" w:rsidP="00C034A0">
      <w:pPr>
        <w:pStyle w:val="Heading3"/>
        <w:spacing w:before="0" w:line="276" w:lineRule="auto"/>
      </w:pPr>
      <w:bookmarkStart w:id="41" w:name="_Toc424883874"/>
      <w:bookmarkStart w:id="42" w:name="_Toc427059200"/>
      <w:bookmarkStart w:id="43" w:name="_Toc49341431"/>
      <w:bookmarkStart w:id="44" w:name="_Toc76039490"/>
      <w:bookmarkStart w:id="45" w:name="_Toc235706765"/>
      <w:r>
        <w:lastRenderedPageBreak/>
        <w:t>R</w:t>
      </w:r>
      <w:r w:rsidRPr="0008282E">
        <w:t>eport</w:t>
      </w:r>
      <w:r>
        <w:t>ing</w:t>
      </w:r>
      <w:r w:rsidRPr="0008282E">
        <w:t xml:space="preserve"> by business unit</w:t>
      </w:r>
      <w:bookmarkEnd w:id="41"/>
      <w:bookmarkEnd w:id="42"/>
      <w:bookmarkEnd w:id="43"/>
      <w:bookmarkEnd w:id="44"/>
      <w:bookmarkEnd w:id="45"/>
    </w:p>
    <w:p w14:paraId="78090FCC" w14:textId="77777777" w:rsidR="00C034A0" w:rsidRPr="0008282E" w:rsidRDefault="00C034A0" w:rsidP="00C034A0">
      <w:pPr>
        <w:spacing w:line="276" w:lineRule="auto"/>
      </w:pPr>
      <w:r w:rsidRPr="0008282E">
        <w:t>As previously stated, a 'business unit' is a unit that is recognised by a reporter as having administrative responsibility for one or more facilities (</w:t>
      </w:r>
      <w:r w:rsidRPr="00DD77FF">
        <w:t>NGER Regulation 2.01A).</w:t>
      </w:r>
      <w:r w:rsidRPr="0008282E">
        <w:t xml:space="preserve"> </w:t>
      </w:r>
    </w:p>
    <w:p w14:paraId="0EAFEB3D" w14:textId="77777777" w:rsidR="00C034A0" w:rsidRPr="0008282E" w:rsidRDefault="00C034A0" w:rsidP="00C034A0">
      <w:pPr>
        <w:spacing w:line="276" w:lineRule="auto"/>
      </w:pPr>
      <w:r w:rsidRPr="009E05CB">
        <w:t>Important:</w:t>
      </w:r>
      <w:r w:rsidRPr="0008282E">
        <w:t xml:space="preserve"> </w:t>
      </w:r>
      <w:r>
        <w:t>B</w:t>
      </w:r>
      <w:r w:rsidRPr="0008282E">
        <w:t>usiness units can only be used by reporters as a method of grouping and reporting data</w:t>
      </w:r>
      <w:r>
        <w:t>. T</w:t>
      </w:r>
      <w:r w:rsidRPr="0008282E">
        <w:t xml:space="preserve">he legislation does not recognise </w:t>
      </w:r>
      <w:r>
        <w:t>a</w:t>
      </w:r>
      <w:r w:rsidRPr="0008282E">
        <w:t xml:space="preserve"> business unit as a legal entity</w:t>
      </w:r>
      <w:r>
        <w:t>,</w:t>
      </w:r>
      <w:r w:rsidRPr="0008282E">
        <w:t xml:space="preserve"> so the reporter still needs to consider questions of thresholds and operational control using the controlling corporation</w:t>
      </w:r>
      <w:r>
        <w:t xml:space="preserve">, </w:t>
      </w:r>
      <w:r w:rsidRPr="0008282E">
        <w:t>group member</w:t>
      </w:r>
      <w:r>
        <w:t xml:space="preserve"> and </w:t>
      </w:r>
      <w:r w:rsidRPr="0008282E">
        <w:t>facility structure set out in the NGER legislation. In EERS, business units can only be set up directly under the reporting entity</w:t>
      </w:r>
      <w:r>
        <w:t>, that is,</w:t>
      </w:r>
      <w:r w:rsidRPr="0008282E">
        <w:t xml:space="preserve"> the controlling corporation or 22X reporter. </w:t>
      </w:r>
    </w:p>
    <w:p w14:paraId="0DE04CD1" w14:textId="77777777" w:rsidR="00C034A0" w:rsidRPr="0008282E" w:rsidRDefault="00C034A0" w:rsidP="00C034A0">
      <w:pPr>
        <w:spacing w:line="276" w:lineRule="auto"/>
      </w:pPr>
      <w:r w:rsidRPr="0008282E">
        <w:t>Aggregating by business units will be particularly helpful in situations where the reporter wishes to aggregate several facilities under the operational control of different group members. If these facilities are under the administrative control of the same business unit and the other requirements for aggregated reporting are met</w:t>
      </w:r>
      <w:r>
        <w:t>,</w:t>
      </w:r>
      <w:r w:rsidRPr="0008282E">
        <w:t xml:space="preserve"> the reporter can pull these facilities out of the group member / subsidiary corporate structure and report them as facility aggregates under a single business unit. </w:t>
      </w:r>
    </w:p>
    <w:p w14:paraId="70EFB69B" w14:textId="42A3ED2B" w:rsidR="00C034A0" w:rsidRPr="0008282E" w:rsidRDefault="00C034A0" w:rsidP="00C034A0">
      <w:pPr>
        <w:pStyle w:val="Caption"/>
      </w:pPr>
      <w:r w:rsidRPr="0008282E">
        <w:t xml:space="preserve">Figure 3—Corporation </w:t>
      </w:r>
      <w:r>
        <w:t xml:space="preserve">with facilities </w:t>
      </w:r>
      <w:r w:rsidRPr="0008282E">
        <w:t>arranged by business unit</w:t>
      </w:r>
      <w:r w:rsidR="00B41988">
        <w:t>.</w:t>
      </w:r>
    </w:p>
    <w:p w14:paraId="326E7D6F" w14:textId="74347C9B" w:rsidR="00C017AD" w:rsidRDefault="00C034A0" w:rsidP="00E10E68">
      <w:pPr>
        <w:spacing w:line="276" w:lineRule="auto"/>
        <w:jc w:val="center"/>
      </w:pPr>
      <w:r>
        <w:rPr>
          <w:noProof/>
          <w:lang w:eastAsia="en-AU"/>
        </w:rPr>
        <w:drawing>
          <wp:inline distT="0" distB="0" distL="0" distR="0" wp14:anchorId="7C085E81" wp14:editId="0DF13575">
            <wp:extent cx="4035552" cy="3352800"/>
            <wp:effectExtent l="0" t="0" r="3175" b="0"/>
            <wp:docPr id="7" name="Picture 7" descr="A flow chart showing a Controlling Corporation with Manufacturing Business Unit and Distribution Unit underneath. Each is linked to multiple facilities displaying their CO₂ emissions in kilotonnes. Facilities 2, 3, 4 and 6 are under Manufacturing Business Unit. Facilities 1, 5, and 7 are under Distribution Business Uni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flow chart showing a Controlling Corporation with Manufacturing Business Unit and Distribution Unit underneath. Each is linked to multiple facilities displaying their CO₂ emissions in kilotonnes. Facilities 2, 3, 4 and 6 are under Manufacturing Business Unit. Facilities 1, 5, and 7 are under Distribution Business Unit.&#10;&#10;"/>
                    <pic:cNvPicPr/>
                  </pic:nvPicPr>
                  <pic:blipFill>
                    <a:blip r:embed="rId31" cstate="email">
                      <a:extLst>
                        <a:ext uri="{28A0092B-C50C-407E-A947-70E740481C1C}">
                          <a14:useLocalDpi xmlns:a14="http://schemas.microsoft.com/office/drawing/2010/main"/>
                        </a:ext>
                      </a:extLst>
                    </a:blip>
                    <a:stretch>
                      <a:fillRect/>
                    </a:stretch>
                  </pic:blipFill>
                  <pic:spPr>
                    <a:xfrm>
                      <a:off x="0" y="0"/>
                      <a:ext cx="4035552" cy="3352800"/>
                    </a:xfrm>
                    <a:prstGeom prst="rect">
                      <a:avLst/>
                    </a:prstGeom>
                  </pic:spPr>
                </pic:pic>
              </a:graphicData>
            </a:graphic>
          </wp:inline>
        </w:drawing>
      </w:r>
    </w:p>
    <w:p w14:paraId="5F1A4D85" w14:textId="6533C048" w:rsidR="00E10E68" w:rsidRPr="0008282E" w:rsidRDefault="00E10E68" w:rsidP="00E10E68">
      <w:pPr>
        <w:pStyle w:val="CERbullets"/>
        <w:spacing w:before="0" w:after="200" w:line="276" w:lineRule="auto"/>
      </w:pPr>
      <w:r w:rsidRPr="0008282E">
        <w:t xml:space="preserve">As noted in Figure 1, the total greenhouse gas emissions for this corporate group </w:t>
      </w:r>
      <w:r w:rsidR="00DD34D4">
        <w:t>are</w:t>
      </w:r>
      <w:r w:rsidRPr="0008282E">
        <w:t xml:space="preserve"> 112</w:t>
      </w:r>
      <w:r w:rsidR="00B071DB">
        <w:t> </w:t>
      </w:r>
      <w:r w:rsidRPr="0008282E">
        <w:t xml:space="preserve">kt, triggering the corporate threshold, so the corporation must report on all facilities. </w:t>
      </w:r>
    </w:p>
    <w:p w14:paraId="0F1CDCF5" w14:textId="77777777" w:rsidR="00E10E68" w:rsidRPr="0008282E" w:rsidRDefault="00E10E68" w:rsidP="00E10E68">
      <w:pPr>
        <w:pStyle w:val="CERbullets"/>
        <w:spacing w:before="0" w:after="200" w:line="276" w:lineRule="auto"/>
      </w:pPr>
      <w:r w:rsidRPr="0008282E">
        <w:t xml:space="preserve">The Manufacturing Business Unit has administrative responsibility for Facilities 2, 3, 4 and 6. The Distribution Business Unit has administrative responsibility for Facilities 1, 5 and 7. To aggregate by </w:t>
      </w:r>
      <w:r>
        <w:t>b</w:t>
      </w:r>
      <w:r w:rsidRPr="0008282E">
        <w:t xml:space="preserve">usiness </w:t>
      </w:r>
      <w:r>
        <w:t>u</w:t>
      </w:r>
      <w:r w:rsidRPr="0008282E">
        <w:t xml:space="preserve">nit, there must be more than one below-threshold facility for which the </w:t>
      </w:r>
      <w:r>
        <w:t>b</w:t>
      </w:r>
      <w:r w:rsidRPr="0008282E">
        <w:t xml:space="preserve">usiness </w:t>
      </w:r>
      <w:r>
        <w:t>u</w:t>
      </w:r>
      <w:r w:rsidRPr="0008282E">
        <w:t xml:space="preserve">nit has administrative responsibility. </w:t>
      </w:r>
    </w:p>
    <w:p w14:paraId="61555D39" w14:textId="77777777" w:rsidR="00E10E68" w:rsidRDefault="00E10E68" w:rsidP="00E10E68">
      <w:pPr>
        <w:pStyle w:val="CERbullets"/>
        <w:spacing w:before="0" w:after="200" w:line="276" w:lineRule="auto"/>
      </w:pPr>
      <w:r w:rsidRPr="0008282E">
        <w:t xml:space="preserve">Facilities 2 and 4 may be reported as an aggregated amount under the Manufacturing Business Unit, and </w:t>
      </w:r>
      <w:r>
        <w:t>F</w:t>
      </w:r>
      <w:r w:rsidRPr="0008282E">
        <w:t xml:space="preserve">acilities 1, 5 and 7 may be reported as an aggregated amount under the distribution business unit. </w:t>
      </w:r>
    </w:p>
    <w:p w14:paraId="570E69F6" w14:textId="6FA7860B" w:rsidR="00091E1E" w:rsidRDefault="00E10E68" w:rsidP="00091E1E">
      <w:pPr>
        <w:spacing w:after="0"/>
      </w:pPr>
      <w:r>
        <w:lastRenderedPageBreak/>
        <w:t xml:space="preserve">Facilities 3 and 6 each trigger a facility threshold, so are </w:t>
      </w:r>
      <w:r w:rsidR="7BC3AC2D">
        <w:t>in</w:t>
      </w:r>
      <w:r>
        <w:t xml:space="preserve">eligible to be aggregated. These facilities must be reported under the group member that has operational control over the facility. </w:t>
      </w:r>
    </w:p>
    <w:p w14:paraId="3473D449" w14:textId="77777777" w:rsidR="00091E1E" w:rsidRDefault="00091E1E" w:rsidP="00091E1E">
      <w:pPr>
        <w:spacing w:after="0"/>
      </w:pPr>
    </w:p>
    <w:p w14:paraId="05A1A001" w14:textId="27F5C9EC" w:rsidR="00C034A0" w:rsidRPr="00091E1E" w:rsidRDefault="00C034A0" w:rsidP="00091E1E">
      <w:pPr>
        <w:pStyle w:val="Caption"/>
        <w:rPr>
          <w:rFonts w:asciiTheme="minorHAnsi" w:eastAsia="Cambria" w:hAnsiTheme="minorHAnsi" w:cstheme="minorHAnsi"/>
          <w:sz w:val="22"/>
          <w:szCs w:val="24"/>
        </w:rPr>
      </w:pPr>
      <w:r w:rsidRPr="0008282E">
        <w:t>Figure 4—Reporting by business unit</w:t>
      </w:r>
      <w:r w:rsidR="007A58B4">
        <w:t>.</w:t>
      </w:r>
      <w:r w:rsidRPr="0008282E">
        <w:t xml:space="preserve"> </w:t>
      </w:r>
    </w:p>
    <w:p w14:paraId="2483F725" w14:textId="77777777" w:rsidR="00C034A0" w:rsidRPr="0008282E" w:rsidRDefault="00C034A0" w:rsidP="00E10E68">
      <w:pPr>
        <w:spacing w:line="276" w:lineRule="auto"/>
        <w:jc w:val="center"/>
      </w:pPr>
      <w:r>
        <w:rPr>
          <w:noProof/>
          <w:lang w:eastAsia="en-AU"/>
        </w:rPr>
        <w:drawing>
          <wp:inline distT="0" distB="0" distL="0" distR="0" wp14:anchorId="72AF2094" wp14:editId="1ABB3568">
            <wp:extent cx="4519846" cy="2860158"/>
            <wp:effectExtent l="0" t="0" r="0" b="0"/>
            <wp:docPr id="14" name="Picture 14" descr="A flow chart showing a Controlling Corporation with Group Member 1, Group Member 2, Manufacturing Business Unit, and Distribution Unit underneath. Group Member 1 is linked to Facility 3 underneath it, displaying CO₂ emissions in kilotonnes. Group Member 2 is linked to Facility 6 underneath it, displaying CO₂ emissions in kilotonnes. Distribution Business Unit is linked to Facility Aggregate (1,7,5) displaying a CO₂ emissions figure in kilotonnes. Manufacturing Business Unit is linked to Facility Aggregate (2,4) displaying a CO₂ emissions figure in kiloton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flow chart showing a Controlling Corporation with Group Member 1, Group Member 2, Manufacturing Business Unit, and Distribution Unit underneath. Group Member 1 is linked to Facility 3 underneath it, displaying CO₂ emissions in kilotonnes. Group Member 2 is linked to Facility 6 underneath it, displaying CO₂ emissions in kilotonnes. Distribution Business Unit is linked to Facility Aggregate (1,7,5) displaying a CO₂ emissions figure in kilotonnes. Manufacturing Business Unit is linked to Facility Aggregate (2,4) displaying a CO₂ emissions figure in kilotonnes."/>
                    <pic:cNvPicPr/>
                  </pic:nvPicPr>
                  <pic:blipFill>
                    <a:blip r:embed="rId32" cstate="email">
                      <a:extLst>
                        <a:ext uri="{28A0092B-C50C-407E-A947-70E740481C1C}">
                          <a14:useLocalDpi xmlns:a14="http://schemas.microsoft.com/office/drawing/2010/main"/>
                        </a:ext>
                      </a:extLst>
                    </a:blip>
                    <a:stretch>
                      <a:fillRect/>
                    </a:stretch>
                  </pic:blipFill>
                  <pic:spPr>
                    <a:xfrm>
                      <a:off x="0" y="0"/>
                      <a:ext cx="4519846" cy="2860158"/>
                    </a:xfrm>
                    <a:prstGeom prst="rect">
                      <a:avLst/>
                    </a:prstGeom>
                  </pic:spPr>
                </pic:pic>
              </a:graphicData>
            </a:graphic>
          </wp:inline>
        </w:drawing>
      </w:r>
    </w:p>
    <w:p w14:paraId="75AD036E" w14:textId="77777777" w:rsidR="00C034A0" w:rsidRPr="0008282E" w:rsidRDefault="00C034A0" w:rsidP="00C034A0">
      <w:pPr>
        <w:pStyle w:val="Heading2"/>
        <w:spacing w:before="0" w:line="276" w:lineRule="auto"/>
      </w:pPr>
      <w:bookmarkStart w:id="46" w:name="_Toc424883875"/>
      <w:bookmarkStart w:id="47" w:name="_Toc76039491"/>
      <w:bookmarkStart w:id="48" w:name="_Toc235706766"/>
      <w:r w:rsidRPr="0008282E">
        <w:t>More complex corporate structures</w:t>
      </w:r>
      <w:bookmarkEnd w:id="46"/>
      <w:bookmarkEnd w:id="47"/>
      <w:bookmarkEnd w:id="48"/>
    </w:p>
    <w:p w14:paraId="09698D9F" w14:textId="77777777" w:rsidR="00C034A0" w:rsidRPr="0008282E" w:rsidRDefault="00C034A0" w:rsidP="00C034A0">
      <w:pPr>
        <w:spacing w:line="276" w:lineRule="auto"/>
      </w:pPr>
      <w:r w:rsidRPr="0008282E">
        <w:t>A business unit can never be set up below a group member</w:t>
      </w:r>
      <w:r>
        <w:t>, for the purposes of NGER reporting</w:t>
      </w:r>
      <w:r w:rsidRPr="0008282E">
        <w:t xml:space="preserve">. As noted above, the NGER legislation does not recognise business units as legal entities, but rather as a method of grouping and reporting data. As a result, a facility aggregate will either be set up within the legally recognised corporate group structure underneath a group member, or under a business unit which will always be created beneath the controlling corporation. </w:t>
      </w:r>
    </w:p>
    <w:p w14:paraId="316ACD93" w14:textId="77777777" w:rsidR="00C034A0" w:rsidRDefault="00C034A0" w:rsidP="00C034A0">
      <w:pPr>
        <w:spacing w:line="276" w:lineRule="auto"/>
      </w:pPr>
      <w:r w:rsidRPr="0008282E">
        <w:t>This is the case even for more complex corporate structures</w:t>
      </w:r>
      <w:r>
        <w:t>.</w:t>
      </w:r>
      <w:r w:rsidRPr="0008282E">
        <w:t xml:space="preserve"> </w:t>
      </w:r>
      <w:r>
        <w:t>F</w:t>
      </w:r>
      <w:r w:rsidRPr="0008282E">
        <w:t xml:space="preserve">or example, where there are multiple layers of affected group members. Figure 5 below includes the same facilities as earlier examples, but this corporate structure contains more affected group members. </w:t>
      </w:r>
    </w:p>
    <w:p w14:paraId="512213F2" w14:textId="77777777" w:rsidR="00C017AD" w:rsidRDefault="00C017AD">
      <w:pPr>
        <w:spacing w:after="0"/>
        <w:rPr>
          <w:rFonts w:ascii="Calibri Light" w:eastAsiaTheme="minorHAnsi" w:hAnsi="Calibri Light" w:cs="Calibri Light"/>
          <w:i/>
          <w:iCs/>
          <w:sz w:val="18"/>
          <w:szCs w:val="18"/>
        </w:rPr>
      </w:pPr>
      <w:r>
        <w:br w:type="page"/>
      </w:r>
    </w:p>
    <w:p w14:paraId="695D5ECF" w14:textId="5583A29C" w:rsidR="00C034A0" w:rsidRPr="00BB53BD" w:rsidRDefault="00C034A0" w:rsidP="00C034A0">
      <w:pPr>
        <w:pStyle w:val="Caption"/>
      </w:pPr>
      <w:r w:rsidRPr="0008282E">
        <w:lastRenderedPageBreak/>
        <w:t>Figure 5—More complex corporate structure</w:t>
      </w:r>
      <w:r w:rsidR="00C51ABC">
        <w:t>.</w:t>
      </w:r>
    </w:p>
    <w:p w14:paraId="4B8FF9B2" w14:textId="5F567DD1" w:rsidR="00C034A0" w:rsidRDefault="00C034A0" w:rsidP="00E10E68">
      <w:pPr>
        <w:spacing w:line="276" w:lineRule="auto"/>
        <w:jc w:val="center"/>
      </w:pPr>
      <w:r>
        <w:rPr>
          <w:noProof/>
          <w:lang w:eastAsia="en-AU"/>
        </w:rPr>
        <w:drawing>
          <wp:inline distT="0" distB="0" distL="0" distR="0" wp14:anchorId="62E4B626" wp14:editId="13AFADA2">
            <wp:extent cx="5294089" cy="3995145"/>
            <wp:effectExtent l="0" t="0" r="1905" b="5715"/>
            <wp:docPr id="8" name="Picture 8" descr="A flow chart showing a controlling corporation with two group members, Group Member 1 and Group Member 2. Group Member 1 is linked to Group Member 3 and 4 underneath it. Group Members 3, 4 and 2 are linked to multiple facilities displaying their CO₂ emissions in kilotonnes. There are 3 facilities displayed under Group Member 3, 2 facilities displayed under Group Member 4, and 2 facilities under Group Member 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flow chart showing a controlling corporation with two group members, Group Member 1 and Group Member 2. Group Member 1 is linked to Group Member 3 and 4 underneath it. Group Members 3, 4 and 2 are linked to multiple facilities displaying their CO₂ emissions in kilotonnes. There are 3 facilities displayed under Group Member 3, 2 facilities displayed under Group Member 4, and 2 facilities under Group Member 2. "/>
                    <pic:cNvPicPr/>
                  </pic:nvPicPr>
                  <pic:blipFill>
                    <a:blip r:embed="rId33" cstate="email">
                      <a:extLst>
                        <a:ext uri="{28A0092B-C50C-407E-A947-70E740481C1C}">
                          <a14:useLocalDpi xmlns:a14="http://schemas.microsoft.com/office/drawing/2010/main"/>
                        </a:ext>
                      </a:extLst>
                    </a:blip>
                    <a:stretch>
                      <a:fillRect/>
                    </a:stretch>
                  </pic:blipFill>
                  <pic:spPr>
                    <a:xfrm>
                      <a:off x="0" y="0"/>
                      <a:ext cx="5298526" cy="3998493"/>
                    </a:xfrm>
                    <a:prstGeom prst="rect">
                      <a:avLst/>
                    </a:prstGeom>
                  </pic:spPr>
                </pic:pic>
              </a:graphicData>
            </a:graphic>
          </wp:inline>
        </w:drawing>
      </w:r>
    </w:p>
    <w:p w14:paraId="39D945C6" w14:textId="77777777" w:rsidR="00E10E68" w:rsidRDefault="00E10E68" w:rsidP="00E10E68">
      <w:pPr>
        <w:pStyle w:val="CERbullets"/>
        <w:spacing w:before="0" w:after="200" w:line="276" w:lineRule="auto"/>
      </w:pPr>
      <w:r w:rsidRPr="0008282E">
        <w:t xml:space="preserve">If the corporation chose to aggregate by group member, only </w:t>
      </w:r>
      <w:r>
        <w:t>F</w:t>
      </w:r>
      <w:r w:rsidRPr="0008282E">
        <w:t xml:space="preserve">acilities 1, 2 and 4 could be reported as a facility aggregate under Group Member 3. </w:t>
      </w:r>
    </w:p>
    <w:p w14:paraId="6D6B01CB" w14:textId="082CCDA1" w:rsidR="00C034A0" w:rsidRPr="00E10E68" w:rsidRDefault="00E10E68" w:rsidP="00E10E68">
      <w:pPr>
        <w:pStyle w:val="CERbullets"/>
        <w:spacing w:before="0" w:after="200" w:line="276" w:lineRule="auto"/>
      </w:pPr>
      <w:r w:rsidRPr="0008282E">
        <w:t>If the corporation chose to aggregate by business unit (assuming the business units and facilities for which they have administrative responsibility are the same as in previous examples)</w:t>
      </w:r>
      <w:r>
        <w:t>,</w:t>
      </w:r>
      <w:r w:rsidRPr="0008282E">
        <w:t xml:space="preserve"> then the facilities could be aggregated as set out in Figure 6.</w:t>
      </w:r>
      <w:r w:rsidR="00C034A0">
        <w:br w:type="page"/>
      </w:r>
    </w:p>
    <w:p w14:paraId="3D30CAAC" w14:textId="78B091FE" w:rsidR="00C034A0" w:rsidRPr="0008282E" w:rsidRDefault="00C034A0" w:rsidP="00C034A0">
      <w:pPr>
        <w:pStyle w:val="Caption"/>
      </w:pPr>
      <w:r w:rsidRPr="0008282E">
        <w:lastRenderedPageBreak/>
        <w:t>Figure 6</w:t>
      </w:r>
      <w:r>
        <w:t>—</w:t>
      </w:r>
      <w:r w:rsidRPr="00704537">
        <w:t xml:space="preserve"> </w:t>
      </w:r>
      <w:r w:rsidRPr="0008282E">
        <w:t>More complex corporate structure</w:t>
      </w:r>
      <w:r>
        <w:t>, aggregated by business unit</w:t>
      </w:r>
      <w:r w:rsidR="00233192">
        <w:t>.</w:t>
      </w:r>
    </w:p>
    <w:p w14:paraId="13DC0121" w14:textId="77777777" w:rsidR="00C034A0" w:rsidRDefault="00C034A0" w:rsidP="00E10E68">
      <w:pPr>
        <w:spacing w:line="276" w:lineRule="auto"/>
        <w:jc w:val="center"/>
      </w:pPr>
      <w:r>
        <w:rPr>
          <w:noProof/>
          <w:lang w:eastAsia="en-AU"/>
        </w:rPr>
        <w:drawing>
          <wp:inline distT="0" distB="0" distL="0" distR="0" wp14:anchorId="00F8511E" wp14:editId="2BD3AB93">
            <wp:extent cx="5145024" cy="3099816"/>
            <wp:effectExtent l="0" t="0" r="0" b="5715"/>
            <wp:docPr id="9" name="Picture 9" descr="A flow chart showing a controlling corporation with two group members, Group Member 1 and Group Member 2, as well as a Distribution Business Unit and Manufacturing Business Unit.&#10;&#10;Group Member 1 is linked to Group Member 3 and 4 underneath it. Group Member 4 is linked to Facility 3 displaying CO₂ emissions in kilotonnes. Group Member 2 is linked to Facility 6 displaying CO₂ emissions in kilotonnes.&#10;&#10;Distribution Business Unit is linked to Facility Aggregate (1,7,5) displaying a CO₂ emissions figure in kilotonnes. Manufacturing Business Unit is linked to Facility Aggregate (2,4) displaying a CO₂ emissions figure in kilotonn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flow chart showing a controlling corporation with two group members, Group Member 1 and Group Member 2, as well as a Distribution Business Unit and Manufacturing Business Unit.&#10;&#10;Group Member 1 is linked to Group Member 3 and 4 underneath it. Group Member 4 is linked to Facility 3 displaying CO₂ emissions in kilotonnes. Group Member 2 is linked to Facility 6 displaying CO₂ emissions in kilotonnes.&#10;&#10;Distribution Business Unit is linked to Facility Aggregate (1,7,5) displaying a CO₂ emissions figure in kilotonnes. Manufacturing Business Unit is linked to Facility Aggregate (2,4) displaying a CO₂ emissions figure in kilotonnes.&#10;"/>
                    <pic:cNvPicPr/>
                  </pic:nvPicPr>
                  <pic:blipFill>
                    <a:blip r:embed="rId34" cstate="email">
                      <a:extLst>
                        <a:ext uri="{28A0092B-C50C-407E-A947-70E740481C1C}">
                          <a14:useLocalDpi xmlns:a14="http://schemas.microsoft.com/office/drawing/2010/main"/>
                        </a:ext>
                      </a:extLst>
                    </a:blip>
                    <a:stretch>
                      <a:fillRect/>
                    </a:stretch>
                  </pic:blipFill>
                  <pic:spPr>
                    <a:xfrm>
                      <a:off x="0" y="0"/>
                      <a:ext cx="5145024" cy="3099816"/>
                    </a:xfrm>
                    <a:prstGeom prst="rect">
                      <a:avLst/>
                    </a:prstGeom>
                  </pic:spPr>
                </pic:pic>
              </a:graphicData>
            </a:graphic>
          </wp:inline>
        </w:drawing>
      </w:r>
      <w:bookmarkStart w:id="49" w:name="_Toc424883876"/>
    </w:p>
    <w:p w14:paraId="7A23FDE4" w14:textId="77777777" w:rsidR="00C034A0" w:rsidRPr="0008282E" w:rsidRDefault="00C034A0" w:rsidP="00C034A0">
      <w:pPr>
        <w:pStyle w:val="Heading1"/>
      </w:pPr>
      <w:bookmarkStart w:id="50" w:name="_Toc76039492"/>
      <w:bookmarkStart w:id="51" w:name="_Toc235706767"/>
      <w:r w:rsidRPr="0008282E">
        <w:t>Percentage reporting</w:t>
      </w:r>
      <w:bookmarkEnd w:id="49"/>
      <w:bookmarkEnd w:id="50"/>
      <w:bookmarkEnd w:id="51"/>
      <w:r w:rsidRPr="0008282E">
        <w:t xml:space="preserve"> </w:t>
      </w:r>
    </w:p>
    <w:p w14:paraId="51D008CA" w14:textId="77777777" w:rsidR="00C034A0" w:rsidRPr="0008282E" w:rsidRDefault="00C034A0" w:rsidP="00C034A0">
      <w:pPr>
        <w:pStyle w:val="Heading2"/>
        <w:spacing w:before="0" w:line="276" w:lineRule="auto"/>
      </w:pPr>
      <w:bookmarkStart w:id="52" w:name="_Toc424883877"/>
      <w:bookmarkStart w:id="53" w:name="_Toc76039493"/>
      <w:bookmarkStart w:id="54" w:name="_Toc235706768"/>
      <w:r w:rsidRPr="0008282E">
        <w:t>What is percentage reporting?</w:t>
      </w:r>
      <w:bookmarkEnd w:id="52"/>
      <w:bookmarkEnd w:id="53"/>
      <w:bookmarkEnd w:id="54"/>
    </w:p>
    <w:p w14:paraId="34EE1C0E" w14:textId="77777777" w:rsidR="00C034A0" w:rsidRDefault="00C034A0" w:rsidP="00C034A0">
      <w:pPr>
        <w:spacing w:line="276" w:lineRule="auto"/>
      </w:pPr>
      <w:r w:rsidRPr="0008282E">
        <w:t xml:space="preserve">Reporters with small facilities can develop and use their own simplified methods for estimating greenhouse gas emissions and energy production and consumption, provided specified thresholds are met. </w:t>
      </w:r>
    </w:p>
    <w:p w14:paraId="2DB7036D" w14:textId="77777777" w:rsidR="00C034A0" w:rsidRPr="0008282E" w:rsidRDefault="00C034A0" w:rsidP="00C034A0">
      <w:pPr>
        <w:spacing w:line="276" w:lineRule="auto"/>
      </w:pPr>
      <w:r>
        <w:t>The circumstances in which percentage reporting can be used are set out in r</w:t>
      </w:r>
      <w:r w:rsidRPr="0008282E">
        <w:t>egulation</w:t>
      </w:r>
      <w:r>
        <w:t xml:space="preserve"> </w:t>
      </w:r>
      <w:r w:rsidRPr="0008282E">
        <w:t>4.26 of the NGER Regulations</w:t>
      </w:r>
      <w:r>
        <w:t>.</w:t>
      </w:r>
      <w:r w:rsidDel="00BD5907">
        <w:t xml:space="preserve"> </w:t>
      </w:r>
    </w:p>
    <w:p w14:paraId="610B4B3B" w14:textId="77777777" w:rsidR="00C034A0" w:rsidRPr="0008282E" w:rsidRDefault="00C034A0" w:rsidP="00C034A0">
      <w:pPr>
        <w:pStyle w:val="Heading2"/>
        <w:spacing w:before="0" w:line="276" w:lineRule="auto"/>
      </w:pPr>
      <w:bookmarkStart w:id="55" w:name="_Toc424883878"/>
      <w:bookmarkStart w:id="56" w:name="_Toc76039494"/>
      <w:bookmarkStart w:id="57" w:name="_Toc235706769"/>
      <w:r w:rsidRPr="0008282E">
        <w:t>When can facility data be provided as a percentage estimate?</w:t>
      </w:r>
      <w:bookmarkEnd w:id="55"/>
      <w:bookmarkEnd w:id="56"/>
      <w:bookmarkEnd w:id="57"/>
    </w:p>
    <w:p w14:paraId="09520016" w14:textId="1EA1F32A" w:rsidR="00C034A0" w:rsidRPr="0008282E" w:rsidRDefault="00C034A0" w:rsidP="00C034A0">
      <w:pPr>
        <w:spacing w:line="276" w:lineRule="auto"/>
      </w:pPr>
      <w:r w:rsidRPr="0008282E">
        <w:t xml:space="preserve">Regulation 4.26 applies in relation to a report given to </w:t>
      </w:r>
      <w:r w:rsidR="000545A1">
        <w:t>the</w:t>
      </w:r>
      <w:r w:rsidRPr="0008282E">
        <w:t xml:space="preserve"> </w:t>
      </w:r>
      <w:r w:rsidR="00E75A09">
        <w:t>CER</w:t>
      </w:r>
      <w:r w:rsidRPr="0008282E">
        <w:t xml:space="preserve"> under section 19 of the NGER Act by a controlling corporation, or under section 22X of the NGER Act by a responsible member of the controlling corporation’s group. RTC holders </w:t>
      </w:r>
      <w:r w:rsidR="00837815" w:rsidRPr="0008282E">
        <w:t>cannot</w:t>
      </w:r>
      <w:r w:rsidRPr="0008282E">
        <w:t xml:space="preserve"> use percentage reporting in their 22G reports.</w:t>
      </w:r>
    </w:p>
    <w:p w14:paraId="29DA03D1" w14:textId="77777777" w:rsidR="00C034A0" w:rsidRPr="0008282E" w:rsidRDefault="00C034A0" w:rsidP="00C034A0">
      <w:pPr>
        <w:spacing w:line="276" w:lineRule="auto"/>
      </w:pPr>
      <w:r>
        <w:t>A</w:t>
      </w:r>
      <w:r w:rsidRPr="0008282E">
        <w:t xml:space="preserve"> reporter may report amounts from facilities as a percentage estimate, provided the thresholds for scope 1 and scope 2 emissions and energy production and consumption are not exceeded. Table 1 below shows the thresholds </w:t>
      </w:r>
      <w:r>
        <w:t>that are currently in place</w:t>
      </w:r>
      <w:r w:rsidRPr="0008282E">
        <w:t>.</w:t>
      </w:r>
    </w:p>
    <w:p w14:paraId="2BD128C4" w14:textId="292B0084" w:rsidR="00C034A0" w:rsidRDefault="00C034A0" w:rsidP="00C034A0">
      <w:pPr>
        <w:spacing w:line="276" w:lineRule="auto"/>
      </w:pPr>
      <w:r w:rsidRPr="0008282E">
        <w:t xml:space="preserve">All thresholds in relation to (1) below </w:t>
      </w:r>
      <w:r w:rsidRPr="00EB4386">
        <w:t>and</w:t>
      </w:r>
      <w:r w:rsidRPr="0008282E">
        <w:t xml:space="preserve"> all thresholds at either (2) </w:t>
      </w:r>
      <w:r w:rsidRPr="00EB4386">
        <w:t>or</w:t>
      </w:r>
      <w:r w:rsidRPr="0008282E">
        <w:t xml:space="preserve"> (3) must be met for scope 1 emissions, scope 2 emissions, energy </w:t>
      </w:r>
      <w:r w:rsidR="00277DC9" w:rsidRPr="0008282E">
        <w:t>production,</w:t>
      </w:r>
      <w:r w:rsidRPr="0008282E">
        <w:t xml:space="preserve"> and energy consumption.</w:t>
      </w:r>
      <w:r>
        <w:t xml:space="preserve"> </w:t>
      </w:r>
    </w:p>
    <w:p w14:paraId="1215B7C1" w14:textId="77777777" w:rsidR="00C034A0" w:rsidRDefault="00C034A0" w:rsidP="00C034A0">
      <w:pPr>
        <w:spacing w:after="0"/>
        <w:rPr>
          <w:i/>
          <w:iCs/>
          <w:color w:val="454743" w:themeColor="text2"/>
          <w:sz w:val="18"/>
          <w:szCs w:val="18"/>
        </w:rPr>
      </w:pPr>
      <w:r>
        <w:br w:type="page"/>
      </w:r>
    </w:p>
    <w:p w14:paraId="663724B4" w14:textId="77777777" w:rsidR="00C034A0" w:rsidRPr="0008282E" w:rsidRDefault="00C034A0" w:rsidP="00C034A0">
      <w:pPr>
        <w:pStyle w:val="Caption"/>
      </w:pPr>
      <w:r w:rsidRPr="0008282E">
        <w:lastRenderedPageBreak/>
        <w:t>Table 1</w:t>
      </w:r>
      <w:r>
        <w:t>—</w:t>
      </w:r>
      <w:r w:rsidRPr="0008282E">
        <w:t>Percentage reporting thresholds</w:t>
      </w:r>
    </w:p>
    <w:tbl>
      <w:tblPr>
        <w:tblStyle w:val="CERTable"/>
        <w:tblW w:w="0" w:type="auto"/>
        <w:tblLook w:val="06A0" w:firstRow="1" w:lastRow="0" w:firstColumn="1" w:lastColumn="0" w:noHBand="1" w:noVBand="1"/>
      </w:tblPr>
      <w:tblGrid>
        <w:gridCol w:w="3227"/>
        <w:gridCol w:w="1603"/>
        <w:gridCol w:w="1603"/>
        <w:gridCol w:w="1603"/>
        <w:gridCol w:w="1604"/>
      </w:tblGrid>
      <w:tr w:rsidR="00C034A0" w:rsidRPr="0008282E" w14:paraId="7933A5D7" w14:textId="77777777" w:rsidTr="003148D2">
        <w:trPr>
          <w:cnfStyle w:val="100000000000" w:firstRow="1" w:lastRow="0" w:firstColumn="0" w:lastColumn="0" w:oddVBand="0" w:evenVBand="0" w:oddHBand="0"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3227" w:type="dxa"/>
          </w:tcPr>
          <w:p w14:paraId="6C87F311" w14:textId="77777777" w:rsidR="00C034A0" w:rsidRPr="0008282E" w:rsidRDefault="00C034A0" w:rsidP="003148D2">
            <w:pPr>
              <w:spacing w:before="0" w:line="276" w:lineRule="auto"/>
            </w:pPr>
            <w:r w:rsidRPr="0008282E">
              <w:t>Application type and level</w:t>
            </w:r>
          </w:p>
        </w:tc>
        <w:tc>
          <w:tcPr>
            <w:tcW w:w="1603" w:type="dxa"/>
          </w:tcPr>
          <w:p w14:paraId="3684BFAC" w14:textId="77777777" w:rsidR="00C034A0" w:rsidRPr="0008282E" w:rsidRDefault="00C034A0" w:rsidP="003148D2">
            <w:pPr>
              <w:spacing w:before="0" w:line="276" w:lineRule="auto"/>
              <w:cnfStyle w:val="100000000000" w:firstRow="1" w:lastRow="0" w:firstColumn="0" w:lastColumn="0" w:oddVBand="0" w:evenVBand="0" w:oddHBand="0" w:evenHBand="0" w:firstRowFirstColumn="0" w:firstRowLastColumn="0" w:lastRowFirstColumn="0" w:lastRowLastColumn="0"/>
            </w:pPr>
            <w:r w:rsidRPr="0008282E">
              <w:t xml:space="preserve">Scope 1 </w:t>
            </w:r>
            <w:r>
              <w:t>e</w:t>
            </w:r>
            <w:r w:rsidRPr="0008282E">
              <w:t>missions (CO</w:t>
            </w:r>
            <w:r w:rsidRPr="00D97015">
              <w:rPr>
                <w:vertAlign w:val="subscript"/>
              </w:rPr>
              <w:t>2</w:t>
            </w:r>
            <w:r w:rsidRPr="0008282E">
              <w:t>-e)</w:t>
            </w:r>
          </w:p>
        </w:tc>
        <w:tc>
          <w:tcPr>
            <w:tcW w:w="1603" w:type="dxa"/>
          </w:tcPr>
          <w:p w14:paraId="1DBA03ED" w14:textId="77777777" w:rsidR="00C034A0" w:rsidRPr="0008282E" w:rsidRDefault="00C034A0" w:rsidP="003148D2">
            <w:pPr>
              <w:spacing w:before="0" w:line="276" w:lineRule="auto"/>
              <w:cnfStyle w:val="100000000000" w:firstRow="1" w:lastRow="0" w:firstColumn="0" w:lastColumn="0" w:oddVBand="0" w:evenVBand="0" w:oddHBand="0" w:evenHBand="0" w:firstRowFirstColumn="0" w:firstRowLastColumn="0" w:lastRowFirstColumn="0" w:lastRowLastColumn="0"/>
            </w:pPr>
            <w:r w:rsidRPr="0008282E">
              <w:t xml:space="preserve">Scope 2 </w:t>
            </w:r>
            <w:r>
              <w:t>e</w:t>
            </w:r>
            <w:r w:rsidRPr="0008282E">
              <w:t>missions (CO</w:t>
            </w:r>
            <w:r w:rsidRPr="00D97015">
              <w:rPr>
                <w:vertAlign w:val="subscript"/>
              </w:rPr>
              <w:t>2</w:t>
            </w:r>
            <w:r w:rsidRPr="0008282E">
              <w:t>-e)</w:t>
            </w:r>
          </w:p>
        </w:tc>
        <w:tc>
          <w:tcPr>
            <w:tcW w:w="1603" w:type="dxa"/>
          </w:tcPr>
          <w:p w14:paraId="043557CB" w14:textId="77777777" w:rsidR="00C034A0" w:rsidRPr="0008282E" w:rsidRDefault="00C034A0" w:rsidP="003148D2">
            <w:pPr>
              <w:spacing w:before="0" w:line="276" w:lineRule="auto"/>
              <w:cnfStyle w:val="100000000000" w:firstRow="1" w:lastRow="0" w:firstColumn="0" w:lastColumn="0" w:oddVBand="0" w:evenVBand="0" w:oddHBand="0" w:evenHBand="0" w:firstRowFirstColumn="0" w:firstRowLastColumn="0" w:lastRowFirstColumn="0" w:lastRowLastColumn="0"/>
            </w:pPr>
            <w:r w:rsidRPr="0008282E">
              <w:t xml:space="preserve">Energy </w:t>
            </w:r>
            <w:r>
              <w:t>p</w:t>
            </w:r>
            <w:r w:rsidRPr="0008282E">
              <w:t>roduction</w:t>
            </w:r>
          </w:p>
        </w:tc>
        <w:tc>
          <w:tcPr>
            <w:tcW w:w="1604" w:type="dxa"/>
          </w:tcPr>
          <w:p w14:paraId="0D75BF2C" w14:textId="77777777" w:rsidR="00C034A0" w:rsidRPr="0008282E" w:rsidRDefault="00C034A0" w:rsidP="003148D2">
            <w:pPr>
              <w:spacing w:before="0" w:line="276" w:lineRule="auto"/>
              <w:cnfStyle w:val="100000000000" w:firstRow="1" w:lastRow="0" w:firstColumn="0" w:lastColumn="0" w:oddVBand="0" w:evenVBand="0" w:oddHBand="0" w:evenHBand="0" w:firstRowFirstColumn="0" w:firstRowLastColumn="0" w:lastRowFirstColumn="0" w:lastRowLastColumn="0"/>
            </w:pPr>
            <w:r w:rsidRPr="0008282E">
              <w:t xml:space="preserve">Energy </w:t>
            </w:r>
            <w:r>
              <w:t>c</w:t>
            </w:r>
            <w:r w:rsidRPr="0008282E">
              <w:t>onsumption</w:t>
            </w:r>
          </w:p>
        </w:tc>
      </w:tr>
      <w:tr w:rsidR="00C034A0" w:rsidRPr="00704537" w14:paraId="673E5752" w14:textId="77777777" w:rsidTr="003148D2">
        <w:trPr>
          <w:trHeight w:val="595"/>
        </w:trPr>
        <w:tc>
          <w:tcPr>
            <w:cnfStyle w:val="001000000000" w:firstRow="0" w:lastRow="0" w:firstColumn="1" w:lastColumn="0" w:oddVBand="0" w:evenVBand="0" w:oddHBand="0" w:evenHBand="0" w:firstRowFirstColumn="0" w:firstRowLastColumn="0" w:lastRowFirstColumn="0" w:lastRowLastColumn="0"/>
            <w:tcW w:w="3227" w:type="dxa"/>
          </w:tcPr>
          <w:p w14:paraId="4D6E2569" w14:textId="77777777" w:rsidR="00C034A0" w:rsidRPr="00704537" w:rsidRDefault="00C034A0" w:rsidP="003148D2">
            <w:pPr>
              <w:spacing w:before="0" w:line="276" w:lineRule="auto"/>
            </w:pPr>
            <w:r w:rsidRPr="00704537">
              <w:t>(1) Amount for a facility</w:t>
            </w:r>
          </w:p>
        </w:tc>
        <w:tc>
          <w:tcPr>
            <w:tcW w:w="1603" w:type="dxa"/>
          </w:tcPr>
          <w:p w14:paraId="159E142D" w14:textId="611E3E92" w:rsidR="00C034A0" w:rsidRPr="00704537" w:rsidRDefault="00C034A0" w:rsidP="003148D2">
            <w:pPr>
              <w:spacing w:before="0" w:line="276" w:lineRule="auto"/>
              <w:cnfStyle w:val="000000000000" w:firstRow="0" w:lastRow="0" w:firstColumn="0" w:lastColumn="0" w:oddVBand="0" w:evenVBand="0" w:oddHBand="0" w:evenHBand="0" w:firstRowFirstColumn="0" w:firstRowLastColumn="0" w:lastRowFirstColumn="0" w:lastRowLastColumn="0"/>
            </w:pPr>
            <w:r w:rsidRPr="00704537">
              <w:t>3</w:t>
            </w:r>
            <w:r w:rsidR="00F707A9">
              <w:t> </w:t>
            </w:r>
            <w:r w:rsidRPr="00704537">
              <w:t>kt or less</w:t>
            </w:r>
          </w:p>
        </w:tc>
        <w:tc>
          <w:tcPr>
            <w:tcW w:w="1603" w:type="dxa"/>
          </w:tcPr>
          <w:p w14:paraId="6C78AC74" w14:textId="76E0F2E8" w:rsidR="00C034A0" w:rsidRPr="00704537" w:rsidRDefault="00C034A0" w:rsidP="003148D2">
            <w:pPr>
              <w:spacing w:before="0" w:line="276" w:lineRule="auto"/>
              <w:cnfStyle w:val="000000000000" w:firstRow="0" w:lastRow="0" w:firstColumn="0" w:lastColumn="0" w:oddVBand="0" w:evenVBand="0" w:oddHBand="0" w:evenHBand="0" w:firstRowFirstColumn="0" w:firstRowLastColumn="0" w:lastRowFirstColumn="0" w:lastRowLastColumn="0"/>
            </w:pPr>
            <w:r w:rsidRPr="00704537">
              <w:t>3</w:t>
            </w:r>
            <w:r w:rsidR="00F707A9">
              <w:t> </w:t>
            </w:r>
            <w:r w:rsidRPr="00704537">
              <w:t>kt or less</w:t>
            </w:r>
          </w:p>
        </w:tc>
        <w:tc>
          <w:tcPr>
            <w:tcW w:w="1603" w:type="dxa"/>
          </w:tcPr>
          <w:p w14:paraId="6C7CE17D" w14:textId="05CECB5B" w:rsidR="00C034A0" w:rsidRPr="00704537" w:rsidRDefault="00C034A0" w:rsidP="003148D2">
            <w:pPr>
              <w:spacing w:before="0" w:line="276" w:lineRule="auto"/>
              <w:cnfStyle w:val="000000000000" w:firstRow="0" w:lastRow="0" w:firstColumn="0" w:lastColumn="0" w:oddVBand="0" w:evenVBand="0" w:oddHBand="0" w:evenHBand="0" w:firstRowFirstColumn="0" w:firstRowLastColumn="0" w:lastRowFirstColumn="0" w:lastRowLastColumn="0"/>
            </w:pPr>
            <w:r w:rsidRPr="00704537">
              <w:t>30</w:t>
            </w:r>
            <w:r w:rsidR="00F707A9">
              <w:t> </w:t>
            </w:r>
            <w:r w:rsidRPr="00704537">
              <w:t>TJ or less</w:t>
            </w:r>
          </w:p>
        </w:tc>
        <w:tc>
          <w:tcPr>
            <w:tcW w:w="1604" w:type="dxa"/>
          </w:tcPr>
          <w:p w14:paraId="0DE3624A" w14:textId="0BCA24EC" w:rsidR="00C034A0" w:rsidRPr="00704537" w:rsidRDefault="00C034A0" w:rsidP="003148D2">
            <w:pPr>
              <w:spacing w:before="0" w:line="276" w:lineRule="auto"/>
              <w:cnfStyle w:val="000000000000" w:firstRow="0" w:lastRow="0" w:firstColumn="0" w:lastColumn="0" w:oddVBand="0" w:evenVBand="0" w:oddHBand="0" w:evenHBand="0" w:firstRowFirstColumn="0" w:firstRowLastColumn="0" w:lastRowFirstColumn="0" w:lastRowLastColumn="0"/>
            </w:pPr>
            <w:r w:rsidRPr="00704537">
              <w:t>30</w:t>
            </w:r>
            <w:r w:rsidR="00F707A9">
              <w:t> </w:t>
            </w:r>
            <w:r w:rsidRPr="00704537">
              <w:t>TJ or less</w:t>
            </w:r>
          </w:p>
        </w:tc>
      </w:tr>
      <w:tr w:rsidR="00C034A0" w:rsidRPr="00704537" w14:paraId="3E26FA5B" w14:textId="77777777" w:rsidTr="003148D2">
        <w:trPr>
          <w:trHeight w:val="917"/>
        </w:trPr>
        <w:tc>
          <w:tcPr>
            <w:cnfStyle w:val="001000000000" w:firstRow="0" w:lastRow="0" w:firstColumn="1" w:lastColumn="0" w:oddVBand="0" w:evenVBand="0" w:oddHBand="0" w:evenHBand="0" w:firstRowFirstColumn="0" w:firstRowLastColumn="0" w:lastRowFirstColumn="0" w:lastRowLastColumn="0"/>
            <w:tcW w:w="3227" w:type="dxa"/>
          </w:tcPr>
          <w:p w14:paraId="5DA8C598" w14:textId="77777777" w:rsidR="00C034A0" w:rsidRPr="00704537" w:rsidRDefault="00C034A0" w:rsidP="003148D2">
            <w:pPr>
              <w:spacing w:before="0" w:line="276" w:lineRule="auto"/>
            </w:pPr>
            <w:r w:rsidRPr="00704537">
              <w:t xml:space="preserve">(2) Amount of the group’s total for all facilities of the corporation </w:t>
            </w:r>
          </w:p>
        </w:tc>
        <w:tc>
          <w:tcPr>
            <w:tcW w:w="1603" w:type="dxa"/>
          </w:tcPr>
          <w:p w14:paraId="2EB14C22" w14:textId="16372CCE" w:rsidR="00C034A0" w:rsidRPr="00704537" w:rsidRDefault="00C034A0" w:rsidP="003148D2">
            <w:pPr>
              <w:spacing w:before="0" w:line="276" w:lineRule="auto"/>
              <w:cnfStyle w:val="000000000000" w:firstRow="0" w:lastRow="0" w:firstColumn="0" w:lastColumn="0" w:oddVBand="0" w:evenVBand="0" w:oddHBand="0" w:evenHBand="0" w:firstRowFirstColumn="0" w:firstRowLastColumn="0" w:lastRowFirstColumn="0" w:lastRowLastColumn="0"/>
            </w:pPr>
            <w:r w:rsidRPr="00704537">
              <w:t>12</w:t>
            </w:r>
            <w:r w:rsidR="00F707A9">
              <w:t> </w:t>
            </w:r>
            <w:r w:rsidRPr="00704537">
              <w:t xml:space="preserve">kt or less </w:t>
            </w:r>
          </w:p>
        </w:tc>
        <w:tc>
          <w:tcPr>
            <w:tcW w:w="1603" w:type="dxa"/>
          </w:tcPr>
          <w:p w14:paraId="62C28E1D" w14:textId="3B3A55A8" w:rsidR="00C034A0" w:rsidRPr="00704537" w:rsidRDefault="00C034A0" w:rsidP="003148D2">
            <w:pPr>
              <w:spacing w:before="0" w:line="276" w:lineRule="auto"/>
              <w:cnfStyle w:val="000000000000" w:firstRow="0" w:lastRow="0" w:firstColumn="0" w:lastColumn="0" w:oddVBand="0" w:evenVBand="0" w:oddHBand="0" w:evenHBand="0" w:firstRowFirstColumn="0" w:firstRowLastColumn="0" w:lastRowFirstColumn="0" w:lastRowLastColumn="0"/>
            </w:pPr>
            <w:r w:rsidRPr="00704537">
              <w:t>12</w:t>
            </w:r>
            <w:r w:rsidR="00F707A9">
              <w:t> </w:t>
            </w:r>
            <w:r w:rsidRPr="00704537">
              <w:t>kt or less</w:t>
            </w:r>
          </w:p>
        </w:tc>
        <w:tc>
          <w:tcPr>
            <w:tcW w:w="1603" w:type="dxa"/>
          </w:tcPr>
          <w:p w14:paraId="5CD2DF9A" w14:textId="0B2F5592" w:rsidR="00C034A0" w:rsidRPr="00704537" w:rsidRDefault="00C034A0" w:rsidP="003148D2">
            <w:pPr>
              <w:spacing w:before="0" w:line="276" w:lineRule="auto"/>
              <w:cnfStyle w:val="000000000000" w:firstRow="0" w:lastRow="0" w:firstColumn="0" w:lastColumn="0" w:oddVBand="0" w:evenVBand="0" w:oddHBand="0" w:evenHBand="0" w:firstRowFirstColumn="0" w:firstRowLastColumn="0" w:lastRowFirstColumn="0" w:lastRowLastColumn="0"/>
            </w:pPr>
            <w:r w:rsidRPr="00704537">
              <w:t>120</w:t>
            </w:r>
            <w:r w:rsidR="00F707A9">
              <w:t> </w:t>
            </w:r>
            <w:r w:rsidRPr="00704537">
              <w:t>TJ or less</w:t>
            </w:r>
          </w:p>
        </w:tc>
        <w:tc>
          <w:tcPr>
            <w:tcW w:w="1604" w:type="dxa"/>
          </w:tcPr>
          <w:p w14:paraId="20D8F475" w14:textId="76924ED9" w:rsidR="00C034A0" w:rsidRPr="00704537" w:rsidRDefault="00C034A0" w:rsidP="003148D2">
            <w:pPr>
              <w:spacing w:before="0" w:line="276" w:lineRule="auto"/>
              <w:cnfStyle w:val="000000000000" w:firstRow="0" w:lastRow="0" w:firstColumn="0" w:lastColumn="0" w:oddVBand="0" w:evenVBand="0" w:oddHBand="0" w:evenHBand="0" w:firstRowFirstColumn="0" w:firstRowLastColumn="0" w:lastRowFirstColumn="0" w:lastRowLastColumn="0"/>
            </w:pPr>
            <w:r w:rsidRPr="00704537">
              <w:t>120</w:t>
            </w:r>
            <w:r w:rsidR="00F707A9">
              <w:t> </w:t>
            </w:r>
            <w:r w:rsidRPr="00704537">
              <w:t>TJ or less</w:t>
            </w:r>
          </w:p>
        </w:tc>
      </w:tr>
      <w:tr w:rsidR="00C034A0" w:rsidRPr="00704537" w14:paraId="631CC838" w14:textId="77777777" w:rsidTr="003148D2">
        <w:trPr>
          <w:trHeight w:val="846"/>
        </w:trPr>
        <w:tc>
          <w:tcPr>
            <w:cnfStyle w:val="001000000000" w:firstRow="0" w:lastRow="0" w:firstColumn="1" w:lastColumn="0" w:oddVBand="0" w:evenVBand="0" w:oddHBand="0" w:evenHBand="0" w:firstRowFirstColumn="0" w:firstRowLastColumn="0" w:lastRowFirstColumn="0" w:lastRowLastColumn="0"/>
            <w:tcW w:w="3227" w:type="dxa"/>
          </w:tcPr>
          <w:p w14:paraId="785F4454" w14:textId="77777777" w:rsidR="00C034A0" w:rsidRPr="00704537" w:rsidRDefault="00C034A0" w:rsidP="003148D2">
            <w:pPr>
              <w:spacing w:before="0" w:line="276" w:lineRule="auto"/>
            </w:pPr>
            <w:r w:rsidRPr="00704537">
              <w:t xml:space="preserve">(3) Percentage of the total amount </w:t>
            </w:r>
            <w:r>
              <w:t>for</w:t>
            </w:r>
            <w:r w:rsidRPr="00704537">
              <w:t xml:space="preserve"> the corporation’s group of facilities</w:t>
            </w:r>
          </w:p>
        </w:tc>
        <w:tc>
          <w:tcPr>
            <w:tcW w:w="1603" w:type="dxa"/>
          </w:tcPr>
          <w:p w14:paraId="79CD5175" w14:textId="77777777" w:rsidR="00C034A0" w:rsidRPr="00704537" w:rsidRDefault="00C034A0" w:rsidP="003148D2">
            <w:pPr>
              <w:spacing w:before="0" w:line="276" w:lineRule="auto"/>
              <w:cnfStyle w:val="000000000000" w:firstRow="0" w:lastRow="0" w:firstColumn="0" w:lastColumn="0" w:oddVBand="0" w:evenVBand="0" w:oddHBand="0" w:evenHBand="0" w:firstRowFirstColumn="0" w:firstRowLastColumn="0" w:lastRowFirstColumn="0" w:lastRowLastColumn="0"/>
            </w:pPr>
            <w:r w:rsidRPr="00704537">
              <w:t>Less than 5% of scope 1 and scope 2 emissions</w:t>
            </w:r>
          </w:p>
        </w:tc>
        <w:tc>
          <w:tcPr>
            <w:tcW w:w="1603" w:type="dxa"/>
          </w:tcPr>
          <w:p w14:paraId="54BAFAF3" w14:textId="77777777" w:rsidR="00C034A0" w:rsidRPr="00704537" w:rsidRDefault="00C034A0" w:rsidP="003148D2">
            <w:pPr>
              <w:spacing w:before="0" w:line="276" w:lineRule="auto"/>
              <w:cnfStyle w:val="000000000000" w:firstRow="0" w:lastRow="0" w:firstColumn="0" w:lastColumn="0" w:oddVBand="0" w:evenVBand="0" w:oddHBand="0" w:evenHBand="0" w:firstRowFirstColumn="0" w:firstRowLastColumn="0" w:lastRowFirstColumn="0" w:lastRowLastColumn="0"/>
            </w:pPr>
            <w:r w:rsidRPr="00704537">
              <w:t>Less than 5% of scope 1 and scope 2 emissions</w:t>
            </w:r>
          </w:p>
        </w:tc>
        <w:tc>
          <w:tcPr>
            <w:tcW w:w="1603" w:type="dxa"/>
          </w:tcPr>
          <w:p w14:paraId="243A2973" w14:textId="77777777" w:rsidR="00C034A0" w:rsidRPr="00704537" w:rsidRDefault="00C034A0" w:rsidP="003148D2">
            <w:pPr>
              <w:spacing w:before="0" w:line="276" w:lineRule="auto"/>
              <w:cnfStyle w:val="000000000000" w:firstRow="0" w:lastRow="0" w:firstColumn="0" w:lastColumn="0" w:oddVBand="0" w:evenVBand="0" w:oddHBand="0" w:evenHBand="0" w:firstRowFirstColumn="0" w:firstRowLastColumn="0" w:lastRowFirstColumn="0" w:lastRowLastColumn="0"/>
            </w:pPr>
            <w:r w:rsidRPr="00704537">
              <w:t>Less than 5%</w:t>
            </w:r>
          </w:p>
        </w:tc>
        <w:tc>
          <w:tcPr>
            <w:tcW w:w="1604" w:type="dxa"/>
          </w:tcPr>
          <w:p w14:paraId="6654ED34" w14:textId="77777777" w:rsidR="00C034A0" w:rsidRPr="00704537" w:rsidRDefault="00C034A0" w:rsidP="003148D2">
            <w:pPr>
              <w:spacing w:before="0" w:line="276" w:lineRule="auto"/>
              <w:cnfStyle w:val="000000000000" w:firstRow="0" w:lastRow="0" w:firstColumn="0" w:lastColumn="0" w:oddVBand="0" w:evenVBand="0" w:oddHBand="0" w:evenHBand="0" w:firstRowFirstColumn="0" w:firstRowLastColumn="0" w:lastRowFirstColumn="0" w:lastRowLastColumn="0"/>
            </w:pPr>
            <w:r w:rsidRPr="00704537">
              <w:t>Less than 5%</w:t>
            </w:r>
          </w:p>
        </w:tc>
      </w:tr>
    </w:tbl>
    <w:p w14:paraId="6239EE80" w14:textId="717670C0" w:rsidR="00C034A0" w:rsidRDefault="00C034A0" w:rsidP="00C034A0">
      <w:pPr>
        <w:spacing w:before="240" w:line="276" w:lineRule="auto"/>
        <w:rPr>
          <w:rFonts w:eastAsia="Times New Roman"/>
          <w:b/>
          <w:bCs/>
          <w:color w:val="005874"/>
          <w:sz w:val="30"/>
          <w:szCs w:val="26"/>
        </w:rPr>
      </w:pPr>
      <w:r w:rsidRPr="0008282E">
        <w:t xml:space="preserve">Percentage reporting cannot be used if a reporter is required to collect or provide information about greenhouse gas emissions, energy </w:t>
      </w:r>
      <w:r w:rsidR="00555592" w:rsidRPr="0008282E">
        <w:t>consumption,</w:t>
      </w:r>
      <w:r w:rsidRPr="0008282E">
        <w:t xml:space="preserve"> or energy production from the facility under any other Commonwealth, </w:t>
      </w:r>
      <w:r w:rsidR="00281C5C" w:rsidRPr="0008282E">
        <w:t>state,</w:t>
      </w:r>
      <w:r w:rsidRPr="0008282E">
        <w:t xml:space="preserve"> or territory law. </w:t>
      </w:r>
      <w:bookmarkStart w:id="58" w:name="_Toc424883879"/>
    </w:p>
    <w:p w14:paraId="637F7C64" w14:textId="77777777" w:rsidR="00C034A0" w:rsidRPr="0008282E" w:rsidRDefault="00C034A0" w:rsidP="00C034A0">
      <w:pPr>
        <w:pStyle w:val="Heading2"/>
        <w:spacing w:before="0" w:line="276" w:lineRule="auto"/>
      </w:pPr>
      <w:bookmarkStart w:id="59" w:name="_Toc76039495"/>
      <w:bookmarkStart w:id="60" w:name="_Toc235706770"/>
      <w:r w:rsidRPr="0008282E">
        <w:t xml:space="preserve">What </w:t>
      </w:r>
      <w:r>
        <w:t>must be</w:t>
      </w:r>
      <w:r w:rsidRPr="0008282E">
        <w:t xml:space="preserve"> reported?</w:t>
      </w:r>
      <w:bookmarkEnd w:id="58"/>
      <w:bookmarkEnd w:id="59"/>
      <w:bookmarkEnd w:id="60"/>
    </w:p>
    <w:p w14:paraId="2CD3E4A4" w14:textId="77777777" w:rsidR="00C034A0" w:rsidRPr="0008282E" w:rsidRDefault="00C034A0" w:rsidP="00C034A0">
      <w:pPr>
        <w:spacing w:line="276" w:lineRule="auto"/>
      </w:pPr>
      <w:r w:rsidRPr="0008282E">
        <w:t>The reporter must provide the following in their report:</w:t>
      </w:r>
    </w:p>
    <w:p w14:paraId="57F73906" w14:textId="77777777" w:rsidR="00C034A0" w:rsidRPr="0008282E" w:rsidRDefault="00C034A0" w:rsidP="00C034A0">
      <w:pPr>
        <w:pStyle w:val="CERbullets"/>
        <w:spacing w:before="0" w:after="200" w:line="276" w:lineRule="auto"/>
      </w:pPr>
      <w:r w:rsidRPr="0008282E">
        <w:t xml:space="preserve">the number of facilities </w:t>
      </w:r>
      <w:r>
        <w:t xml:space="preserve">for </w:t>
      </w:r>
      <w:r w:rsidRPr="0008282E">
        <w:t xml:space="preserve">which </w:t>
      </w:r>
      <w:r>
        <w:t>data is</w:t>
      </w:r>
      <w:r w:rsidRPr="0008282E">
        <w:t xml:space="preserve"> being reported as a percentage</w:t>
      </w:r>
    </w:p>
    <w:p w14:paraId="42538607" w14:textId="09A777D7" w:rsidR="00C034A0" w:rsidRPr="0008282E" w:rsidRDefault="00C034A0" w:rsidP="00C034A0">
      <w:pPr>
        <w:pStyle w:val="CERbullets"/>
        <w:spacing w:before="0" w:after="200" w:line="276" w:lineRule="auto"/>
      </w:pPr>
      <w:r w:rsidRPr="0008282E">
        <w:t xml:space="preserve">the greenhouse gas emissions, energy </w:t>
      </w:r>
      <w:r w:rsidR="007519FB" w:rsidRPr="0008282E">
        <w:t>consumption,</w:t>
      </w:r>
      <w:r w:rsidRPr="0008282E">
        <w:t xml:space="preserve"> and energy production from the facilities as an estimate</w:t>
      </w:r>
      <w:r>
        <w:t>d</w:t>
      </w:r>
      <w:r w:rsidRPr="0008282E">
        <w:t xml:space="preserve"> percentage of the corporate group's total greenhouse gas emissions, energy </w:t>
      </w:r>
      <w:r w:rsidR="001A7C52" w:rsidRPr="0008282E">
        <w:t>consumption,</w:t>
      </w:r>
      <w:r w:rsidRPr="0008282E">
        <w:t xml:space="preserve"> and energy production.</w:t>
      </w:r>
    </w:p>
    <w:p w14:paraId="19499522" w14:textId="77777777" w:rsidR="00C034A0" w:rsidRPr="0008282E" w:rsidRDefault="00C034A0" w:rsidP="00C034A0">
      <w:pPr>
        <w:pStyle w:val="Heading2"/>
        <w:spacing w:before="0" w:line="276" w:lineRule="auto"/>
      </w:pPr>
      <w:bookmarkStart w:id="61" w:name="_Toc424883881"/>
      <w:bookmarkStart w:id="62" w:name="_Toc76039496"/>
      <w:bookmarkStart w:id="63" w:name="_Toc235706771"/>
      <w:r w:rsidRPr="0008282E">
        <w:t>How are percentage estimates calculated?</w:t>
      </w:r>
      <w:bookmarkEnd w:id="61"/>
      <w:bookmarkEnd w:id="62"/>
      <w:bookmarkEnd w:id="63"/>
    </w:p>
    <w:p w14:paraId="36EB03FB" w14:textId="05A32A37" w:rsidR="00C034A0" w:rsidRDefault="00342CE6" w:rsidP="00C034A0">
      <w:pPr>
        <w:spacing w:line="276" w:lineRule="auto"/>
      </w:pPr>
      <w:r w:rsidRPr="0008282E">
        <w:t>To</w:t>
      </w:r>
      <w:r w:rsidR="00C034A0" w:rsidRPr="0008282E">
        <w:t xml:space="preserve"> report under regulation 4.26, a reporter must first have some idea of what its corporate group's total emissions, energy production and </w:t>
      </w:r>
      <w:r w:rsidR="00C034A0">
        <w:t xml:space="preserve">energy </w:t>
      </w:r>
      <w:r w:rsidR="00C034A0" w:rsidRPr="0008282E">
        <w:t xml:space="preserve">consumption are (including the emissions, energy </w:t>
      </w:r>
      <w:r w:rsidR="001A7C52" w:rsidRPr="0008282E">
        <w:t>production,</w:t>
      </w:r>
      <w:r w:rsidR="00C034A0" w:rsidRPr="0008282E">
        <w:t xml:space="preserve"> and</w:t>
      </w:r>
      <w:r w:rsidR="00C034A0">
        <w:t xml:space="preserve"> energy</w:t>
      </w:r>
      <w:r w:rsidR="00C034A0" w:rsidRPr="0008282E">
        <w:t xml:space="preserve"> consumption for the facilities that it wishes to report as a percentage figure). </w:t>
      </w:r>
      <w:r w:rsidR="00C034A0">
        <w:t>This will ensure</w:t>
      </w:r>
      <w:r w:rsidR="00C034A0" w:rsidRPr="0008282E">
        <w:t xml:space="preserve"> the data </w:t>
      </w:r>
      <w:r w:rsidR="00C034A0">
        <w:t>being</w:t>
      </w:r>
      <w:r w:rsidR="00C034A0" w:rsidRPr="0008282E">
        <w:t xml:space="preserve"> report</w:t>
      </w:r>
      <w:r w:rsidR="00C034A0">
        <w:t>ed</w:t>
      </w:r>
      <w:r w:rsidR="00C034A0" w:rsidRPr="0008282E">
        <w:t xml:space="preserve"> as a percentage falls below the </w:t>
      </w:r>
      <w:r w:rsidR="00C034A0">
        <w:t xml:space="preserve">percentage reporting </w:t>
      </w:r>
      <w:r w:rsidR="00C034A0" w:rsidRPr="0008282E">
        <w:t xml:space="preserve">thresholds set out in regulation 4.26 (as outlined above). </w:t>
      </w:r>
    </w:p>
    <w:p w14:paraId="71048AB9" w14:textId="77777777" w:rsidR="00C034A0" w:rsidRPr="0008282E" w:rsidRDefault="00C034A0" w:rsidP="00C034A0">
      <w:pPr>
        <w:spacing w:line="276" w:lineRule="auto"/>
      </w:pPr>
      <w:r w:rsidRPr="0008282E">
        <w:t xml:space="preserve">The NGER Measurement Determination does not specify </w:t>
      </w:r>
      <w:r>
        <w:t xml:space="preserve">a particular </w:t>
      </w:r>
      <w:r w:rsidRPr="0008282E">
        <w:t xml:space="preserve">method or criteria for measuring </w:t>
      </w:r>
      <w:r>
        <w:t>emissions and energy</w:t>
      </w:r>
      <w:r w:rsidRPr="0008282E">
        <w:t xml:space="preserve"> report</w:t>
      </w:r>
      <w:r>
        <w:t>ed</w:t>
      </w:r>
      <w:r w:rsidRPr="0008282E">
        <w:t xml:space="preserve"> as a percentage—</w:t>
      </w:r>
      <w:r w:rsidRPr="00886672">
        <w:t xml:space="preserve"> </w:t>
      </w:r>
      <w:r>
        <w:t>this is left to the reporter to determine.</w:t>
      </w:r>
      <w:r w:rsidRPr="0008282E">
        <w:t xml:space="preserve"> However, an example of a possible methodology is discussed below in 'Making </w:t>
      </w:r>
      <w:r>
        <w:t>p</w:t>
      </w:r>
      <w:r w:rsidRPr="0008282E">
        <w:t xml:space="preserve">ercentage </w:t>
      </w:r>
      <w:r>
        <w:t>e</w:t>
      </w:r>
      <w:r w:rsidRPr="0008282E">
        <w:t>stimates'.</w:t>
      </w:r>
    </w:p>
    <w:p w14:paraId="564AD38A" w14:textId="77777777" w:rsidR="00C034A0" w:rsidRDefault="00C034A0" w:rsidP="00C034A0">
      <w:pPr>
        <w:spacing w:line="276" w:lineRule="auto"/>
      </w:pPr>
      <w:r w:rsidRPr="0008282E">
        <w:t>Figure 7 depicts an example of a registered controlling corporation reporting under the NGER Act. For simplicity, only greenhouse gas emissions (CO</w:t>
      </w:r>
      <w:r w:rsidRPr="0008282E">
        <w:rPr>
          <w:vertAlign w:val="subscript"/>
        </w:rPr>
        <w:t>2</w:t>
      </w:r>
      <w:r w:rsidRPr="0008282E">
        <w:t xml:space="preserve">-e) figures are provided here, however corporations will also need to consider each facility's energy production and consumption when considering whether a threshold has been triggered. In this example, the registered corporation may choose to report on </w:t>
      </w:r>
      <w:r>
        <w:t>F</w:t>
      </w:r>
      <w:r w:rsidRPr="0008282E">
        <w:t>acilities 2, 3 and 5 as a percentage estimate.</w:t>
      </w:r>
    </w:p>
    <w:p w14:paraId="0FA24A8C" w14:textId="23F183D6" w:rsidR="00C034A0" w:rsidRDefault="00C034A0" w:rsidP="00C034A0">
      <w:pPr>
        <w:spacing w:line="276" w:lineRule="auto"/>
      </w:pPr>
      <w:r>
        <w:lastRenderedPageBreak/>
        <w:t xml:space="preserve">It is assumed in this example that the reporter is not required, under Commonwealth, </w:t>
      </w:r>
      <w:r w:rsidR="008A6D96">
        <w:t>state,</w:t>
      </w:r>
      <w:r>
        <w:t xml:space="preserve"> or territory law, to collect emissions and energy data from the operation of facilities that it wishes to report as a percentage figure.</w:t>
      </w:r>
    </w:p>
    <w:p w14:paraId="6012A889" w14:textId="503F3378" w:rsidR="00C034A0" w:rsidRPr="0008282E" w:rsidRDefault="00C034A0" w:rsidP="00C034A0">
      <w:pPr>
        <w:pStyle w:val="Caption"/>
      </w:pPr>
      <w:r w:rsidRPr="0008282E">
        <w:t>Figure 7—Reporting facility data as a percentage estimate</w:t>
      </w:r>
      <w:r w:rsidR="00DD6DC4">
        <w:t>.</w:t>
      </w:r>
      <w:r>
        <w:t xml:space="preserve"> </w:t>
      </w:r>
    </w:p>
    <w:p w14:paraId="46D87B24" w14:textId="77777777" w:rsidR="00C034A0" w:rsidRPr="0008282E" w:rsidRDefault="00C034A0" w:rsidP="00E10E68">
      <w:pPr>
        <w:spacing w:line="276" w:lineRule="auto"/>
        <w:jc w:val="center"/>
      </w:pPr>
      <w:r>
        <w:rPr>
          <w:noProof/>
          <w:lang w:eastAsia="en-AU"/>
        </w:rPr>
        <w:drawing>
          <wp:inline distT="0" distB="0" distL="0" distR="0" wp14:anchorId="04F52742" wp14:editId="076A8E4A">
            <wp:extent cx="4473101" cy="3742661"/>
            <wp:effectExtent l="0" t="0" r="3810" b="0"/>
            <wp:docPr id="17" name="Picture 17" descr="A flow chart showing a controlling corporation with two group members, Group Member 1 and Group Member 2. Each is linked to multiple facilities.  displaying their CO₂ emissions in kilotonnes. There are 2 facilities (Facility 1 and 2) displayed under Group Member 1 and 3 facilities (Facility 3, 4 and 5) displayed under Group Member 2. Facilities 2,3, and 4 display 'Estimate percentage' rather than an emissions figure in kilotonn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flow chart showing a controlling corporation with two group members, Group Member 1 and Group Member 2. Each is linked to multiple facilities.  displaying their CO₂ emissions in kilotonnes. There are 2 facilities (Facility 1 and 2) displayed under Group Member 1 and 3 facilities (Facility 3, 4 and 5) displayed under Group Member 2. Facilities 2,3, and 4 display 'Estimate percentage' rather than an emissions figure in kilotonnes. "/>
                    <pic:cNvPicPr/>
                  </pic:nvPicPr>
                  <pic:blipFill>
                    <a:blip r:embed="rId35" cstate="email">
                      <a:extLst>
                        <a:ext uri="{28A0092B-C50C-407E-A947-70E740481C1C}">
                          <a14:useLocalDpi xmlns:a14="http://schemas.microsoft.com/office/drawing/2010/main"/>
                        </a:ext>
                      </a:extLst>
                    </a:blip>
                    <a:stretch>
                      <a:fillRect/>
                    </a:stretch>
                  </pic:blipFill>
                  <pic:spPr>
                    <a:xfrm>
                      <a:off x="0" y="0"/>
                      <a:ext cx="4486268" cy="3753678"/>
                    </a:xfrm>
                    <a:prstGeom prst="rect">
                      <a:avLst/>
                    </a:prstGeom>
                  </pic:spPr>
                </pic:pic>
              </a:graphicData>
            </a:graphic>
          </wp:inline>
        </w:drawing>
      </w:r>
    </w:p>
    <w:p w14:paraId="7CF6CBCF" w14:textId="758843EC" w:rsidR="00E10E68" w:rsidRPr="0008282E" w:rsidRDefault="00E10E68" w:rsidP="00E10E68">
      <w:pPr>
        <w:pStyle w:val="CERbullets"/>
        <w:spacing w:before="0" w:after="200" w:line="276" w:lineRule="auto"/>
      </w:pPr>
      <w:bookmarkStart w:id="64" w:name="_Toc424883882"/>
      <w:bookmarkStart w:id="65" w:name="_Toc76039497"/>
      <w:r w:rsidRPr="0008282E">
        <w:t xml:space="preserve">In this example, </w:t>
      </w:r>
      <w:r>
        <w:t>F</w:t>
      </w:r>
      <w:r w:rsidRPr="0008282E">
        <w:t>acilities 1 and 4 have combined greenhouse gas emissions of 100</w:t>
      </w:r>
      <w:r w:rsidR="009D1ECA">
        <w:t> </w:t>
      </w:r>
      <w:r w:rsidRPr="0008282E">
        <w:t xml:space="preserve">kt. The figures for the remaining facilities are small enough to be reported as an estimated percentage. </w:t>
      </w:r>
    </w:p>
    <w:p w14:paraId="22F5CC1F" w14:textId="5758250F" w:rsidR="00E10E68" w:rsidRPr="0008282E" w:rsidRDefault="00E10E68" w:rsidP="00E10E68">
      <w:pPr>
        <w:pStyle w:val="CERbullets"/>
        <w:spacing w:before="0" w:after="200" w:line="276" w:lineRule="auto"/>
      </w:pPr>
      <w:r w:rsidRPr="0008282E">
        <w:t>When a reporter makes a percentage estimate for smaller facilities, these estimated figures are in addition to the measured 100</w:t>
      </w:r>
      <w:r w:rsidR="00895D34">
        <w:t> </w:t>
      </w:r>
      <w:r w:rsidRPr="0008282E">
        <w:t xml:space="preserve">kt figure. The amount reported is: </w:t>
      </w:r>
      <w:r>
        <w:br/>
      </w:r>
      <w:r w:rsidRPr="0008282E">
        <w:t>100</w:t>
      </w:r>
      <w:r w:rsidR="009D1ECA">
        <w:t> </w:t>
      </w:r>
      <w:r w:rsidRPr="0008282E">
        <w:t>kt + (1% of the total) + (2% of the total) + (1% of the total)</w:t>
      </w:r>
    </w:p>
    <w:p w14:paraId="4AA487EB" w14:textId="35BE7154" w:rsidR="00E10E68" w:rsidRPr="0008282E" w:rsidRDefault="00E10E68" w:rsidP="00E10E68">
      <w:pPr>
        <w:pStyle w:val="CERbullets"/>
        <w:spacing w:before="0" w:after="200" w:line="276" w:lineRule="auto"/>
      </w:pPr>
      <w:r>
        <w:t xml:space="preserve">The reporter's total greenhouse gas emissions </w:t>
      </w:r>
      <w:r w:rsidR="00C3466A">
        <w:t>are</w:t>
      </w:r>
      <w:r>
        <w:t xml:space="preserve"> the measured amount, divided by </w:t>
      </w:r>
      <w:r>
        <w:br/>
        <w:t xml:space="preserve">(100 - estimated percentage), and multiplied by 100. </w:t>
      </w:r>
      <w:r>
        <w:br/>
        <w:t xml:space="preserve">For the Figure 7 example, the reporter’s total greenhouse gas emissions will be: </w:t>
      </w:r>
      <w:r>
        <w:br/>
        <w:t>(100 kt ÷ (100 - 4)) x 100 = 104.167</w:t>
      </w:r>
      <w:r w:rsidR="00895D34">
        <w:t> </w:t>
      </w:r>
      <w:r>
        <w:t>kt</w:t>
      </w:r>
    </w:p>
    <w:p w14:paraId="24FF273A" w14:textId="1CF04267" w:rsidR="00E10E68" w:rsidRPr="0008282E" w:rsidRDefault="00E10E68" w:rsidP="00E10E68">
      <w:pPr>
        <w:pStyle w:val="CERbullets"/>
        <w:spacing w:before="0" w:after="200" w:line="276" w:lineRule="auto"/>
      </w:pPr>
      <w:r w:rsidRPr="0008282E">
        <w:t>The corporate total of each individual greenhouse gas is not adjusted. The corporate total is the same as the measured amount (100</w:t>
      </w:r>
      <w:r w:rsidR="00895D34">
        <w:t> </w:t>
      </w:r>
      <w:r w:rsidRPr="0008282E">
        <w:t xml:space="preserve">kt in this example). </w:t>
      </w:r>
    </w:p>
    <w:p w14:paraId="6B90A247" w14:textId="660E68AC" w:rsidR="00E10E68" w:rsidRPr="0008282E" w:rsidRDefault="00E10E68" w:rsidP="00E10E68">
      <w:pPr>
        <w:pStyle w:val="CERbullets"/>
        <w:spacing w:before="0" w:after="200" w:line="276" w:lineRule="auto"/>
      </w:pPr>
      <w:r>
        <w:t>The total scope 1 emissions</w:t>
      </w:r>
      <w:r w:rsidR="2669B6A3">
        <w:t xml:space="preserve"> are</w:t>
      </w:r>
      <w:r>
        <w:t xml:space="preserve"> the actual emissions and the percentage value emissions summed (104.167</w:t>
      </w:r>
      <w:r w:rsidR="009E20E8">
        <w:t> </w:t>
      </w:r>
      <w:r>
        <w:t xml:space="preserve">kt in this example). </w:t>
      </w:r>
    </w:p>
    <w:p w14:paraId="26AE5F34" w14:textId="77777777" w:rsidR="00E10E68" w:rsidRPr="0008282E" w:rsidRDefault="00E10E68" w:rsidP="00E10E68">
      <w:pPr>
        <w:pStyle w:val="CERbullets"/>
        <w:spacing w:before="0" w:after="200" w:line="276" w:lineRule="auto"/>
      </w:pPr>
      <w:r w:rsidRPr="0008282E">
        <w:t xml:space="preserve">For energy production and consumption, the same process is followed, and the </w:t>
      </w:r>
      <w:r>
        <w:t>a</w:t>
      </w:r>
      <w:r w:rsidRPr="0008282E">
        <w:t xml:space="preserve">ctual and </w:t>
      </w:r>
      <w:r>
        <w:t>percentage</w:t>
      </w:r>
      <w:r w:rsidRPr="0008282E">
        <w:t xml:space="preserve"> </w:t>
      </w:r>
      <w:r>
        <w:t>v</w:t>
      </w:r>
      <w:r w:rsidRPr="0008282E">
        <w:t>alue are also summed.</w:t>
      </w:r>
    </w:p>
    <w:p w14:paraId="551675D0" w14:textId="0A870677" w:rsidR="00E10E68" w:rsidRDefault="00E10E68" w:rsidP="00E10E68">
      <w:r w:rsidRPr="00D117FC">
        <w:rPr>
          <w:bCs/>
        </w:rPr>
        <w:lastRenderedPageBreak/>
        <w:t xml:space="preserve">Note: </w:t>
      </w:r>
      <w:r w:rsidRPr="00F06DDE">
        <w:rPr>
          <w:bCs/>
        </w:rPr>
        <w:t>The</w:t>
      </w:r>
      <w:r w:rsidRPr="005A0BB0">
        <w:rPr>
          <w:bCs/>
        </w:rPr>
        <w:t xml:space="preserve"> requirement to report on uncertainty levels (regulation 4.08 and 4.17A) does not apply to data that is reported under regulation 4.26.</w:t>
      </w:r>
    </w:p>
    <w:p w14:paraId="01302D41" w14:textId="5E1B36E9" w:rsidR="00C034A0" w:rsidRPr="0008282E" w:rsidRDefault="00C034A0" w:rsidP="00C034A0">
      <w:pPr>
        <w:pStyle w:val="Heading2"/>
        <w:spacing w:before="0" w:line="276" w:lineRule="auto"/>
      </w:pPr>
      <w:bookmarkStart w:id="66" w:name="_Toc235706772"/>
      <w:r w:rsidRPr="0008282E">
        <w:t>Making percentage estimates</w:t>
      </w:r>
      <w:bookmarkEnd w:id="64"/>
      <w:bookmarkEnd w:id="65"/>
      <w:bookmarkEnd w:id="66"/>
    </w:p>
    <w:p w14:paraId="3044B82F" w14:textId="77777777" w:rsidR="00C034A0" w:rsidRDefault="00C034A0" w:rsidP="00C034A0">
      <w:pPr>
        <w:spacing w:line="276" w:lineRule="auto"/>
      </w:pPr>
      <w:r w:rsidRPr="0008282E">
        <w:t xml:space="preserve">Percentage estimates under regulation 4.26 do not need to be made in accordance with any specific method or criteria mentioned in the NGER Measurement Determination. It is the responsibility of the registered corporation to determine an appropriate means of estimating the percentage figure. </w:t>
      </w:r>
    </w:p>
    <w:p w14:paraId="575AA4F0" w14:textId="259F2F78" w:rsidR="00C034A0" w:rsidRDefault="000545A1" w:rsidP="00C034A0">
      <w:pPr>
        <w:spacing w:line="276" w:lineRule="auto"/>
      </w:pPr>
      <w:r>
        <w:t xml:space="preserve">The </w:t>
      </w:r>
      <w:r w:rsidR="00E75A09">
        <w:t>CER</w:t>
      </w:r>
      <w:r w:rsidR="00C034A0">
        <w:t xml:space="preserve"> recommends that reporters, when estimating percentages, have regard to the general principles set out in section 1.13 of the NGER (Measurement) Determination</w:t>
      </w:r>
      <w:r w:rsidR="0B562FEC">
        <w:t>.</w:t>
      </w:r>
      <w:r w:rsidR="00C034A0">
        <w:t xml:space="preserve"> </w:t>
      </w:r>
      <w:r w:rsidR="6D58EBF1">
        <w:t>N</w:t>
      </w:r>
      <w:r w:rsidR="00C034A0">
        <w:t xml:space="preserve">amely, transparency, comparability, </w:t>
      </w:r>
      <w:r w:rsidR="008A6D96">
        <w:t>accuracy,</w:t>
      </w:r>
      <w:r w:rsidR="00BC4D99">
        <w:t xml:space="preserve"> </w:t>
      </w:r>
      <w:r w:rsidR="00C034A0">
        <w:t>and completeness.</w:t>
      </w:r>
    </w:p>
    <w:p w14:paraId="4B766391" w14:textId="77777777" w:rsidR="00C034A0" w:rsidRPr="0008282E" w:rsidRDefault="00C034A0" w:rsidP="00C034A0">
      <w:pPr>
        <w:spacing w:line="276" w:lineRule="auto"/>
      </w:pPr>
      <w:r w:rsidRPr="0008282E">
        <w:t>Reporters are encouraged to develop their own method for:</w:t>
      </w:r>
    </w:p>
    <w:p w14:paraId="17D681B4" w14:textId="77777777" w:rsidR="00C034A0" w:rsidRPr="0008282E" w:rsidRDefault="00C034A0" w:rsidP="00C034A0">
      <w:pPr>
        <w:pStyle w:val="CERbullets"/>
        <w:spacing w:before="0" w:after="200" w:line="276" w:lineRule="auto"/>
      </w:pPr>
      <w:r w:rsidRPr="0008282E">
        <w:t>determining which facilities data can be reported as a percentage estimate under regulation 4.26</w:t>
      </w:r>
    </w:p>
    <w:p w14:paraId="1B3A8992" w14:textId="1E4DE0C9" w:rsidR="00C034A0" w:rsidRPr="0008282E" w:rsidRDefault="00C034A0" w:rsidP="00C034A0">
      <w:pPr>
        <w:pStyle w:val="CERbullets"/>
        <w:spacing w:before="0" w:after="200" w:line="276" w:lineRule="auto"/>
      </w:pPr>
      <w:r w:rsidRPr="0008282E">
        <w:t xml:space="preserve">estimating greenhouse gas emissions, energy </w:t>
      </w:r>
      <w:r w:rsidR="008A6D96" w:rsidRPr="0008282E">
        <w:t>production,</w:t>
      </w:r>
      <w:r w:rsidRPr="0008282E">
        <w:t xml:space="preserve"> and </w:t>
      </w:r>
      <w:r>
        <w:t xml:space="preserve">energy </w:t>
      </w:r>
      <w:r w:rsidRPr="0008282E">
        <w:t xml:space="preserve">consumption as a percentage figure. </w:t>
      </w:r>
    </w:p>
    <w:p w14:paraId="2FBC5BD7" w14:textId="77777777" w:rsidR="00C034A0" w:rsidRPr="0008282E" w:rsidRDefault="00C034A0" w:rsidP="00C034A0">
      <w:pPr>
        <w:spacing w:line="276" w:lineRule="auto"/>
      </w:pPr>
      <w:r w:rsidRPr="0008282E">
        <w:t>Reporters may need to seek expert advice in relation to their circumstances.</w:t>
      </w:r>
    </w:p>
    <w:p w14:paraId="681C0A9D" w14:textId="77777777" w:rsidR="00C034A0" w:rsidRDefault="00C034A0" w:rsidP="00C034A0">
      <w:pPr>
        <w:pStyle w:val="Heading3"/>
        <w:spacing w:before="0" w:line="276" w:lineRule="auto"/>
      </w:pPr>
      <w:bookmarkStart w:id="67" w:name="_Toc427059209"/>
      <w:bookmarkStart w:id="68" w:name="_Toc49341439"/>
      <w:bookmarkStart w:id="69" w:name="_Toc76039498"/>
      <w:bookmarkStart w:id="70" w:name="_Toc235706773"/>
      <w:r>
        <w:t>Example of method</w:t>
      </w:r>
      <w:bookmarkEnd w:id="67"/>
      <w:bookmarkEnd w:id="68"/>
      <w:bookmarkEnd w:id="69"/>
      <w:bookmarkEnd w:id="70"/>
    </w:p>
    <w:p w14:paraId="16D01C21" w14:textId="1293B76E" w:rsidR="00C034A0" w:rsidRPr="0008282E" w:rsidRDefault="00C034A0" w:rsidP="00C034A0">
      <w:pPr>
        <w:spacing w:line="276" w:lineRule="auto"/>
      </w:pPr>
      <w:r w:rsidRPr="0008282E">
        <w:t xml:space="preserve">Set out below is some general guidance on a </w:t>
      </w:r>
      <w:r w:rsidR="00A06A1E" w:rsidRPr="0008282E">
        <w:t>method</w:t>
      </w:r>
      <w:r w:rsidRPr="0008282E">
        <w:t xml:space="preserve"> of making percentage estimates. This guidance is provided as an example </w:t>
      </w:r>
      <w:r>
        <w:t xml:space="preserve">only and </w:t>
      </w:r>
      <w:r w:rsidRPr="0008282E">
        <w:t xml:space="preserve">is not intended to be legal advice. </w:t>
      </w:r>
    </w:p>
    <w:p w14:paraId="48D3D177" w14:textId="77777777" w:rsidR="00C034A0" w:rsidRDefault="00C034A0" w:rsidP="00C034A0">
      <w:pPr>
        <w:spacing w:line="276" w:lineRule="auto"/>
      </w:pPr>
      <w:r w:rsidRPr="0008282E">
        <w:t>The reporter needs to assess which facilities are likely to fall within the</w:t>
      </w:r>
      <w:r>
        <w:t xml:space="preserve"> thresholds</w:t>
      </w:r>
      <w:r w:rsidRPr="0008282E">
        <w:t xml:space="preserve"> and other conditions for making a percentage estimate</w:t>
      </w:r>
      <w:r>
        <w:t xml:space="preserve"> (as per NGER regulation 4.26). </w:t>
      </w:r>
    </w:p>
    <w:p w14:paraId="011793E8" w14:textId="77777777" w:rsidR="00C034A0" w:rsidRPr="0008282E" w:rsidRDefault="00C034A0" w:rsidP="00C034A0">
      <w:pPr>
        <w:spacing w:line="276" w:lineRule="auto"/>
      </w:pPr>
      <w:r>
        <w:t>T</w:t>
      </w:r>
      <w:r w:rsidRPr="0008282E">
        <w:t xml:space="preserve">hen: </w:t>
      </w:r>
    </w:p>
    <w:p w14:paraId="0091DE50" w14:textId="77777777" w:rsidR="00C034A0" w:rsidRPr="0008282E" w:rsidRDefault="00C034A0" w:rsidP="00C034A0">
      <w:pPr>
        <w:pStyle w:val="CERbullets"/>
        <w:spacing w:before="0" w:after="200" w:line="276" w:lineRule="auto"/>
      </w:pPr>
      <w:r w:rsidRPr="0008282E">
        <w:t>In the first year:</w:t>
      </w:r>
    </w:p>
    <w:p w14:paraId="770A4AEC" w14:textId="61EE0541" w:rsidR="00C034A0" w:rsidRPr="0008282E" w:rsidRDefault="00C034A0" w:rsidP="00C034A0">
      <w:pPr>
        <w:pStyle w:val="CERbullets"/>
        <w:numPr>
          <w:ilvl w:val="1"/>
          <w:numId w:val="21"/>
        </w:numPr>
        <w:spacing w:before="0" w:after="200" w:line="276" w:lineRule="auto"/>
      </w:pPr>
      <w:r w:rsidRPr="0008282E">
        <w:t>Using a suitable methodology for identified facilities, the reporter could estimate greenhouse gas emissions</w:t>
      </w:r>
      <w:r>
        <w:t>,</w:t>
      </w:r>
      <w:r w:rsidRPr="0008282E">
        <w:t xml:space="preserve"> energy </w:t>
      </w:r>
      <w:r w:rsidR="008A6D96" w:rsidRPr="0008282E">
        <w:t>consumption,</w:t>
      </w:r>
      <w:r w:rsidRPr="0008282E">
        <w:t xml:space="preserve"> and </w:t>
      </w:r>
      <w:r>
        <w:t xml:space="preserve">energy </w:t>
      </w:r>
      <w:r w:rsidRPr="0008282E">
        <w:t xml:space="preserve">production for the first year, confirming that the resulting total estimates for the corporation and each facility fall within </w:t>
      </w:r>
      <w:r>
        <w:t xml:space="preserve">the percentage reporting </w:t>
      </w:r>
      <w:r w:rsidRPr="0008282E">
        <w:t>threshold</w:t>
      </w:r>
      <w:r>
        <w:t>s</w:t>
      </w:r>
      <w:r w:rsidRPr="0008282E">
        <w:t xml:space="preserve"> (as set out </w:t>
      </w:r>
      <w:r>
        <w:t>in Table 1</w:t>
      </w:r>
      <w:r w:rsidRPr="0008282E">
        <w:t xml:space="preserve">). </w:t>
      </w:r>
    </w:p>
    <w:p w14:paraId="60E93D59" w14:textId="6FA537A5" w:rsidR="00C034A0" w:rsidRPr="0008282E" w:rsidRDefault="00C034A0" w:rsidP="00C034A0">
      <w:pPr>
        <w:pStyle w:val="CERbullets"/>
        <w:numPr>
          <w:ilvl w:val="1"/>
          <w:numId w:val="21"/>
        </w:numPr>
        <w:spacing w:before="0" w:after="200" w:line="276" w:lineRule="auto"/>
      </w:pPr>
      <w:r>
        <w:t xml:space="preserve">This year one estimate will provide the basis for pro-rata estimation in the following </w:t>
      </w:r>
      <w:r w:rsidR="33A253AA">
        <w:t>4</w:t>
      </w:r>
      <w:r>
        <w:t>-year period. Registered corporations can develop year one data estimations based on a mix of statistically appropriate sampling and deeming (with expert advice as needed).</w:t>
      </w:r>
    </w:p>
    <w:p w14:paraId="6EE3695A" w14:textId="30549C58" w:rsidR="00C034A0" w:rsidRPr="0008282E" w:rsidRDefault="00C034A0" w:rsidP="00C034A0">
      <w:pPr>
        <w:pStyle w:val="CERbullets"/>
        <w:spacing w:before="0" w:after="200" w:line="276" w:lineRule="auto"/>
      </w:pPr>
      <w:r>
        <w:t xml:space="preserve">For the next </w:t>
      </w:r>
      <w:r w:rsidR="7BE836FE">
        <w:t>4</w:t>
      </w:r>
      <w:r>
        <w:t xml:space="preserve"> years:</w:t>
      </w:r>
    </w:p>
    <w:p w14:paraId="254DA2B9" w14:textId="77777777" w:rsidR="00C034A0" w:rsidRPr="0008282E" w:rsidRDefault="00C034A0" w:rsidP="00C034A0">
      <w:pPr>
        <w:pStyle w:val="CERbullets"/>
        <w:numPr>
          <w:ilvl w:val="1"/>
          <w:numId w:val="21"/>
        </w:numPr>
        <w:spacing w:before="0" w:after="200" w:line="276" w:lineRule="auto"/>
      </w:pPr>
      <w:r>
        <w:t>U</w:t>
      </w:r>
      <w:r w:rsidRPr="0008282E">
        <w:t xml:space="preserve">sing an appropriate correlative indicator for each facility or 'category' (a certain size or type) of facility identified in year </w:t>
      </w:r>
      <w:r>
        <w:t>one</w:t>
      </w:r>
      <w:r w:rsidRPr="0008282E">
        <w:t>, the registered corporation can estimate pro</w:t>
      </w:r>
      <w:r>
        <w:t>-</w:t>
      </w:r>
      <w:r w:rsidRPr="0008282E">
        <w:t xml:space="preserve">rata emissions and energy for that year based on change in the chosen indicator from year </w:t>
      </w:r>
      <w:r>
        <w:t>one</w:t>
      </w:r>
      <w:r w:rsidRPr="0008282E">
        <w:t xml:space="preserve">. </w:t>
      </w:r>
    </w:p>
    <w:p w14:paraId="2E6864F5" w14:textId="77777777" w:rsidR="00C034A0" w:rsidRDefault="00C034A0" w:rsidP="00C034A0">
      <w:pPr>
        <w:pStyle w:val="CERbullets"/>
        <w:numPr>
          <w:ilvl w:val="1"/>
          <w:numId w:val="21"/>
        </w:numPr>
        <w:spacing w:before="0" w:after="200" w:line="276" w:lineRule="auto"/>
      </w:pPr>
      <w:r w:rsidRPr="0008282E">
        <w:t>Choosing a suitable indicator</w:t>
      </w:r>
      <w:r>
        <w:t>:</w:t>
      </w:r>
    </w:p>
    <w:p w14:paraId="75F5C4FF" w14:textId="77777777" w:rsidR="00C034A0" w:rsidRDefault="00C034A0" w:rsidP="00C034A0">
      <w:pPr>
        <w:pStyle w:val="CERbullets"/>
        <w:numPr>
          <w:ilvl w:val="2"/>
          <w:numId w:val="21"/>
        </w:numPr>
        <w:spacing w:before="0" w:after="200" w:line="276" w:lineRule="auto"/>
      </w:pPr>
      <w:r w:rsidRPr="0008282E">
        <w:lastRenderedPageBreak/>
        <w:t xml:space="preserve">The choice of indicators for assessing change to emissions and energy is best determined by the reporting corporation, based on expert opinion if needed. </w:t>
      </w:r>
    </w:p>
    <w:p w14:paraId="70935B1A" w14:textId="69C9E647" w:rsidR="00C034A0" w:rsidRPr="0008282E" w:rsidRDefault="00D36206" w:rsidP="00C034A0">
      <w:pPr>
        <w:pStyle w:val="CERbullets"/>
        <w:numPr>
          <w:ilvl w:val="2"/>
          <w:numId w:val="21"/>
        </w:numPr>
        <w:spacing w:before="0" w:after="200" w:line="276" w:lineRule="auto"/>
      </w:pPr>
      <w:r>
        <w:t>Sometimes</w:t>
      </w:r>
      <w:r w:rsidR="00C034A0">
        <w:t xml:space="preserve"> it is likely that emissions and energy totals for a facility or category of facility is unlikely to change perceptibly over a </w:t>
      </w:r>
      <w:r w:rsidR="5543F0A3">
        <w:t>4</w:t>
      </w:r>
      <w:r w:rsidR="00C034A0">
        <w:t xml:space="preserve">-year period. If so, the corporation should document this, including a justification for this conclusion based on statistically valid sampling or on the known activities at the facilities. In this </w:t>
      </w:r>
      <w:r w:rsidR="00432693">
        <w:t>case</w:t>
      </w:r>
      <w:r w:rsidR="00C034A0">
        <w:t>, the number of facilities which meet the profile is the only element which will change the percentage report from year</w:t>
      </w:r>
      <w:r w:rsidR="02BC208E">
        <w:t>-</w:t>
      </w:r>
      <w:r w:rsidR="00C034A0">
        <w:t>to</w:t>
      </w:r>
      <w:r w:rsidR="699105E7">
        <w:t>-</w:t>
      </w:r>
      <w:r w:rsidR="00C034A0">
        <w:t xml:space="preserve">year. </w:t>
      </w:r>
    </w:p>
    <w:p w14:paraId="601AE702" w14:textId="77777777" w:rsidR="00C034A0" w:rsidRPr="0008282E" w:rsidRDefault="00C034A0" w:rsidP="00C034A0">
      <w:pPr>
        <w:pStyle w:val="CERbullets"/>
        <w:numPr>
          <w:ilvl w:val="2"/>
          <w:numId w:val="21"/>
        </w:numPr>
        <w:spacing w:before="0" w:after="200" w:line="276" w:lineRule="auto"/>
      </w:pPr>
      <w:r w:rsidRPr="0008282E">
        <w:t xml:space="preserve">For some facilities, production may be an appropriate indicator of changes in emissions and energy over time. Another correlative indicator might be total fuel use at the facility. </w:t>
      </w:r>
    </w:p>
    <w:p w14:paraId="031D2D98" w14:textId="77777777" w:rsidR="00C034A0" w:rsidRDefault="00C034A0" w:rsidP="00C034A0">
      <w:pPr>
        <w:pStyle w:val="CERbullets"/>
        <w:spacing w:before="0" w:after="200" w:line="276" w:lineRule="auto"/>
      </w:pPr>
      <w:r>
        <w:t xml:space="preserve">Reviewing the methodology: </w:t>
      </w:r>
    </w:p>
    <w:p w14:paraId="116AC8FC" w14:textId="77777777" w:rsidR="00C034A0" w:rsidRDefault="00C034A0" w:rsidP="00C034A0">
      <w:pPr>
        <w:pStyle w:val="CERbullets"/>
        <w:numPr>
          <w:ilvl w:val="1"/>
          <w:numId w:val="21"/>
        </w:numPr>
        <w:spacing w:before="0" w:after="200" w:line="276" w:lineRule="auto"/>
      </w:pPr>
      <w:r w:rsidRPr="0008282E">
        <w:t>Each year registered corporations should review the</w:t>
      </w:r>
      <w:r>
        <w:t>ir</w:t>
      </w:r>
      <w:r w:rsidRPr="0008282E">
        <w:t xml:space="preserve"> methodology in the light of changes </w:t>
      </w:r>
      <w:r>
        <w:t>to</w:t>
      </w:r>
      <w:r w:rsidRPr="0008282E">
        <w:t xml:space="preserve"> the NGER legislation </w:t>
      </w:r>
      <w:r>
        <w:t xml:space="preserve">or to </w:t>
      </w:r>
      <w:r w:rsidRPr="0008282E">
        <w:t>the corporation's structure, activity levels, or reported facilities. For example</w:t>
      </w:r>
      <w:r>
        <w:t>,</w:t>
      </w:r>
      <w:r w:rsidRPr="0008282E">
        <w:t xml:space="preserve"> a change in activities at a facility may mean that reportable emissions and energy </w:t>
      </w:r>
      <w:r>
        <w:t>will</w:t>
      </w:r>
      <w:r w:rsidRPr="0008282E">
        <w:t xml:space="preserve"> exceed the </w:t>
      </w:r>
      <w:r>
        <w:t xml:space="preserve">percentage estimate </w:t>
      </w:r>
      <w:r w:rsidRPr="0008282E">
        <w:t xml:space="preserve">thresholds and other conditions set out in regulation 4.26. Changes in the NGER legislation may also </w:t>
      </w:r>
      <w:r>
        <w:t>affect the validity of the</w:t>
      </w:r>
      <w:r w:rsidRPr="0008282E">
        <w:t xml:space="preserve"> established methodology.</w:t>
      </w:r>
      <w:r>
        <w:t xml:space="preserve"> </w:t>
      </w:r>
    </w:p>
    <w:p w14:paraId="48AD17D5" w14:textId="38BC523A" w:rsidR="00C034A0" w:rsidRDefault="00C034A0" w:rsidP="00C034A0">
      <w:pPr>
        <w:pStyle w:val="CERbullets"/>
        <w:numPr>
          <w:ilvl w:val="1"/>
          <w:numId w:val="21"/>
        </w:numPr>
        <w:spacing w:before="0" w:after="200" w:line="276" w:lineRule="auto"/>
      </w:pPr>
      <w:r>
        <w:t xml:space="preserve">The chosen methodology could be followed for the </w:t>
      </w:r>
      <w:r w:rsidR="195B5CA7">
        <w:t>4</w:t>
      </w:r>
      <w:r>
        <w:t xml:space="preserve"> years following the first year, that is, for a </w:t>
      </w:r>
      <w:r w:rsidR="1C6A7148">
        <w:t>5</w:t>
      </w:r>
      <w:r>
        <w:t>-year total before re-examining the appropriateness of the methodology in the fifth year.</w:t>
      </w:r>
    </w:p>
    <w:p w14:paraId="33781E45" w14:textId="77777777" w:rsidR="00C034A0" w:rsidRPr="0008282E" w:rsidRDefault="00C034A0" w:rsidP="00C034A0">
      <w:pPr>
        <w:pStyle w:val="CERbullets"/>
        <w:numPr>
          <w:ilvl w:val="1"/>
          <w:numId w:val="21"/>
        </w:numPr>
        <w:spacing w:before="0" w:after="200" w:line="276" w:lineRule="auto"/>
      </w:pPr>
      <w:r w:rsidRPr="0008282E">
        <w:t xml:space="preserve">A review of the methodology might be based on matters identified by the registered corporation and documented in the methodology. A review might cover the facilities chosen in year </w:t>
      </w:r>
      <w:r>
        <w:t>one</w:t>
      </w:r>
      <w:r w:rsidRPr="0008282E">
        <w:t xml:space="preserve"> and subsequently, the continued appropriateness of the chosen indicators (perhaps with the benefit of expert opinion), together with representative sampling and deeming in relation to the corporation's total facilities to provide a new 'year </w:t>
      </w:r>
      <w:r>
        <w:t>one</w:t>
      </w:r>
      <w:r w:rsidRPr="0008282E">
        <w:t>' base for estimations. There may also be a need to review decisions made initially concerning operational control.</w:t>
      </w:r>
    </w:p>
    <w:p w14:paraId="222E1961" w14:textId="77777777" w:rsidR="00C034A0" w:rsidRPr="0008282E" w:rsidRDefault="00C034A0" w:rsidP="00C034A0">
      <w:pPr>
        <w:pStyle w:val="Heading2"/>
        <w:spacing w:before="0" w:line="276" w:lineRule="auto"/>
      </w:pPr>
      <w:bookmarkStart w:id="71" w:name="_Toc76039499"/>
      <w:bookmarkStart w:id="72" w:name="_Toc235706774"/>
      <w:r w:rsidRPr="0008282E">
        <w:t>Record keeping</w:t>
      </w:r>
      <w:bookmarkEnd w:id="71"/>
      <w:bookmarkEnd w:id="72"/>
    </w:p>
    <w:p w14:paraId="5D906FAF" w14:textId="79842D81" w:rsidR="00C034A0" w:rsidRPr="0008282E" w:rsidRDefault="00C034A0" w:rsidP="00C034A0">
      <w:pPr>
        <w:spacing w:line="276" w:lineRule="auto"/>
      </w:pPr>
      <w:r>
        <w:t xml:space="preserve">Under sections 22 and 22XA of the NGER Act, reporters are required to keep adequate records of their activities and the activities of the members of its group. These records should allow reporters to demonstrate to </w:t>
      </w:r>
      <w:r w:rsidR="000545A1">
        <w:t>the</w:t>
      </w:r>
      <w:r>
        <w:t xml:space="preserve"> </w:t>
      </w:r>
      <w:r w:rsidR="00E75A09">
        <w:t>CER</w:t>
      </w:r>
      <w:r>
        <w:t xml:space="preserve"> that they have complied with obligations under the NGER Act. These records must be kept for</w:t>
      </w:r>
      <w:r w:rsidR="17FFBA22">
        <w:t xml:space="preserve"> 5</w:t>
      </w:r>
      <w:r>
        <w:t xml:space="preserve"> years from the end of the year in which the activities that the records relate to took place.</w:t>
      </w:r>
    </w:p>
    <w:p w14:paraId="0919776D" w14:textId="77777777" w:rsidR="00C034A0" w:rsidRDefault="00C034A0" w:rsidP="00C034A0">
      <w:pPr>
        <w:spacing w:line="276" w:lineRule="auto"/>
        <w:rPr>
          <w:rFonts w:eastAsia="Times New Roman"/>
          <w:b/>
          <w:bCs/>
          <w:color w:val="005874"/>
          <w:kern w:val="32"/>
          <w:sz w:val="40"/>
        </w:rPr>
      </w:pPr>
      <w:r w:rsidRPr="0008282E">
        <w:t>Reporters using regulation 4.26 should keep a record of the decision</w:t>
      </w:r>
      <w:r>
        <w:t>s</w:t>
      </w:r>
      <w:r w:rsidRPr="0008282E">
        <w:t xml:space="preserve"> made in determining which facilities can be reported as a percentage and in estimating the percentage figure. These records should also include the </w:t>
      </w:r>
      <w:r>
        <w:t xml:space="preserve">estimation </w:t>
      </w:r>
      <w:r w:rsidRPr="0008282E">
        <w:t xml:space="preserve">method </w:t>
      </w:r>
      <w:r>
        <w:t>chosen and what reviews of the methodology have been performed</w:t>
      </w:r>
      <w:r w:rsidRPr="0008282E">
        <w:t>.</w:t>
      </w:r>
      <w:bookmarkStart w:id="73" w:name="_Toc424883884"/>
    </w:p>
    <w:p w14:paraId="310744D3" w14:textId="77777777" w:rsidR="00C034A0" w:rsidRPr="0008282E" w:rsidRDefault="00C034A0" w:rsidP="00C034A0">
      <w:pPr>
        <w:pStyle w:val="Heading1"/>
        <w:spacing w:before="0" w:line="276" w:lineRule="auto"/>
      </w:pPr>
      <w:bookmarkStart w:id="74" w:name="_Toc76039500"/>
      <w:bookmarkStart w:id="75" w:name="_Toc235706775"/>
      <w:r w:rsidRPr="0008282E">
        <w:t>Incidental reporting</w:t>
      </w:r>
      <w:bookmarkEnd w:id="73"/>
      <w:bookmarkEnd w:id="74"/>
      <w:bookmarkEnd w:id="75"/>
    </w:p>
    <w:p w14:paraId="7EE81D47" w14:textId="77777777" w:rsidR="00C034A0" w:rsidRPr="0008282E" w:rsidRDefault="00C034A0" w:rsidP="00C034A0">
      <w:pPr>
        <w:pStyle w:val="Heading2"/>
        <w:spacing w:before="0" w:line="276" w:lineRule="auto"/>
      </w:pPr>
      <w:bookmarkStart w:id="76" w:name="_Toc424883885"/>
      <w:bookmarkStart w:id="77" w:name="_Toc76039501"/>
      <w:bookmarkStart w:id="78" w:name="_Toc235706776"/>
      <w:r w:rsidRPr="0008282E">
        <w:t>What are incidental emissions and energy?</w:t>
      </w:r>
      <w:bookmarkEnd w:id="76"/>
      <w:bookmarkEnd w:id="77"/>
      <w:bookmarkEnd w:id="78"/>
    </w:p>
    <w:p w14:paraId="29B829B3" w14:textId="77777777" w:rsidR="00C034A0" w:rsidRPr="0008282E" w:rsidRDefault="00C034A0" w:rsidP="00C034A0">
      <w:pPr>
        <w:spacing w:line="276" w:lineRule="auto"/>
      </w:pPr>
      <w:r w:rsidRPr="0008282E">
        <w:t>Incidental reporting can be used to report on small</w:t>
      </w:r>
      <w:r>
        <w:t>, ‘incidental’</w:t>
      </w:r>
      <w:r w:rsidRPr="0008282E">
        <w:t xml:space="preserve"> </w:t>
      </w:r>
      <w:r>
        <w:t xml:space="preserve">amounts </w:t>
      </w:r>
      <w:r w:rsidRPr="0008282E">
        <w:t xml:space="preserve">of greenhouse gas emissions or energy </w:t>
      </w:r>
      <w:r>
        <w:t xml:space="preserve">consumption and production </w:t>
      </w:r>
      <w:r w:rsidRPr="0008282E">
        <w:t xml:space="preserve">at a facility. </w:t>
      </w:r>
    </w:p>
    <w:p w14:paraId="19248A14" w14:textId="77777777" w:rsidR="00C034A0" w:rsidRPr="0008282E" w:rsidRDefault="00C034A0" w:rsidP="00C034A0">
      <w:pPr>
        <w:spacing w:line="276" w:lineRule="auto"/>
      </w:pPr>
      <w:r w:rsidRPr="0008282E">
        <w:t>Controlling corporations reporting under section 19, RTC holders reporting under 22G and responsible members reporting under section 22X, are all able to report using the incidentals provisions.</w:t>
      </w:r>
    </w:p>
    <w:p w14:paraId="29D1D0C6" w14:textId="77777777" w:rsidR="00C034A0" w:rsidRPr="0008282E" w:rsidRDefault="00C034A0" w:rsidP="00C034A0">
      <w:pPr>
        <w:spacing w:line="276" w:lineRule="auto"/>
      </w:pPr>
      <w:r>
        <w:lastRenderedPageBreak/>
        <w:t xml:space="preserve">NGER </w:t>
      </w:r>
      <w:r w:rsidRPr="0008282E">
        <w:t xml:space="preserve">Regulation 4.27 allows for </w:t>
      </w:r>
      <w:r>
        <w:t xml:space="preserve">NGER </w:t>
      </w:r>
      <w:r w:rsidRPr="0008282E">
        <w:t>report</w:t>
      </w:r>
      <w:r>
        <w:t xml:space="preserve">s </w:t>
      </w:r>
      <w:r w:rsidRPr="0008282E">
        <w:t xml:space="preserve">to include an estimated figure for greenhouse gas emissions, energy consumption </w:t>
      </w:r>
      <w:r>
        <w:t>or</w:t>
      </w:r>
      <w:r w:rsidRPr="0008282E">
        <w:t xml:space="preserve"> energy production that is incidental to the facility's total greenhouse gas emissions, energy consumption, </w:t>
      </w:r>
      <w:r>
        <w:t>or</w:t>
      </w:r>
      <w:r w:rsidRPr="0008282E">
        <w:t xml:space="preserve"> energy production</w:t>
      </w:r>
      <w:r>
        <w:t>. What is considered as ‘incidental’ is explained below.</w:t>
      </w:r>
      <w:r w:rsidRPr="0008282E">
        <w:t xml:space="preserve"> Th</w:t>
      </w:r>
      <w:r>
        <w:t xml:space="preserve">e </w:t>
      </w:r>
      <w:r w:rsidRPr="0008282E">
        <w:t xml:space="preserve">estimate </w:t>
      </w:r>
      <w:r>
        <w:t>must be</w:t>
      </w:r>
      <w:r w:rsidRPr="0008282E">
        <w:t xml:space="preserve"> consistent with the general principles set out in section 1.13 of the NGER Measurement Determination</w:t>
      </w:r>
      <w:r>
        <w:t>. S</w:t>
      </w:r>
      <w:r w:rsidRPr="0008282E">
        <w:t>ee</w:t>
      </w:r>
      <w:r>
        <w:t xml:space="preserve"> the following section on</w:t>
      </w:r>
      <w:r w:rsidRPr="0008282E">
        <w:t xml:space="preserve"> </w:t>
      </w:r>
      <w:hyperlink w:anchor="_Measuring_emissions_and" w:history="1">
        <w:r w:rsidRPr="00A52348">
          <w:rPr>
            <w:rStyle w:val="Hyperlink"/>
            <w:rFonts w:asciiTheme="minorHAnsi" w:hAnsiTheme="minorHAnsi"/>
          </w:rPr>
          <w:t>Measuring emissions and energy from incidental sources</w:t>
        </w:r>
      </w:hyperlink>
      <w:r w:rsidRPr="0008282E">
        <w:t xml:space="preserve"> </w:t>
      </w:r>
      <w:r>
        <w:t>for more information</w:t>
      </w:r>
      <w:r w:rsidRPr="0008282E">
        <w:t>.</w:t>
      </w:r>
    </w:p>
    <w:p w14:paraId="7142F58C" w14:textId="74B9F0C6" w:rsidR="00C034A0" w:rsidRPr="0008282E" w:rsidRDefault="00C034A0" w:rsidP="00C034A0">
      <w:pPr>
        <w:spacing w:line="276" w:lineRule="auto"/>
      </w:pPr>
      <w:r>
        <w:t>This provision</w:t>
      </w:r>
      <w:r w:rsidRPr="0008282E">
        <w:t xml:space="preserve"> recognises that monitoring and measuring </w:t>
      </w:r>
      <w:r w:rsidR="003627A6" w:rsidRPr="0008282E">
        <w:t>small</w:t>
      </w:r>
      <w:r w:rsidRPr="0008282E">
        <w:t xml:space="preserve"> amounts of greenhouse gas emissions, energy consumption or energy production within a facility may be difficult and costly for registered corporations</w:t>
      </w:r>
      <w:r>
        <w:t xml:space="preserve"> and </w:t>
      </w:r>
      <w:r w:rsidRPr="0008282E">
        <w:t>aims to reduce the burden and cost of measuring these amounts where possible.</w:t>
      </w:r>
    </w:p>
    <w:p w14:paraId="30D2EFDA" w14:textId="1CAFE8B7" w:rsidR="00C034A0" w:rsidRPr="0008282E" w:rsidRDefault="00C034A0" w:rsidP="00C034A0">
      <w:pPr>
        <w:spacing w:line="276" w:lineRule="auto"/>
      </w:pPr>
      <w:bookmarkStart w:id="79" w:name="_Toc424883886"/>
      <w:r w:rsidRPr="0008282E">
        <w:t xml:space="preserve">Incidental reporting can only be used where the information about the greenhouse gas emissions, energy consumption or energy production is not otherwise required to be collected or provided under any other Commonwealth, </w:t>
      </w:r>
      <w:r w:rsidR="00482966">
        <w:t>s</w:t>
      </w:r>
      <w:r w:rsidR="00482966" w:rsidRPr="0008282E">
        <w:t>tate,</w:t>
      </w:r>
      <w:r w:rsidRPr="0008282E">
        <w:t xml:space="preserve"> or </w:t>
      </w:r>
      <w:r>
        <w:t>t</w:t>
      </w:r>
      <w:r w:rsidRPr="0008282E">
        <w:t>erritory law.</w:t>
      </w:r>
    </w:p>
    <w:p w14:paraId="27483891" w14:textId="77777777" w:rsidR="00C034A0" w:rsidRPr="0008282E" w:rsidRDefault="00C034A0" w:rsidP="00C034A0">
      <w:pPr>
        <w:pStyle w:val="Heading2"/>
        <w:spacing w:before="0" w:line="276" w:lineRule="auto"/>
      </w:pPr>
      <w:bookmarkStart w:id="80" w:name="_Toc76039502"/>
      <w:bookmarkStart w:id="81" w:name="_Toc235706777"/>
      <w:r w:rsidRPr="0008282E">
        <w:t xml:space="preserve">When </w:t>
      </w:r>
      <w:r>
        <w:t xml:space="preserve">are </w:t>
      </w:r>
      <w:r w:rsidRPr="0008282E">
        <w:t>sources incidental?</w:t>
      </w:r>
      <w:bookmarkEnd w:id="79"/>
      <w:bookmarkEnd w:id="80"/>
      <w:bookmarkEnd w:id="81"/>
    </w:p>
    <w:p w14:paraId="56DB89D4" w14:textId="51A588FC" w:rsidR="00C034A0" w:rsidRPr="00E10E68" w:rsidRDefault="00C034A0" w:rsidP="00C034A0">
      <w:pPr>
        <w:spacing w:line="276" w:lineRule="auto"/>
      </w:pPr>
      <w:r w:rsidRPr="0008282E">
        <w:t>For sources to be considered 'incidental', they must be below the following thresholds (as set out in sub</w:t>
      </w:r>
      <w:r>
        <w:noBreakHyphen/>
      </w:r>
      <w:r w:rsidRPr="0008282E">
        <w:t>regulations 4.27(5), (6) and (7) of the NGER Regulations).</w:t>
      </w:r>
    </w:p>
    <w:p w14:paraId="06D196DE" w14:textId="77777777" w:rsidR="00C034A0" w:rsidRPr="0008282E" w:rsidRDefault="00C034A0" w:rsidP="00C034A0">
      <w:pPr>
        <w:pStyle w:val="Caption"/>
      </w:pPr>
      <w:r w:rsidRPr="0008282E">
        <w:t>Table 2</w:t>
      </w:r>
      <w:r>
        <w:t>—</w:t>
      </w:r>
      <w:r w:rsidRPr="0008282E">
        <w:t>Greenhouse gas emissions incidental reporting thresholds</w:t>
      </w:r>
    </w:p>
    <w:tbl>
      <w:tblPr>
        <w:tblStyle w:val="CERTable"/>
        <w:tblW w:w="5000" w:type="pct"/>
        <w:tblLook w:val="06A0" w:firstRow="1" w:lastRow="0" w:firstColumn="1" w:lastColumn="0" w:noHBand="1" w:noVBand="1"/>
      </w:tblPr>
      <w:tblGrid>
        <w:gridCol w:w="4404"/>
        <w:gridCol w:w="2712"/>
        <w:gridCol w:w="2624"/>
      </w:tblGrid>
      <w:tr w:rsidR="00C034A0" w:rsidRPr="0008282E" w14:paraId="440CB041" w14:textId="77777777" w:rsidTr="14A7AFF2">
        <w:trPr>
          <w:cnfStyle w:val="100000000000" w:firstRow="1" w:lastRow="0" w:firstColumn="0" w:lastColumn="0" w:oddVBand="0" w:evenVBand="0" w:oddHBand="0"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2261" w:type="pct"/>
          </w:tcPr>
          <w:p w14:paraId="3195669D" w14:textId="77777777" w:rsidR="00C034A0" w:rsidRPr="0008282E" w:rsidRDefault="00C034A0" w:rsidP="003148D2">
            <w:pPr>
              <w:spacing w:before="0" w:line="276" w:lineRule="auto"/>
            </w:pPr>
            <w:r w:rsidRPr="0008282E">
              <w:t xml:space="preserve">Application type and level </w:t>
            </w:r>
          </w:p>
        </w:tc>
        <w:tc>
          <w:tcPr>
            <w:tcW w:w="1392" w:type="pct"/>
          </w:tcPr>
          <w:p w14:paraId="4B8E7611" w14:textId="77777777" w:rsidR="00C034A0" w:rsidRPr="0008282E" w:rsidRDefault="00C034A0" w:rsidP="003148D2">
            <w:pPr>
              <w:spacing w:before="0" w:line="276" w:lineRule="auto"/>
              <w:cnfStyle w:val="100000000000" w:firstRow="1" w:lastRow="0" w:firstColumn="0" w:lastColumn="0" w:oddVBand="0" w:evenVBand="0" w:oddHBand="0" w:evenHBand="0" w:firstRowFirstColumn="0" w:firstRowLastColumn="0" w:lastRowFirstColumn="0" w:lastRowLastColumn="0"/>
            </w:pPr>
            <w:r w:rsidRPr="0008282E">
              <w:t>Scope 1 emissions (CO</w:t>
            </w:r>
            <w:r w:rsidRPr="001910A7">
              <w:rPr>
                <w:vertAlign w:val="subscript"/>
              </w:rPr>
              <w:t>2</w:t>
            </w:r>
            <w:r w:rsidRPr="0008282E">
              <w:t>-e)</w:t>
            </w:r>
          </w:p>
        </w:tc>
        <w:tc>
          <w:tcPr>
            <w:tcW w:w="1347" w:type="pct"/>
          </w:tcPr>
          <w:p w14:paraId="33544CA2" w14:textId="77777777" w:rsidR="00C034A0" w:rsidRPr="0008282E" w:rsidRDefault="00C034A0" w:rsidP="003148D2">
            <w:pPr>
              <w:spacing w:before="0" w:line="276" w:lineRule="auto"/>
              <w:cnfStyle w:val="100000000000" w:firstRow="1" w:lastRow="0" w:firstColumn="0" w:lastColumn="0" w:oddVBand="0" w:evenVBand="0" w:oddHBand="0" w:evenHBand="0" w:firstRowFirstColumn="0" w:firstRowLastColumn="0" w:lastRowFirstColumn="0" w:lastRowLastColumn="0"/>
            </w:pPr>
            <w:r w:rsidRPr="0008282E">
              <w:t>Scope 2 emissions</w:t>
            </w:r>
            <w:r>
              <w:t xml:space="preserve"> </w:t>
            </w:r>
            <w:r w:rsidRPr="0008282E">
              <w:t>(CO</w:t>
            </w:r>
            <w:r w:rsidRPr="001910A7">
              <w:rPr>
                <w:vertAlign w:val="subscript"/>
              </w:rPr>
              <w:t>2</w:t>
            </w:r>
            <w:r w:rsidRPr="0008282E">
              <w:t>-e)</w:t>
            </w:r>
          </w:p>
        </w:tc>
      </w:tr>
      <w:tr w:rsidR="00C034A0" w:rsidRPr="0008282E" w14:paraId="08F9EAF4" w14:textId="77777777" w:rsidTr="14A7AFF2">
        <w:trPr>
          <w:trHeight w:val="608"/>
        </w:trPr>
        <w:tc>
          <w:tcPr>
            <w:cnfStyle w:val="001000000000" w:firstRow="0" w:lastRow="0" w:firstColumn="1" w:lastColumn="0" w:oddVBand="0" w:evenVBand="0" w:oddHBand="0" w:evenHBand="0" w:firstRowFirstColumn="0" w:firstRowLastColumn="0" w:lastRowFirstColumn="0" w:lastRowLastColumn="0"/>
            <w:tcW w:w="2261" w:type="pct"/>
          </w:tcPr>
          <w:p w14:paraId="35D27971" w14:textId="659D0583" w:rsidR="00C034A0" w:rsidRPr="0008282E" w:rsidRDefault="00C034A0" w:rsidP="003148D2">
            <w:pPr>
              <w:spacing w:before="0" w:line="276" w:lineRule="auto"/>
            </w:pPr>
            <w:r w:rsidRPr="0008282E">
              <w:t xml:space="preserve">Total </w:t>
            </w:r>
            <w:r>
              <w:t>emissions</w:t>
            </w:r>
            <w:r w:rsidRPr="0008282E">
              <w:t xml:space="preserve"> from fuel combustion at a facility</w:t>
            </w:r>
            <w:r w:rsidR="001F5216">
              <w:t>, being reported as incidental</w:t>
            </w:r>
          </w:p>
        </w:tc>
        <w:tc>
          <w:tcPr>
            <w:tcW w:w="1392" w:type="pct"/>
          </w:tcPr>
          <w:p w14:paraId="6689B6FF" w14:textId="3F7A577F" w:rsidR="00C034A0" w:rsidRPr="0008282E" w:rsidRDefault="00C034A0" w:rsidP="003148D2">
            <w:pPr>
              <w:spacing w:before="0" w:line="276" w:lineRule="auto"/>
              <w:cnfStyle w:val="000000000000" w:firstRow="0" w:lastRow="0" w:firstColumn="0" w:lastColumn="0" w:oddVBand="0" w:evenVBand="0" w:oddHBand="0" w:evenHBand="0" w:firstRowFirstColumn="0" w:firstRowLastColumn="0" w:lastRowFirstColumn="0" w:lastRowLastColumn="0"/>
            </w:pPr>
            <w:r w:rsidRPr="0008282E">
              <w:t>12</w:t>
            </w:r>
            <w:r w:rsidR="0065202F">
              <w:t> </w:t>
            </w:r>
            <w:r w:rsidRPr="0008282E">
              <w:t>kt or less</w:t>
            </w:r>
          </w:p>
        </w:tc>
        <w:tc>
          <w:tcPr>
            <w:tcW w:w="1347" w:type="pct"/>
          </w:tcPr>
          <w:p w14:paraId="4C3E3166" w14:textId="3ED7F476" w:rsidR="00C034A0" w:rsidRPr="0008282E" w:rsidRDefault="00C034A0" w:rsidP="003148D2">
            <w:pPr>
              <w:spacing w:before="0" w:line="276" w:lineRule="auto"/>
              <w:cnfStyle w:val="000000000000" w:firstRow="0" w:lastRow="0" w:firstColumn="0" w:lastColumn="0" w:oddVBand="0" w:evenVBand="0" w:oddHBand="0" w:evenHBand="0" w:firstRowFirstColumn="0" w:firstRowLastColumn="0" w:lastRowFirstColumn="0" w:lastRowLastColumn="0"/>
            </w:pPr>
            <w:r w:rsidRPr="0008282E">
              <w:t>12</w:t>
            </w:r>
            <w:r w:rsidR="0065202F">
              <w:t> </w:t>
            </w:r>
            <w:r w:rsidRPr="0008282E">
              <w:t>kt or less</w:t>
            </w:r>
          </w:p>
        </w:tc>
      </w:tr>
      <w:tr w:rsidR="00C034A0" w:rsidRPr="0008282E" w14:paraId="3591A53F" w14:textId="77777777" w:rsidTr="14A7AFF2">
        <w:trPr>
          <w:trHeight w:val="708"/>
        </w:trPr>
        <w:tc>
          <w:tcPr>
            <w:cnfStyle w:val="001000000000" w:firstRow="0" w:lastRow="0" w:firstColumn="1" w:lastColumn="0" w:oddVBand="0" w:evenVBand="0" w:oddHBand="0" w:evenHBand="0" w:firstRowFirstColumn="0" w:firstRowLastColumn="0" w:lastRowFirstColumn="0" w:lastRowLastColumn="0"/>
            <w:tcW w:w="2261" w:type="pct"/>
          </w:tcPr>
          <w:p w14:paraId="76B73E65" w14:textId="287F508A" w:rsidR="00C034A0" w:rsidRPr="0008282E" w:rsidRDefault="00C034A0" w:rsidP="003148D2">
            <w:pPr>
              <w:spacing w:before="0" w:line="276" w:lineRule="auto"/>
            </w:pPr>
            <w:r w:rsidRPr="0008282E">
              <w:t>Amount for</w:t>
            </w:r>
            <w:r>
              <w:t xml:space="preserve"> emissions from</w:t>
            </w:r>
            <w:r w:rsidRPr="0008282E">
              <w:t xml:space="preserve"> a</w:t>
            </w:r>
            <w:r w:rsidR="001E342D">
              <w:t>n individual</w:t>
            </w:r>
            <w:r w:rsidRPr="0008282E">
              <w:t xml:space="preserve"> source, other than </w:t>
            </w:r>
            <w:r>
              <w:t>combustion of fuel</w:t>
            </w:r>
            <w:r w:rsidRPr="0008282E">
              <w:t>, at a facility</w:t>
            </w:r>
          </w:p>
        </w:tc>
        <w:tc>
          <w:tcPr>
            <w:tcW w:w="1392" w:type="pct"/>
          </w:tcPr>
          <w:p w14:paraId="6EE1ABE3" w14:textId="44E08432" w:rsidR="00C034A0" w:rsidRPr="0008282E" w:rsidRDefault="00C034A0" w:rsidP="003148D2">
            <w:pPr>
              <w:spacing w:before="0" w:line="276" w:lineRule="auto"/>
              <w:cnfStyle w:val="000000000000" w:firstRow="0" w:lastRow="0" w:firstColumn="0" w:lastColumn="0" w:oddVBand="0" w:evenVBand="0" w:oddHBand="0" w:evenHBand="0" w:firstRowFirstColumn="0" w:firstRowLastColumn="0" w:lastRowFirstColumn="0" w:lastRowLastColumn="0"/>
            </w:pPr>
            <w:r w:rsidRPr="0008282E">
              <w:t>3</w:t>
            </w:r>
            <w:r w:rsidR="0065202F">
              <w:t> </w:t>
            </w:r>
            <w:r w:rsidRPr="0008282E">
              <w:t>kt or les</w:t>
            </w:r>
            <w:r>
              <w:t>s</w:t>
            </w:r>
          </w:p>
        </w:tc>
        <w:tc>
          <w:tcPr>
            <w:tcW w:w="1347" w:type="pct"/>
          </w:tcPr>
          <w:p w14:paraId="628C25C3" w14:textId="4DF250A1" w:rsidR="00C034A0" w:rsidRPr="0008282E" w:rsidRDefault="00C034A0" w:rsidP="003148D2">
            <w:pPr>
              <w:spacing w:before="0" w:line="276" w:lineRule="auto"/>
              <w:cnfStyle w:val="000000000000" w:firstRow="0" w:lastRow="0" w:firstColumn="0" w:lastColumn="0" w:oddVBand="0" w:evenVBand="0" w:oddHBand="0" w:evenHBand="0" w:firstRowFirstColumn="0" w:firstRowLastColumn="0" w:lastRowFirstColumn="0" w:lastRowLastColumn="0"/>
            </w:pPr>
            <w:r w:rsidRPr="0008282E">
              <w:t>3</w:t>
            </w:r>
            <w:r w:rsidR="0065202F">
              <w:t> </w:t>
            </w:r>
            <w:r w:rsidRPr="0008282E">
              <w:t>kt or less</w:t>
            </w:r>
          </w:p>
        </w:tc>
      </w:tr>
      <w:tr w:rsidR="00C034A0" w:rsidRPr="0008282E" w14:paraId="1E54B711" w14:textId="77777777" w:rsidTr="14A7AFF2">
        <w:trPr>
          <w:trHeight w:val="354"/>
        </w:trPr>
        <w:tc>
          <w:tcPr>
            <w:cnfStyle w:val="001000000000" w:firstRow="0" w:lastRow="0" w:firstColumn="1" w:lastColumn="0" w:oddVBand="0" w:evenVBand="0" w:oddHBand="0" w:evenHBand="0" w:firstRowFirstColumn="0" w:firstRowLastColumn="0" w:lastRowFirstColumn="0" w:lastRowLastColumn="0"/>
            <w:tcW w:w="2261" w:type="pct"/>
          </w:tcPr>
          <w:p w14:paraId="2F7D41F2" w14:textId="4D5E79AC" w:rsidR="00C034A0" w:rsidRPr="0008282E" w:rsidRDefault="00C034A0" w:rsidP="003148D2">
            <w:pPr>
              <w:spacing w:before="0" w:line="276" w:lineRule="auto"/>
            </w:pPr>
            <w:r>
              <w:t xml:space="preserve">Total </w:t>
            </w:r>
            <w:r w:rsidR="0049063D">
              <w:t xml:space="preserve">emissions </w:t>
            </w:r>
            <w:r w:rsidR="00857651">
              <w:t>from</w:t>
            </w:r>
            <w:r w:rsidR="0061CF0F">
              <w:t xml:space="preserve"> sources</w:t>
            </w:r>
            <w:r w:rsidR="00857651">
              <w:t xml:space="preserve"> being reported as incidental,</w:t>
            </w:r>
            <w:r w:rsidR="0061CF0F" w:rsidDel="00857651">
              <w:t xml:space="preserve"> </w:t>
            </w:r>
            <w:r>
              <w:t>other than</w:t>
            </w:r>
            <w:r w:rsidR="0A7DC9E3">
              <w:t xml:space="preserve"> those</w:t>
            </w:r>
            <w:r w:rsidR="16DA3566">
              <w:t xml:space="preserve"> from the</w:t>
            </w:r>
            <w:r>
              <w:t xml:space="preserve"> combustion of fuel, at a facility </w:t>
            </w:r>
          </w:p>
        </w:tc>
        <w:tc>
          <w:tcPr>
            <w:tcW w:w="1392" w:type="pct"/>
          </w:tcPr>
          <w:p w14:paraId="7357B581" w14:textId="4AD77608" w:rsidR="00C034A0" w:rsidRPr="0008282E" w:rsidDel="00982239" w:rsidRDefault="00C034A0" w:rsidP="003148D2">
            <w:pPr>
              <w:spacing w:before="0" w:line="276" w:lineRule="auto"/>
              <w:cnfStyle w:val="000000000000" w:firstRow="0" w:lastRow="0" w:firstColumn="0" w:lastColumn="0" w:oddVBand="0" w:evenVBand="0" w:oddHBand="0" w:evenHBand="0" w:firstRowFirstColumn="0" w:firstRowLastColumn="0" w:lastRowFirstColumn="0" w:lastRowLastColumn="0"/>
            </w:pPr>
            <w:r w:rsidRPr="0008282E">
              <w:t>12</w:t>
            </w:r>
            <w:r w:rsidR="0065202F">
              <w:t> </w:t>
            </w:r>
            <w:r w:rsidRPr="0008282E">
              <w:t>kt or less</w:t>
            </w:r>
          </w:p>
        </w:tc>
        <w:tc>
          <w:tcPr>
            <w:tcW w:w="1347" w:type="pct"/>
          </w:tcPr>
          <w:p w14:paraId="06DB18D7" w14:textId="64BCEE67" w:rsidR="00C034A0" w:rsidRPr="0008282E" w:rsidDel="00982239" w:rsidRDefault="00C034A0" w:rsidP="003148D2">
            <w:pPr>
              <w:spacing w:before="0" w:line="276" w:lineRule="auto"/>
              <w:cnfStyle w:val="000000000000" w:firstRow="0" w:lastRow="0" w:firstColumn="0" w:lastColumn="0" w:oddVBand="0" w:evenVBand="0" w:oddHBand="0" w:evenHBand="0" w:firstRowFirstColumn="0" w:firstRowLastColumn="0" w:lastRowFirstColumn="0" w:lastRowLastColumn="0"/>
            </w:pPr>
            <w:r w:rsidRPr="0008282E">
              <w:t>12</w:t>
            </w:r>
            <w:r w:rsidR="0065202F">
              <w:t> </w:t>
            </w:r>
            <w:r w:rsidRPr="0008282E">
              <w:t>kt or less</w:t>
            </w:r>
          </w:p>
        </w:tc>
      </w:tr>
    </w:tbl>
    <w:p w14:paraId="32FFBB2D" w14:textId="77777777" w:rsidR="00C034A0" w:rsidRDefault="00C034A0" w:rsidP="00C034A0">
      <w:pPr>
        <w:spacing w:after="0"/>
        <w:rPr>
          <w:rFonts w:eastAsiaTheme="minorEastAsia" w:cstheme="minorBidi"/>
          <w:bCs/>
          <w:color w:val="005874"/>
          <w:sz w:val="25"/>
          <w:szCs w:val="28"/>
        </w:rPr>
      </w:pPr>
    </w:p>
    <w:p w14:paraId="17BC8970" w14:textId="77777777" w:rsidR="00C034A0" w:rsidRPr="0008282E" w:rsidRDefault="00C034A0" w:rsidP="00C034A0">
      <w:pPr>
        <w:pStyle w:val="Caption"/>
      </w:pPr>
      <w:r w:rsidRPr="0008282E">
        <w:t>Table 3</w:t>
      </w:r>
      <w:r>
        <w:t>—</w:t>
      </w:r>
      <w:r w:rsidRPr="0008282E">
        <w:t>Energy consumption and energy production incidental reporting thresholds</w:t>
      </w:r>
    </w:p>
    <w:tbl>
      <w:tblPr>
        <w:tblStyle w:val="CERTable"/>
        <w:tblW w:w="5000" w:type="pct"/>
        <w:tblLook w:val="06A0" w:firstRow="1" w:lastRow="0" w:firstColumn="1" w:lastColumn="0" w:noHBand="1" w:noVBand="1"/>
      </w:tblPr>
      <w:tblGrid>
        <w:gridCol w:w="4404"/>
        <w:gridCol w:w="5336"/>
      </w:tblGrid>
      <w:tr w:rsidR="00C034A0" w:rsidRPr="00413A59" w14:paraId="25FAC59F" w14:textId="77777777" w:rsidTr="003148D2">
        <w:trPr>
          <w:cnfStyle w:val="100000000000" w:firstRow="1" w:lastRow="0" w:firstColumn="0" w:lastColumn="0" w:oddVBand="0" w:evenVBand="0" w:oddHBand="0"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2261" w:type="pct"/>
          </w:tcPr>
          <w:p w14:paraId="36F14A3B" w14:textId="77777777" w:rsidR="00C034A0" w:rsidRPr="00413A59" w:rsidRDefault="00C034A0" w:rsidP="003148D2">
            <w:pPr>
              <w:spacing w:before="0" w:line="276" w:lineRule="auto"/>
            </w:pPr>
            <w:r w:rsidRPr="00413A59">
              <w:t>Application type and level</w:t>
            </w:r>
          </w:p>
        </w:tc>
        <w:tc>
          <w:tcPr>
            <w:tcW w:w="2739" w:type="pct"/>
          </w:tcPr>
          <w:p w14:paraId="61B98A48" w14:textId="77777777" w:rsidR="00C034A0" w:rsidRPr="00413A59" w:rsidRDefault="00C034A0" w:rsidP="003148D2">
            <w:pPr>
              <w:spacing w:before="0" w:line="276" w:lineRule="auto"/>
              <w:cnfStyle w:val="100000000000" w:firstRow="1" w:lastRow="0" w:firstColumn="0" w:lastColumn="0" w:oddVBand="0" w:evenVBand="0" w:oddHBand="0" w:evenHBand="0" w:firstRowFirstColumn="0" w:firstRowLastColumn="0" w:lastRowFirstColumn="0" w:lastRowLastColumn="0"/>
            </w:pPr>
            <w:r w:rsidRPr="00413A59">
              <w:t>Energy production or energy consumption</w:t>
            </w:r>
          </w:p>
        </w:tc>
      </w:tr>
      <w:tr w:rsidR="00C034A0" w:rsidRPr="00413A59" w14:paraId="1371C092" w14:textId="77777777" w:rsidTr="003148D2">
        <w:trPr>
          <w:trHeight w:val="191"/>
        </w:trPr>
        <w:tc>
          <w:tcPr>
            <w:cnfStyle w:val="001000000000" w:firstRow="0" w:lastRow="0" w:firstColumn="1" w:lastColumn="0" w:oddVBand="0" w:evenVBand="0" w:oddHBand="0" w:evenHBand="0" w:firstRowFirstColumn="0" w:firstRowLastColumn="0" w:lastRowFirstColumn="0" w:lastRowLastColumn="0"/>
            <w:tcW w:w="2261" w:type="pct"/>
          </w:tcPr>
          <w:p w14:paraId="207C39F5" w14:textId="3C6EA2BC" w:rsidR="00C034A0" w:rsidRPr="00413A59" w:rsidRDefault="00C034A0" w:rsidP="003148D2">
            <w:pPr>
              <w:spacing w:before="0" w:line="276" w:lineRule="auto"/>
            </w:pPr>
            <w:r w:rsidRPr="00413A59">
              <w:t xml:space="preserve">Amount </w:t>
            </w:r>
            <w:r w:rsidR="00F640A5">
              <w:t>of</w:t>
            </w:r>
            <w:r w:rsidR="00F640A5" w:rsidRPr="00413A59">
              <w:t xml:space="preserve"> </w:t>
            </w:r>
            <w:r w:rsidRPr="00413A59">
              <w:t xml:space="preserve">a </w:t>
            </w:r>
            <w:r>
              <w:t>particular fuel or energy commodity at a facility</w:t>
            </w:r>
            <w:r w:rsidR="00620547">
              <w:t xml:space="preserve"> (</w:t>
            </w:r>
            <w:r w:rsidR="00371587">
              <w:t>excluding</w:t>
            </w:r>
            <w:r w:rsidR="00A55A73">
              <w:t xml:space="preserve"> </w:t>
            </w:r>
            <w:r w:rsidR="00620547">
              <w:t>fuel combustion)</w:t>
            </w:r>
          </w:p>
        </w:tc>
        <w:tc>
          <w:tcPr>
            <w:tcW w:w="2739" w:type="pct"/>
          </w:tcPr>
          <w:p w14:paraId="58C833A2" w14:textId="47B58F14" w:rsidR="00C034A0" w:rsidRPr="00413A59" w:rsidRDefault="00C034A0" w:rsidP="003148D2">
            <w:pPr>
              <w:spacing w:before="0" w:line="276" w:lineRule="auto"/>
              <w:cnfStyle w:val="000000000000" w:firstRow="0" w:lastRow="0" w:firstColumn="0" w:lastColumn="0" w:oddVBand="0" w:evenVBand="0" w:oddHBand="0" w:evenHBand="0" w:firstRowFirstColumn="0" w:firstRowLastColumn="0" w:lastRowFirstColumn="0" w:lastRowLastColumn="0"/>
            </w:pPr>
            <w:r>
              <w:t xml:space="preserve">Less than </w:t>
            </w:r>
            <w:r w:rsidRPr="00413A59">
              <w:t>30</w:t>
            </w:r>
            <w:r w:rsidR="001E5AE2">
              <w:t> </w:t>
            </w:r>
            <w:r w:rsidRPr="00413A59">
              <w:t xml:space="preserve">TJ </w:t>
            </w:r>
          </w:p>
        </w:tc>
      </w:tr>
      <w:tr w:rsidR="00C034A0" w:rsidRPr="00413A59" w14:paraId="4C42CD60" w14:textId="77777777" w:rsidTr="003148D2">
        <w:trPr>
          <w:trHeight w:val="407"/>
        </w:trPr>
        <w:tc>
          <w:tcPr>
            <w:cnfStyle w:val="001000000000" w:firstRow="0" w:lastRow="0" w:firstColumn="1" w:lastColumn="0" w:oddVBand="0" w:evenVBand="0" w:oddHBand="0" w:evenHBand="0" w:firstRowFirstColumn="0" w:firstRowLastColumn="0" w:lastRowFirstColumn="0" w:lastRowLastColumn="0"/>
            <w:tcW w:w="2261" w:type="pct"/>
          </w:tcPr>
          <w:p w14:paraId="0DF5580A" w14:textId="77777777" w:rsidR="00C034A0" w:rsidRPr="00413A59" w:rsidRDefault="00C034A0" w:rsidP="003148D2">
            <w:pPr>
              <w:spacing w:before="0" w:line="276" w:lineRule="auto"/>
            </w:pPr>
            <w:r w:rsidRPr="00413A59">
              <w:t xml:space="preserve">Total amount </w:t>
            </w:r>
            <w:r>
              <w:t xml:space="preserve">of all the fuel or energy commodities </w:t>
            </w:r>
            <w:r w:rsidRPr="00413A59">
              <w:t>for a facility (including fuel combustion)</w:t>
            </w:r>
          </w:p>
        </w:tc>
        <w:tc>
          <w:tcPr>
            <w:tcW w:w="2739" w:type="pct"/>
          </w:tcPr>
          <w:p w14:paraId="183F378D" w14:textId="5200E6CD" w:rsidR="00C034A0" w:rsidRPr="00413A59" w:rsidRDefault="00C034A0" w:rsidP="003148D2">
            <w:pPr>
              <w:spacing w:before="0" w:line="276" w:lineRule="auto"/>
              <w:cnfStyle w:val="000000000000" w:firstRow="0" w:lastRow="0" w:firstColumn="0" w:lastColumn="0" w:oddVBand="0" w:evenVBand="0" w:oddHBand="0" w:evenHBand="0" w:firstRowFirstColumn="0" w:firstRowLastColumn="0" w:lastRowFirstColumn="0" w:lastRowLastColumn="0"/>
            </w:pPr>
            <w:r>
              <w:t xml:space="preserve">Less than </w:t>
            </w:r>
            <w:r w:rsidRPr="00413A59">
              <w:t>120</w:t>
            </w:r>
            <w:r w:rsidR="001E5AE2">
              <w:t> </w:t>
            </w:r>
            <w:r w:rsidRPr="00413A59">
              <w:t xml:space="preserve">TJ </w:t>
            </w:r>
          </w:p>
        </w:tc>
      </w:tr>
    </w:tbl>
    <w:p w14:paraId="39CDBBB6" w14:textId="77777777" w:rsidR="00C034A0" w:rsidRPr="0008282E" w:rsidRDefault="00C034A0" w:rsidP="00C034A0">
      <w:pPr>
        <w:pStyle w:val="Heading2"/>
        <w:spacing w:before="200" w:line="276" w:lineRule="auto"/>
      </w:pPr>
      <w:bookmarkStart w:id="82" w:name="_Toc424883888"/>
      <w:bookmarkStart w:id="83" w:name="_Toc76039503"/>
      <w:bookmarkStart w:id="84" w:name="_Toc235706778"/>
      <w:r w:rsidRPr="0008282E">
        <w:lastRenderedPageBreak/>
        <w:t>What must be reported?</w:t>
      </w:r>
      <w:bookmarkEnd w:id="82"/>
      <w:bookmarkEnd w:id="83"/>
      <w:bookmarkEnd w:id="84"/>
    </w:p>
    <w:p w14:paraId="24A6F4CF" w14:textId="77777777" w:rsidR="00C034A0" w:rsidRPr="0008282E" w:rsidRDefault="00C034A0" w:rsidP="00C034A0">
      <w:pPr>
        <w:spacing w:line="276" w:lineRule="auto"/>
      </w:pPr>
      <w:r w:rsidRPr="0008282E">
        <w:t xml:space="preserve">If a reporter chooses to include estimated figures for incidental sources in their NGER </w:t>
      </w:r>
      <w:r>
        <w:t>r</w:t>
      </w:r>
      <w:r w:rsidRPr="0008282E">
        <w:t>eport, it needs to separately identify:</w:t>
      </w:r>
    </w:p>
    <w:p w14:paraId="340A6BD0" w14:textId="77777777" w:rsidR="00C034A0" w:rsidRPr="0008282E" w:rsidRDefault="00C034A0" w:rsidP="00C034A0">
      <w:pPr>
        <w:pStyle w:val="CERbullets"/>
        <w:spacing w:before="0" w:after="200" w:line="276" w:lineRule="auto"/>
      </w:pPr>
      <w:r w:rsidRPr="0008282E">
        <w:t>the greenhouse gas emissions from the operation of the facility that are incidental</w:t>
      </w:r>
    </w:p>
    <w:p w14:paraId="0ED6D066" w14:textId="77777777" w:rsidR="00C034A0" w:rsidRPr="0008282E" w:rsidRDefault="00C034A0" w:rsidP="00C034A0">
      <w:pPr>
        <w:pStyle w:val="CERbullets"/>
        <w:spacing w:before="0" w:after="200" w:line="276" w:lineRule="auto"/>
      </w:pPr>
      <w:r w:rsidRPr="0008282E">
        <w:t xml:space="preserve">the energy consumption or energy production from the operation of the facility that </w:t>
      </w:r>
      <w:r>
        <w:t>is</w:t>
      </w:r>
      <w:r w:rsidRPr="0008282E">
        <w:t xml:space="preserve"> incidental </w:t>
      </w:r>
    </w:p>
    <w:p w14:paraId="6205979E" w14:textId="77777777" w:rsidR="00C034A0" w:rsidRPr="0008282E" w:rsidRDefault="00C034A0" w:rsidP="00C034A0">
      <w:pPr>
        <w:pStyle w:val="CERbullets"/>
        <w:spacing w:before="0" w:after="200" w:line="276" w:lineRule="auto"/>
      </w:pPr>
      <w:r w:rsidRPr="0008282E">
        <w:t>the type of fuel or energy commodity as set out in Schedule 1 of the NGER Regulations</w:t>
      </w:r>
    </w:p>
    <w:p w14:paraId="0B967BF1" w14:textId="77777777" w:rsidR="00C034A0" w:rsidRPr="0008282E" w:rsidRDefault="00C034A0" w:rsidP="00C034A0">
      <w:pPr>
        <w:pStyle w:val="CERbullets"/>
        <w:spacing w:before="0" w:after="200" w:line="276" w:lineRule="auto"/>
      </w:pPr>
      <w:r w:rsidRPr="0008282E">
        <w:t xml:space="preserve">the criteria in the NGER Measurement Determination used to make the estimate (if the registered corporation did not make an estimate based only on the general principles specified in section 1.13 of the NGER Measurement Determination). </w:t>
      </w:r>
    </w:p>
    <w:p w14:paraId="271D837A" w14:textId="77777777" w:rsidR="00C034A0" w:rsidRPr="0008282E" w:rsidRDefault="00C034A0" w:rsidP="00C034A0">
      <w:pPr>
        <w:spacing w:line="276" w:lineRule="auto"/>
      </w:pPr>
      <w:r w:rsidRPr="0008282E">
        <w:t xml:space="preserve">While regulation 4.27 allows reporters to 'estimate' greenhouse gas emissions, energy consumption and energy production that are 'incidental', these estimates must be made in accordance with the NGER Measurement Determination (see 'Measuring </w:t>
      </w:r>
      <w:r>
        <w:t>e</w:t>
      </w:r>
      <w:r w:rsidRPr="0008282E">
        <w:t xml:space="preserve">missions and </w:t>
      </w:r>
      <w:r>
        <w:t>e</w:t>
      </w:r>
      <w:r w:rsidRPr="0008282E">
        <w:t xml:space="preserve">nergy </w:t>
      </w:r>
      <w:r>
        <w:t>f</w:t>
      </w:r>
      <w:r w:rsidRPr="0008282E">
        <w:t xml:space="preserve">rom </w:t>
      </w:r>
      <w:r>
        <w:t>i</w:t>
      </w:r>
      <w:r w:rsidRPr="0008282E">
        <w:t xml:space="preserve">ncidental </w:t>
      </w:r>
      <w:r>
        <w:t>s</w:t>
      </w:r>
      <w:r w:rsidRPr="0008282E">
        <w:t xml:space="preserve">ources' below). </w:t>
      </w:r>
    </w:p>
    <w:p w14:paraId="32499844" w14:textId="77777777" w:rsidR="00C034A0" w:rsidRPr="0008282E" w:rsidRDefault="00C034A0" w:rsidP="00C034A0">
      <w:pPr>
        <w:spacing w:line="276" w:lineRule="auto"/>
        <w:rPr>
          <w:b/>
        </w:rPr>
      </w:pPr>
      <w:bookmarkStart w:id="85" w:name="_Hlk41471352"/>
      <w:r w:rsidRPr="00483C3E">
        <w:rPr>
          <w:bCs/>
        </w:rPr>
        <w:t xml:space="preserve">Note: </w:t>
      </w:r>
      <w:r w:rsidRPr="00F06DDE">
        <w:rPr>
          <w:bCs/>
        </w:rPr>
        <w:t>The</w:t>
      </w:r>
      <w:r w:rsidRPr="005A0BB0">
        <w:rPr>
          <w:bCs/>
        </w:rPr>
        <w:t xml:space="preserve"> requirement to report on uncertainty (regulation 4.08 and 4.17A) does not apply to data that is reported under regulation 4.27.</w:t>
      </w:r>
    </w:p>
    <w:p w14:paraId="4C634457" w14:textId="77777777" w:rsidR="00C034A0" w:rsidRPr="0008282E" w:rsidRDefault="00C034A0" w:rsidP="00C034A0">
      <w:pPr>
        <w:pStyle w:val="Heading2"/>
        <w:spacing w:before="0" w:line="276" w:lineRule="auto"/>
      </w:pPr>
      <w:bookmarkStart w:id="86" w:name="_Toc424883889"/>
      <w:bookmarkStart w:id="87" w:name="_Toc76039504"/>
      <w:bookmarkStart w:id="88" w:name="_Toc235706779"/>
      <w:bookmarkEnd w:id="85"/>
      <w:r w:rsidRPr="0008282E">
        <w:t>Incidental reporting in EERS</w:t>
      </w:r>
      <w:bookmarkEnd w:id="86"/>
      <w:bookmarkEnd w:id="87"/>
      <w:bookmarkEnd w:id="88"/>
    </w:p>
    <w:p w14:paraId="17419D11" w14:textId="41AE5ABB" w:rsidR="00C034A0" w:rsidRDefault="00C034A0" w:rsidP="00C034A0">
      <w:pPr>
        <w:spacing w:line="276" w:lineRule="auto"/>
      </w:pPr>
      <w:bookmarkStart w:id="89" w:name="_Toc424883890"/>
      <w:r>
        <w:t xml:space="preserve">Reporters that are reporting on incidental greenhouse gas emissions, energy consumption or energy production will enter incidentals data into EERS by selecting ‘Yes’ for the ‘Incidental Emissions’ and/or ‘Incidental Energy’ fields in the </w:t>
      </w:r>
      <w:r w:rsidR="06C86573">
        <w:t>‘</w:t>
      </w:r>
      <w:r>
        <w:t>Activity Attributes</w:t>
      </w:r>
      <w:r w:rsidR="41D61268">
        <w:t>’</w:t>
      </w:r>
      <w:r>
        <w:t xml:space="preserve"> data entry screen.</w:t>
      </w:r>
    </w:p>
    <w:p w14:paraId="4B335863" w14:textId="043E36C6" w:rsidR="00C034A0" w:rsidRDefault="00C034A0" w:rsidP="00C034A0">
      <w:pPr>
        <w:spacing w:line="276" w:lineRule="auto"/>
      </w:pPr>
      <w:r>
        <w:t xml:space="preserve">When reporting incidental greenhouse gas emissions, EERS will automatically select 'Other Method (Incidental)' for estimating greenhouse gas emissions once ‘Yes’ has been selected in the ’Incidental Emissions’ field. This is to highlight that those corporations which can estimate their data using </w:t>
      </w:r>
      <w:r w:rsidR="24B7B0D4">
        <w:t>M</w:t>
      </w:r>
      <w:r>
        <w:t xml:space="preserve">ethods 1-4 should be reporting under the relevant </w:t>
      </w:r>
      <w:r w:rsidR="009E2D68">
        <w:t>method and</w:t>
      </w:r>
      <w:r>
        <w:t xml:space="preserve"> not reporting the data under regulation 4.27. Reporting by 'other method' requires the input of emission and energy content factors as well as the calculated CO</w:t>
      </w:r>
      <w:r w:rsidRPr="61D831CC">
        <w:rPr>
          <w:vertAlign w:val="subscript"/>
        </w:rPr>
        <w:t>2</w:t>
      </w:r>
      <w:r>
        <w:t>-e data.</w:t>
      </w:r>
    </w:p>
    <w:p w14:paraId="0BD2A52F" w14:textId="77777777" w:rsidR="00C034A0" w:rsidRPr="0008282E" w:rsidRDefault="00C034A0" w:rsidP="00C034A0">
      <w:pPr>
        <w:pStyle w:val="Heading2"/>
        <w:spacing w:before="0" w:line="276" w:lineRule="auto"/>
      </w:pPr>
      <w:bookmarkStart w:id="90" w:name="_Measuring_emissions_and"/>
      <w:bookmarkEnd w:id="90"/>
      <w:r w:rsidRPr="0008282E">
        <w:t xml:space="preserve"> </w:t>
      </w:r>
      <w:bookmarkStart w:id="91" w:name="_Toc76039505"/>
      <w:bookmarkStart w:id="92" w:name="_Toc235706780"/>
      <w:r w:rsidRPr="0008282E">
        <w:t>Measuring emissions and energy from incidental sources</w:t>
      </w:r>
      <w:bookmarkEnd w:id="91"/>
      <w:bookmarkEnd w:id="92"/>
      <w:r w:rsidRPr="0008282E">
        <w:t xml:space="preserve"> </w:t>
      </w:r>
      <w:bookmarkEnd w:id="89"/>
    </w:p>
    <w:p w14:paraId="2B17C009" w14:textId="77777777" w:rsidR="00C034A0" w:rsidRPr="0008282E" w:rsidRDefault="00C034A0" w:rsidP="00C034A0">
      <w:pPr>
        <w:keepNext/>
        <w:spacing w:line="276" w:lineRule="auto"/>
      </w:pPr>
      <w:r w:rsidRPr="0008282E">
        <w:t>The NGER legislation allows reporters to estimate incidental sources provided the method of estimating the figure is consistent with the general principles specified in section 1.13 of the NGER Measurement Determination. These principles are:</w:t>
      </w:r>
    </w:p>
    <w:p w14:paraId="492EE971" w14:textId="77777777" w:rsidR="00C034A0" w:rsidRPr="00D117FC" w:rsidRDefault="00C034A0" w:rsidP="00C034A0">
      <w:pPr>
        <w:pStyle w:val="CERbullets"/>
        <w:rPr>
          <w:bCs/>
        </w:rPr>
      </w:pPr>
      <w:r>
        <w:rPr>
          <w:bCs/>
        </w:rPr>
        <w:t>t</w:t>
      </w:r>
      <w:r w:rsidRPr="00D117FC">
        <w:rPr>
          <w:bCs/>
        </w:rPr>
        <w:t>ransparency</w:t>
      </w:r>
      <w:r w:rsidRPr="009E05CB">
        <w:rPr>
          <w:bCs/>
          <w:i/>
        </w:rPr>
        <w:t>—</w:t>
      </w:r>
      <w:r w:rsidRPr="009E05CB">
        <w:rPr>
          <w:bCs/>
        </w:rPr>
        <w:t>emissions estimates must be documented and verifiable</w:t>
      </w:r>
      <w:r w:rsidRPr="00D117FC">
        <w:rPr>
          <w:bCs/>
        </w:rPr>
        <w:t xml:space="preserve"> </w:t>
      </w:r>
    </w:p>
    <w:p w14:paraId="27BE7B87" w14:textId="54FBC0BB" w:rsidR="00C034A0" w:rsidRPr="00483C3E" w:rsidRDefault="00C034A0" w:rsidP="00C034A0">
      <w:pPr>
        <w:pStyle w:val="CERbullets"/>
      </w:pPr>
      <w:r w:rsidRPr="14A7AFF2">
        <w:t>comparability</w:t>
      </w:r>
      <w:r w:rsidRPr="14A7AFF2">
        <w:rPr>
          <w:i/>
          <w:iCs/>
        </w:rPr>
        <w:t>—</w:t>
      </w:r>
      <w:r w:rsidRPr="14A7AFF2">
        <w:t xml:space="preserve">emission estimates using a particular method and produced by a registered corporation in an industry sector must be comparable with emission estimates produced by similar corporations in that industry sector using the same method, and must be consistent with the emission estimates </w:t>
      </w:r>
      <w:r w:rsidRPr="14A7AFF2">
        <w:lastRenderedPageBreak/>
        <w:t xml:space="preserve">published by the Department of </w:t>
      </w:r>
      <w:r w:rsidR="00D97A49">
        <w:t xml:space="preserve">Climate Change, </w:t>
      </w:r>
      <w:r w:rsidR="002C5F42">
        <w:t xml:space="preserve">Energy, </w:t>
      </w:r>
      <w:r w:rsidR="00D97A49">
        <w:t>the</w:t>
      </w:r>
      <w:r w:rsidR="002C5F42">
        <w:t xml:space="preserve"> Environment and Water</w:t>
      </w:r>
      <w:r w:rsidRPr="14A7AFF2">
        <w:t xml:space="preserve"> in the </w:t>
      </w:r>
      <w:hyperlink r:id="rId36" w:anchor="toc_0" w:tooltip="A link to the Department of Climate Change Emissions Energy and Water's National Greenhouse Accounts webpage" w:history="1">
        <w:r w:rsidRPr="14A7AFF2">
          <w:rPr>
            <w:rStyle w:val="Hyperlink"/>
            <w:rFonts w:asciiTheme="minorHAnsi" w:hAnsiTheme="minorHAnsi"/>
          </w:rPr>
          <w:t>National Greenhouse Accounts</w:t>
        </w:r>
      </w:hyperlink>
      <w:r w:rsidRPr="14A7AFF2">
        <w:rPr>
          <w:rStyle w:val="FootnoteReference"/>
        </w:rPr>
        <w:footnoteReference w:id="9"/>
      </w:r>
    </w:p>
    <w:p w14:paraId="5195BDF6" w14:textId="4473BC0A" w:rsidR="00C034A0" w:rsidRPr="00D117FC" w:rsidRDefault="00C034A0" w:rsidP="00C034A0">
      <w:pPr>
        <w:pStyle w:val="CERbullets"/>
      </w:pPr>
      <w:r>
        <w:t xml:space="preserve">accuracy—having regard to the availability of reasonable resources by a registered corporation and the requirements of the NGER Measurement Determination, uncertainties in emission estimates must be minimised and any estimates must neither be over nor under </w:t>
      </w:r>
      <w:r w:rsidR="00F35095">
        <w:t xml:space="preserve">the </w:t>
      </w:r>
      <w:r>
        <w:t>estimates of the true values at a 95% confidence level</w:t>
      </w:r>
    </w:p>
    <w:p w14:paraId="78A570FD" w14:textId="261C6814" w:rsidR="00C034A0" w:rsidRPr="0008282E" w:rsidRDefault="00C034A0" w:rsidP="00C034A0">
      <w:pPr>
        <w:pStyle w:val="CERbullets"/>
      </w:pPr>
      <w:r w:rsidRPr="14A7AFF2">
        <w:t>completeness</w:t>
      </w:r>
      <w:r>
        <w:t>—</w:t>
      </w:r>
      <w:r w:rsidRPr="0008282E">
        <w:t xml:space="preserve">all identifiable emission sources within the energy, industrial process and waste sectors as identified by the </w:t>
      </w:r>
      <w:hyperlink r:id="rId37" w:tooltip="A link to the Department of Climate Change Emissions Energy and Water's National Inventory Report webpage" w:history="1">
        <w:r w:rsidRPr="14A7AFF2">
          <w:rPr>
            <w:rStyle w:val="Hyperlink"/>
            <w:rFonts w:asciiTheme="minorHAnsi" w:hAnsiTheme="minorHAnsi"/>
          </w:rPr>
          <w:t>National Inventory Report</w:t>
        </w:r>
      </w:hyperlink>
      <w:r>
        <w:rPr>
          <w:rStyle w:val="FootnoteReference"/>
        </w:rPr>
        <w:footnoteReference w:id="10"/>
      </w:r>
      <w:r w:rsidRPr="0008282E">
        <w:t xml:space="preserve"> must be accounted for.</w:t>
      </w:r>
    </w:p>
    <w:p w14:paraId="7DEC85F4" w14:textId="0EB7DD77" w:rsidR="00C034A0" w:rsidRDefault="00C034A0" w:rsidP="00C034A0">
      <w:pPr>
        <w:spacing w:line="276" w:lineRule="auto"/>
      </w:pPr>
      <w:r w:rsidRPr="0008282E">
        <w:t xml:space="preserve">Reporters are encouraged to </w:t>
      </w:r>
      <w:r>
        <w:t xml:space="preserve">use the most suitable </w:t>
      </w:r>
      <w:r w:rsidRPr="0008282E">
        <w:t xml:space="preserve">method for </w:t>
      </w:r>
      <w:r>
        <w:t>estimating</w:t>
      </w:r>
      <w:r w:rsidRPr="0008282E">
        <w:t xml:space="preserve"> incidental greenhouse gas emissions, energy </w:t>
      </w:r>
      <w:r w:rsidR="00CB53EE" w:rsidRPr="0008282E">
        <w:t>production,</w:t>
      </w:r>
      <w:r w:rsidRPr="0008282E">
        <w:t xml:space="preserve"> and energy consumption</w:t>
      </w:r>
      <w:r>
        <w:t>, whether that be using the methods outlined in the NGER Measurement Determination for a particular source, or developing their own method aligned to the principles described above</w:t>
      </w:r>
      <w:r w:rsidRPr="0008282E">
        <w:t xml:space="preserve">. </w:t>
      </w:r>
    </w:p>
    <w:p w14:paraId="75DBDF24" w14:textId="77777777" w:rsidR="00C034A0" w:rsidRDefault="00C034A0" w:rsidP="00C034A0">
      <w:pPr>
        <w:pStyle w:val="Heading3"/>
        <w:spacing w:before="0" w:line="276" w:lineRule="auto"/>
      </w:pPr>
      <w:bookmarkStart w:id="93" w:name="_Toc427059217"/>
      <w:bookmarkStart w:id="94" w:name="_Toc49341447"/>
      <w:bookmarkStart w:id="95" w:name="_Toc76039506"/>
      <w:bookmarkStart w:id="96" w:name="_Toc235706781"/>
      <w:r>
        <w:t>Example of method</w:t>
      </w:r>
      <w:bookmarkEnd w:id="93"/>
      <w:bookmarkEnd w:id="94"/>
      <w:bookmarkEnd w:id="95"/>
      <w:bookmarkEnd w:id="96"/>
    </w:p>
    <w:p w14:paraId="0F0C71E0" w14:textId="77777777" w:rsidR="00C034A0" w:rsidRDefault="00C034A0" w:rsidP="00C034A0">
      <w:pPr>
        <w:spacing w:line="276" w:lineRule="auto"/>
      </w:pPr>
      <w:r w:rsidRPr="0008282E">
        <w:t>Set out below is some general guidance on possible methods of estimating incidental emissions in accordance with regulation 4.27. This guidance is provided as an example of a method which may be suitable</w:t>
      </w:r>
      <w:r>
        <w:t>;</w:t>
      </w:r>
      <w:r w:rsidRPr="0008282E">
        <w:t xml:space="preserve"> however</w:t>
      </w:r>
      <w:r>
        <w:t>,</w:t>
      </w:r>
      <w:r w:rsidRPr="0008282E">
        <w:t xml:space="preserve"> it is not intended to be legal advice. </w:t>
      </w:r>
    </w:p>
    <w:p w14:paraId="6B795359" w14:textId="49976771" w:rsidR="00C034A0" w:rsidRPr="0008282E" w:rsidRDefault="00C034A0" w:rsidP="00C034A0">
      <w:pPr>
        <w:spacing w:line="276" w:lineRule="auto"/>
      </w:pPr>
      <w:r w:rsidRPr="0008282E">
        <w:t xml:space="preserve">Corporations may need to obtain advice (including use of expert opinion) on the best way to proceed to ensure the principles of section 1.13 of the NGER Measurement Determination are met in their </w:t>
      </w:r>
      <w:r w:rsidR="00482966" w:rsidRPr="0008282E">
        <w:t>circumstances</w:t>
      </w:r>
      <w:r w:rsidRPr="0008282E">
        <w:t xml:space="preserve">. </w:t>
      </w:r>
    </w:p>
    <w:p w14:paraId="287F6748" w14:textId="77777777" w:rsidR="00C034A0" w:rsidRDefault="00C034A0" w:rsidP="00C034A0">
      <w:pPr>
        <w:spacing w:line="276" w:lineRule="auto"/>
      </w:pPr>
      <w:r w:rsidRPr="0008282E">
        <w:t>For each facility, reporters can assess which sources of greenhouse gas emissions and energy activity data are likely to fall within the quantitative limits and other conditions of regulation 4.27 (outlined above)</w:t>
      </w:r>
      <w:r>
        <w:t>.</w:t>
      </w:r>
    </w:p>
    <w:p w14:paraId="3AAA0900" w14:textId="77777777" w:rsidR="00C034A0" w:rsidRPr="0008282E" w:rsidRDefault="00C034A0" w:rsidP="00C034A0">
      <w:pPr>
        <w:spacing w:line="276" w:lineRule="auto"/>
      </w:pPr>
      <w:r>
        <w:t>T</w:t>
      </w:r>
      <w:r w:rsidRPr="0008282E">
        <w:t>hen:</w:t>
      </w:r>
    </w:p>
    <w:p w14:paraId="282828A8" w14:textId="77777777" w:rsidR="00C034A0" w:rsidRPr="0008282E" w:rsidRDefault="00C034A0" w:rsidP="00C034A0">
      <w:pPr>
        <w:pStyle w:val="CERbullets"/>
        <w:spacing w:before="0" w:after="200" w:line="276" w:lineRule="auto"/>
      </w:pPr>
      <w:r w:rsidRPr="0008282E">
        <w:t>In the first year:</w:t>
      </w:r>
    </w:p>
    <w:p w14:paraId="27AC7ED6" w14:textId="77777777" w:rsidR="00C034A0" w:rsidRPr="0008282E" w:rsidRDefault="00C034A0" w:rsidP="00C034A0">
      <w:pPr>
        <w:pStyle w:val="CERbullets"/>
        <w:numPr>
          <w:ilvl w:val="1"/>
          <w:numId w:val="21"/>
        </w:numPr>
        <w:spacing w:before="0" w:after="200" w:line="276" w:lineRule="auto"/>
      </w:pPr>
      <w:r w:rsidRPr="0008282E">
        <w:t xml:space="preserve">Using a suitable methodology, estimate emissions and energy production/consumption for the first year, ensuring that the resulting estimates do indeed fall within the incidental emissions and energy limits for each facility. </w:t>
      </w:r>
    </w:p>
    <w:p w14:paraId="1F8AAE5D" w14:textId="76E7407B" w:rsidR="00C034A0" w:rsidRPr="0008282E" w:rsidRDefault="00C034A0" w:rsidP="00C034A0">
      <w:pPr>
        <w:pStyle w:val="CERbullets"/>
        <w:numPr>
          <w:ilvl w:val="1"/>
          <w:numId w:val="21"/>
        </w:numPr>
        <w:spacing w:before="0" w:after="200" w:line="276" w:lineRule="auto"/>
      </w:pPr>
      <w:r>
        <w:t xml:space="preserve">The year one activity data estimation provides the basis for the pro-rata estimation in the following </w:t>
      </w:r>
      <w:r w:rsidR="1EC4F606">
        <w:t>4</w:t>
      </w:r>
      <w:r>
        <w:t>-year period. Registered corporations can therefore develop year one data estimations based on statistically appropriate sampling and deeming as necessary, with expert advice as needed.</w:t>
      </w:r>
    </w:p>
    <w:p w14:paraId="264FD85D" w14:textId="5AFF0B81" w:rsidR="00C034A0" w:rsidRPr="0008282E" w:rsidRDefault="00C034A0" w:rsidP="00C034A0">
      <w:pPr>
        <w:pStyle w:val="CERbullets"/>
        <w:spacing w:before="0" w:after="200" w:line="276" w:lineRule="auto"/>
      </w:pPr>
      <w:r>
        <w:t xml:space="preserve">For the next </w:t>
      </w:r>
      <w:r w:rsidR="6968FD49">
        <w:t>4</w:t>
      </w:r>
      <w:r>
        <w:t xml:space="preserve"> years:</w:t>
      </w:r>
    </w:p>
    <w:p w14:paraId="602C3290" w14:textId="0569331A" w:rsidR="00C034A0" w:rsidRPr="0008282E" w:rsidRDefault="00C034A0" w:rsidP="00C034A0">
      <w:pPr>
        <w:pStyle w:val="CERbullets"/>
        <w:numPr>
          <w:ilvl w:val="1"/>
          <w:numId w:val="21"/>
        </w:numPr>
        <w:spacing w:before="0" w:after="200" w:line="276" w:lineRule="auto"/>
      </w:pPr>
      <w:r>
        <w:t>Using an appropriate correlative indicator for each source activity area identified in year</w:t>
      </w:r>
      <w:r w:rsidR="70A53FCB">
        <w:t xml:space="preserve"> one</w:t>
      </w:r>
      <w:r>
        <w:t xml:space="preserve">, the registered corporation can estimate pro-rata incidental emissions and energy for that year based on change in the chosen indicator from year one. </w:t>
      </w:r>
    </w:p>
    <w:p w14:paraId="1A9CA2CB" w14:textId="77777777" w:rsidR="00C034A0" w:rsidRDefault="00C034A0" w:rsidP="00C034A0">
      <w:pPr>
        <w:pStyle w:val="CERbullets"/>
        <w:numPr>
          <w:ilvl w:val="1"/>
          <w:numId w:val="21"/>
        </w:numPr>
        <w:spacing w:before="0" w:after="200" w:line="276" w:lineRule="auto"/>
      </w:pPr>
      <w:r w:rsidRPr="0008282E">
        <w:lastRenderedPageBreak/>
        <w:t>Choosing a suitable indicator</w:t>
      </w:r>
      <w:r>
        <w:t>:</w:t>
      </w:r>
    </w:p>
    <w:p w14:paraId="061E0F7B" w14:textId="10F1D37B" w:rsidR="00C034A0" w:rsidRPr="0008282E" w:rsidRDefault="00C034A0" w:rsidP="00C034A0">
      <w:pPr>
        <w:pStyle w:val="CERbullets"/>
        <w:numPr>
          <w:ilvl w:val="2"/>
          <w:numId w:val="21"/>
        </w:numPr>
        <w:spacing w:before="0" w:after="200" w:line="276" w:lineRule="auto"/>
      </w:pPr>
      <w:r w:rsidRPr="0008282E">
        <w:t xml:space="preserve">The choice of indicators for each source is best determined by the registered corporation, based on expert opinion if needed. </w:t>
      </w:r>
      <w:r w:rsidR="00B71748">
        <w:t>S</w:t>
      </w:r>
      <w:r w:rsidR="0011135E">
        <w:t>ometimes</w:t>
      </w:r>
      <w:r w:rsidRPr="0008282E">
        <w:t xml:space="preserve">, production at the facility may be an appropriate indicator of changes in source activity data over time. Another correlative indicator could be fuel use. However, for some sources, changes in fixed assets would be an appropriate indicator, such as for SF6 used in switch gear. </w:t>
      </w:r>
    </w:p>
    <w:p w14:paraId="4A448AF8" w14:textId="77777777" w:rsidR="00C034A0" w:rsidRDefault="00C034A0" w:rsidP="00C034A0">
      <w:pPr>
        <w:pStyle w:val="CERbullets"/>
        <w:spacing w:before="0" w:after="200" w:line="276" w:lineRule="auto"/>
      </w:pPr>
      <w:r>
        <w:t>Review of the methodology:</w:t>
      </w:r>
    </w:p>
    <w:p w14:paraId="42942928" w14:textId="2FDA1AC1" w:rsidR="00C034A0" w:rsidRPr="00413A59" w:rsidRDefault="00C034A0" w:rsidP="00C034A0">
      <w:pPr>
        <w:pStyle w:val="CERbullets"/>
        <w:numPr>
          <w:ilvl w:val="1"/>
          <w:numId w:val="21"/>
        </w:numPr>
      </w:pPr>
      <w:r>
        <w:t xml:space="preserve">Each year, registered corporations should review the methodology </w:t>
      </w:r>
      <w:r w:rsidR="3CBC4DD0">
        <w:t xml:space="preserve">considering </w:t>
      </w:r>
      <w:r>
        <w:t>changes to the NGER legislation or to the corporation's structure, activity levels, or reported sources. For example, a change in activities at a facility may mean that emissions from some sources exceed the conditions of regulation 4.27. Changes in the NGER legislation may also affect the established methodology.</w:t>
      </w:r>
    </w:p>
    <w:p w14:paraId="48FBADEF" w14:textId="0B141BA3" w:rsidR="00C034A0" w:rsidRPr="0008282E" w:rsidRDefault="00C034A0" w:rsidP="00C034A0">
      <w:pPr>
        <w:pStyle w:val="CERbullets"/>
        <w:numPr>
          <w:ilvl w:val="1"/>
          <w:numId w:val="21"/>
        </w:numPr>
        <w:spacing w:before="0" w:after="200" w:line="276" w:lineRule="auto"/>
      </w:pPr>
      <w:r>
        <w:t>The methodology chosen in the first year could be followed for the following</w:t>
      </w:r>
      <w:r w:rsidR="7F792C14">
        <w:t xml:space="preserve"> 4</w:t>
      </w:r>
      <w:r>
        <w:t xml:space="preserve"> years (that is, for </w:t>
      </w:r>
      <w:r w:rsidR="4563CF74">
        <w:t>5</w:t>
      </w:r>
      <w:r>
        <w:t xml:space="preserve"> years in total), before re-examining the appropriateness of the methodology in the fifth year.</w:t>
      </w:r>
    </w:p>
    <w:p w14:paraId="7A4C91D2" w14:textId="1D750413" w:rsidR="00C034A0" w:rsidRPr="00F02740" w:rsidRDefault="00C034A0" w:rsidP="00C034A0">
      <w:pPr>
        <w:pStyle w:val="CERbullets"/>
        <w:numPr>
          <w:ilvl w:val="1"/>
          <w:numId w:val="21"/>
        </w:numPr>
        <w:spacing w:before="0" w:after="200" w:line="276" w:lineRule="auto"/>
      </w:pPr>
      <w:r>
        <w:t>A review of the methodology might be based on matters identified by the registered corporation, including a review of the source activity areas chosen in year</w:t>
      </w:r>
      <w:r w:rsidR="40EDDD71">
        <w:t xml:space="preserve"> one</w:t>
      </w:r>
      <w:r>
        <w:t>, the continued appropriateness of the chosen indicators (perhaps with the benefit of expert opinion), together with a comprehensive sampling of the source activity areas to provide a new year</w:t>
      </w:r>
      <w:r w:rsidR="2B6E803C">
        <w:t xml:space="preserve"> one</w:t>
      </w:r>
      <w:r>
        <w:t xml:space="preserve"> base for estimations.</w:t>
      </w:r>
    </w:p>
    <w:p w14:paraId="668329FC" w14:textId="77777777" w:rsidR="00C034A0" w:rsidRPr="0008282E" w:rsidRDefault="00C034A0" w:rsidP="00C034A0">
      <w:pPr>
        <w:pStyle w:val="Heading2"/>
        <w:spacing w:before="0" w:line="276" w:lineRule="auto"/>
      </w:pPr>
      <w:bookmarkStart w:id="97" w:name="_Toc76039507"/>
      <w:bookmarkStart w:id="98" w:name="_Toc235706782"/>
      <w:r w:rsidRPr="0008282E">
        <w:t>Record keeping</w:t>
      </w:r>
      <w:bookmarkEnd w:id="97"/>
      <w:bookmarkEnd w:id="98"/>
    </w:p>
    <w:p w14:paraId="50EE9CC3" w14:textId="6DF69DC7" w:rsidR="00C034A0" w:rsidRPr="0008282E" w:rsidRDefault="00C034A0" w:rsidP="00C034A0">
      <w:pPr>
        <w:spacing w:line="276" w:lineRule="auto"/>
      </w:pPr>
      <w:r>
        <w:t xml:space="preserve">Sections 22, 22H, 22XA and 22XC of the NGER Act require reporters to keep adequate records of their activities and the activities of the members of their groups. These records should allow the reporter to demonstrate to </w:t>
      </w:r>
      <w:r w:rsidR="000545A1">
        <w:t>the</w:t>
      </w:r>
      <w:r>
        <w:t xml:space="preserve"> </w:t>
      </w:r>
      <w:r w:rsidR="00E75A09">
        <w:t>CER</w:t>
      </w:r>
      <w:r>
        <w:t xml:space="preserve"> that it has complied with its obligations under the NGER Act. These records must be kept for</w:t>
      </w:r>
      <w:r w:rsidR="49D81CB0">
        <w:t xml:space="preserve"> 5</w:t>
      </w:r>
      <w:r>
        <w:t xml:space="preserve"> years from the end of the year in which the activities that the records relate to took place.</w:t>
      </w:r>
    </w:p>
    <w:p w14:paraId="6D00B41D" w14:textId="3D6EB413" w:rsidR="00C034A0" w:rsidRDefault="00C034A0" w:rsidP="00C034A0">
      <w:pPr>
        <w:spacing w:line="276" w:lineRule="auto"/>
      </w:pPr>
      <w:r>
        <w:t>Reporters reporting under regulation 4.27 should keep a record of any decisions made in relation to determining which sources are incidental, the methods used for arriving at the estimated figure and, in later years, should indicate that this methodology has been reviewed</w:t>
      </w:r>
      <w:r w:rsidR="02EC5F6B">
        <w:t xml:space="preserve"> considering</w:t>
      </w:r>
      <w:r>
        <w:t xml:space="preserve"> any changes, as outlined above.</w:t>
      </w:r>
    </w:p>
    <w:p w14:paraId="4F0A9D1E" w14:textId="77777777" w:rsidR="00C034A0" w:rsidRDefault="00C034A0" w:rsidP="00C034A0">
      <w:pPr>
        <w:spacing w:after="0"/>
      </w:pPr>
    </w:p>
    <w:p w14:paraId="653A66FB" w14:textId="77777777" w:rsidR="00C034A0" w:rsidRPr="0008282E" w:rsidRDefault="00C034A0" w:rsidP="00C034A0">
      <w:pPr>
        <w:pStyle w:val="Heading1"/>
        <w:spacing w:before="0" w:line="276" w:lineRule="auto"/>
      </w:pPr>
      <w:bookmarkStart w:id="99" w:name="_Toc76039508"/>
      <w:bookmarkStart w:id="100" w:name="_Toc235706783"/>
      <w:r w:rsidRPr="0008282E">
        <w:t xml:space="preserve">Optional reporting </w:t>
      </w:r>
      <w:r>
        <w:t xml:space="preserve">of </w:t>
      </w:r>
      <w:r w:rsidRPr="0008282E">
        <w:t>small amounts of fuel combustion and electricity consumption</w:t>
      </w:r>
      <w:bookmarkEnd w:id="99"/>
      <w:bookmarkEnd w:id="100"/>
    </w:p>
    <w:p w14:paraId="0C8D9848" w14:textId="77777777" w:rsidR="00C034A0" w:rsidRPr="0008282E" w:rsidRDefault="00C034A0" w:rsidP="00C034A0">
      <w:pPr>
        <w:pStyle w:val="Heading2"/>
        <w:spacing w:before="0" w:line="276" w:lineRule="auto"/>
      </w:pPr>
      <w:bookmarkStart w:id="101" w:name="_Toc76039509"/>
      <w:bookmarkStart w:id="102" w:name="_Toc235706784"/>
      <w:r w:rsidRPr="0008282E">
        <w:t>Small amounts of fuel combustion</w:t>
      </w:r>
      <w:bookmarkEnd w:id="101"/>
      <w:bookmarkEnd w:id="102"/>
    </w:p>
    <w:p w14:paraId="2F17C79E" w14:textId="14736867" w:rsidR="00C034A0" w:rsidRDefault="00C034A0" w:rsidP="00C034A0">
      <w:pPr>
        <w:spacing w:line="276" w:lineRule="auto"/>
      </w:pPr>
      <w:r>
        <w:t>The</w:t>
      </w:r>
      <w:r w:rsidRPr="0008282E">
        <w:t xml:space="preserve"> NGER Measurement Determination </w:t>
      </w:r>
      <w:r>
        <w:t xml:space="preserve">includes </w:t>
      </w:r>
      <w:r w:rsidRPr="0008282E">
        <w:t xml:space="preserve">materiality thresholds for the </w:t>
      </w:r>
      <w:r w:rsidR="008C5DA8">
        <w:t>quantity</w:t>
      </w:r>
      <w:r w:rsidR="008C5DA8" w:rsidRPr="0008282E">
        <w:t xml:space="preserve"> </w:t>
      </w:r>
      <w:r w:rsidRPr="0008282E">
        <w:t xml:space="preserve">of solid, </w:t>
      </w:r>
      <w:r w:rsidR="006E5A02" w:rsidRPr="0008282E">
        <w:t>gaseous,</w:t>
      </w:r>
      <w:r w:rsidRPr="0008282E">
        <w:t xml:space="preserve"> and liquid fuel combusted</w:t>
      </w:r>
      <w:r>
        <w:t xml:space="preserve">. </w:t>
      </w:r>
      <w:r w:rsidRPr="0008282E">
        <w:t>Consequently</w:t>
      </w:r>
      <w:r>
        <w:t>,</w:t>
      </w:r>
      <w:r w:rsidRPr="0008282E">
        <w:t xml:space="preserve"> reporting is </w:t>
      </w:r>
      <w:r>
        <w:t xml:space="preserve">not </w:t>
      </w:r>
      <w:r w:rsidRPr="0008282E">
        <w:t xml:space="preserve">required for small amounts of emissions and energy from these sources. </w:t>
      </w:r>
      <w:r>
        <w:t xml:space="preserve">A reporter may still choose to report amounts </w:t>
      </w:r>
      <w:r w:rsidRPr="0008282E">
        <w:t xml:space="preserve">below the reporting threshold </w:t>
      </w:r>
      <w:r>
        <w:t xml:space="preserve">(for example, </w:t>
      </w:r>
      <w:r w:rsidRPr="0008282E">
        <w:t>if doing so is more efficient for the reporter</w:t>
      </w:r>
      <w:r>
        <w:t>).</w:t>
      </w:r>
      <w:r w:rsidRPr="0008282E">
        <w:t xml:space="preserve"> </w:t>
      </w:r>
    </w:p>
    <w:p w14:paraId="3E51BA7C" w14:textId="77777777" w:rsidR="00C034A0" w:rsidRPr="0008282E" w:rsidRDefault="00C034A0" w:rsidP="00C034A0">
      <w:pPr>
        <w:spacing w:line="276" w:lineRule="auto"/>
      </w:pPr>
      <w:r w:rsidRPr="0008282E">
        <w:t>Reporting is not required in the following circumstances:</w:t>
      </w:r>
    </w:p>
    <w:p w14:paraId="606C08D4" w14:textId="158DDBD0" w:rsidR="00C034A0" w:rsidRPr="008068A3" w:rsidRDefault="00C034A0" w:rsidP="00C034A0">
      <w:pPr>
        <w:pStyle w:val="CERbullets"/>
      </w:pPr>
      <w:r>
        <w:t>solid fuel combustion—the quantity of solid fuel combusted in relation to a separate instance of a source is 1</w:t>
      </w:r>
      <w:r w:rsidR="005127F0">
        <w:t> </w:t>
      </w:r>
      <w:r>
        <w:t>tonne</w:t>
      </w:r>
      <w:r w:rsidR="005127F0">
        <w:t> </w:t>
      </w:r>
      <w:r>
        <w:t>(t) or less (NGER Measurement Determination section 2.2 and 6.5)</w:t>
      </w:r>
    </w:p>
    <w:p w14:paraId="2B9B886E" w14:textId="7E36766D" w:rsidR="00C034A0" w:rsidRPr="008068A3" w:rsidRDefault="00C034A0" w:rsidP="00C034A0">
      <w:pPr>
        <w:pStyle w:val="CERbullets"/>
      </w:pPr>
      <w:r>
        <w:lastRenderedPageBreak/>
        <w:t>gaseous fuels combustion—the quantity of gaseous fuels combusted in relation to a separate instance of a source is 1000</w:t>
      </w:r>
      <w:r w:rsidR="005127F0">
        <w:t> </w:t>
      </w:r>
      <w:r>
        <w:t>cubic</w:t>
      </w:r>
      <w:r w:rsidR="005127F0">
        <w:t> </w:t>
      </w:r>
      <w:r>
        <w:t>metres</w:t>
      </w:r>
      <w:r w:rsidR="005127F0">
        <w:t> </w:t>
      </w:r>
      <w:r>
        <w:t>(m</w:t>
      </w:r>
      <w:r w:rsidRPr="14A7AFF2">
        <w:rPr>
          <w:vertAlign w:val="superscript"/>
        </w:rPr>
        <w:t>3</w:t>
      </w:r>
      <w:r>
        <w:t>) or less (NGER Measurement Determination section 2.18 and 6.5)</w:t>
      </w:r>
    </w:p>
    <w:p w14:paraId="08CDAE85" w14:textId="04E87367" w:rsidR="00C034A0" w:rsidRPr="008068A3" w:rsidRDefault="6E2B5E80" w:rsidP="00C034A0">
      <w:pPr>
        <w:pStyle w:val="CERbullets"/>
        <w:numPr>
          <w:ilvl w:val="1"/>
          <w:numId w:val="21"/>
        </w:numPr>
      </w:pPr>
      <w:r>
        <w:t>t</w:t>
      </w:r>
      <w:r w:rsidR="00C034A0">
        <w:t>o inform conversion between m</w:t>
      </w:r>
      <w:r w:rsidR="00C034A0" w:rsidRPr="14A7AFF2">
        <w:rPr>
          <w:vertAlign w:val="superscript"/>
        </w:rPr>
        <w:t>3</w:t>
      </w:r>
      <w:r w:rsidR="00C034A0">
        <w:t xml:space="preserve"> and gigajoules (GJ), Part 2 of Schedule 1 of the NGER Measurement Determination provides approximate conversion factors for gaseous fuels. For </w:t>
      </w:r>
      <w:r w:rsidR="009B31F8">
        <w:t>example</w:t>
      </w:r>
      <w:r w:rsidR="00C034A0">
        <w:t>, 1000</w:t>
      </w:r>
      <w:r w:rsidR="00ED3B37">
        <w:t> </w:t>
      </w:r>
      <w:r w:rsidR="00C034A0">
        <w:t>m</w:t>
      </w:r>
      <w:r w:rsidR="00C034A0" w:rsidRPr="14A7AFF2">
        <w:rPr>
          <w:vertAlign w:val="superscript"/>
        </w:rPr>
        <w:t>3</w:t>
      </w:r>
      <w:r w:rsidR="00C034A0">
        <w:t xml:space="preserve"> of natural gas is approximately 39</w:t>
      </w:r>
      <w:r w:rsidR="00ED3B37">
        <w:t> </w:t>
      </w:r>
      <w:r w:rsidR="00C034A0">
        <w:t>GJ or less</w:t>
      </w:r>
    </w:p>
    <w:p w14:paraId="55ACCD87" w14:textId="77777777" w:rsidR="00C034A0" w:rsidRPr="0008282E" w:rsidRDefault="00C034A0" w:rsidP="00C034A0">
      <w:pPr>
        <w:pStyle w:val="CERbullets"/>
      </w:pPr>
      <w:r w:rsidRPr="008068A3">
        <w:rPr>
          <w:bCs/>
        </w:rPr>
        <w:t>liquid fuel combustion</w:t>
      </w:r>
      <w:r w:rsidRPr="009E05CB">
        <w:rPr>
          <w:bCs/>
        </w:rPr>
        <w:t>—</w:t>
      </w:r>
      <w:r w:rsidRPr="0008282E">
        <w:t>the quantity of liquid fuel combusted in relation to a separate instance of a source is:</w:t>
      </w:r>
    </w:p>
    <w:p w14:paraId="61558A22" w14:textId="36B11244" w:rsidR="00C034A0" w:rsidRDefault="00C034A0" w:rsidP="00C034A0">
      <w:pPr>
        <w:pStyle w:val="CERbullets"/>
        <w:numPr>
          <w:ilvl w:val="1"/>
          <w:numId w:val="21"/>
        </w:numPr>
      </w:pPr>
      <w:r>
        <w:t>5</w:t>
      </w:r>
      <w:r w:rsidR="00ED3B37">
        <w:t> </w:t>
      </w:r>
      <w:r>
        <w:t>kilolitres</w:t>
      </w:r>
      <w:r w:rsidR="00ED3B37">
        <w:t> </w:t>
      </w:r>
      <w:r>
        <w:t>(</w:t>
      </w:r>
      <w:proofErr w:type="spellStart"/>
      <w:r>
        <w:t>kL</w:t>
      </w:r>
      <w:proofErr w:type="spellEnd"/>
      <w:r>
        <w:t>) or less for the total amount of petroleum</w:t>
      </w:r>
      <w:r w:rsidR="367141D5">
        <w:t>-</w:t>
      </w:r>
      <w:r>
        <w:t>based oils (other than petroleum</w:t>
      </w:r>
      <w:r w:rsidR="04A28938">
        <w:t>-</w:t>
      </w:r>
      <w:r>
        <w:t>based oil used as fuel) and of the petroleum</w:t>
      </w:r>
      <w:r w:rsidR="2D434BEF">
        <w:t>-</w:t>
      </w:r>
      <w:r>
        <w:t>based greases (collectively known as PBOG)</w:t>
      </w:r>
    </w:p>
    <w:p w14:paraId="29A12F3E" w14:textId="4B8909B0" w:rsidR="00C034A0" w:rsidRPr="0008282E" w:rsidRDefault="00C034A0" w:rsidP="00C034A0">
      <w:pPr>
        <w:pStyle w:val="CERbullets"/>
        <w:numPr>
          <w:ilvl w:val="1"/>
          <w:numId w:val="21"/>
        </w:numPr>
      </w:pPr>
      <w:r w:rsidRPr="0008282E">
        <w:t>1</w:t>
      </w:r>
      <w:r w:rsidR="00ED3B37">
        <w:t> </w:t>
      </w:r>
      <w:proofErr w:type="spellStart"/>
      <w:r w:rsidRPr="0008282E">
        <w:t>kL</w:t>
      </w:r>
      <w:proofErr w:type="spellEnd"/>
      <w:r w:rsidRPr="0008282E">
        <w:t xml:space="preserve"> or less for all other liquid fuels</w:t>
      </w:r>
      <w:r>
        <w:t xml:space="preserve"> </w:t>
      </w:r>
      <w:r w:rsidRPr="0008282E">
        <w:t>(</w:t>
      </w:r>
      <w:r>
        <w:t xml:space="preserve">NGER </w:t>
      </w:r>
      <w:r w:rsidRPr="0008282E">
        <w:t>Measurement Determination section 2.39 and 6.5)</w:t>
      </w:r>
      <w:r>
        <w:t>.</w:t>
      </w:r>
    </w:p>
    <w:p w14:paraId="279E1ECA" w14:textId="77777777" w:rsidR="00C034A0" w:rsidRDefault="00C034A0" w:rsidP="00C034A0">
      <w:pPr>
        <w:spacing w:line="276" w:lineRule="auto"/>
      </w:pPr>
      <w:r w:rsidRPr="0008282E">
        <w:t>'Separate instance of a source'</w:t>
      </w:r>
      <w:r>
        <w:t xml:space="preserve"> means that an activity is performed by a class of equipment different from those used by other activities with the same source of emissions (</w:t>
      </w:r>
      <w:r w:rsidRPr="0008282E">
        <w:t xml:space="preserve">section 1.9A of the </w:t>
      </w:r>
      <w:r>
        <w:t xml:space="preserve">NGER </w:t>
      </w:r>
      <w:r w:rsidRPr="0008282E">
        <w:t>Measurement Determination</w:t>
      </w:r>
      <w:r>
        <w:t>)</w:t>
      </w:r>
      <w:r w:rsidRPr="0008282E">
        <w:t xml:space="preserve">. </w:t>
      </w:r>
    </w:p>
    <w:p w14:paraId="780FE6DF" w14:textId="77777777" w:rsidR="00C034A0" w:rsidRPr="0008282E" w:rsidRDefault="00C034A0" w:rsidP="00C034A0">
      <w:pPr>
        <w:spacing w:line="276" w:lineRule="auto"/>
      </w:pPr>
      <w:r w:rsidRPr="0008282E">
        <w:t>Note that different thresholds apply for fuel consumed without combustion (</w:t>
      </w:r>
      <w:r>
        <w:t xml:space="preserve">NGER </w:t>
      </w:r>
      <w:r w:rsidRPr="0008282E">
        <w:t>Measurement Determination section</w:t>
      </w:r>
      <w:r>
        <w:t> </w:t>
      </w:r>
      <w:r w:rsidRPr="0008282E">
        <w:t>2.68).</w:t>
      </w:r>
    </w:p>
    <w:p w14:paraId="151901C2" w14:textId="77777777" w:rsidR="00C034A0" w:rsidRPr="0008282E" w:rsidRDefault="00C034A0" w:rsidP="00C034A0">
      <w:pPr>
        <w:pStyle w:val="Heading2"/>
        <w:spacing w:before="0" w:line="276" w:lineRule="auto"/>
      </w:pPr>
      <w:bookmarkStart w:id="103" w:name="_Toc76039510"/>
      <w:bookmarkStart w:id="104" w:name="_Toc235706785"/>
      <w:r>
        <w:t>Small amounts of e</w:t>
      </w:r>
      <w:r w:rsidRPr="0008282E">
        <w:t>lectricity consumption</w:t>
      </w:r>
      <w:bookmarkEnd w:id="103"/>
      <w:bookmarkEnd w:id="104"/>
    </w:p>
    <w:p w14:paraId="7B6535FB" w14:textId="77777777" w:rsidR="00C034A0" w:rsidRDefault="00C034A0" w:rsidP="00C034A0">
      <w:pPr>
        <w:spacing w:line="276" w:lineRule="auto"/>
      </w:pPr>
      <w:r>
        <w:t>S</w:t>
      </w:r>
      <w:r w:rsidRPr="0008282E">
        <w:t>ections 2.68</w:t>
      </w:r>
      <w:r>
        <w:t>(b)</w:t>
      </w:r>
      <w:r w:rsidRPr="0008282E">
        <w:t xml:space="preserve"> and 7.1</w:t>
      </w:r>
      <w:r>
        <w:t>(2)</w:t>
      </w:r>
      <w:r w:rsidRPr="0008282E">
        <w:t xml:space="preserve"> of the </w:t>
      </w:r>
      <w:r>
        <w:t xml:space="preserve">NGER </w:t>
      </w:r>
      <w:r w:rsidRPr="0008282E">
        <w:t xml:space="preserve">Measurement Determination </w:t>
      </w:r>
      <w:r>
        <w:t>stipulate</w:t>
      </w:r>
      <w:r w:rsidRPr="0008282E">
        <w:t xml:space="preserve"> reporting threshold</w:t>
      </w:r>
      <w:r>
        <w:t>s for reporting consumption of electricity (scope 1 and scope 2, respectively):</w:t>
      </w:r>
    </w:p>
    <w:p w14:paraId="74D4DB76" w14:textId="754AE150" w:rsidR="00C034A0" w:rsidRDefault="00C034A0" w:rsidP="00C034A0">
      <w:pPr>
        <w:pStyle w:val="CERbullets"/>
      </w:pPr>
      <w:r>
        <w:t>for self-generated electricity consumption at a facility, if the reportable generating unit has a maximum capacity of less than 0.5</w:t>
      </w:r>
      <w:r w:rsidR="00A55B9C">
        <w:t> </w:t>
      </w:r>
      <w:r>
        <w:t>megawatts</w:t>
      </w:r>
      <w:r w:rsidR="00A55B9C">
        <w:t> (</w:t>
      </w:r>
      <w:r w:rsidR="0026582A">
        <w:t>M</w:t>
      </w:r>
      <w:r w:rsidR="00A55B9C">
        <w:t xml:space="preserve">W) </w:t>
      </w:r>
      <w:r>
        <w:t>of electricity and produces 100,000</w:t>
      </w:r>
      <w:r w:rsidR="00A55B9C">
        <w:t> </w:t>
      </w:r>
      <w:r>
        <w:t>kilowatt</w:t>
      </w:r>
      <w:r w:rsidR="00A55B9C">
        <w:t> </w:t>
      </w:r>
      <w:r>
        <w:t>hours</w:t>
      </w:r>
      <w:r w:rsidR="00A55B9C">
        <w:t> </w:t>
      </w:r>
      <w:r>
        <w:t xml:space="preserve">(kWh) of electricity or less in the reporting year, </w:t>
      </w:r>
      <w:r w:rsidR="00482966">
        <w:t>energy,</w:t>
      </w:r>
      <w:r>
        <w:t xml:space="preserve"> and scope 1 emissions from electricity consumption are not required to be reported</w:t>
      </w:r>
    </w:p>
    <w:p w14:paraId="24F432AF" w14:textId="5BFD31BA" w:rsidR="00C034A0" w:rsidRPr="0008282E" w:rsidRDefault="4BC8CF62" w:rsidP="00C034A0">
      <w:pPr>
        <w:pStyle w:val="CERbullets"/>
      </w:pPr>
      <w:r>
        <w:t>i</w:t>
      </w:r>
      <w:r w:rsidR="00C034A0">
        <w:t>f the amount of electricity consumed at a facility</w:t>
      </w:r>
      <w:r w:rsidR="39771A41">
        <w:t>,</w:t>
      </w:r>
      <w:r w:rsidR="00C034A0">
        <w:t xml:space="preserve"> but not generated at that facility</w:t>
      </w:r>
      <w:r w:rsidR="3BF57E84">
        <w:t>,</w:t>
      </w:r>
      <w:r w:rsidR="00C034A0">
        <w:t xml:space="preserve"> is 20,000</w:t>
      </w:r>
      <w:r w:rsidR="00CF445A">
        <w:t> </w:t>
      </w:r>
      <w:r w:rsidR="00C034A0">
        <w:t xml:space="preserve">kWh or less in a reporting year, </w:t>
      </w:r>
      <w:r w:rsidR="005C563C">
        <w:t>energy,</w:t>
      </w:r>
      <w:r w:rsidR="00C034A0">
        <w:t xml:space="preserve"> and scope 2 emissions from that electricity consumption are not required to be reported.</w:t>
      </w:r>
    </w:p>
    <w:p w14:paraId="47491DF1" w14:textId="77777777" w:rsidR="00C034A0" w:rsidRPr="00763FDB" w:rsidRDefault="00C034A0" w:rsidP="00C034A0">
      <w:pPr>
        <w:spacing w:after="0"/>
        <w:rPr>
          <w:rFonts w:eastAsia="Times New Roman"/>
          <w:color w:val="auto"/>
          <w:szCs w:val="22"/>
          <w:lang w:eastAsia="en-AU"/>
        </w:rPr>
      </w:pPr>
      <w:r w:rsidRPr="0008282E">
        <w:t>Section 2.68 of the</w:t>
      </w:r>
      <w:r>
        <w:t xml:space="preserve"> NGER</w:t>
      </w:r>
      <w:r w:rsidRPr="0008282E">
        <w:t xml:space="preserve"> Measurement Determination also includes other thresholds that limit reporting requirements for energy consumed </w:t>
      </w:r>
      <w:r w:rsidRPr="00763FDB">
        <w:rPr>
          <w:szCs w:val="22"/>
        </w:rPr>
        <w:t xml:space="preserve">without combustion. </w:t>
      </w:r>
      <w:r w:rsidRPr="00763FDB">
        <w:rPr>
          <w:rFonts w:eastAsia="Times New Roman"/>
          <w:color w:val="auto"/>
          <w:szCs w:val="22"/>
          <w:lang w:eastAsia="en-AU"/>
        </w:rPr>
        <w:t>Reporting of energy consumed without combustion is not required if the consumption of the fuel in that reporting year is less than</w:t>
      </w:r>
      <w:r w:rsidRPr="00763FDB">
        <w:rPr>
          <w:szCs w:val="22"/>
        </w:rPr>
        <w:t>:</w:t>
      </w:r>
    </w:p>
    <w:p w14:paraId="5B0E937F" w14:textId="6267905B" w:rsidR="00C034A0" w:rsidRPr="00763FDB" w:rsidRDefault="00C034A0" w:rsidP="00C034A0">
      <w:pPr>
        <w:pStyle w:val="CERbullets"/>
        <w:rPr>
          <w:szCs w:val="22"/>
        </w:rPr>
      </w:pPr>
      <w:r w:rsidRPr="00763FDB">
        <w:rPr>
          <w:szCs w:val="22"/>
        </w:rPr>
        <w:t>20</w:t>
      </w:r>
      <w:r w:rsidR="00CF445A">
        <w:rPr>
          <w:szCs w:val="22"/>
        </w:rPr>
        <w:t> </w:t>
      </w:r>
      <w:r w:rsidRPr="00763FDB">
        <w:rPr>
          <w:szCs w:val="22"/>
        </w:rPr>
        <w:t>t of solid fuel</w:t>
      </w:r>
    </w:p>
    <w:p w14:paraId="593D4D05" w14:textId="5206E3BA" w:rsidR="00C034A0" w:rsidRPr="00763FDB" w:rsidRDefault="00C034A0" w:rsidP="00C034A0">
      <w:pPr>
        <w:pStyle w:val="CERbullets"/>
        <w:rPr>
          <w:szCs w:val="22"/>
        </w:rPr>
      </w:pPr>
      <w:r w:rsidRPr="00763FDB">
        <w:rPr>
          <w:szCs w:val="22"/>
        </w:rPr>
        <w:t>13,000</w:t>
      </w:r>
      <w:r w:rsidR="00CF445A">
        <w:rPr>
          <w:szCs w:val="22"/>
        </w:rPr>
        <w:t> m</w:t>
      </w:r>
      <w:r w:rsidR="00CF445A">
        <w:rPr>
          <w:szCs w:val="22"/>
          <w:vertAlign w:val="superscript"/>
        </w:rPr>
        <w:t>3</w:t>
      </w:r>
      <w:r w:rsidRPr="00763FDB">
        <w:rPr>
          <w:szCs w:val="22"/>
        </w:rPr>
        <w:t xml:space="preserve"> of gaseous fuel, or</w:t>
      </w:r>
    </w:p>
    <w:p w14:paraId="1FC0A983" w14:textId="157913C3" w:rsidR="00C034A0" w:rsidRPr="0008282E" w:rsidRDefault="00C034A0" w:rsidP="00C034A0">
      <w:pPr>
        <w:pStyle w:val="CERbullets"/>
      </w:pPr>
      <w:r w:rsidRPr="00763FDB">
        <w:rPr>
          <w:szCs w:val="22"/>
        </w:rPr>
        <w:t>15</w:t>
      </w:r>
      <w:r w:rsidR="00CF445A">
        <w:rPr>
          <w:szCs w:val="22"/>
        </w:rPr>
        <w:t> </w:t>
      </w:r>
      <w:proofErr w:type="spellStart"/>
      <w:r w:rsidR="00CF445A">
        <w:rPr>
          <w:szCs w:val="22"/>
        </w:rPr>
        <w:t>kL</w:t>
      </w:r>
      <w:proofErr w:type="spellEnd"/>
      <w:r w:rsidRPr="00763FDB">
        <w:rPr>
          <w:szCs w:val="22"/>
        </w:rPr>
        <w:t xml:space="preserve"> of liquid fuel.</w:t>
      </w:r>
    </w:p>
    <w:p w14:paraId="3D33C142" w14:textId="5D1A408D" w:rsidR="00C034A0" w:rsidRPr="00F11ED6" w:rsidRDefault="00C034A0" w:rsidP="00C034A0">
      <w:pPr>
        <w:pStyle w:val="Heading1"/>
      </w:pPr>
      <w:bookmarkStart w:id="105" w:name="_Toc76039511"/>
      <w:bookmarkStart w:id="106" w:name="_Toc235706786"/>
      <w:r>
        <w:t>More</w:t>
      </w:r>
      <w:r w:rsidRPr="0008282E">
        <w:t xml:space="preserve"> information</w:t>
      </w:r>
      <w:bookmarkEnd w:id="105"/>
      <w:bookmarkEnd w:id="106"/>
    </w:p>
    <w:p w14:paraId="0589E370" w14:textId="53DA7268" w:rsidR="00C034A0" w:rsidRPr="0008282E" w:rsidRDefault="00C034A0" w:rsidP="00F44FB3">
      <w:r>
        <w:t xml:space="preserve">Email: </w:t>
      </w:r>
      <w:hyperlink r:id="rId38" w:history="1">
        <w:r w:rsidR="003A2C1B">
          <w:rPr>
            <w:rStyle w:val="Hyperlink"/>
          </w:rPr>
          <w:t>cer-nger-reporting@cer.gov.au</w:t>
        </w:r>
      </w:hyperlink>
    </w:p>
    <w:p w14:paraId="15E6E6BA" w14:textId="77777777" w:rsidR="00C034A0" w:rsidRPr="0008282E" w:rsidRDefault="00C034A0" w:rsidP="00C034A0">
      <w:pPr>
        <w:spacing w:after="120"/>
      </w:pPr>
      <w:r w:rsidRPr="0008282E">
        <w:t>Phone: 1300 553 542 within Australia</w:t>
      </w:r>
    </w:p>
    <w:p w14:paraId="562E3966" w14:textId="2ACBAD94" w:rsidR="00C034A0" w:rsidRPr="0008282E" w:rsidRDefault="00C034A0" w:rsidP="00C034A0">
      <w:pPr>
        <w:spacing w:after="120"/>
      </w:pPr>
      <w:r w:rsidRPr="0008282E">
        <w:t xml:space="preserve">Web: </w:t>
      </w:r>
      <w:hyperlink r:id="rId39" w:history="1">
        <w:r w:rsidR="00666B32">
          <w:rPr>
            <w:rStyle w:val="Hyperlink"/>
            <w:rFonts w:asciiTheme="minorHAnsi" w:hAnsiTheme="minorHAnsi"/>
          </w:rPr>
          <w:t>www.cer.gov.au</w:t>
        </w:r>
      </w:hyperlink>
    </w:p>
    <w:p w14:paraId="40B874F5" w14:textId="465CD100" w:rsidR="00235142" w:rsidRDefault="00235142" w:rsidP="00235142">
      <w:pPr>
        <w:spacing w:after="0"/>
      </w:pPr>
    </w:p>
    <w:sectPr w:rsidR="00235142" w:rsidSect="00427B82">
      <w:headerReference w:type="default" r:id="rId40"/>
      <w:footerReference w:type="even" r:id="rId41"/>
      <w:footerReference w:type="default" r:id="rId42"/>
      <w:headerReference w:type="first" r:id="rId43"/>
      <w:footerReference w:type="first" r:id="rId44"/>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46727" w14:textId="77777777" w:rsidR="001E2207" w:rsidRDefault="001E2207" w:rsidP="00176C28">
      <w:r>
        <w:separator/>
      </w:r>
    </w:p>
    <w:p w14:paraId="55F61A02" w14:textId="77777777" w:rsidR="001E2207" w:rsidRDefault="001E2207"/>
  </w:endnote>
  <w:endnote w:type="continuationSeparator" w:id="0">
    <w:p w14:paraId="7AF941D0" w14:textId="77777777" w:rsidR="001E2207" w:rsidRDefault="001E2207" w:rsidP="00176C28">
      <w:r>
        <w:continuationSeparator/>
      </w:r>
    </w:p>
    <w:p w14:paraId="475ED487" w14:textId="77777777" w:rsidR="001E2207" w:rsidRDefault="001E2207"/>
  </w:endnote>
  <w:endnote w:type="continuationNotice" w:id="1">
    <w:p w14:paraId="18E3D39A" w14:textId="77777777" w:rsidR="001E2207" w:rsidRDefault="001E220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A1920" w14:textId="040D060B" w:rsidR="009633DE" w:rsidRDefault="009633DE" w:rsidP="003148D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302A7BEB" w14:textId="105A5E38" w:rsidR="00977234" w:rsidRDefault="00977234" w:rsidP="009633DE">
    <w:pPr>
      <w:pStyle w:val="Footer"/>
      <w:ind w:right="360"/>
      <w:rPr>
        <w:rStyle w:val="PageNumber"/>
      </w:rPr>
    </w:pPr>
  </w:p>
  <w:p w14:paraId="302821B3" w14:textId="77777777" w:rsidR="00977234" w:rsidRDefault="00977234" w:rsidP="009633DE">
    <w:pPr>
      <w:pStyle w:val="Footer"/>
    </w:pPr>
  </w:p>
  <w:p w14:paraId="4C431A8C"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3D5A3" w14:textId="3E5DFD0E" w:rsidR="006E3CA9" w:rsidRPr="00B50E27" w:rsidRDefault="002D18F3" w:rsidP="00C73199">
    <w:pPr>
      <w:pStyle w:val="Footer"/>
      <w:tabs>
        <w:tab w:val="clear" w:pos="2694"/>
        <w:tab w:val="clear" w:pos="3969"/>
        <w:tab w:val="clear" w:pos="6946"/>
        <w:tab w:val="clear" w:pos="9498"/>
        <w:tab w:val="center" w:pos="9639"/>
      </w:tabs>
      <w:spacing w:before="360" w:after="0"/>
      <w:ind w:left="0"/>
    </w:pPr>
    <w:r w:rsidRPr="002D18F3">
      <w:rPr>
        <w:b/>
        <w:bCs/>
      </w:rPr>
      <w:t>W:</w:t>
    </w:r>
    <w:r w:rsidRPr="002D18F3">
      <w:t xml:space="preserve"> </w:t>
    </w:r>
    <w:r w:rsidR="00D901D3">
      <w:t>c</w:t>
    </w:r>
    <w:r w:rsidR="00C5529A">
      <w:t>e</w:t>
    </w:r>
    <w:r w:rsidR="00E42043">
      <w:t>r</w:t>
    </w:r>
    <w:r w:rsidR="006E3CA9" w:rsidRPr="002D18F3">
      <w:t>.gov.au</w:t>
    </w:r>
    <w:r w:rsidR="006E3CA9" w:rsidRPr="002D18F3">
      <w:rPr>
        <w:rStyle w:val="PageNumber"/>
      </w:rPr>
      <w:t xml:space="preserve"> </w:t>
    </w:r>
    <w:r w:rsidR="00223676" w:rsidRPr="002D18F3">
      <w:rPr>
        <w:rStyle w:val="PageNumber"/>
      </w:rPr>
      <w:t xml:space="preserve">| </w:t>
    </w:r>
    <w:r w:rsidR="00223676" w:rsidRPr="002D18F3">
      <w:rPr>
        <w:rStyle w:val="PageNumber"/>
        <w:b/>
        <w:bCs/>
      </w:rPr>
      <w:t>T:</w:t>
    </w:r>
    <w:r w:rsidR="00223676" w:rsidRPr="002D18F3">
      <w:rPr>
        <w:rStyle w:val="PageNumber"/>
      </w:rPr>
      <w:t xml:space="preserve"> 1300 553 542</w:t>
    </w:r>
    <w:r w:rsidRPr="002D18F3">
      <w:rPr>
        <w:rStyle w:val="PageNumber"/>
      </w:rPr>
      <w:t xml:space="preserve"> | </w:t>
    </w:r>
    <w:r w:rsidRPr="002D18F3">
      <w:rPr>
        <w:rStyle w:val="PageNumber"/>
        <w:b/>
        <w:bCs/>
      </w:rPr>
      <w:t>E:</w:t>
    </w:r>
    <w:r w:rsidRPr="002D18F3">
      <w:rPr>
        <w:rStyle w:val="PageNumber"/>
      </w:rPr>
      <w:t xml:space="preserve"> enquiries@</w:t>
    </w:r>
    <w:r w:rsidR="00C5529A">
      <w:rPr>
        <w:rStyle w:val="PageNumber"/>
      </w:rPr>
      <w:t>c</w:t>
    </w:r>
    <w:r w:rsidR="00E42043">
      <w:rPr>
        <w:rStyle w:val="PageNumber"/>
      </w:rPr>
      <w:t>er</w:t>
    </w:r>
    <w:r w:rsidRPr="002D18F3">
      <w:rPr>
        <w:rStyle w:val="PageNumber"/>
      </w:rPr>
      <w:t>.gov.au</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788087B7" w14:textId="467C511A" w:rsidR="00F76419" w:rsidRPr="009633DE" w:rsidRDefault="00F76419" w:rsidP="00E349EF">
    <w:pPr>
      <w:pStyle w:val="Footer"/>
      <w:spacing w:before="60"/>
      <w:jc w:val="center"/>
      <w:rPr>
        <w:rStyle w:val="Protectivemark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D8CCF" w14:textId="5F154115" w:rsidR="0065750A" w:rsidRPr="009C30B4" w:rsidRDefault="00C54688" w:rsidP="00AA2792">
    <w:pPr>
      <w:tabs>
        <w:tab w:val="left" w:pos="2694"/>
        <w:tab w:val="left" w:pos="3969"/>
        <w:tab w:val="left" w:pos="6946"/>
        <w:tab w:val="right" w:pos="9498"/>
      </w:tabs>
      <w:spacing w:after="720"/>
      <w:ind w:right="242"/>
      <w:rPr>
        <w:color w:val="005874"/>
        <w:sz w:val="16"/>
        <w:szCs w:val="16"/>
      </w:rPr>
    </w:pPr>
    <w:r w:rsidRPr="00C54688">
      <w:t xml:space="preserve"> </w:t>
    </w:r>
    <w:r>
      <w:rPr>
        <w:noProof/>
      </w:rPr>
      <w:drawing>
        <wp:inline distT="0" distB="0" distL="0" distR="0" wp14:anchorId="060F3627" wp14:editId="7F02B807">
          <wp:extent cx="2243470" cy="680872"/>
          <wp:effectExtent l="0" t="0" r="4445"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0345" cy="695098"/>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430F8" w14:textId="77777777" w:rsidR="001E2207" w:rsidRDefault="001E2207" w:rsidP="00176C28">
      <w:r>
        <w:separator/>
      </w:r>
    </w:p>
    <w:p w14:paraId="5C574EC4" w14:textId="77777777" w:rsidR="001E2207" w:rsidRDefault="001E2207"/>
  </w:footnote>
  <w:footnote w:type="continuationSeparator" w:id="0">
    <w:p w14:paraId="68F9DCC1" w14:textId="77777777" w:rsidR="001E2207" w:rsidRDefault="001E2207" w:rsidP="00176C28">
      <w:r>
        <w:continuationSeparator/>
      </w:r>
    </w:p>
    <w:p w14:paraId="5496D2B2" w14:textId="77777777" w:rsidR="001E2207" w:rsidRDefault="001E2207"/>
  </w:footnote>
  <w:footnote w:type="continuationNotice" w:id="1">
    <w:p w14:paraId="48C62BAC" w14:textId="77777777" w:rsidR="001E2207" w:rsidRDefault="001E2207">
      <w:pPr>
        <w:spacing w:after="0"/>
      </w:pPr>
    </w:p>
  </w:footnote>
  <w:footnote w:id="2">
    <w:p w14:paraId="4528DCDD" w14:textId="2265C4EC" w:rsidR="00FA7139" w:rsidRPr="00FA7139" w:rsidRDefault="00FA7139">
      <w:pPr>
        <w:pStyle w:val="FootnoteText"/>
        <w:rPr>
          <w:lang w:val="en-AU"/>
        </w:rPr>
      </w:pPr>
      <w:r>
        <w:rPr>
          <w:rStyle w:val="FootnoteReference"/>
        </w:rPr>
        <w:footnoteRef/>
      </w:r>
      <w:r>
        <w:t xml:space="preserve"> </w:t>
      </w:r>
      <w:r w:rsidR="00117351" w:rsidRPr="00117351">
        <w:t>https://cer.gov.au/schemes/national-greenhouse-and-energy-reporting-scheme/assess-your-obligations#what-is-an-nger-facility</w:t>
      </w:r>
    </w:p>
  </w:footnote>
  <w:footnote w:id="3">
    <w:p w14:paraId="3B22B393" w14:textId="360C3BBA" w:rsidR="00F8076C" w:rsidRPr="00A066A9" w:rsidRDefault="00F8076C">
      <w:pPr>
        <w:pStyle w:val="FootnoteText"/>
        <w:rPr>
          <w:lang w:val="en-AU"/>
        </w:rPr>
      </w:pPr>
      <w:r>
        <w:rPr>
          <w:rStyle w:val="FootnoteReference"/>
        </w:rPr>
        <w:footnoteRef/>
      </w:r>
      <w:r>
        <w:t xml:space="preserve"> </w:t>
      </w:r>
      <w:r w:rsidR="008D1120" w:rsidRPr="00A066A9">
        <w:t>https://www.legislation.gov.au/help-and-resources/understanding-legislation/reading-legislation</w:t>
      </w:r>
      <w:r w:rsidR="001308D3">
        <w:t xml:space="preserve"> </w:t>
      </w:r>
    </w:p>
  </w:footnote>
  <w:footnote w:id="4">
    <w:p w14:paraId="0C29AECC" w14:textId="24B4DD73" w:rsidR="00C034A0" w:rsidRPr="00906F7C" w:rsidRDefault="00C034A0" w:rsidP="00C034A0">
      <w:pPr>
        <w:pStyle w:val="FootnoteText"/>
      </w:pPr>
      <w:r w:rsidRPr="00906F7C">
        <w:rPr>
          <w:rStyle w:val="FootnoteReference"/>
        </w:rPr>
        <w:footnoteRef/>
      </w:r>
      <w:r w:rsidRPr="00906F7C">
        <w:t xml:space="preserve"> </w:t>
      </w:r>
      <w:r w:rsidR="00415CA5" w:rsidRPr="00415CA5">
        <w:t>https://www.legislation.gov.au/Series/C2007A00175</w:t>
      </w:r>
    </w:p>
  </w:footnote>
  <w:footnote w:id="5">
    <w:p w14:paraId="36238AB9" w14:textId="08304142" w:rsidR="00C034A0" w:rsidRPr="00906F7C" w:rsidRDefault="00C034A0" w:rsidP="00C034A0">
      <w:pPr>
        <w:pStyle w:val="FootnoteText"/>
      </w:pPr>
      <w:r w:rsidRPr="00906F7C">
        <w:rPr>
          <w:rStyle w:val="FootnoteReference"/>
        </w:rPr>
        <w:footnoteRef/>
      </w:r>
      <w:r w:rsidRPr="00906F7C">
        <w:t xml:space="preserve"> </w:t>
      </w:r>
      <w:r w:rsidR="0007401E" w:rsidRPr="0007401E">
        <w:t>https://www.legislation.gov.au/Series/F2008L0223</w:t>
      </w:r>
    </w:p>
  </w:footnote>
  <w:footnote w:id="6">
    <w:p w14:paraId="0C8DA10B" w14:textId="52CB4C15" w:rsidR="00C034A0" w:rsidRPr="00906F7C" w:rsidRDefault="00C034A0" w:rsidP="00C034A0">
      <w:pPr>
        <w:pStyle w:val="FootnoteText"/>
      </w:pPr>
      <w:r w:rsidRPr="00906F7C">
        <w:rPr>
          <w:rStyle w:val="FootnoteReference"/>
        </w:rPr>
        <w:footnoteRef/>
      </w:r>
      <w:r w:rsidRPr="00906F7C">
        <w:t xml:space="preserve"> </w:t>
      </w:r>
      <w:r w:rsidR="00DE63AD" w:rsidRPr="00DE63AD">
        <w:t>https://www.legislation.gov.au/Series/F2008L02309</w:t>
      </w:r>
    </w:p>
  </w:footnote>
  <w:footnote w:id="7">
    <w:p w14:paraId="3067E190" w14:textId="689D20BE" w:rsidR="00C034A0" w:rsidRPr="00740092" w:rsidRDefault="00C034A0" w:rsidP="00C034A0">
      <w:pPr>
        <w:pStyle w:val="FootnoteText"/>
      </w:pPr>
      <w:r w:rsidRPr="00906F7C">
        <w:rPr>
          <w:rStyle w:val="FootnoteReference"/>
        </w:rPr>
        <w:footnoteRef/>
      </w:r>
      <w:r w:rsidRPr="00906F7C">
        <w:t xml:space="preserve"> </w:t>
      </w:r>
      <w:r w:rsidR="007D5C40" w:rsidRPr="00A066A9">
        <w:t>https://cer.gov.au/schemes/national-greenhouse-and-energy-reporting-scheme</w:t>
      </w:r>
    </w:p>
  </w:footnote>
  <w:footnote w:id="8">
    <w:p w14:paraId="2C739C9A" w14:textId="43CE4694" w:rsidR="001C583E" w:rsidRPr="00A23F90" w:rsidRDefault="001C583E" w:rsidP="001C583E">
      <w:pPr>
        <w:pStyle w:val="FootnoteText"/>
        <w:rPr>
          <w:lang w:val="en-AU"/>
        </w:rPr>
      </w:pPr>
      <w:r>
        <w:rPr>
          <w:rStyle w:val="FootnoteReference"/>
        </w:rPr>
        <w:footnoteRef/>
      </w:r>
      <w:r>
        <w:t xml:space="preserve"> </w:t>
      </w:r>
      <w:r w:rsidR="006E27F7" w:rsidRPr="006E27F7">
        <w:t>https://cer.gov.au/schemes/national-greenhouse-and-energy-reporting-scheme/report-emissions-and-energy/amendments-to-national-greenhouse-and-energy-reporting-legislation</w:t>
      </w:r>
      <w:r w:rsidR="006E27F7" w:rsidRPr="006E27F7" w:rsidDel="006E27F7">
        <w:t xml:space="preserve"> </w:t>
      </w:r>
    </w:p>
  </w:footnote>
  <w:footnote w:id="9">
    <w:p w14:paraId="495B0D2D" w14:textId="2A987ABC" w:rsidR="00C034A0" w:rsidRDefault="00C034A0" w:rsidP="00C034A0">
      <w:pPr>
        <w:pStyle w:val="FootnoteText"/>
      </w:pPr>
      <w:r>
        <w:rPr>
          <w:rStyle w:val="FootnoteReference"/>
        </w:rPr>
        <w:footnoteRef/>
      </w:r>
      <w:r>
        <w:t xml:space="preserve"> </w:t>
      </w:r>
      <w:r w:rsidR="00285C15" w:rsidRPr="00285C15">
        <w:t>https://www.dcceew.gov.au/climate-change/emissions-reporting/tracking-reporting-emissions#toc_0</w:t>
      </w:r>
    </w:p>
  </w:footnote>
  <w:footnote w:id="10">
    <w:p w14:paraId="451560EC" w14:textId="402BB85B" w:rsidR="00C034A0" w:rsidRDefault="00C034A0" w:rsidP="00C034A0">
      <w:pPr>
        <w:pStyle w:val="FootnoteText"/>
      </w:pPr>
      <w:r>
        <w:rPr>
          <w:rStyle w:val="FootnoteReference"/>
        </w:rPr>
        <w:footnoteRef/>
      </w:r>
      <w:r>
        <w:t xml:space="preserve"> </w:t>
      </w:r>
      <w:r w:rsidR="00164ABB" w:rsidRPr="00A066A9">
        <w:t>https://www.dcceew.gov.au/climate-change/publications/national-inventory-reports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7C533" w14:textId="356F53BB" w:rsidR="00D81782" w:rsidRPr="00BE0DA3" w:rsidRDefault="00407A97" w:rsidP="00E349EF">
    <w:pPr>
      <w:pStyle w:val="LegislativesecrecyACT"/>
    </w:pPr>
    <w:r>
      <w:rPr>
        <w:noProof/>
      </w:rPr>
      <w:drawing>
        <wp:anchor distT="0" distB="0" distL="114300" distR="114300" simplePos="0" relativeHeight="251658240" behindDoc="0" locked="0" layoutInCell="1" allowOverlap="1" wp14:anchorId="31857C65" wp14:editId="21E9506B">
          <wp:simplePos x="0" y="0"/>
          <wp:positionH relativeFrom="column">
            <wp:posOffset>4678695</wp:posOffset>
          </wp:positionH>
          <wp:positionV relativeFrom="paragraph">
            <wp:posOffset>54048</wp:posOffset>
          </wp:positionV>
          <wp:extent cx="1424451" cy="469454"/>
          <wp:effectExtent l="0" t="0" r="0" b="63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3326" w14:textId="33E264B4" w:rsidR="00CA2954" w:rsidRDefault="008352D1" w:rsidP="00E349EF">
    <w:pPr>
      <w:pStyle w:val="Header"/>
      <w:spacing w:before="600"/>
    </w:pPr>
    <w:r>
      <w:rPr>
        <w:noProof/>
      </w:rPr>
      <w:t xml:space="preserve">  </w:t>
    </w:r>
    <w:r w:rsidR="00CA2954">
      <w:rPr>
        <w:noProof/>
      </w:rPr>
      <w:drawing>
        <wp:inline distT="0" distB="0" distL="0" distR="0" wp14:anchorId="5D91E6F5" wp14:editId="0F3E109B">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3E6B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8611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D3A06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246B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3EB8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8698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4A28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CA63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E40B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F66E0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57213CC"/>
    <w:multiLevelType w:val="multilevel"/>
    <w:tmpl w:val="46245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6" w15:restartNumberingAfterBreak="0">
    <w:nsid w:val="18511E41"/>
    <w:multiLevelType w:val="hybridMultilevel"/>
    <w:tmpl w:val="BBE4B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4AA3E40"/>
    <w:multiLevelType w:val="hybridMultilevel"/>
    <w:tmpl w:val="9666388E"/>
    <w:lvl w:ilvl="0" w:tplc="FED2766E">
      <w:start w:val="1"/>
      <w:numFmt w:val="bullet"/>
      <w:lvlText w:val=""/>
      <w:lvlJc w:val="left"/>
      <w:pPr>
        <w:ind w:left="1020" w:hanging="360"/>
      </w:pPr>
      <w:rPr>
        <w:rFonts w:ascii="Symbol" w:hAnsi="Symbol"/>
      </w:rPr>
    </w:lvl>
    <w:lvl w:ilvl="1" w:tplc="C58AF908">
      <w:start w:val="1"/>
      <w:numFmt w:val="bullet"/>
      <w:lvlText w:val=""/>
      <w:lvlJc w:val="left"/>
      <w:pPr>
        <w:ind w:left="1020" w:hanging="360"/>
      </w:pPr>
      <w:rPr>
        <w:rFonts w:ascii="Symbol" w:hAnsi="Symbol"/>
      </w:rPr>
    </w:lvl>
    <w:lvl w:ilvl="2" w:tplc="3AD68888">
      <w:start w:val="1"/>
      <w:numFmt w:val="bullet"/>
      <w:lvlText w:val=""/>
      <w:lvlJc w:val="left"/>
      <w:pPr>
        <w:ind w:left="1020" w:hanging="360"/>
      </w:pPr>
      <w:rPr>
        <w:rFonts w:ascii="Symbol" w:hAnsi="Symbol"/>
      </w:rPr>
    </w:lvl>
    <w:lvl w:ilvl="3" w:tplc="4F06F7A2">
      <w:start w:val="1"/>
      <w:numFmt w:val="bullet"/>
      <w:lvlText w:val=""/>
      <w:lvlJc w:val="left"/>
      <w:pPr>
        <w:ind w:left="1020" w:hanging="360"/>
      </w:pPr>
      <w:rPr>
        <w:rFonts w:ascii="Symbol" w:hAnsi="Symbol"/>
      </w:rPr>
    </w:lvl>
    <w:lvl w:ilvl="4" w:tplc="A3547170">
      <w:start w:val="1"/>
      <w:numFmt w:val="bullet"/>
      <w:lvlText w:val=""/>
      <w:lvlJc w:val="left"/>
      <w:pPr>
        <w:ind w:left="1020" w:hanging="360"/>
      </w:pPr>
      <w:rPr>
        <w:rFonts w:ascii="Symbol" w:hAnsi="Symbol"/>
      </w:rPr>
    </w:lvl>
    <w:lvl w:ilvl="5" w:tplc="40986C06">
      <w:start w:val="1"/>
      <w:numFmt w:val="bullet"/>
      <w:lvlText w:val=""/>
      <w:lvlJc w:val="left"/>
      <w:pPr>
        <w:ind w:left="1020" w:hanging="360"/>
      </w:pPr>
      <w:rPr>
        <w:rFonts w:ascii="Symbol" w:hAnsi="Symbol"/>
      </w:rPr>
    </w:lvl>
    <w:lvl w:ilvl="6" w:tplc="8CD2BEA0">
      <w:start w:val="1"/>
      <w:numFmt w:val="bullet"/>
      <w:lvlText w:val=""/>
      <w:lvlJc w:val="left"/>
      <w:pPr>
        <w:ind w:left="1020" w:hanging="360"/>
      </w:pPr>
      <w:rPr>
        <w:rFonts w:ascii="Symbol" w:hAnsi="Symbol"/>
      </w:rPr>
    </w:lvl>
    <w:lvl w:ilvl="7" w:tplc="8280E30C">
      <w:start w:val="1"/>
      <w:numFmt w:val="bullet"/>
      <w:lvlText w:val=""/>
      <w:lvlJc w:val="left"/>
      <w:pPr>
        <w:ind w:left="1020" w:hanging="360"/>
      </w:pPr>
      <w:rPr>
        <w:rFonts w:ascii="Symbol" w:hAnsi="Symbol"/>
      </w:rPr>
    </w:lvl>
    <w:lvl w:ilvl="8" w:tplc="03FE9ADC">
      <w:start w:val="1"/>
      <w:numFmt w:val="bullet"/>
      <w:lvlText w:val=""/>
      <w:lvlJc w:val="left"/>
      <w:pPr>
        <w:ind w:left="1020" w:hanging="360"/>
      </w:pPr>
      <w:rPr>
        <w:rFonts w:ascii="Symbol" w:hAnsi="Symbol"/>
      </w:rPr>
    </w:lvl>
  </w:abstractNum>
  <w:abstractNum w:abstractNumId="20"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4" w15:restartNumberingAfterBreak="0">
    <w:nsid w:val="3A120414"/>
    <w:multiLevelType w:val="hybridMultilevel"/>
    <w:tmpl w:val="3348C7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52735239"/>
    <w:multiLevelType w:val="hybridMultilevel"/>
    <w:tmpl w:val="29447B36"/>
    <w:lvl w:ilvl="0" w:tplc="54FCC3A8">
      <w:start w:val="1"/>
      <w:numFmt w:val="bullet"/>
      <w:lvlText w:val=""/>
      <w:lvlJc w:val="left"/>
      <w:pPr>
        <w:ind w:left="1440" w:hanging="360"/>
      </w:pPr>
      <w:rPr>
        <w:rFonts w:ascii="Symbol" w:hAnsi="Symbol"/>
      </w:rPr>
    </w:lvl>
    <w:lvl w:ilvl="1" w:tplc="ACA81A04">
      <w:start w:val="1"/>
      <w:numFmt w:val="bullet"/>
      <w:lvlText w:val=""/>
      <w:lvlJc w:val="left"/>
      <w:pPr>
        <w:ind w:left="1440" w:hanging="360"/>
      </w:pPr>
      <w:rPr>
        <w:rFonts w:ascii="Symbol" w:hAnsi="Symbol"/>
      </w:rPr>
    </w:lvl>
    <w:lvl w:ilvl="2" w:tplc="61FEDE00">
      <w:start w:val="1"/>
      <w:numFmt w:val="bullet"/>
      <w:lvlText w:val=""/>
      <w:lvlJc w:val="left"/>
      <w:pPr>
        <w:ind w:left="1440" w:hanging="360"/>
      </w:pPr>
      <w:rPr>
        <w:rFonts w:ascii="Symbol" w:hAnsi="Symbol"/>
      </w:rPr>
    </w:lvl>
    <w:lvl w:ilvl="3" w:tplc="4E8809BE">
      <w:start w:val="1"/>
      <w:numFmt w:val="bullet"/>
      <w:lvlText w:val=""/>
      <w:lvlJc w:val="left"/>
      <w:pPr>
        <w:ind w:left="1440" w:hanging="360"/>
      </w:pPr>
      <w:rPr>
        <w:rFonts w:ascii="Symbol" w:hAnsi="Symbol"/>
      </w:rPr>
    </w:lvl>
    <w:lvl w:ilvl="4" w:tplc="0D061316">
      <w:start w:val="1"/>
      <w:numFmt w:val="bullet"/>
      <w:lvlText w:val=""/>
      <w:lvlJc w:val="left"/>
      <w:pPr>
        <w:ind w:left="1440" w:hanging="360"/>
      </w:pPr>
      <w:rPr>
        <w:rFonts w:ascii="Symbol" w:hAnsi="Symbol"/>
      </w:rPr>
    </w:lvl>
    <w:lvl w:ilvl="5" w:tplc="97263446">
      <w:start w:val="1"/>
      <w:numFmt w:val="bullet"/>
      <w:lvlText w:val=""/>
      <w:lvlJc w:val="left"/>
      <w:pPr>
        <w:ind w:left="1440" w:hanging="360"/>
      </w:pPr>
      <w:rPr>
        <w:rFonts w:ascii="Symbol" w:hAnsi="Symbol"/>
      </w:rPr>
    </w:lvl>
    <w:lvl w:ilvl="6" w:tplc="F33611F2">
      <w:start w:val="1"/>
      <w:numFmt w:val="bullet"/>
      <w:lvlText w:val=""/>
      <w:lvlJc w:val="left"/>
      <w:pPr>
        <w:ind w:left="1440" w:hanging="360"/>
      </w:pPr>
      <w:rPr>
        <w:rFonts w:ascii="Symbol" w:hAnsi="Symbol"/>
      </w:rPr>
    </w:lvl>
    <w:lvl w:ilvl="7" w:tplc="E96C9B5A">
      <w:start w:val="1"/>
      <w:numFmt w:val="bullet"/>
      <w:lvlText w:val=""/>
      <w:lvlJc w:val="left"/>
      <w:pPr>
        <w:ind w:left="1440" w:hanging="360"/>
      </w:pPr>
      <w:rPr>
        <w:rFonts w:ascii="Symbol" w:hAnsi="Symbol"/>
      </w:rPr>
    </w:lvl>
    <w:lvl w:ilvl="8" w:tplc="32EE2DA8">
      <w:start w:val="1"/>
      <w:numFmt w:val="bullet"/>
      <w:lvlText w:val=""/>
      <w:lvlJc w:val="left"/>
      <w:pPr>
        <w:ind w:left="1440" w:hanging="360"/>
      </w:pPr>
      <w:rPr>
        <w:rFonts w:ascii="Symbol" w:hAnsi="Symbol"/>
      </w:rPr>
    </w:lvl>
  </w:abstractNum>
  <w:abstractNum w:abstractNumId="29" w15:restartNumberingAfterBreak="0">
    <w:nsid w:val="56E13916"/>
    <w:multiLevelType w:val="hybridMultilevel"/>
    <w:tmpl w:val="9B4E79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2" w15:restartNumberingAfterBreak="0">
    <w:nsid w:val="5B980E7F"/>
    <w:multiLevelType w:val="hybridMultilevel"/>
    <w:tmpl w:val="2B3ADD5A"/>
    <w:lvl w:ilvl="0" w:tplc="FEC69F0C">
      <w:start w:val="1"/>
      <w:numFmt w:val="bullet"/>
      <w:lvlText w:val="-"/>
      <w:lvlJc w:val="left"/>
      <w:pPr>
        <w:ind w:left="720" w:hanging="360"/>
      </w:pPr>
      <w:rPr>
        <w:rFonts w:ascii="Arial" w:eastAsia="Cambr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50B16ED"/>
    <w:multiLevelType w:val="multilevel"/>
    <w:tmpl w:val="5A421D8A"/>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65F66929"/>
    <w:multiLevelType w:val="hybridMultilevel"/>
    <w:tmpl w:val="508467A4"/>
    <w:lvl w:ilvl="0" w:tplc="6DEE9CFA">
      <w:start w:val="1"/>
      <w:numFmt w:val="bullet"/>
      <w:lvlText w:val=""/>
      <w:lvlJc w:val="left"/>
      <w:pPr>
        <w:ind w:left="1440" w:hanging="360"/>
      </w:pPr>
      <w:rPr>
        <w:rFonts w:ascii="Symbol" w:hAnsi="Symbol"/>
      </w:rPr>
    </w:lvl>
    <w:lvl w:ilvl="1" w:tplc="A386C4BC">
      <w:start w:val="1"/>
      <w:numFmt w:val="bullet"/>
      <w:lvlText w:val=""/>
      <w:lvlJc w:val="left"/>
      <w:pPr>
        <w:ind w:left="1440" w:hanging="360"/>
      </w:pPr>
      <w:rPr>
        <w:rFonts w:ascii="Symbol" w:hAnsi="Symbol"/>
      </w:rPr>
    </w:lvl>
    <w:lvl w:ilvl="2" w:tplc="0F687754">
      <w:start w:val="1"/>
      <w:numFmt w:val="bullet"/>
      <w:lvlText w:val=""/>
      <w:lvlJc w:val="left"/>
      <w:pPr>
        <w:ind w:left="1440" w:hanging="360"/>
      </w:pPr>
      <w:rPr>
        <w:rFonts w:ascii="Symbol" w:hAnsi="Symbol"/>
      </w:rPr>
    </w:lvl>
    <w:lvl w:ilvl="3" w:tplc="5FF6CAF6">
      <w:start w:val="1"/>
      <w:numFmt w:val="bullet"/>
      <w:lvlText w:val=""/>
      <w:lvlJc w:val="left"/>
      <w:pPr>
        <w:ind w:left="1440" w:hanging="360"/>
      </w:pPr>
      <w:rPr>
        <w:rFonts w:ascii="Symbol" w:hAnsi="Symbol"/>
      </w:rPr>
    </w:lvl>
    <w:lvl w:ilvl="4" w:tplc="DF183D28">
      <w:start w:val="1"/>
      <w:numFmt w:val="bullet"/>
      <w:lvlText w:val=""/>
      <w:lvlJc w:val="left"/>
      <w:pPr>
        <w:ind w:left="1440" w:hanging="360"/>
      </w:pPr>
      <w:rPr>
        <w:rFonts w:ascii="Symbol" w:hAnsi="Symbol"/>
      </w:rPr>
    </w:lvl>
    <w:lvl w:ilvl="5" w:tplc="A9B2AD92">
      <w:start w:val="1"/>
      <w:numFmt w:val="bullet"/>
      <w:lvlText w:val=""/>
      <w:lvlJc w:val="left"/>
      <w:pPr>
        <w:ind w:left="1440" w:hanging="360"/>
      </w:pPr>
      <w:rPr>
        <w:rFonts w:ascii="Symbol" w:hAnsi="Symbol"/>
      </w:rPr>
    </w:lvl>
    <w:lvl w:ilvl="6" w:tplc="3F54FD34">
      <w:start w:val="1"/>
      <w:numFmt w:val="bullet"/>
      <w:lvlText w:val=""/>
      <w:lvlJc w:val="left"/>
      <w:pPr>
        <w:ind w:left="1440" w:hanging="360"/>
      </w:pPr>
      <w:rPr>
        <w:rFonts w:ascii="Symbol" w:hAnsi="Symbol"/>
      </w:rPr>
    </w:lvl>
    <w:lvl w:ilvl="7" w:tplc="7DF80688">
      <w:start w:val="1"/>
      <w:numFmt w:val="bullet"/>
      <w:lvlText w:val=""/>
      <w:lvlJc w:val="left"/>
      <w:pPr>
        <w:ind w:left="1440" w:hanging="360"/>
      </w:pPr>
      <w:rPr>
        <w:rFonts w:ascii="Symbol" w:hAnsi="Symbol"/>
      </w:rPr>
    </w:lvl>
    <w:lvl w:ilvl="8" w:tplc="F7D437E2">
      <w:start w:val="1"/>
      <w:numFmt w:val="bullet"/>
      <w:lvlText w:val=""/>
      <w:lvlJc w:val="left"/>
      <w:pPr>
        <w:ind w:left="1440" w:hanging="360"/>
      </w:pPr>
      <w:rPr>
        <w:rFonts w:ascii="Symbol" w:hAnsi="Symbol"/>
      </w:rPr>
    </w:lvl>
  </w:abstractNum>
  <w:abstractNum w:abstractNumId="37"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72F2519"/>
    <w:multiLevelType w:val="hybridMultilevel"/>
    <w:tmpl w:val="EC2C1A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83E3BD6"/>
    <w:multiLevelType w:val="hybridMultilevel"/>
    <w:tmpl w:val="52865040"/>
    <w:lvl w:ilvl="0" w:tplc="1246486E">
      <w:start w:val="1"/>
      <w:numFmt w:val="bullet"/>
      <w:lvlText w:val=""/>
      <w:lvlJc w:val="left"/>
      <w:pPr>
        <w:ind w:left="720" w:hanging="360"/>
      </w:pPr>
      <w:rPr>
        <w:rFonts w:ascii="Symbol" w:hAnsi="Symbol" w:hint="default"/>
      </w:rPr>
    </w:lvl>
    <w:lvl w:ilvl="1" w:tplc="14904F32">
      <w:numFmt w:val="bullet"/>
      <w:lvlText w:val="•"/>
      <w:lvlJc w:val="left"/>
      <w:pPr>
        <w:ind w:left="1440" w:hanging="360"/>
      </w:pPr>
      <w:rPr>
        <w:rFonts w:ascii="Arial" w:eastAsia="Cambria"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9DB23C0"/>
    <w:multiLevelType w:val="multilevel"/>
    <w:tmpl w:val="11A43BFC"/>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30719241">
    <w:abstractNumId w:val="27"/>
  </w:num>
  <w:num w:numId="2" w16cid:durableId="1209755571">
    <w:abstractNumId w:val="20"/>
  </w:num>
  <w:num w:numId="3" w16cid:durableId="2069109921">
    <w:abstractNumId w:val="21"/>
  </w:num>
  <w:num w:numId="4" w16cid:durableId="571697186">
    <w:abstractNumId w:val="14"/>
  </w:num>
  <w:num w:numId="5" w16cid:durableId="915163713">
    <w:abstractNumId w:val="15"/>
  </w:num>
  <w:num w:numId="6" w16cid:durableId="1331524906">
    <w:abstractNumId w:val="23"/>
  </w:num>
  <w:num w:numId="7" w16cid:durableId="1707363439">
    <w:abstractNumId w:val="31"/>
  </w:num>
  <w:num w:numId="8" w16cid:durableId="146021299">
    <w:abstractNumId w:val="15"/>
  </w:num>
  <w:num w:numId="9" w16cid:durableId="735133384">
    <w:abstractNumId w:val="9"/>
  </w:num>
  <w:num w:numId="10" w16cid:durableId="757870887">
    <w:abstractNumId w:val="7"/>
  </w:num>
  <w:num w:numId="11" w16cid:durableId="2136173769">
    <w:abstractNumId w:val="6"/>
  </w:num>
  <w:num w:numId="12" w16cid:durableId="272446287">
    <w:abstractNumId w:val="5"/>
  </w:num>
  <w:num w:numId="13" w16cid:durableId="230507921">
    <w:abstractNumId w:val="4"/>
  </w:num>
  <w:num w:numId="14" w16cid:durableId="1569147085">
    <w:abstractNumId w:val="8"/>
  </w:num>
  <w:num w:numId="15" w16cid:durableId="930577413">
    <w:abstractNumId w:val="3"/>
  </w:num>
  <w:num w:numId="16" w16cid:durableId="502673113">
    <w:abstractNumId w:val="2"/>
  </w:num>
  <w:num w:numId="17" w16cid:durableId="34623190">
    <w:abstractNumId w:val="1"/>
  </w:num>
  <w:num w:numId="18" w16cid:durableId="872111893">
    <w:abstractNumId w:val="0"/>
  </w:num>
  <w:num w:numId="19" w16cid:durableId="386760375">
    <w:abstractNumId w:val="13"/>
  </w:num>
  <w:num w:numId="20" w16cid:durableId="1056129434">
    <w:abstractNumId w:val="17"/>
  </w:num>
  <w:num w:numId="21" w16cid:durableId="890848808">
    <w:abstractNumId w:val="40"/>
  </w:num>
  <w:num w:numId="22" w16cid:durableId="772284875">
    <w:abstractNumId w:val="10"/>
  </w:num>
  <w:num w:numId="23" w16cid:durableId="1606959683">
    <w:abstractNumId w:val="41"/>
  </w:num>
  <w:num w:numId="24" w16cid:durableId="2123184662">
    <w:abstractNumId w:val="25"/>
  </w:num>
  <w:num w:numId="25" w16cid:durableId="1816794663">
    <w:abstractNumId w:val="22"/>
  </w:num>
  <w:num w:numId="26" w16cid:durableId="1982928537">
    <w:abstractNumId w:val="18"/>
  </w:num>
  <w:num w:numId="27" w16cid:durableId="1372801541">
    <w:abstractNumId w:val="37"/>
  </w:num>
  <w:num w:numId="28" w16cid:durableId="1788741157">
    <w:abstractNumId w:val="30"/>
  </w:num>
  <w:num w:numId="29" w16cid:durableId="2010869711">
    <w:abstractNumId w:val="26"/>
  </w:num>
  <w:num w:numId="30" w16cid:durableId="1437873383">
    <w:abstractNumId w:val="33"/>
  </w:num>
  <w:num w:numId="31" w16cid:durableId="2030637668">
    <w:abstractNumId w:val="35"/>
  </w:num>
  <w:num w:numId="32" w16cid:durableId="689141328">
    <w:abstractNumId w:val="11"/>
  </w:num>
  <w:num w:numId="33" w16cid:durableId="42606214">
    <w:abstractNumId w:val="34"/>
  </w:num>
  <w:num w:numId="34" w16cid:durableId="2064524017">
    <w:abstractNumId w:val="24"/>
  </w:num>
  <w:num w:numId="35" w16cid:durableId="1285233572">
    <w:abstractNumId w:val="39"/>
  </w:num>
  <w:num w:numId="36" w16cid:durableId="1560356660">
    <w:abstractNumId w:val="32"/>
  </w:num>
  <w:num w:numId="37" w16cid:durableId="90904064">
    <w:abstractNumId w:val="38"/>
  </w:num>
  <w:num w:numId="38" w16cid:durableId="1405567028">
    <w:abstractNumId w:val="29"/>
  </w:num>
  <w:num w:numId="39" w16cid:durableId="381245960">
    <w:abstractNumId w:val="16"/>
  </w:num>
  <w:num w:numId="40" w16cid:durableId="339048241">
    <w:abstractNumId w:val="12"/>
  </w:num>
  <w:num w:numId="41" w16cid:durableId="1076710827">
    <w:abstractNumId w:val="19"/>
  </w:num>
  <w:num w:numId="42" w16cid:durableId="888760228">
    <w:abstractNumId w:val="36"/>
  </w:num>
  <w:num w:numId="43" w16cid:durableId="992234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trackedChanges"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0B2"/>
    <w:rsid w:val="00001774"/>
    <w:rsid w:val="000106CD"/>
    <w:rsid w:val="00011527"/>
    <w:rsid w:val="0001195A"/>
    <w:rsid w:val="00013A2D"/>
    <w:rsid w:val="00014BCF"/>
    <w:rsid w:val="000157E8"/>
    <w:rsid w:val="000229A5"/>
    <w:rsid w:val="0002468B"/>
    <w:rsid w:val="000248EE"/>
    <w:rsid w:val="00027EBA"/>
    <w:rsid w:val="00031090"/>
    <w:rsid w:val="000327C4"/>
    <w:rsid w:val="00033C6E"/>
    <w:rsid w:val="00033D23"/>
    <w:rsid w:val="00033F9C"/>
    <w:rsid w:val="00035321"/>
    <w:rsid w:val="0003537E"/>
    <w:rsid w:val="0003582F"/>
    <w:rsid w:val="00035A78"/>
    <w:rsid w:val="000378B6"/>
    <w:rsid w:val="00037A42"/>
    <w:rsid w:val="00037E7E"/>
    <w:rsid w:val="00040C5D"/>
    <w:rsid w:val="000415D5"/>
    <w:rsid w:val="00042176"/>
    <w:rsid w:val="00042CED"/>
    <w:rsid w:val="000442F7"/>
    <w:rsid w:val="00045010"/>
    <w:rsid w:val="0004732B"/>
    <w:rsid w:val="00051C27"/>
    <w:rsid w:val="00051ECC"/>
    <w:rsid w:val="0005236B"/>
    <w:rsid w:val="0005377E"/>
    <w:rsid w:val="000545A1"/>
    <w:rsid w:val="00054B4E"/>
    <w:rsid w:val="00056812"/>
    <w:rsid w:val="00056FF0"/>
    <w:rsid w:val="000572D6"/>
    <w:rsid w:val="00057BB2"/>
    <w:rsid w:val="00061464"/>
    <w:rsid w:val="000617FD"/>
    <w:rsid w:val="0006251F"/>
    <w:rsid w:val="00064004"/>
    <w:rsid w:val="000652CA"/>
    <w:rsid w:val="00065813"/>
    <w:rsid w:val="00065DB5"/>
    <w:rsid w:val="00066657"/>
    <w:rsid w:val="00066743"/>
    <w:rsid w:val="000678AA"/>
    <w:rsid w:val="00067D6D"/>
    <w:rsid w:val="0007221E"/>
    <w:rsid w:val="00072EC6"/>
    <w:rsid w:val="0007401E"/>
    <w:rsid w:val="00076E1D"/>
    <w:rsid w:val="000806AF"/>
    <w:rsid w:val="00080C06"/>
    <w:rsid w:val="000815B9"/>
    <w:rsid w:val="00083915"/>
    <w:rsid w:val="00083FFC"/>
    <w:rsid w:val="0008694B"/>
    <w:rsid w:val="000873E6"/>
    <w:rsid w:val="00087D97"/>
    <w:rsid w:val="000906DE"/>
    <w:rsid w:val="00091E1E"/>
    <w:rsid w:val="00093133"/>
    <w:rsid w:val="00093862"/>
    <w:rsid w:val="00094517"/>
    <w:rsid w:val="000948D5"/>
    <w:rsid w:val="000955EC"/>
    <w:rsid w:val="00096878"/>
    <w:rsid w:val="00096B0C"/>
    <w:rsid w:val="000A0DD5"/>
    <w:rsid w:val="000A1070"/>
    <w:rsid w:val="000A1CA9"/>
    <w:rsid w:val="000B2225"/>
    <w:rsid w:val="000B4366"/>
    <w:rsid w:val="000C1221"/>
    <w:rsid w:val="000C232C"/>
    <w:rsid w:val="000C357F"/>
    <w:rsid w:val="000C40B5"/>
    <w:rsid w:val="000C6495"/>
    <w:rsid w:val="000C6550"/>
    <w:rsid w:val="000C6AF5"/>
    <w:rsid w:val="000C79ED"/>
    <w:rsid w:val="000C7CAC"/>
    <w:rsid w:val="000C7DB2"/>
    <w:rsid w:val="000D1397"/>
    <w:rsid w:val="000D1F63"/>
    <w:rsid w:val="000D3A72"/>
    <w:rsid w:val="000D3C82"/>
    <w:rsid w:val="000D3CDD"/>
    <w:rsid w:val="000D48B0"/>
    <w:rsid w:val="000D6152"/>
    <w:rsid w:val="000D6648"/>
    <w:rsid w:val="000D685D"/>
    <w:rsid w:val="000D6FDD"/>
    <w:rsid w:val="000D74B9"/>
    <w:rsid w:val="000E1A1B"/>
    <w:rsid w:val="000E5A13"/>
    <w:rsid w:val="000E6626"/>
    <w:rsid w:val="000E77CE"/>
    <w:rsid w:val="000E79C4"/>
    <w:rsid w:val="000F0EE2"/>
    <w:rsid w:val="000F119B"/>
    <w:rsid w:val="000F3E40"/>
    <w:rsid w:val="000F507B"/>
    <w:rsid w:val="000F6B44"/>
    <w:rsid w:val="0010519D"/>
    <w:rsid w:val="0010775B"/>
    <w:rsid w:val="0010783E"/>
    <w:rsid w:val="0011135E"/>
    <w:rsid w:val="001115C2"/>
    <w:rsid w:val="00111CA5"/>
    <w:rsid w:val="00112E29"/>
    <w:rsid w:val="00113AD6"/>
    <w:rsid w:val="00113E9C"/>
    <w:rsid w:val="00117351"/>
    <w:rsid w:val="001175EF"/>
    <w:rsid w:val="001229D7"/>
    <w:rsid w:val="00123E57"/>
    <w:rsid w:val="001276AA"/>
    <w:rsid w:val="00130236"/>
    <w:rsid w:val="001308D3"/>
    <w:rsid w:val="0013356F"/>
    <w:rsid w:val="0013388D"/>
    <w:rsid w:val="00137878"/>
    <w:rsid w:val="0014292E"/>
    <w:rsid w:val="001429B2"/>
    <w:rsid w:val="00143A6A"/>
    <w:rsid w:val="00145C64"/>
    <w:rsid w:val="001466AA"/>
    <w:rsid w:val="00146FC8"/>
    <w:rsid w:val="001470F6"/>
    <w:rsid w:val="00150362"/>
    <w:rsid w:val="001512C0"/>
    <w:rsid w:val="0015133A"/>
    <w:rsid w:val="00157175"/>
    <w:rsid w:val="00160E51"/>
    <w:rsid w:val="00160F07"/>
    <w:rsid w:val="00164282"/>
    <w:rsid w:val="00164ABB"/>
    <w:rsid w:val="00164E8B"/>
    <w:rsid w:val="001651F7"/>
    <w:rsid w:val="00166FC1"/>
    <w:rsid w:val="00171D44"/>
    <w:rsid w:val="00172DE1"/>
    <w:rsid w:val="00172F37"/>
    <w:rsid w:val="0017364B"/>
    <w:rsid w:val="00174049"/>
    <w:rsid w:val="00175464"/>
    <w:rsid w:val="00176871"/>
    <w:rsid w:val="00176C28"/>
    <w:rsid w:val="00180C42"/>
    <w:rsid w:val="001813DE"/>
    <w:rsid w:val="001846FD"/>
    <w:rsid w:val="00185E08"/>
    <w:rsid w:val="001862C2"/>
    <w:rsid w:val="00187B84"/>
    <w:rsid w:val="00187BE5"/>
    <w:rsid w:val="0019138C"/>
    <w:rsid w:val="0019244E"/>
    <w:rsid w:val="00193A6C"/>
    <w:rsid w:val="00194643"/>
    <w:rsid w:val="001958C6"/>
    <w:rsid w:val="001969CD"/>
    <w:rsid w:val="00197F43"/>
    <w:rsid w:val="001A06F5"/>
    <w:rsid w:val="001A251B"/>
    <w:rsid w:val="001A2DCB"/>
    <w:rsid w:val="001A32B2"/>
    <w:rsid w:val="001A3D42"/>
    <w:rsid w:val="001A4F15"/>
    <w:rsid w:val="001A5C62"/>
    <w:rsid w:val="001A7C52"/>
    <w:rsid w:val="001B043A"/>
    <w:rsid w:val="001B0E24"/>
    <w:rsid w:val="001B2EC4"/>
    <w:rsid w:val="001B3DCF"/>
    <w:rsid w:val="001B3FCF"/>
    <w:rsid w:val="001B555A"/>
    <w:rsid w:val="001B58A0"/>
    <w:rsid w:val="001B66AA"/>
    <w:rsid w:val="001B7CB1"/>
    <w:rsid w:val="001C0A7A"/>
    <w:rsid w:val="001C0AB9"/>
    <w:rsid w:val="001C191F"/>
    <w:rsid w:val="001C2A4D"/>
    <w:rsid w:val="001C48E1"/>
    <w:rsid w:val="001C583E"/>
    <w:rsid w:val="001C6679"/>
    <w:rsid w:val="001C71CE"/>
    <w:rsid w:val="001C7788"/>
    <w:rsid w:val="001C7F53"/>
    <w:rsid w:val="001D1C65"/>
    <w:rsid w:val="001D2DB3"/>
    <w:rsid w:val="001D3D9B"/>
    <w:rsid w:val="001D5E01"/>
    <w:rsid w:val="001D7EC9"/>
    <w:rsid w:val="001E053D"/>
    <w:rsid w:val="001E2207"/>
    <w:rsid w:val="001E2549"/>
    <w:rsid w:val="001E2A76"/>
    <w:rsid w:val="001E342D"/>
    <w:rsid w:val="001E3B44"/>
    <w:rsid w:val="001E4AFC"/>
    <w:rsid w:val="001E56DB"/>
    <w:rsid w:val="001E5AE2"/>
    <w:rsid w:val="001E5F79"/>
    <w:rsid w:val="001F08DE"/>
    <w:rsid w:val="001F41A3"/>
    <w:rsid w:val="001F460B"/>
    <w:rsid w:val="001F5216"/>
    <w:rsid w:val="001F5CDC"/>
    <w:rsid w:val="001F6315"/>
    <w:rsid w:val="002020E3"/>
    <w:rsid w:val="0020390A"/>
    <w:rsid w:val="0020395A"/>
    <w:rsid w:val="00206C22"/>
    <w:rsid w:val="002103BB"/>
    <w:rsid w:val="002118E5"/>
    <w:rsid w:val="00212A24"/>
    <w:rsid w:val="0021504B"/>
    <w:rsid w:val="002153CD"/>
    <w:rsid w:val="0021601E"/>
    <w:rsid w:val="0021673C"/>
    <w:rsid w:val="00216E5D"/>
    <w:rsid w:val="0021782A"/>
    <w:rsid w:val="00223676"/>
    <w:rsid w:val="002260C0"/>
    <w:rsid w:val="00230D2C"/>
    <w:rsid w:val="00233192"/>
    <w:rsid w:val="00235142"/>
    <w:rsid w:val="00235567"/>
    <w:rsid w:val="00235B98"/>
    <w:rsid w:val="002367AE"/>
    <w:rsid w:val="00237C57"/>
    <w:rsid w:val="002418E6"/>
    <w:rsid w:val="00241DCD"/>
    <w:rsid w:val="0024291C"/>
    <w:rsid w:val="00244483"/>
    <w:rsid w:val="00244959"/>
    <w:rsid w:val="00244D6E"/>
    <w:rsid w:val="0024717D"/>
    <w:rsid w:val="002471FA"/>
    <w:rsid w:val="002509F8"/>
    <w:rsid w:val="002537CF"/>
    <w:rsid w:val="00253FFC"/>
    <w:rsid w:val="00254445"/>
    <w:rsid w:val="00255F01"/>
    <w:rsid w:val="002603F6"/>
    <w:rsid w:val="00260B02"/>
    <w:rsid w:val="002622E9"/>
    <w:rsid w:val="00262475"/>
    <w:rsid w:val="0026582A"/>
    <w:rsid w:val="002662F6"/>
    <w:rsid w:val="00270902"/>
    <w:rsid w:val="00270AE7"/>
    <w:rsid w:val="00273C75"/>
    <w:rsid w:val="00275A76"/>
    <w:rsid w:val="00275D44"/>
    <w:rsid w:val="00277A9C"/>
    <w:rsid w:val="00277DC9"/>
    <w:rsid w:val="00281C5C"/>
    <w:rsid w:val="00283331"/>
    <w:rsid w:val="0028393B"/>
    <w:rsid w:val="00283F01"/>
    <w:rsid w:val="00285C15"/>
    <w:rsid w:val="00285C3A"/>
    <w:rsid w:val="002908FE"/>
    <w:rsid w:val="00290E3D"/>
    <w:rsid w:val="00291B11"/>
    <w:rsid w:val="0029262D"/>
    <w:rsid w:val="00293535"/>
    <w:rsid w:val="00293AD7"/>
    <w:rsid w:val="002970A7"/>
    <w:rsid w:val="002A17D6"/>
    <w:rsid w:val="002A31C2"/>
    <w:rsid w:val="002A697A"/>
    <w:rsid w:val="002A7EA6"/>
    <w:rsid w:val="002B1E23"/>
    <w:rsid w:val="002B383D"/>
    <w:rsid w:val="002B38E9"/>
    <w:rsid w:val="002B4762"/>
    <w:rsid w:val="002B4AF3"/>
    <w:rsid w:val="002B4F88"/>
    <w:rsid w:val="002B5510"/>
    <w:rsid w:val="002C1699"/>
    <w:rsid w:val="002C19F9"/>
    <w:rsid w:val="002C1ED0"/>
    <w:rsid w:val="002C427B"/>
    <w:rsid w:val="002C42E2"/>
    <w:rsid w:val="002C5F42"/>
    <w:rsid w:val="002C702A"/>
    <w:rsid w:val="002D18F3"/>
    <w:rsid w:val="002D1D56"/>
    <w:rsid w:val="002D30B2"/>
    <w:rsid w:val="002E503B"/>
    <w:rsid w:val="002E5806"/>
    <w:rsid w:val="002E68D9"/>
    <w:rsid w:val="002F1950"/>
    <w:rsid w:val="002F1986"/>
    <w:rsid w:val="002F46C7"/>
    <w:rsid w:val="0030106A"/>
    <w:rsid w:val="00303251"/>
    <w:rsid w:val="00304202"/>
    <w:rsid w:val="00305E97"/>
    <w:rsid w:val="0030763B"/>
    <w:rsid w:val="00307C19"/>
    <w:rsid w:val="0031030C"/>
    <w:rsid w:val="00311A0F"/>
    <w:rsid w:val="00311E13"/>
    <w:rsid w:val="003126B4"/>
    <w:rsid w:val="00313BF3"/>
    <w:rsid w:val="003148D2"/>
    <w:rsid w:val="0031629F"/>
    <w:rsid w:val="003175C3"/>
    <w:rsid w:val="00317AFC"/>
    <w:rsid w:val="00317C63"/>
    <w:rsid w:val="00317FC9"/>
    <w:rsid w:val="00320D43"/>
    <w:rsid w:val="0032345A"/>
    <w:rsid w:val="003253D7"/>
    <w:rsid w:val="003267BD"/>
    <w:rsid w:val="00332B57"/>
    <w:rsid w:val="00332DC3"/>
    <w:rsid w:val="003331AC"/>
    <w:rsid w:val="00333897"/>
    <w:rsid w:val="003340CF"/>
    <w:rsid w:val="0033474E"/>
    <w:rsid w:val="00337CCB"/>
    <w:rsid w:val="00337F1E"/>
    <w:rsid w:val="00342CE6"/>
    <w:rsid w:val="00343CDC"/>
    <w:rsid w:val="00343DCC"/>
    <w:rsid w:val="00344588"/>
    <w:rsid w:val="003456B2"/>
    <w:rsid w:val="00346AEF"/>
    <w:rsid w:val="00347A98"/>
    <w:rsid w:val="00347EB7"/>
    <w:rsid w:val="0035005E"/>
    <w:rsid w:val="00350534"/>
    <w:rsid w:val="00350DA9"/>
    <w:rsid w:val="0035181D"/>
    <w:rsid w:val="00353440"/>
    <w:rsid w:val="003539D4"/>
    <w:rsid w:val="00353E00"/>
    <w:rsid w:val="00355744"/>
    <w:rsid w:val="00357ED3"/>
    <w:rsid w:val="00360F35"/>
    <w:rsid w:val="003627A6"/>
    <w:rsid w:val="00365402"/>
    <w:rsid w:val="00365CD3"/>
    <w:rsid w:val="0036690D"/>
    <w:rsid w:val="003673E3"/>
    <w:rsid w:val="00370CE8"/>
    <w:rsid w:val="00371059"/>
    <w:rsid w:val="00371587"/>
    <w:rsid w:val="00371BA6"/>
    <w:rsid w:val="00372601"/>
    <w:rsid w:val="0037362A"/>
    <w:rsid w:val="00373924"/>
    <w:rsid w:val="00373F20"/>
    <w:rsid w:val="00376E73"/>
    <w:rsid w:val="003770BE"/>
    <w:rsid w:val="00380BFE"/>
    <w:rsid w:val="00381718"/>
    <w:rsid w:val="00382C46"/>
    <w:rsid w:val="00383E08"/>
    <w:rsid w:val="00384D3E"/>
    <w:rsid w:val="0038710D"/>
    <w:rsid w:val="00387257"/>
    <w:rsid w:val="00390F9A"/>
    <w:rsid w:val="00396D4B"/>
    <w:rsid w:val="003A09E4"/>
    <w:rsid w:val="003A0D22"/>
    <w:rsid w:val="003A1697"/>
    <w:rsid w:val="003A213C"/>
    <w:rsid w:val="003A2C1B"/>
    <w:rsid w:val="003A470A"/>
    <w:rsid w:val="003A5739"/>
    <w:rsid w:val="003A5E30"/>
    <w:rsid w:val="003A70DF"/>
    <w:rsid w:val="003A7308"/>
    <w:rsid w:val="003A7322"/>
    <w:rsid w:val="003A760B"/>
    <w:rsid w:val="003B2366"/>
    <w:rsid w:val="003B276D"/>
    <w:rsid w:val="003B5738"/>
    <w:rsid w:val="003B64BB"/>
    <w:rsid w:val="003B70F0"/>
    <w:rsid w:val="003C13CA"/>
    <w:rsid w:val="003C1C30"/>
    <w:rsid w:val="003C1EA1"/>
    <w:rsid w:val="003C4CA1"/>
    <w:rsid w:val="003D2293"/>
    <w:rsid w:val="003D4851"/>
    <w:rsid w:val="003D5ADE"/>
    <w:rsid w:val="003D5C96"/>
    <w:rsid w:val="003D6261"/>
    <w:rsid w:val="003D7286"/>
    <w:rsid w:val="003D7ACA"/>
    <w:rsid w:val="003D7E56"/>
    <w:rsid w:val="003E01D6"/>
    <w:rsid w:val="003E1329"/>
    <w:rsid w:val="003E18B3"/>
    <w:rsid w:val="003E6836"/>
    <w:rsid w:val="003E6C39"/>
    <w:rsid w:val="003E7428"/>
    <w:rsid w:val="003F0151"/>
    <w:rsid w:val="003F0645"/>
    <w:rsid w:val="003F0689"/>
    <w:rsid w:val="003F14B0"/>
    <w:rsid w:val="003F1774"/>
    <w:rsid w:val="003F2C71"/>
    <w:rsid w:val="003F344B"/>
    <w:rsid w:val="003F4C43"/>
    <w:rsid w:val="003F6013"/>
    <w:rsid w:val="003F6B9F"/>
    <w:rsid w:val="004007CA"/>
    <w:rsid w:val="00400857"/>
    <w:rsid w:val="00400AD3"/>
    <w:rsid w:val="00400BA0"/>
    <w:rsid w:val="00400D4D"/>
    <w:rsid w:val="00403735"/>
    <w:rsid w:val="00403C33"/>
    <w:rsid w:val="00403F54"/>
    <w:rsid w:val="00404400"/>
    <w:rsid w:val="00404940"/>
    <w:rsid w:val="00405A1D"/>
    <w:rsid w:val="00405C2A"/>
    <w:rsid w:val="00406695"/>
    <w:rsid w:val="00406DEF"/>
    <w:rsid w:val="00406EEB"/>
    <w:rsid w:val="00407A97"/>
    <w:rsid w:val="00411586"/>
    <w:rsid w:val="004133AF"/>
    <w:rsid w:val="00415259"/>
    <w:rsid w:val="00415CA5"/>
    <w:rsid w:val="004161F7"/>
    <w:rsid w:val="00417492"/>
    <w:rsid w:val="004207DC"/>
    <w:rsid w:val="00420BF6"/>
    <w:rsid w:val="00420F60"/>
    <w:rsid w:val="00421E85"/>
    <w:rsid w:val="00422F51"/>
    <w:rsid w:val="004233CC"/>
    <w:rsid w:val="00424CC6"/>
    <w:rsid w:val="00424EDE"/>
    <w:rsid w:val="004257D7"/>
    <w:rsid w:val="00426275"/>
    <w:rsid w:val="00426F56"/>
    <w:rsid w:val="00427A67"/>
    <w:rsid w:val="00427B82"/>
    <w:rsid w:val="004300B8"/>
    <w:rsid w:val="00430829"/>
    <w:rsid w:val="0043162F"/>
    <w:rsid w:val="00432693"/>
    <w:rsid w:val="00432C19"/>
    <w:rsid w:val="00433C6D"/>
    <w:rsid w:val="00434AE4"/>
    <w:rsid w:val="00435525"/>
    <w:rsid w:val="0043661F"/>
    <w:rsid w:val="00442E52"/>
    <w:rsid w:val="004450D0"/>
    <w:rsid w:val="004458B4"/>
    <w:rsid w:val="00445CB7"/>
    <w:rsid w:val="00445D02"/>
    <w:rsid w:val="00452F1A"/>
    <w:rsid w:val="004535F3"/>
    <w:rsid w:val="00454914"/>
    <w:rsid w:val="00455455"/>
    <w:rsid w:val="004559EF"/>
    <w:rsid w:val="00456383"/>
    <w:rsid w:val="0046103D"/>
    <w:rsid w:val="00461548"/>
    <w:rsid w:val="0046197F"/>
    <w:rsid w:val="00465287"/>
    <w:rsid w:val="00466F3C"/>
    <w:rsid w:val="00470983"/>
    <w:rsid w:val="0047111F"/>
    <w:rsid w:val="00471682"/>
    <w:rsid w:val="00472468"/>
    <w:rsid w:val="00472E74"/>
    <w:rsid w:val="00480154"/>
    <w:rsid w:val="0048027D"/>
    <w:rsid w:val="0048085B"/>
    <w:rsid w:val="00482966"/>
    <w:rsid w:val="004835AC"/>
    <w:rsid w:val="00484C4A"/>
    <w:rsid w:val="00484DEE"/>
    <w:rsid w:val="00487068"/>
    <w:rsid w:val="0049063D"/>
    <w:rsid w:val="00493575"/>
    <w:rsid w:val="0049399D"/>
    <w:rsid w:val="00493BF6"/>
    <w:rsid w:val="00493E62"/>
    <w:rsid w:val="00494F07"/>
    <w:rsid w:val="004A0D39"/>
    <w:rsid w:val="004A197E"/>
    <w:rsid w:val="004A3625"/>
    <w:rsid w:val="004A4235"/>
    <w:rsid w:val="004A43C2"/>
    <w:rsid w:val="004A4568"/>
    <w:rsid w:val="004A581F"/>
    <w:rsid w:val="004A5F95"/>
    <w:rsid w:val="004A7A0D"/>
    <w:rsid w:val="004B0464"/>
    <w:rsid w:val="004B0B86"/>
    <w:rsid w:val="004B44C4"/>
    <w:rsid w:val="004B4D24"/>
    <w:rsid w:val="004B5E4B"/>
    <w:rsid w:val="004B6AF5"/>
    <w:rsid w:val="004B6DF5"/>
    <w:rsid w:val="004B7DA4"/>
    <w:rsid w:val="004C001B"/>
    <w:rsid w:val="004C0E86"/>
    <w:rsid w:val="004C10DD"/>
    <w:rsid w:val="004C17ED"/>
    <w:rsid w:val="004C1ED0"/>
    <w:rsid w:val="004C2057"/>
    <w:rsid w:val="004C61DD"/>
    <w:rsid w:val="004C6DF4"/>
    <w:rsid w:val="004D0162"/>
    <w:rsid w:val="004D19D3"/>
    <w:rsid w:val="004D20B7"/>
    <w:rsid w:val="004D3B59"/>
    <w:rsid w:val="004D3F8B"/>
    <w:rsid w:val="004D442B"/>
    <w:rsid w:val="004D5F33"/>
    <w:rsid w:val="004D70CF"/>
    <w:rsid w:val="004D7D61"/>
    <w:rsid w:val="004E0D64"/>
    <w:rsid w:val="004E35BA"/>
    <w:rsid w:val="004E3C2B"/>
    <w:rsid w:val="004E58ED"/>
    <w:rsid w:val="004E60E9"/>
    <w:rsid w:val="004E6886"/>
    <w:rsid w:val="004E7FE0"/>
    <w:rsid w:val="004F12C3"/>
    <w:rsid w:val="004F26FD"/>
    <w:rsid w:val="004F2D84"/>
    <w:rsid w:val="00500665"/>
    <w:rsid w:val="00501A6D"/>
    <w:rsid w:val="00502145"/>
    <w:rsid w:val="00502938"/>
    <w:rsid w:val="00503055"/>
    <w:rsid w:val="005045E0"/>
    <w:rsid w:val="00507CF0"/>
    <w:rsid w:val="005127F0"/>
    <w:rsid w:val="00513635"/>
    <w:rsid w:val="00513662"/>
    <w:rsid w:val="0051463A"/>
    <w:rsid w:val="00516089"/>
    <w:rsid w:val="00517F75"/>
    <w:rsid w:val="00521016"/>
    <w:rsid w:val="005230BD"/>
    <w:rsid w:val="005231C3"/>
    <w:rsid w:val="00523B01"/>
    <w:rsid w:val="0052457E"/>
    <w:rsid w:val="0052492F"/>
    <w:rsid w:val="00525415"/>
    <w:rsid w:val="00525EAD"/>
    <w:rsid w:val="0052678B"/>
    <w:rsid w:val="00531F3B"/>
    <w:rsid w:val="00534FCE"/>
    <w:rsid w:val="00535F14"/>
    <w:rsid w:val="00541771"/>
    <w:rsid w:val="0054199F"/>
    <w:rsid w:val="005430A4"/>
    <w:rsid w:val="00543679"/>
    <w:rsid w:val="00543B8D"/>
    <w:rsid w:val="00544376"/>
    <w:rsid w:val="00545F6E"/>
    <w:rsid w:val="0054648C"/>
    <w:rsid w:val="00546D7C"/>
    <w:rsid w:val="00547900"/>
    <w:rsid w:val="00552043"/>
    <w:rsid w:val="00553411"/>
    <w:rsid w:val="00555592"/>
    <w:rsid w:val="005556C3"/>
    <w:rsid w:val="00555E5D"/>
    <w:rsid w:val="00557D38"/>
    <w:rsid w:val="00561BE2"/>
    <w:rsid w:val="005654BC"/>
    <w:rsid w:val="00565531"/>
    <w:rsid w:val="00572BAC"/>
    <w:rsid w:val="00572BFB"/>
    <w:rsid w:val="005800E5"/>
    <w:rsid w:val="00581736"/>
    <w:rsid w:val="00582A6C"/>
    <w:rsid w:val="0058312F"/>
    <w:rsid w:val="005831B6"/>
    <w:rsid w:val="00584089"/>
    <w:rsid w:val="005854FD"/>
    <w:rsid w:val="00585D42"/>
    <w:rsid w:val="00586574"/>
    <w:rsid w:val="00590117"/>
    <w:rsid w:val="00591366"/>
    <w:rsid w:val="00591DDA"/>
    <w:rsid w:val="00597415"/>
    <w:rsid w:val="005A01B1"/>
    <w:rsid w:val="005A266D"/>
    <w:rsid w:val="005A2CB0"/>
    <w:rsid w:val="005A4BA3"/>
    <w:rsid w:val="005A5243"/>
    <w:rsid w:val="005A57C0"/>
    <w:rsid w:val="005A655E"/>
    <w:rsid w:val="005B084F"/>
    <w:rsid w:val="005B2609"/>
    <w:rsid w:val="005B73E1"/>
    <w:rsid w:val="005C0A94"/>
    <w:rsid w:val="005C242B"/>
    <w:rsid w:val="005C2A2C"/>
    <w:rsid w:val="005C563C"/>
    <w:rsid w:val="005C5EB2"/>
    <w:rsid w:val="005C76A2"/>
    <w:rsid w:val="005D09A5"/>
    <w:rsid w:val="005D2849"/>
    <w:rsid w:val="005D4D95"/>
    <w:rsid w:val="005D537E"/>
    <w:rsid w:val="005E3591"/>
    <w:rsid w:val="005E3D5A"/>
    <w:rsid w:val="005E4522"/>
    <w:rsid w:val="005E797B"/>
    <w:rsid w:val="005F0CB5"/>
    <w:rsid w:val="005F2375"/>
    <w:rsid w:val="005F4540"/>
    <w:rsid w:val="005F4BE4"/>
    <w:rsid w:val="005F4FF5"/>
    <w:rsid w:val="005F6DB3"/>
    <w:rsid w:val="005F77F1"/>
    <w:rsid w:val="00600501"/>
    <w:rsid w:val="00602E93"/>
    <w:rsid w:val="00602FB3"/>
    <w:rsid w:val="006039F2"/>
    <w:rsid w:val="00604BF9"/>
    <w:rsid w:val="00605F76"/>
    <w:rsid w:val="0061010A"/>
    <w:rsid w:val="00610AD9"/>
    <w:rsid w:val="0061243F"/>
    <w:rsid w:val="006128C1"/>
    <w:rsid w:val="0061298F"/>
    <w:rsid w:val="00613DD8"/>
    <w:rsid w:val="00614BFB"/>
    <w:rsid w:val="0061CF0F"/>
    <w:rsid w:val="00620547"/>
    <w:rsid w:val="0062080A"/>
    <w:rsid w:val="00622DA5"/>
    <w:rsid w:val="006244E5"/>
    <w:rsid w:val="00624FC8"/>
    <w:rsid w:val="00625BF3"/>
    <w:rsid w:val="00627CBC"/>
    <w:rsid w:val="006321DB"/>
    <w:rsid w:val="00632E89"/>
    <w:rsid w:val="00634723"/>
    <w:rsid w:val="00635875"/>
    <w:rsid w:val="00637D9E"/>
    <w:rsid w:val="006423DF"/>
    <w:rsid w:val="0064307D"/>
    <w:rsid w:val="00644C4E"/>
    <w:rsid w:val="006458B0"/>
    <w:rsid w:val="00650039"/>
    <w:rsid w:val="006513B2"/>
    <w:rsid w:val="0065202F"/>
    <w:rsid w:val="006530B0"/>
    <w:rsid w:val="0065391E"/>
    <w:rsid w:val="00653AEC"/>
    <w:rsid w:val="006558C3"/>
    <w:rsid w:val="00655A1C"/>
    <w:rsid w:val="0065750A"/>
    <w:rsid w:val="00657BD2"/>
    <w:rsid w:val="00662ED8"/>
    <w:rsid w:val="00664E34"/>
    <w:rsid w:val="00666511"/>
    <w:rsid w:val="00666B32"/>
    <w:rsid w:val="00670203"/>
    <w:rsid w:val="00672CDE"/>
    <w:rsid w:val="006739BF"/>
    <w:rsid w:val="00674932"/>
    <w:rsid w:val="006777B8"/>
    <w:rsid w:val="00680B5A"/>
    <w:rsid w:val="00680BA0"/>
    <w:rsid w:val="0068316D"/>
    <w:rsid w:val="0068486A"/>
    <w:rsid w:val="00684BF1"/>
    <w:rsid w:val="00684C26"/>
    <w:rsid w:val="00685226"/>
    <w:rsid w:val="00685B3F"/>
    <w:rsid w:val="00686A21"/>
    <w:rsid w:val="0068708B"/>
    <w:rsid w:val="00687F3E"/>
    <w:rsid w:val="00691414"/>
    <w:rsid w:val="006918B9"/>
    <w:rsid w:val="006979BD"/>
    <w:rsid w:val="006A00DD"/>
    <w:rsid w:val="006A151C"/>
    <w:rsid w:val="006A1906"/>
    <w:rsid w:val="006A37D7"/>
    <w:rsid w:val="006A4500"/>
    <w:rsid w:val="006A5052"/>
    <w:rsid w:val="006A5AF5"/>
    <w:rsid w:val="006A6438"/>
    <w:rsid w:val="006A7728"/>
    <w:rsid w:val="006A7A4E"/>
    <w:rsid w:val="006B05D4"/>
    <w:rsid w:val="006B08CE"/>
    <w:rsid w:val="006B1095"/>
    <w:rsid w:val="006B17CC"/>
    <w:rsid w:val="006B18BA"/>
    <w:rsid w:val="006B1A6A"/>
    <w:rsid w:val="006C121A"/>
    <w:rsid w:val="006C2441"/>
    <w:rsid w:val="006C2C97"/>
    <w:rsid w:val="006C39CF"/>
    <w:rsid w:val="006C3A5A"/>
    <w:rsid w:val="006C546E"/>
    <w:rsid w:val="006C58B9"/>
    <w:rsid w:val="006C5FEE"/>
    <w:rsid w:val="006C673D"/>
    <w:rsid w:val="006D10A9"/>
    <w:rsid w:val="006D4826"/>
    <w:rsid w:val="006D4A92"/>
    <w:rsid w:val="006D58A5"/>
    <w:rsid w:val="006D5B02"/>
    <w:rsid w:val="006D682F"/>
    <w:rsid w:val="006D7A8F"/>
    <w:rsid w:val="006E20EA"/>
    <w:rsid w:val="006E27F7"/>
    <w:rsid w:val="006E2E98"/>
    <w:rsid w:val="006E3CA9"/>
    <w:rsid w:val="006E4141"/>
    <w:rsid w:val="006E5854"/>
    <w:rsid w:val="006E5A02"/>
    <w:rsid w:val="006E6C20"/>
    <w:rsid w:val="006E78E4"/>
    <w:rsid w:val="006E7CDF"/>
    <w:rsid w:val="006E7F3F"/>
    <w:rsid w:val="006F10CB"/>
    <w:rsid w:val="006F1871"/>
    <w:rsid w:val="006F1964"/>
    <w:rsid w:val="006F2A98"/>
    <w:rsid w:val="006F348B"/>
    <w:rsid w:val="00701723"/>
    <w:rsid w:val="0070294C"/>
    <w:rsid w:val="00702D68"/>
    <w:rsid w:val="00704393"/>
    <w:rsid w:val="00704886"/>
    <w:rsid w:val="00704C0F"/>
    <w:rsid w:val="007070D7"/>
    <w:rsid w:val="00714D6D"/>
    <w:rsid w:val="00715CE9"/>
    <w:rsid w:val="007200CE"/>
    <w:rsid w:val="00720F7E"/>
    <w:rsid w:val="007231AA"/>
    <w:rsid w:val="00723345"/>
    <w:rsid w:val="00724036"/>
    <w:rsid w:val="00724B10"/>
    <w:rsid w:val="00725D88"/>
    <w:rsid w:val="007264B0"/>
    <w:rsid w:val="00726D7E"/>
    <w:rsid w:val="007270A5"/>
    <w:rsid w:val="00727330"/>
    <w:rsid w:val="00727748"/>
    <w:rsid w:val="00730F97"/>
    <w:rsid w:val="00731588"/>
    <w:rsid w:val="00731EA5"/>
    <w:rsid w:val="0073204D"/>
    <w:rsid w:val="00733947"/>
    <w:rsid w:val="00733C45"/>
    <w:rsid w:val="00734AC2"/>
    <w:rsid w:val="00735E76"/>
    <w:rsid w:val="007369B9"/>
    <w:rsid w:val="00742507"/>
    <w:rsid w:val="0074358E"/>
    <w:rsid w:val="0074462E"/>
    <w:rsid w:val="00744703"/>
    <w:rsid w:val="007519FB"/>
    <w:rsid w:val="0075214F"/>
    <w:rsid w:val="0075276A"/>
    <w:rsid w:val="00752C1A"/>
    <w:rsid w:val="00756F4C"/>
    <w:rsid w:val="00757BE1"/>
    <w:rsid w:val="00760262"/>
    <w:rsid w:val="007604D0"/>
    <w:rsid w:val="0076205D"/>
    <w:rsid w:val="0076397A"/>
    <w:rsid w:val="00767C24"/>
    <w:rsid w:val="00767FAB"/>
    <w:rsid w:val="007709E0"/>
    <w:rsid w:val="00772FBE"/>
    <w:rsid w:val="007743C4"/>
    <w:rsid w:val="007764A4"/>
    <w:rsid w:val="007773D1"/>
    <w:rsid w:val="00777952"/>
    <w:rsid w:val="007813EC"/>
    <w:rsid w:val="00782526"/>
    <w:rsid w:val="00782D5A"/>
    <w:rsid w:val="00786CEA"/>
    <w:rsid w:val="00786E16"/>
    <w:rsid w:val="00790E79"/>
    <w:rsid w:val="00791104"/>
    <w:rsid w:val="007918DB"/>
    <w:rsid w:val="00792989"/>
    <w:rsid w:val="007937E3"/>
    <w:rsid w:val="007946BE"/>
    <w:rsid w:val="0079565F"/>
    <w:rsid w:val="0079651D"/>
    <w:rsid w:val="007A116F"/>
    <w:rsid w:val="007A2AE4"/>
    <w:rsid w:val="007A58B4"/>
    <w:rsid w:val="007A5CF8"/>
    <w:rsid w:val="007A67C4"/>
    <w:rsid w:val="007A6F3C"/>
    <w:rsid w:val="007B1E23"/>
    <w:rsid w:val="007B2652"/>
    <w:rsid w:val="007B31E7"/>
    <w:rsid w:val="007B6CAA"/>
    <w:rsid w:val="007B6EED"/>
    <w:rsid w:val="007C049F"/>
    <w:rsid w:val="007C1EE9"/>
    <w:rsid w:val="007C2005"/>
    <w:rsid w:val="007C310C"/>
    <w:rsid w:val="007C3898"/>
    <w:rsid w:val="007C45CB"/>
    <w:rsid w:val="007C4D0A"/>
    <w:rsid w:val="007C4F75"/>
    <w:rsid w:val="007C63F6"/>
    <w:rsid w:val="007C6957"/>
    <w:rsid w:val="007C7046"/>
    <w:rsid w:val="007C76B6"/>
    <w:rsid w:val="007C77C0"/>
    <w:rsid w:val="007D243B"/>
    <w:rsid w:val="007D36B9"/>
    <w:rsid w:val="007D381E"/>
    <w:rsid w:val="007D40F4"/>
    <w:rsid w:val="007D5B54"/>
    <w:rsid w:val="007D5C40"/>
    <w:rsid w:val="007D6638"/>
    <w:rsid w:val="007E4FD0"/>
    <w:rsid w:val="007E6339"/>
    <w:rsid w:val="007F3928"/>
    <w:rsid w:val="00800D66"/>
    <w:rsid w:val="008018F8"/>
    <w:rsid w:val="00801EDE"/>
    <w:rsid w:val="00802D33"/>
    <w:rsid w:val="008039EC"/>
    <w:rsid w:val="00805956"/>
    <w:rsid w:val="0080694F"/>
    <w:rsid w:val="008069A1"/>
    <w:rsid w:val="0081044A"/>
    <w:rsid w:val="00816D8B"/>
    <w:rsid w:val="00817934"/>
    <w:rsid w:val="00820E88"/>
    <w:rsid w:val="00821D3E"/>
    <w:rsid w:val="00823D68"/>
    <w:rsid w:val="00824EC5"/>
    <w:rsid w:val="008260DE"/>
    <w:rsid w:val="00826A84"/>
    <w:rsid w:val="00826D9D"/>
    <w:rsid w:val="00826E18"/>
    <w:rsid w:val="00826F12"/>
    <w:rsid w:val="00830001"/>
    <w:rsid w:val="00833013"/>
    <w:rsid w:val="008350C0"/>
    <w:rsid w:val="008352D1"/>
    <w:rsid w:val="008361D0"/>
    <w:rsid w:val="0083737B"/>
    <w:rsid w:val="00837815"/>
    <w:rsid w:val="0083796D"/>
    <w:rsid w:val="00840B7F"/>
    <w:rsid w:val="008444A8"/>
    <w:rsid w:val="0084629C"/>
    <w:rsid w:val="00847D73"/>
    <w:rsid w:val="00851DD0"/>
    <w:rsid w:val="008554CE"/>
    <w:rsid w:val="00857651"/>
    <w:rsid w:val="00860107"/>
    <w:rsid w:val="00860226"/>
    <w:rsid w:val="008606AA"/>
    <w:rsid w:val="0086210F"/>
    <w:rsid w:val="00862CB7"/>
    <w:rsid w:val="008671C6"/>
    <w:rsid w:val="008700FB"/>
    <w:rsid w:val="008715E2"/>
    <w:rsid w:val="0087168B"/>
    <w:rsid w:val="00871863"/>
    <w:rsid w:val="00872CB5"/>
    <w:rsid w:val="00876099"/>
    <w:rsid w:val="008809D0"/>
    <w:rsid w:val="00881D2D"/>
    <w:rsid w:val="0088427A"/>
    <w:rsid w:val="00885AB6"/>
    <w:rsid w:val="0088631B"/>
    <w:rsid w:val="00890472"/>
    <w:rsid w:val="00893C27"/>
    <w:rsid w:val="00895D34"/>
    <w:rsid w:val="00895DAD"/>
    <w:rsid w:val="008A2506"/>
    <w:rsid w:val="008A3467"/>
    <w:rsid w:val="008A41E6"/>
    <w:rsid w:val="008A4470"/>
    <w:rsid w:val="008A452A"/>
    <w:rsid w:val="008A4889"/>
    <w:rsid w:val="008A4F2A"/>
    <w:rsid w:val="008A607A"/>
    <w:rsid w:val="008A643C"/>
    <w:rsid w:val="008A6D96"/>
    <w:rsid w:val="008B0235"/>
    <w:rsid w:val="008B0D79"/>
    <w:rsid w:val="008B1B9F"/>
    <w:rsid w:val="008B20EC"/>
    <w:rsid w:val="008B26D7"/>
    <w:rsid w:val="008B434A"/>
    <w:rsid w:val="008B5C27"/>
    <w:rsid w:val="008B5EA2"/>
    <w:rsid w:val="008B6FEC"/>
    <w:rsid w:val="008C1DCF"/>
    <w:rsid w:val="008C2232"/>
    <w:rsid w:val="008C23C1"/>
    <w:rsid w:val="008C5857"/>
    <w:rsid w:val="008C5DA8"/>
    <w:rsid w:val="008C6278"/>
    <w:rsid w:val="008C63A1"/>
    <w:rsid w:val="008C781B"/>
    <w:rsid w:val="008D1120"/>
    <w:rsid w:val="008D1B7F"/>
    <w:rsid w:val="008D1DED"/>
    <w:rsid w:val="008D3000"/>
    <w:rsid w:val="008D512F"/>
    <w:rsid w:val="008D649B"/>
    <w:rsid w:val="008E15DF"/>
    <w:rsid w:val="008E19DC"/>
    <w:rsid w:val="008E38D0"/>
    <w:rsid w:val="008E4221"/>
    <w:rsid w:val="008E6A00"/>
    <w:rsid w:val="008E6CE0"/>
    <w:rsid w:val="008E75AF"/>
    <w:rsid w:val="008F2877"/>
    <w:rsid w:val="008F347D"/>
    <w:rsid w:val="008F4D96"/>
    <w:rsid w:val="008F548E"/>
    <w:rsid w:val="008F6BA7"/>
    <w:rsid w:val="008F73B9"/>
    <w:rsid w:val="0090047E"/>
    <w:rsid w:val="00901DC4"/>
    <w:rsid w:val="00906DED"/>
    <w:rsid w:val="0090780C"/>
    <w:rsid w:val="009105A4"/>
    <w:rsid w:val="00915E73"/>
    <w:rsid w:val="00917411"/>
    <w:rsid w:val="009174B3"/>
    <w:rsid w:val="00920789"/>
    <w:rsid w:val="009222CD"/>
    <w:rsid w:val="009244D2"/>
    <w:rsid w:val="0092568B"/>
    <w:rsid w:val="00926B90"/>
    <w:rsid w:val="00927DE6"/>
    <w:rsid w:val="00930AFB"/>
    <w:rsid w:val="00930D2E"/>
    <w:rsid w:val="0093226C"/>
    <w:rsid w:val="00937D99"/>
    <w:rsid w:val="00940411"/>
    <w:rsid w:val="00940C81"/>
    <w:rsid w:val="00941293"/>
    <w:rsid w:val="00942994"/>
    <w:rsid w:val="00942B74"/>
    <w:rsid w:val="00943266"/>
    <w:rsid w:val="00944BBC"/>
    <w:rsid w:val="009473C9"/>
    <w:rsid w:val="00951EEC"/>
    <w:rsid w:val="009523A7"/>
    <w:rsid w:val="009555AB"/>
    <w:rsid w:val="00957030"/>
    <w:rsid w:val="00957344"/>
    <w:rsid w:val="00957F12"/>
    <w:rsid w:val="009614E0"/>
    <w:rsid w:val="009633DE"/>
    <w:rsid w:val="0096388F"/>
    <w:rsid w:val="00965BFD"/>
    <w:rsid w:val="00967BFD"/>
    <w:rsid w:val="00971690"/>
    <w:rsid w:val="009757EB"/>
    <w:rsid w:val="00977203"/>
    <w:rsid w:val="00977234"/>
    <w:rsid w:val="009778CC"/>
    <w:rsid w:val="009801E4"/>
    <w:rsid w:val="00982124"/>
    <w:rsid w:val="009839BB"/>
    <w:rsid w:val="009841D6"/>
    <w:rsid w:val="00985259"/>
    <w:rsid w:val="00985CA3"/>
    <w:rsid w:val="00986AAD"/>
    <w:rsid w:val="00990C52"/>
    <w:rsid w:val="009928A1"/>
    <w:rsid w:val="009934C2"/>
    <w:rsid w:val="009939A7"/>
    <w:rsid w:val="00994226"/>
    <w:rsid w:val="009958C1"/>
    <w:rsid w:val="009A2199"/>
    <w:rsid w:val="009A2E7F"/>
    <w:rsid w:val="009A309E"/>
    <w:rsid w:val="009A3294"/>
    <w:rsid w:val="009A79A7"/>
    <w:rsid w:val="009B1C98"/>
    <w:rsid w:val="009B2C62"/>
    <w:rsid w:val="009B31F8"/>
    <w:rsid w:val="009B3E51"/>
    <w:rsid w:val="009B5433"/>
    <w:rsid w:val="009B55D0"/>
    <w:rsid w:val="009B576D"/>
    <w:rsid w:val="009B6993"/>
    <w:rsid w:val="009C094A"/>
    <w:rsid w:val="009C2B63"/>
    <w:rsid w:val="009C30B4"/>
    <w:rsid w:val="009C364B"/>
    <w:rsid w:val="009C6CA8"/>
    <w:rsid w:val="009C6F39"/>
    <w:rsid w:val="009D01EB"/>
    <w:rsid w:val="009D145A"/>
    <w:rsid w:val="009D1ECA"/>
    <w:rsid w:val="009D248D"/>
    <w:rsid w:val="009D4D75"/>
    <w:rsid w:val="009D68E4"/>
    <w:rsid w:val="009E0A51"/>
    <w:rsid w:val="009E20E8"/>
    <w:rsid w:val="009E2D68"/>
    <w:rsid w:val="009E42DB"/>
    <w:rsid w:val="009E4D62"/>
    <w:rsid w:val="009E5F4A"/>
    <w:rsid w:val="009E6B71"/>
    <w:rsid w:val="009F3D4E"/>
    <w:rsid w:val="009F4AB1"/>
    <w:rsid w:val="009F6FC5"/>
    <w:rsid w:val="00A002A6"/>
    <w:rsid w:val="00A00C7E"/>
    <w:rsid w:val="00A01243"/>
    <w:rsid w:val="00A04BD5"/>
    <w:rsid w:val="00A066A9"/>
    <w:rsid w:val="00A06A1E"/>
    <w:rsid w:val="00A1102E"/>
    <w:rsid w:val="00A114F2"/>
    <w:rsid w:val="00A114F8"/>
    <w:rsid w:val="00A1671B"/>
    <w:rsid w:val="00A16B62"/>
    <w:rsid w:val="00A20777"/>
    <w:rsid w:val="00A2123E"/>
    <w:rsid w:val="00A2247A"/>
    <w:rsid w:val="00A23C1D"/>
    <w:rsid w:val="00A24855"/>
    <w:rsid w:val="00A24D48"/>
    <w:rsid w:val="00A25820"/>
    <w:rsid w:val="00A27F3B"/>
    <w:rsid w:val="00A30C7D"/>
    <w:rsid w:val="00A315F0"/>
    <w:rsid w:val="00A33DCA"/>
    <w:rsid w:val="00A35A82"/>
    <w:rsid w:val="00A35E87"/>
    <w:rsid w:val="00A402BA"/>
    <w:rsid w:val="00A406B1"/>
    <w:rsid w:val="00A40ECC"/>
    <w:rsid w:val="00A41A02"/>
    <w:rsid w:val="00A41A11"/>
    <w:rsid w:val="00A42C6F"/>
    <w:rsid w:val="00A43942"/>
    <w:rsid w:val="00A43F31"/>
    <w:rsid w:val="00A44C0C"/>
    <w:rsid w:val="00A45BFE"/>
    <w:rsid w:val="00A46522"/>
    <w:rsid w:val="00A47410"/>
    <w:rsid w:val="00A474D7"/>
    <w:rsid w:val="00A50A9D"/>
    <w:rsid w:val="00A50F10"/>
    <w:rsid w:val="00A53D60"/>
    <w:rsid w:val="00A55A73"/>
    <w:rsid w:val="00A55B9C"/>
    <w:rsid w:val="00A609CE"/>
    <w:rsid w:val="00A6220F"/>
    <w:rsid w:val="00A65083"/>
    <w:rsid w:val="00A666FD"/>
    <w:rsid w:val="00A6700F"/>
    <w:rsid w:val="00A67E16"/>
    <w:rsid w:val="00A72DA6"/>
    <w:rsid w:val="00A7335F"/>
    <w:rsid w:val="00A74AB8"/>
    <w:rsid w:val="00A76A3F"/>
    <w:rsid w:val="00A770A0"/>
    <w:rsid w:val="00A77D70"/>
    <w:rsid w:val="00A8031A"/>
    <w:rsid w:val="00A824D8"/>
    <w:rsid w:val="00A94A2E"/>
    <w:rsid w:val="00A956DB"/>
    <w:rsid w:val="00A95D8B"/>
    <w:rsid w:val="00AA01AF"/>
    <w:rsid w:val="00AA1EEF"/>
    <w:rsid w:val="00AA2792"/>
    <w:rsid w:val="00AA33BD"/>
    <w:rsid w:val="00AA43FA"/>
    <w:rsid w:val="00AA4F5A"/>
    <w:rsid w:val="00AA574B"/>
    <w:rsid w:val="00AA5C36"/>
    <w:rsid w:val="00AA705A"/>
    <w:rsid w:val="00AA718D"/>
    <w:rsid w:val="00AB04A4"/>
    <w:rsid w:val="00AB1D66"/>
    <w:rsid w:val="00AB2711"/>
    <w:rsid w:val="00AB372E"/>
    <w:rsid w:val="00AB6B1B"/>
    <w:rsid w:val="00AB7A45"/>
    <w:rsid w:val="00AC2903"/>
    <w:rsid w:val="00AC2F10"/>
    <w:rsid w:val="00AC3E72"/>
    <w:rsid w:val="00AC4B42"/>
    <w:rsid w:val="00AC6070"/>
    <w:rsid w:val="00AD0E0D"/>
    <w:rsid w:val="00AD1541"/>
    <w:rsid w:val="00AD1754"/>
    <w:rsid w:val="00AD2726"/>
    <w:rsid w:val="00AD3999"/>
    <w:rsid w:val="00AD5B65"/>
    <w:rsid w:val="00AD649E"/>
    <w:rsid w:val="00AD6F33"/>
    <w:rsid w:val="00AE05DB"/>
    <w:rsid w:val="00AE1C15"/>
    <w:rsid w:val="00AE2076"/>
    <w:rsid w:val="00AE3AAA"/>
    <w:rsid w:val="00AE59E3"/>
    <w:rsid w:val="00AE69F6"/>
    <w:rsid w:val="00AF228D"/>
    <w:rsid w:val="00AF3F12"/>
    <w:rsid w:val="00AF431D"/>
    <w:rsid w:val="00AF457F"/>
    <w:rsid w:val="00AF5F77"/>
    <w:rsid w:val="00B01392"/>
    <w:rsid w:val="00B05BA3"/>
    <w:rsid w:val="00B05F38"/>
    <w:rsid w:val="00B06324"/>
    <w:rsid w:val="00B06821"/>
    <w:rsid w:val="00B0719F"/>
    <w:rsid w:val="00B071DB"/>
    <w:rsid w:val="00B118D6"/>
    <w:rsid w:val="00B14AD5"/>
    <w:rsid w:val="00B14E10"/>
    <w:rsid w:val="00B16D30"/>
    <w:rsid w:val="00B212EC"/>
    <w:rsid w:val="00B225B8"/>
    <w:rsid w:val="00B23048"/>
    <w:rsid w:val="00B25E74"/>
    <w:rsid w:val="00B27641"/>
    <w:rsid w:val="00B31FED"/>
    <w:rsid w:val="00B323C2"/>
    <w:rsid w:val="00B33A29"/>
    <w:rsid w:val="00B33EEB"/>
    <w:rsid w:val="00B34F2F"/>
    <w:rsid w:val="00B3522A"/>
    <w:rsid w:val="00B3690C"/>
    <w:rsid w:val="00B4052B"/>
    <w:rsid w:val="00B41988"/>
    <w:rsid w:val="00B42777"/>
    <w:rsid w:val="00B44479"/>
    <w:rsid w:val="00B4571F"/>
    <w:rsid w:val="00B45921"/>
    <w:rsid w:val="00B46E5D"/>
    <w:rsid w:val="00B47721"/>
    <w:rsid w:val="00B47DBA"/>
    <w:rsid w:val="00B512CE"/>
    <w:rsid w:val="00B513BD"/>
    <w:rsid w:val="00B52727"/>
    <w:rsid w:val="00B531D4"/>
    <w:rsid w:val="00B547DB"/>
    <w:rsid w:val="00B54B60"/>
    <w:rsid w:val="00B54F43"/>
    <w:rsid w:val="00B55503"/>
    <w:rsid w:val="00B56175"/>
    <w:rsid w:val="00B62D9A"/>
    <w:rsid w:val="00B6421B"/>
    <w:rsid w:val="00B64ACC"/>
    <w:rsid w:val="00B64C49"/>
    <w:rsid w:val="00B650C1"/>
    <w:rsid w:val="00B658E3"/>
    <w:rsid w:val="00B70F96"/>
    <w:rsid w:val="00B71748"/>
    <w:rsid w:val="00B71A11"/>
    <w:rsid w:val="00B71C99"/>
    <w:rsid w:val="00B74F4A"/>
    <w:rsid w:val="00B762E5"/>
    <w:rsid w:val="00B77FDC"/>
    <w:rsid w:val="00B81F76"/>
    <w:rsid w:val="00B832A4"/>
    <w:rsid w:val="00B8537B"/>
    <w:rsid w:val="00B875D8"/>
    <w:rsid w:val="00B9021D"/>
    <w:rsid w:val="00B915EC"/>
    <w:rsid w:val="00B96D36"/>
    <w:rsid w:val="00B96F8E"/>
    <w:rsid w:val="00BA28B7"/>
    <w:rsid w:val="00BA344F"/>
    <w:rsid w:val="00BA34E7"/>
    <w:rsid w:val="00BA3D6B"/>
    <w:rsid w:val="00BA5E57"/>
    <w:rsid w:val="00BA60C3"/>
    <w:rsid w:val="00BA69E9"/>
    <w:rsid w:val="00BA73A9"/>
    <w:rsid w:val="00BB0CA8"/>
    <w:rsid w:val="00BB16FA"/>
    <w:rsid w:val="00BB19EE"/>
    <w:rsid w:val="00BB242C"/>
    <w:rsid w:val="00BB25AF"/>
    <w:rsid w:val="00BB2F7E"/>
    <w:rsid w:val="00BB553E"/>
    <w:rsid w:val="00BC2A79"/>
    <w:rsid w:val="00BC3370"/>
    <w:rsid w:val="00BC4A99"/>
    <w:rsid w:val="00BC4D99"/>
    <w:rsid w:val="00BD0D18"/>
    <w:rsid w:val="00BD23C9"/>
    <w:rsid w:val="00BD538E"/>
    <w:rsid w:val="00BD54EB"/>
    <w:rsid w:val="00BD5833"/>
    <w:rsid w:val="00BD5ED5"/>
    <w:rsid w:val="00BE0960"/>
    <w:rsid w:val="00BE106F"/>
    <w:rsid w:val="00BE2CEC"/>
    <w:rsid w:val="00BE4AD4"/>
    <w:rsid w:val="00BE4B0D"/>
    <w:rsid w:val="00BE4FA5"/>
    <w:rsid w:val="00BE5025"/>
    <w:rsid w:val="00BE696D"/>
    <w:rsid w:val="00BF07EA"/>
    <w:rsid w:val="00BF1674"/>
    <w:rsid w:val="00BF59DE"/>
    <w:rsid w:val="00BF6919"/>
    <w:rsid w:val="00BF6A66"/>
    <w:rsid w:val="00BF7281"/>
    <w:rsid w:val="00C00411"/>
    <w:rsid w:val="00C017AD"/>
    <w:rsid w:val="00C021F2"/>
    <w:rsid w:val="00C02C4E"/>
    <w:rsid w:val="00C033D8"/>
    <w:rsid w:val="00C034A0"/>
    <w:rsid w:val="00C04291"/>
    <w:rsid w:val="00C064AC"/>
    <w:rsid w:val="00C0655C"/>
    <w:rsid w:val="00C067A3"/>
    <w:rsid w:val="00C06FDE"/>
    <w:rsid w:val="00C10AE6"/>
    <w:rsid w:val="00C11658"/>
    <w:rsid w:val="00C11DF8"/>
    <w:rsid w:val="00C12A29"/>
    <w:rsid w:val="00C13A44"/>
    <w:rsid w:val="00C13AEF"/>
    <w:rsid w:val="00C1582A"/>
    <w:rsid w:val="00C17860"/>
    <w:rsid w:val="00C21F30"/>
    <w:rsid w:val="00C23240"/>
    <w:rsid w:val="00C248C7"/>
    <w:rsid w:val="00C24945"/>
    <w:rsid w:val="00C25844"/>
    <w:rsid w:val="00C2622F"/>
    <w:rsid w:val="00C2644C"/>
    <w:rsid w:val="00C27341"/>
    <w:rsid w:val="00C27509"/>
    <w:rsid w:val="00C306B3"/>
    <w:rsid w:val="00C3122E"/>
    <w:rsid w:val="00C31486"/>
    <w:rsid w:val="00C32781"/>
    <w:rsid w:val="00C32971"/>
    <w:rsid w:val="00C33420"/>
    <w:rsid w:val="00C3466A"/>
    <w:rsid w:val="00C35D29"/>
    <w:rsid w:val="00C361A3"/>
    <w:rsid w:val="00C3702F"/>
    <w:rsid w:val="00C3703D"/>
    <w:rsid w:val="00C371E3"/>
    <w:rsid w:val="00C4041C"/>
    <w:rsid w:val="00C40CF0"/>
    <w:rsid w:val="00C412FD"/>
    <w:rsid w:val="00C42FBC"/>
    <w:rsid w:val="00C4568C"/>
    <w:rsid w:val="00C45848"/>
    <w:rsid w:val="00C47609"/>
    <w:rsid w:val="00C47962"/>
    <w:rsid w:val="00C51ABC"/>
    <w:rsid w:val="00C5237B"/>
    <w:rsid w:val="00C528D5"/>
    <w:rsid w:val="00C54688"/>
    <w:rsid w:val="00C5529A"/>
    <w:rsid w:val="00C608A0"/>
    <w:rsid w:val="00C614BA"/>
    <w:rsid w:val="00C616D3"/>
    <w:rsid w:val="00C629F0"/>
    <w:rsid w:val="00C62A06"/>
    <w:rsid w:val="00C67540"/>
    <w:rsid w:val="00C70D84"/>
    <w:rsid w:val="00C71057"/>
    <w:rsid w:val="00C71256"/>
    <w:rsid w:val="00C72581"/>
    <w:rsid w:val="00C72AE8"/>
    <w:rsid w:val="00C72B75"/>
    <w:rsid w:val="00C73199"/>
    <w:rsid w:val="00C733A4"/>
    <w:rsid w:val="00C74820"/>
    <w:rsid w:val="00C75083"/>
    <w:rsid w:val="00C76071"/>
    <w:rsid w:val="00C7675C"/>
    <w:rsid w:val="00C830B6"/>
    <w:rsid w:val="00C8536D"/>
    <w:rsid w:val="00C85510"/>
    <w:rsid w:val="00C86B48"/>
    <w:rsid w:val="00C8788E"/>
    <w:rsid w:val="00C90B9F"/>
    <w:rsid w:val="00C918FC"/>
    <w:rsid w:val="00C91C55"/>
    <w:rsid w:val="00C91EA0"/>
    <w:rsid w:val="00C9471E"/>
    <w:rsid w:val="00C95482"/>
    <w:rsid w:val="00C960A6"/>
    <w:rsid w:val="00CA0B38"/>
    <w:rsid w:val="00CA1973"/>
    <w:rsid w:val="00CA1EFD"/>
    <w:rsid w:val="00CA2954"/>
    <w:rsid w:val="00CA2D14"/>
    <w:rsid w:val="00CA3DBC"/>
    <w:rsid w:val="00CA63D2"/>
    <w:rsid w:val="00CA69FB"/>
    <w:rsid w:val="00CB15DC"/>
    <w:rsid w:val="00CB27B8"/>
    <w:rsid w:val="00CB387F"/>
    <w:rsid w:val="00CB411D"/>
    <w:rsid w:val="00CB4FE6"/>
    <w:rsid w:val="00CB53EE"/>
    <w:rsid w:val="00CB7D03"/>
    <w:rsid w:val="00CB7E17"/>
    <w:rsid w:val="00CB7ED6"/>
    <w:rsid w:val="00CC28AE"/>
    <w:rsid w:val="00CC4038"/>
    <w:rsid w:val="00CC4448"/>
    <w:rsid w:val="00CC4722"/>
    <w:rsid w:val="00CC5BB6"/>
    <w:rsid w:val="00CC7E1F"/>
    <w:rsid w:val="00CD072E"/>
    <w:rsid w:val="00CD206A"/>
    <w:rsid w:val="00CD2530"/>
    <w:rsid w:val="00CD27B3"/>
    <w:rsid w:val="00CD27E7"/>
    <w:rsid w:val="00CD476A"/>
    <w:rsid w:val="00CD4840"/>
    <w:rsid w:val="00CD4BAA"/>
    <w:rsid w:val="00CD5771"/>
    <w:rsid w:val="00CD7FF2"/>
    <w:rsid w:val="00CE0708"/>
    <w:rsid w:val="00CE0BF7"/>
    <w:rsid w:val="00CE10BF"/>
    <w:rsid w:val="00CE1574"/>
    <w:rsid w:val="00CE2FDD"/>
    <w:rsid w:val="00CE345C"/>
    <w:rsid w:val="00CE3E30"/>
    <w:rsid w:val="00CE4E48"/>
    <w:rsid w:val="00CE5269"/>
    <w:rsid w:val="00CE6F68"/>
    <w:rsid w:val="00CE7D0D"/>
    <w:rsid w:val="00CF0EC9"/>
    <w:rsid w:val="00CF18F4"/>
    <w:rsid w:val="00CF1A06"/>
    <w:rsid w:val="00CF374D"/>
    <w:rsid w:val="00CF3884"/>
    <w:rsid w:val="00CF39ED"/>
    <w:rsid w:val="00CF445A"/>
    <w:rsid w:val="00CF7FE5"/>
    <w:rsid w:val="00D021C2"/>
    <w:rsid w:val="00D0537C"/>
    <w:rsid w:val="00D05606"/>
    <w:rsid w:val="00D0662E"/>
    <w:rsid w:val="00D0678D"/>
    <w:rsid w:val="00D07126"/>
    <w:rsid w:val="00D07937"/>
    <w:rsid w:val="00D102D0"/>
    <w:rsid w:val="00D109A5"/>
    <w:rsid w:val="00D11321"/>
    <w:rsid w:val="00D115CC"/>
    <w:rsid w:val="00D1341D"/>
    <w:rsid w:val="00D141E5"/>
    <w:rsid w:val="00D14CA5"/>
    <w:rsid w:val="00D1573E"/>
    <w:rsid w:val="00D160E4"/>
    <w:rsid w:val="00D205B5"/>
    <w:rsid w:val="00D215F3"/>
    <w:rsid w:val="00D2501C"/>
    <w:rsid w:val="00D300CE"/>
    <w:rsid w:val="00D32E1E"/>
    <w:rsid w:val="00D3439D"/>
    <w:rsid w:val="00D36206"/>
    <w:rsid w:val="00D40294"/>
    <w:rsid w:val="00D4124E"/>
    <w:rsid w:val="00D41F78"/>
    <w:rsid w:val="00D43356"/>
    <w:rsid w:val="00D435BB"/>
    <w:rsid w:val="00D4433F"/>
    <w:rsid w:val="00D44B80"/>
    <w:rsid w:val="00D44F9B"/>
    <w:rsid w:val="00D50A68"/>
    <w:rsid w:val="00D5130D"/>
    <w:rsid w:val="00D52092"/>
    <w:rsid w:val="00D5472D"/>
    <w:rsid w:val="00D5494D"/>
    <w:rsid w:val="00D5559E"/>
    <w:rsid w:val="00D55F88"/>
    <w:rsid w:val="00D568AB"/>
    <w:rsid w:val="00D57DFC"/>
    <w:rsid w:val="00D60AF2"/>
    <w:rsid w:val="00D64360"/>
    <w:rsid w:val="00D65687"/>
    <w:rsid w:val="00D71636"/>
    <w:rsid w:val="00D722FC"/>
    <w:rsid w:val="00D733BF"/>
    <w:rsid w:val="00D766BF"/>
    <w:rsid w:val="00D77745"/>
    <w:rsid w:val="00D81782"/>
    <w:rsid w:val="00D831FA"/>
    <w:rsid w:val="00D83DAD"/>
    <w:rsid w:val="00D859EC"/>
    <w:rsid w:val="00D867CB"/>
    <w:rsid w:val="00D90024"/>
    <w:rsid w:val="00D901D3"/>
    <w:rsid w:val="00D97A49"/>
    <w:rsid w:val="00DA46DF"/>
    <w:rsid w:val="00DA4F7B"/>
    <w:rsid w:val="00DA6739"/>
    <w:rsid w:val="00DB08A6"/>
    <w:rsid w:val="00DB16FB"/>
    <w:rsid w:val="00DB485F"/>
    <w:rsid w:val="00DB4DAE"/>
    <w:rsid w:val="00DB6759"/>
    <w:rsid w:val="00DC3394"/>
    <w:rsid w:val="00DC3A30"/>
    <w:rsid w:val="00DC3E53"/>
    <w:rsid w:val="00DD16BE"/>
    <w:rsid w:val="00DD34D4"/>
    <w:rsid w:val="00DD3C6E"/>
    <w:rsid w:val="00DD413C"/>
    <w:rsid w:val="00DD5A9E"/>
    <w:rsid w:val="00DD61F7"/>
    <w:rsid w:val="00DD6D43"/>
    <w:rsid w:val="00DD6DC4"/>
    <w:rsid w:val="00DD7D4C"/>
    <w:rsid w:val="00DD7EE0"/>
    <w:rsid w:val="00DE029E"/>
    <w:rsid w:val="00DE4629"/>
    <w:rsid w:val="00DE63AD"/>
    <w:rsid w:val="00DF0C46"/>
    <w:rsid w:val="00DF0F4C"/>
    <w:rsid w:val="00DF1046"/>
    <w:rsid w:val="00DF1ACC"/>
    <w:rsid w:val="00DF4814"/>
    <w:rsid w:val="00DF502B"/>
    <w:rsid w:val="00DF68CB"/>
    <w:rsid w:val="00E057C7"/>
    <w:rsid w:val="00E0590B"/>
    <w:rsid w:val="00E10E68"/>
    <w:rsid w:val="00E12286"/>
    <w:rsid w:val="00E15329"/>
    <w:rsid w:val="00E155B2"/>
    <w:rsid w:val="00E155C7"/>
    <w:rsid w:val="00E16B45"/>
    <w:rsid w:val="00E173DD"/>
    <w:rsid w:val="00E17A35"/>
    <w:rsid w:val="00E20616"/>
    <w:rsid w:val="00E2154A"/>
    <w:rsid w:val="00E24294"/>
    <w:rsid w:val="00E24ABA"/>
    <w:rsid w:val="00E26185"/>
    <w:rsid w:val="00E26F46"/>
    <w:rsid w:val="00E31E4C"/>
    <w:rsid w:val="00E3205C"/>
    <w:rsid w:val="00E3253E"/>
    <w:rsid w:val="00E349EF"/>
    <w:rsid w:val="00E3512A"/>
    <w:rsid w:val="00E36B6C"/>
    <w:rsid w:val="00E42043"/>
    <w:rsid w:val="00E4330F"/>
    <w:rsid w:val="00E436CB"/>
    <w:rsid w:val="00E4550F"/>
    <w:rsid w:val="00E46CAB"/>
    <w:rsid w:val="00E47D8E"/>
    <w:rsid w:val="00E54886"/>
    <w:rsid w:val="00E549DA"/>
    <w:rsid w:val="00E54D7E"/>
    <w:rsid w:val="00E57054"/>
    <w:rsid w:val="00E6065F"/>
    <w:rsid w:val="00E6376F"/>
    <w:rsid w:val="00E63A97"/>
    <w:rsid w:val="00E6587E"/>
    <w:rsid w:val="00E71BAE"/>
    <w:rsid w:val="00E72EB8"/>
    <w:rsid w:val="00E75A09"/>
    <w:rsid w:val="00E770EC"/>
    <w:rsid w:val="00E8035A"/>
    <w:rsid w:val="00E80C01"/>
    <w:rsid w:val="00E8110E"/>
    <w:rsid w:val="00E817D5"/>
    <w:rsid w:val="00E81A01"/>
    <w:rsid w:val="00E81D31"/>
    <w:rsid w:val="00E82116"/>
    <w:rsid w:val="00E82844"/>
    <w:rsid w:val="00E8317E"/>
    <w:rsid w:val="00E83550"/>
    <w:rsid w:val="00E83E0C"/>
    <w:rsid w:val="00E84F09"/>
    <w:rsid w:val="00E85BF6"/>
    <w:rsid w:val="00E8607A"/>
    <w:rsid w:val="00E8630C"/>
    <w:rsid w:val="00E87DFD"/>
    <w:rsid w:val="00E87FCD"/>
    <w:rsid w:val="00E90297"/>
    <w:rsid w:val="00E92E1A"/>
    <w:rsid w:val="00E933A3"/>
    <w:rsid w:val="00E94C3E"/>
    <w:rsid w:val="00E94FFF"/>
    <w:rsid w:val="00E95562"/>
    <w:rsid w:val="00E956A9"/>
    <w:rsid w:val="00EA042E"/>
    <w:rsid w:val="00EA1DE9"/>
    <w:rsid w:val="00EA2F25"/>
    <w:rsid w:val="00EA4CE1"/>
    <w:rsid w:val="00EA5569"/>
    <w:rsid w:val="00EA6B9F"/>
    <w:rsid w:val="00EA7A28"/>
    <w:rsid w:val="00EA7A2D"/>
    <w:rsid w:val="00EA7ABE"/>
    <w:rsid w:val="00EB0A89"/>
    <w:rsid w:val="00EB18D7"/>
    <w:rsid w:val="00EB314D"/>
    <w:rsid w:val="00EB3A1C"/>
    <w:rsid w:val="00EB3A69"/>
    <w:rsid w:val="00EB73C5"/>
    <w:rsid w:val="00EB7EB8"/>
    <w:rsid w:val="00EB7F5F"/>
    <w:rsid w:val="00EC0480"/>
    <w:rsid w:val="00EC0A4D"/>
    <w:rsid w:val="00EC152B"/>
    <w:rsid w:val="00EC18C4"/>
    <w:rsid w:val="00EC2D18"/>
    <w:rsid w:val="00EC2E5A"/>
    <w:rsid w:val="00EC354F"/>
    <w:rsid w:val="00EC79F4"/>
    <w:rsid w:val="00EC7EF5"/>
    <w:rsid w:val="00ED02F3"/>
    <w:rsid w:val="00ED08A0"/>
    <w:rsid w:val="00ED09D8"/>
    <w:rsid w:val="00ED0D51"/>
    <w:rsid w:val="00ED2E43"/>
    <w:rsid w:val="00ED3B2D"/>
    <w:rsid w:val="00ED3B37"/>
    <w:rsid w:val="00ED4BBE"/>
    <w:rsid w:val="00ED59B4"/>
    <w:rsid w:val="00EE1211"/>
    <w:rsid w:val="00EE263E"/>
    <w:rsid w:val="00EE2C14"/>
    <w:rsid w:val="00EE362E"/>
    <w:rsid w:val="00EE4B95"/>
    <w:rsid w:val="00EE4CF0"/>
    <w:rsid w:val="00EF1860"/>
    <w:rsid w:val="00EF1DEE"/>
    <w:rsid w:val="00EF35A2"/>
    <w:rsid w:val="00EF540E"/>
    <w:rsid w:val="00EF58ED"/>
    <w:rsid w:val="00F004B1"/>
    <w:rsid w:val="00F02345"/>
    <w:rsid w:val="00F02C06"/>
    <w:rsid w:val="00F031BD"/>
    <w:rsid w:val="00F03D50"/>
    <w:rsid w:val="00F042EC"/>
    <w:rsid w:val="00F0744C"/>
    <w:rsid w:val="00F07FD0"/>
    <w:rsid w:val="00F1084B"/>
    <w:rsid w:val="00F10EC6"/>
    <w:rsid w:val="00F13056"/>
    <w:rsid w:val="00F13B2A"/>
    <w:rsid w:val="00F13C78"/>
    <w:rsid w:val="00F14E24"/>
    <w:rsid w:val="00F15D22"/>
    <w:rsid w:val="00F21BB6"/>
    <w:rsid w:val="00F21CFF"/>
    <w:rsid w:val="00F220E4"/>
    <w:rsid w:val="00F23761"/>
    <w:rsid w:val="00F26C58"/>
    <w:rsid w:val="00F26EFF"/>
    <w:rsid w:val="00F2767A"/>
    <w:rsid w:val="00F279EC"/>
    <w:rsid w:val="00F27CEB"/>
    <w:rsid w:val="00F31FF4"/>
    <w:rsid w:val="00F32404"/>
    <w:rsid w:val="00F33876"/>
    <w:rsid w:val="00F34F9C"/>
    <w:rsid w:val="00F35095"/>
    <w:rsid w:val="00F3522B"/>
    <w:rsid w:val="00F353EB"/>
    <w:rsid w:val="00F36A00"/>
    <w:rsid w:val="00F4057F"/>
    <w:rsid w:val="00F42006"/>
    <w:rsid w:val="00F44DC1"/>
    <w:rsid w:val="00F44F8C"/>
    <w:rsid w:val="00F44FB3"/>
    <w:rsid w:val="00F46015"/>
    <w:rsid w:val="00F4644A"/>
    <w:rsid w:val="00F50793"/>
    <w:rsid w:val="00F52682"/>
    <w:rsid w:val="00F532A5"/>
    <w:rsid w:val="00F549AE"/>
    <w:rsid w:val="00F550BA"/>
    <w:rsid w:val="00F57BDA"/>
    <w:rsid w:val="00F61D23"/>
    <w:rsid w:val="00F620F2"/>
    <w:rsid w:val="00F640A5"/>
    <w:rsid w:val="00F676C6"/>
    <w:rsid w:val="00F677FA"/>
    <w:rsid w:val="00F67F4E"/>
    <w:rsid w:val="00F7034E"/>
    <w:rsid w:val="00F707A9"/>
    <w:rsid w:val="00F70892"/>
    <w:rsid w:val="00F70B17"/>
    <w:rsid w:val="00F71D97"/>
    <w:rsid w:val="00F730FD"/>
    <w:rsid w:val="00F748EC"/>
    <w:rsid w:val="00F752EF"/>
    <w:rsid w:val="00F75724"/>
    <w:rsid w:val="00F75DC6"/>
    <w:rsid w:val="00F76419"/>
    <w:rsid w:val="00F76D93"/>
    <w:rsid w:val="00F77317"/>
    <w:rsid w:val="00F77890"/>
    <w:rsid w:val="00F8070C"/>
    <w:rsid w:val="00F8076C"/>
    <w:rsid w:val="00F831A1"/>
    <w:rsid w:val="00F846EB"/>
    <w:rsid w:val="00F87F94"/>
    <w:rsid w:val="00F904E7"/>
    <w:rsid w:val="00F913F9"/>
    <w:rsid w:val="00F921F1"/>
    <w:rsid w:val="00F93DD0"/>
    <w:rsid w:val="00F94571"/>
    <w:rsid w:val="00F977B4"/>
    <w:rsid w:val="00FA2C82"/>
    <w:rsid w:val="00FA41A8"/>
    <w:rsid w:val="00FA4654"/>
    <w:rsid w:val="00FA6459"/>
    <w:rsid w:val="00FA7139"/>
    <w:rsid w:val="00FA7635"/>
    <w:rsid w:val="00FB21C6"/>
    <w:rsid w:val="00FB2348"/>
    <w:rsid w:val="00FB26CE"/>
    <w:rsid w:val="00FB6102"/>
    <w:rsid w:val="00FC0CE2"/>
    <w:rsid w:val="00FC20CB"/>
    <w:rsid w:val="00FC260E"/>
    <w:rsid w:val="00FC3CD6"/>
    <w:rsid w:val="00FC3EF2"/>
    <w:rsid w:val="00FC591C"/>
    <w:rsid w:val="00FC5CAA"/>
    <w:rsid w:val="00FC6F92"/>
    <w:rsid w:val="00FC79EA"/>
    <w:rsid w:val="00FD0099"/>
    <w:rsid w:val="00FD0878"/>
    <w:rsid w:val="00FD11ED"/>
    <w:rsid w:val="00FD2635"/>
    <w:rsid w:val="00FD3429"/>
    <w:rsid w:val="00FD4506"/>
    <w:rsid w:val="00FD4FD0"/>
    <w:rsid w:val="00FD536D"/>
    <w:rsid w:val="00FE07BB"/>
    <w:rsid w:val="00FE08CE"/>
    <w:rsid w:val="00FE12E0"/>
    <w:rsid w:val="00FE2D12"/>
    <w:rsid w:val="00FE2EDB"/>
    <w:rsid w:val="00FE2F68"/>
    <w:rsid w:val="00FE4262"/>
    <w:rsid w:val="00FE6D24"/>
    <w:rsid w:val="00FE6E5B"/>
    <w:rsid w:val="00FE7099"/>
    <w:rsid w:val="00FF0D0B"/>
    <w:rsid w:val="00FF114E"/>
    <w:rsid w:val="00FF4201"/>
    <w:rsid w:val="00FF575F"/>
    <w:rsid w:val="00FF6881"/>
    <w:rsid w:val="00FF6E0D"/>
    <w:rsid w:val="01256600"/>
    <w:rsid w:val="02BC208E"/>
    <w:rsid w:val="02C13661"/>
    <w:rsid w:val="02EC5F6B"/>
    <w:rsid w:val="043A0EB6"/>
    <w:rsid w:val="045D06C2"/>
    <w:rsid w:val="04A28938"/>
    <w:rsid w:val="05F8D723"/>
    <w:rsid w:val="06C86573"/>
    <w:rsid w:val="089BE3C9"/>
    <w:rsid w:val="08C17DDF"/>
    <w:rsid w:val="0A7DC9E3"/>
    <w:rsid w:val="0B562FEC"/>
    <w:rsid w:val="0BC9F0FD"/>
    <w:rsid w:val="0E087C8F"/>
    <w:rsid w:val="0FA2EC2A"/>
    <w:rsid w:val="14280D7A"/>
    <w:rsid w:val="147B1812"/>
    <w:rsid w:val="14A7AFF2"/>
    <w:rsid w:val="166B65E8"/>
    <w:rsid w:val="16DA3566"/>
    <w:rsid w:val="17FFBA22"/>
    <w:rsid w:val="18A91615"/>
    <w:rsid w:val="195B5CA7"/>
    <w:rsid w:val="1AD78A2D"/>
    <w:rsid w:val="1C6A7148"/>
    <w:rsid w:val="1DE195AF"/>
    <w:rsid w:val="1EC4F606"/>
    <w:rsid w:val="204FE28B"/>
    <w:rsid w:val="24B7B0D4"/>
    <w:rsid w:val="2669B6A3"/>
    <w:rsid w:val="2B6E803C"/>
    <w:rsid w:val="2D434BEF"/>
    <w:rsid w:val="33A253AA"/>
    <w:rsid w:val="367141D5"/>
    <w:rsid w:val="3743AF7A"/>
    <w:rsid w:val="375D3C7E"/>
    <w:rsid w:val="39771A41"/>
    <w:rsid w:val="3BF57E84"/>
    <w:rsid w:val="3CBC4DD0"/>
    <w:rsid w:val="3D5CE771"/>
    <w:rsid w:val="3FEABC28"/>
    <w:rsid w:val="40EDDD71"/>
    <w:rsid w:val="41D61268"/>
    <w:rsid w:val="43D01F7F"/>
    <w:rsid w:val="4563CF74"/>
    <w:rsid w:val="45838930"/>
    <w:rsid w:val="49D81CB0"/>
    <w:rsid w:val="4A4656F4"/>
    <w:rsid w:val="4A8E7511"/>
    <w:rsid w:val="4BC8CF62"/>
    <w:rsid w:val="52C2F8A3"/>
    <w:rsid w:val="5543F0A3"/>
    <w:rsid w:val="5866452D"/>
    <w:rsid w:val="61D831CC"/>
    <w:rsid w:val="64ED3A33"/>
    <w:rsid w:val="6968FD49"/>
    <w:rsid w:val="699105E7"/>
    <w:rsid w:val="6AA1F8EF"/>
    <w:rsid w:val="6C5793BD"/>
    <w:rsid w:val="6CDF4B3C"/>
    <w:rsid w:val="6D58EBF1"/>
    <w:rsid w:val="6E2B5E80"/>
    <w:rsid w:val="6E7AF41C"/>
    <w:rsid w:val="70A53FCB"/>
    <w:rsid w:val="754C82D1"/>
    <w:rsid w:val="7BC3AC2D"/>
    <w:rsid w:val="7BE836FE"/>
    <w:rsid w:val="7D9ABAA5"/>
    <w:rsid w:val="7F792C14"/>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D3A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2"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A7635"/>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H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H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21"/>
      </w:numPr>
      <w:spacing w:before="120" w:after="120"/>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uiPriority w:val="59"/>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CERbullets"/>
    <w:link w:val="CERnumberingChar"/>
    <w:uiPriority w:val="8"/>
    <w:qFormat/>
    <w:rsid w:val="00FE2F68"/>
    <w:pPr>
      <w:numPr>
        <w:numId w:val="0"/>
      </w:numPr>
    </w:pPr>
    <w:rPr>
      <w:lang w:val="en-US"/>
    </w:r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FE2F68"/>
    <w:rPr>
      <w:rFonts w:asciiTheme="minorHAnsi" w:hAnsiTheme="minorHAnsi" w:cstheme="minorHAnsi"/>
      <w:sz w:val="22"/>
      <w:szCs w:val="24"/>
      <w:lang w:val="en-US"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9633DE"/>
    <w:rPr>
      <w:rFonts w:asciiTheme="minorHAnsi" w:hAnsiTheme="minorHAnsi"/>
      <w:b/>
      <w:color w:val="FF0000"/>
      <w:sz w:val="24"/>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3D6261"/>
    <w:pPr>
      <w:tabs>
        <w:tab w:val="right" w:leader="dot" w:pos="9730"/>
      </w:tabs>
      <w:spacing w:after="100"/>
      <w:ind w:left="220"/>
    </w:pPr>
  </w:style>
  <w:style w:type="paragraph" w:styleId="TOC1">
    <w:name w:val="toc 1"/>
    <w:basedOn w:val="Normal"/>
    <w:next w:val="Normal"/>
    <w:autoRedefine/>
    <w:uiPriority w:val="39"/>
    <w:unhideWhenUsed/>
    <w:rsid w:val="001C2A4D"/>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paragraph" w:styleId="ListParagraph">
    <w:name w:val="List Paragraph"/>
    <w:basedOn w:val="Normal"/>
    <w:uiPriority w:val="34"/>
    <w:rsid w:val="00235142"/>
    <w:pPr>
      <w:ind w:left="720"/>
      <w:contextualSpacing/>
    </w:pPr>
    <w:rPr>
      <w:lang w:val="en-GB"/>
    </w:rPr>
  </w:style>
  <w:style w:type="character" w:styleId="CommentReference">
    <w:name w:val="annotation reference"/>
    <w:basedOn w:val="DefaultParagraphFont"/>
    <w:uiPriority w:val="99"/>
    <w:unhideWhenUsed/>
    <w:rsid w:val="00235142"/>
    <w:rPr>
      <w:sz w:val="16"/>
      <w:szCs w:val="16"/>
    </w:rPr>
  </w:style>
  <w:style w:type="paragraph" w:styleId="CommentText">
    <w:name w:val="annotation text"/>
    <w:basedOn w:val="Normal"/>
    <w:link w:val="CommentTextChar"/>
    <w:uiPriority w:val="99"/>
    <w:unhideWhenUsed/>
    <w:rsid w:val="00235142"/>
    <w:rPr>
      <w:sz w:val="20"/>
      <w:szCs w:val="20"/>
      <w:lang w:val="en-GB"/>
    </w:rPr>
  </w:style>
  <w:style w:type="character" w:customStyle="1" w:styleId="CommentTextChar">
    <w:name w:val="Comment Text Char"/>
    <w:basedOn w:val="DefaultParagraphFont"/>
    <w:link w:val="CommentText"/>
    <w:uiPriority w:val="99"/>
    <w:rsid w:val="00235142"/>
    <w:rPr>
      <w:rFonts w:asciiTheme="minorHAnsi" w:hAnsiTheme="minorHAnsi" w:cstheme="minorHAnsi"/>
      <w:color w:val="000000" w:themeColor="text1"/>
      <w:lang w:val="en-GB" w:eastAsia="en-US"/>
    </w:rPr>
  </w:style>
  <w:style w:type="paragraph" w:styleId="FootnoteText">
    <w:name w:val="footnote text"/>
    <w:basedOn w:val="Normal"/>
    <w:link w:val="FootnoteTextChar"/>
    <w:uiPriority w:val="99"/>
    <w:unhideWhenUsed/>
    <w:rsid w:val="00235142"/>
    <w:pPr>
      <w:spacing w:after="0"/>
    </w:pPr>
    <w:rPr>
      <w:sz w:val="20"/>
      <w:szCs w:val="20"/>
      <w:lang w:val="en-GB"/>
    </w:rPr>
  </w:style>
  <w:style w:type="character" w:customStyle="1" w:styleId="FootnoteTextChar">
    <w:name w:val="Footnote Text Char"/>
    <w:basedOn w:val="DefaultParagraphFont"/>
    <w:link w:val="FootnoteText"/>
    <w:uiPriority w:val="99"/>
    <w:rsid w:val="00235142"/>
    <w:rPr>
      <w:rFonts w:asciiTheme="minorHAnsi" w:hAnsiTheme="minorHAnsi" w:cstheme="minorHAnsi"/>
      <w:color w:val="000000" w:themeColor="text1"/>
      <w:lang w:val="en-GB" w:eastAsia="en-US"/>
    </w:rPr>
  </w:style>
  <w:style w:type="character" w:styleId="FootnoteReference">
    <w:name w:val="footnote reference"/>
    <w:basedOn w:val="DefaultParagraphFont"/>
    <w:uiPriority w:val="99"/>
    <w:unhideWhenUsed/>
    <w:rsid w:val="00235142"/>
    <w:rPr>
      <w:vertAlign w:val="superscript"/>
    </w:rPr>
  </w:style>
  <w:style w:type="paragraph" w:styleId="BalloonText">
    <w:name w:val="Balloon Text"/>
    <w:basedOn w:val="Normal"/>
    <w:link w:val="BalloonTextChar"/>
    <w:rsid w:val="00C034A0"/>
    <w:pPr>
      <w:spacing w:after="0"/>
    </w:pPr>
    <w:rPr>
      <w:rFonts w:ascii="Tahoma" w:hAnsi="Tahoma" w:cs="Tahoma"/>
      <w:sz w:val="16"/>
      <w:szCs w:val="16"/>
    </w:rPr>
  </w:style>
  <w:style w:type="character" w:customStyle="1" w:styleId="BalloonTextChar">
    <w:name w:val="Balloon Text Char"/>
    <w:basedOn w:val="DefaultParagraphFont"/>
    <w:link w:val="BalloonText"/>
    <w:rsid w:val="00C034A0"/>
    <w:rPr>
      <w:rFonts w:ascii="Tahoma" w:hAnsi="Tahoma" w:cs="Tahoma"/>
      <w:color w:val="000000" w:themeColor="text1"/>
      <w:sz w:val="16"/>
      <w:szCs w:val="16"/>
      <w:lang w:eastAsia="en-US"/>
    </w:rPr>
  </w:style>
  <w:style w:type="paragraph" w:styleId="CommentSubject">
    <w:name w:val="annotation subject"/>
    <w:basedOn w:val="CommentText"/>
    <w:next w:val="CommentText"/>
    <w:link w:val="CommentSubjectChar"/>
    <w:uiPriority w:val="99"/>
    <w:rsid w:val="00C034A0"/>
    <w:rPr>
      <w:b/>
      <w:bCs/>
      <w:lang w:val="en-AU"/>
    </w:rPr>
  </w:style>
  <w:style w:type="character" w:customStyle="1" w:styleId="CommentSubjectChar">
    <w:name w:val="Comment Subject Char"/>
    <w:basedOn w:val="CommentTextChar"/>
    <w:link w:val="CommentSubject"/>
    <w:uiPriority w:val="99"/>
    <w:rsid w:val="00C034A0"/>
    <w:rPr>
      <w:rFonts w:asciiTheme="minorHAnsi" w:hAnsiTheme="minorHAnsi" w:cstheme="minorHAnsi"/>
      <w:b/>
      <w:bCs/>
      <w:color w:val="000000" w:themeColor="text1"/>
      <w:lang w:val="en-GB" w:eastAsia="en-US"/>
    </w:rPr>
  </w:style>
  <w:style w:type="paragraph" w:styleId="Revision">
    <w:name w:val="Revision"/>
    <w:hidden/>
    <w:rsid w:val="00C034A0"/>
    <w:rPr>
      <w:rFonts w:asciiTheme="minorHAnsi" w:hAnsiTheme="minorHAnsi" w:cstheme="minorHAnsi"/>
      <w:color w:val="000000" w:themeColor="text1"/>
      <w:sz w:val="22"/>
      <w:szCs w:val="24"/>
      <w:lang w:eastAsia="en-US"/>
    </w:rPr>
  </w:style>
  <w:style w:type="character" w:styleId="UnresolvedMention">
    <w:name w:val="Unresolved Mention"/>
    <w:basedOn w:val="DefaultParagraphFont"/>
    <w:uiPriority w:val="99"/>
    <w:semiHidden/>
    <w:unhideWhenUsed/>
    <w:rsid w:val="00C034A0"/>
    <w:rPr>
      <w:color w:val="605E5C"/>
      <w:shd w:val="clear" w:color="auto" w:fill="E1DFDD"/>
    </w:rPr>
  </w:style>
  <w:style w:type="character" w:styleId="Mention">
    <w:name w:val="Mention"/>
    <w:basedOn w:val="DefaultParagraphFont"/>
    <w:uiPriority w:val="99"/>
    <w:unhideWhenUsed/>
    <w:rsid w:val="00C034A0"/>
    <w:rPr>
      <w:color w:val="2B579A"/>
      <w:shd w:val="clear" w:color="auto" w:fill="E1DFDD"/>
    </w:rPr>
  </w:style>
  <w:style w:type="character" w:customStyle="1" w:styleId="ui-provider">
    <w:name w:val="ui-provider"/>
    <w:basedOn w:val="DefaultParagraphFont"/>
    <w:rsid w:val="00F44F8C"/>
  </w:style>
  <w:style w:type="paragraph" w:customStyle="1" w:styleId="paragraph">
    <w:name w:val="paragraph"/>
    <w:basedOn w:val="Normal"/>
    <w:rsid w:val="00EB3A69"/>
    <w:pPr>
      <w:spacing w:before="100" w:beforeAutospacing="1" w:after="100" w:afterAutospacing="1"/>
    </w:pPr>
    <w:rPr>
      <w:rFonts w:ascii="Times New Roman" w:eastAsia="Times New Roman" w:hAnsi="Times New Roman" w:cs="Times New Roman"/>
      <w:color w:val="auto"/>
      <w:sz w:val="24"/>
      <w:lang w:eastAsia="en-AU"/>
    </w:rPr>
  </w:style>
  <w:style w:type="character" w:customStyle="1" w:styleId="normaltextrun">
    <w:name w:val="normaltextrun"/>
    <w:basedOn w:val="DefaultParagraphFont"/>
    <w:rsid w:val="00EB3A69"/>
  </w:style>
  <w:style w:type="character" w:customStyle="1" w:styleId="scxw205828156">
    <w:name w:val="scxw205828156"/>
    <w:basedOn w:val="DefaultParagraphFont"/>
    <w:rsid w:val="00EB3A69"/>
  </w:style>
  <w:style w:type="character" w:customStyle="1" w:styleId="eop">
    <w:name w:val="eop"/>
    <w:basedOn w:val="DefaultParagraphFont"/>
    <w:rsid w:val="00EB3A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148677">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203788136">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540313412">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svg"/><Relationship Id="rId26" Type="http://schemas.openxmlformats.org/officeDocument/2006/relationships/hyperlink" Target="https://www.legislation.gov.au/F2008L02309/latest/versions" TargetMode="External"/><Relationship Id="rId39" Type="http://schemas.openxmlformats.org/officeDocument/2006/relationships/hyperlink" Target="http://www.cer.gov.au" TargetMode="External"/><Relationship Id="rId21" Type="http://schemas.openxmlformats.org/officeDocument/2006/relationships/image" Target="media/image12.png"/><Relationship Id="rId34" Type="http://schemas.openxmlformats.org/officeDocument/2006/relationships/image" Target="media/image18.jpg"/><Relationship Id="rId42"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7.svg"/><Relationship Id="rId29" Type="http://schemas.openxmlformats.org/officeDocument/2006/relationships/image" Target="media/image13.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www.legislation.gov.au/C2007A00175/latest/versions" TargetMode="External"/><Relationship Id="rId32" Type="http://schemas.openxmlformats.org/officeDocument/2006/relationships/image" Target="media/image16.jpg"/><Relationship Id="rId37" Type="http://schemas.openxmlformats.org/officeDocument/2006/relationships/hyperlink" Target="https://www.dcceew.gov.au/climate-change/publications/national-inventory-reports" TargetMode="External"/><Relationship Id="rId40" Type="http://schemas.openxmlformats.org/officeDocument/2006/relationships/header" Target="header1.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s://www.legislation.gov.au/help-and-resources/understanding-legislation/reading-legislation" TargetMode="External"/><Relationship Id="rId28" Type="http://schemas.openxmlformats.org/officeDocument/2006/relationships/hyperlink" Target="https://cer.gov.au/schemes/national-greenhouse-and-energy-reporting-scheme/report-emissions-and-energy/amendments-to-national-greenhouse-and-energy-reporting-legislation" TargetMode="External"/><Relationship Id="rId36" Type="http://schemas.openxmlformats.org/officeDocument/2006/relationships/hyperlink" Target="https://www.dcceew.gov.au/climate-change/emissions-reporting/tracking-reporting-emissions" TargetMode="External"/><Relationship Id="rId10" Type="http://schemas.openxmlformats.org/officeDocument/2006/relationships/image" Target="media/image2.svg"/><Relationship Id="rId19" Type="http://schemas.openxmlformats.org/officeDocument/2006/relationships/image" Target="media/image10.png"/><Relationship Id="rId31" Type="http://schemas.openxmlformats.org/officeDocument/2006/relationships/image" Target="media/image15.jpg"/><Relationship Id="rId44"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svg"/><Relationship Id="rId22" Type="http://schemas.openxmlformats.org/officeDocument/2006/relationships/hyperlink" Target="https://cer.gov.au/schemes/national-greenhouse-and-energy-reporting-scheme/assess-your-obligations" TargetMode="External"/><Relationship Id="rId27" Type="http://schemas.openxmlformats.org/officeDocument/2006/relationships/hyperlink" Target="https://cer.gov.au/schemes/national-greenhouse-and-energy-reporting-scheme" TargetMode="External"/><Relationship Id="rId30" Type="http://schemas.openxmlformats.org/officeDocument/2006/relationships/image" Target="media/image14.jpg"/><Relationship Id="rId35" Type="http://schemas.openxmlformats.org/officeDocument/2006/relationships/image" Target="media/image19.jpg"/><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numbering" Target="numbering.xml"/><Relationship Id="rId12" Type="http://schemas.microsoft.com/office/2007/relationships/hdphoto" Target="media/hdphoto1.wdp"/><Relationship Id="rId17" Type="http://schemas.openxmlformats.org/officeDocument/2006/relationships/image" Target="media/image8.png"/><Relationship Id="rId25" Type="http://schemas.openxmlformats.org/officeDocument/2006/relationships/hyperlink" Target="https://www.legislation.gov.au/F2008L02230/latest/versions" TargetMode="External"/><Relationship Id="rId33" Type="http://schemas.openxmlformats.org/officeDocument/2006/relationships/image" Target="media/image17.jpg"/><Relationship Id="rId38" Type="http://schemas.openxmlformats.org/officeDocument/2006/relationships/hyperlink" Target="mailto:cer-nger-reporting@cer.gov.au" TargetMode="External"/><Relationship Id="rId46" Type="http://schemas.openxmlformats.org/officeDocument/2006/relationships/theme" Target="theme/theme1.xml"/><Relationship Id="rId20" Type="http://schemas.openxmlformats.org/officeDocument/2006/relationships/image" Target="media/image11.svg"/><Relationship Id="rId41"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22.png"/></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_rels/header2.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CER-updated fonts and colours">
  <a:themeElements>
    <a:clrScheme name="CER colour palette">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FA9607"/>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39CB02B-3E13-41CA-A6A5-A73B66DDA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6539</Words>
  <Characters>35835</Characters>
  <Application>Microsoft Office Word</Application>
  <DocSecurity>0</DocSecurity>
  <Lines>663</Lines>
  <Paragraphs>381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41993</CharactersWithSpaces>
  <SharedDoc>false</SharedDoc>
  <HLinks>
    <vt:vector size="72" baseType="variant">
      <vt:variant>
        <vt:i4>6619183</vt:i4>
      </vt:variant>
      <vt:variant>
        <vt:i4>135</vt:i4>
      </vt:variant>
      <vt:variant>
        <vt:i4>0</vt:i4>
      </vt:variant>
      <vt:variant>
        <vt:i4>5</vt:i4>
      </vt:variant>
      <vt:variant>
        <vt:lpwstr>http://www.cer.gov.au/</vt:lpwstr>
      </vt:variant>
      <vt:variant>
        <vt:lpwstr/>
      </vt:variant>
      <vt:variant>
        <vt:i4>7995400</vt:i4>
      </vt:variant>
      <vt:variant>
        <vt:i4>132</vt:i4>
      </vt:variant>
      <vt:variant>
        <vt:i4>0</vt:i4>
      </vt:variant>
      <vt:variant>
        <vt:i4>5</vt:i4>
      </vt:variant>
      <vt:variant>
        <vt:lpwstr>mailto:cer-nger-reporting@cer.gov.au</vt:lpwstr>
      </vt:variant>
      <vt:variant>
        <vt:lpwstr/>
      </vt:variant>
      <vt:variant>
        <vt:i4>65545</vt:i4>
      </vt:variant>
      <vt:variant>
        <vt:i4>129</vt:i4>
      </vt:variant>
      <vt:variant>
        <vt:i4>0</vt:i4>
      </vt:variant>
      <vt:variant>
        <vt:i4>5</vt:i4>
      </vt:variant>
      <vt:variant>
        <vt:lpwstr>https://www.dcceew.gov.au/climate-change/publications/national-inventory-reports</vt:lpwstr>
      </vt:variant>
      <vt:variant>
        <vt:lpwstr/>
      </vt:variant>
      <vt:variant>
        <vt:i4>6881297</vt:i4>
      </vt:variant>
      <vt:variant>
        <vt:i4>126</vt:i4>
      </vt:variant>
      <vt:variant>
        <vt:i4>0</vt:i4>
      </vt:variant>
      <vt:variant>
        <vt:i4>5</vt:i4>
      </vt:variant>
      <vt:variant>
        <vt:lpwstr>https://www.dcceew.gov.au/climate-change/emissions-reporting/tracking-reporting-emissions</vt:lpwstr>
      </vt:variant>
      <vt:variant>
        <vt:lpwstr>toc_0</vt:lpwstr>
      </vt:variant>
      <vt:variant>
        <vt:i4>1114146</vt:i4>
      </vt:variant>
      <vt:variant>
        <vt:i4>123</vt:i4>
      </vt:variant>
      <vt:variant>
        <vt:i4>0</vt:i4>
      </vt:variant>
      <vt:variant>
        <vt:i4>5</vt:i4>
      </vt:variant>
      <vt:variant>
        <vt:lpwstr/>
      </vt:variant>
      <vt:variant>
        <vt:lpwstr>_Measuring_emissions_and</vt:lpwstr>
      </vt:variant>
      <vt:variant>
        <vt:i4>983057</vt:i4>
      </vt:variant>
      <vt:variant>
        <vt:i4>120</vt:i4>
      </vt:variant>
      <vt:variant>
        <vt:i4>0</vt:i4>
      </vt:variant>
      <vt:variant>
        <vt:i4>5</vt:i4>
      </vt:variant>
      <vt:variant>
        <vt:lpwstr>https://cer.gov.au/schemes/national-greenhouse-and-energy-reporting-scheme/report-emissions-and-energy/amendments-to-national-greenhouse-and-energy-reporting-legislation</vt:lpwstr>
      </vt:variant>
      <vt:variant>
        <vt:lpwstr/>
      </vt:variant>
      <vt:variant>
        <vt:i4>2883643</vt:i4>
      </vt:variant>
      <vt:variant>
        <vt:i4>117</vt:i4>
      </vt:variant>
      <vt:variant>
        <vt:i4>0</vt:i4>
      </vt:variant>
      <vt:variant>
        <vt:i4>5</vt:i4>
      </vt:variant>
      <vt:variant>
        <vt:lpwstr>https://cer.gov.au/schemes/national-greenhouse-and-energy-reporting-scheme</vt:lpwstr>
      </vt:variant>
      <vt:variant>
        <vt:lpwstr/>
      </vt:variant>
      <vt:variant>
        <vt:i4>3342385</vt:i4>
      </vt:variant>
      <vt:variant>
        <vt:i4>114</vt:i4>
      </vt:variant>
      <vt:variant>
        <vt:i4>0</vt:i4>
      </vt:variant>
      <vt:variant>
        <vt:i4>5</vt:i4>
      </vt:variant>
      <vt:variant>
        <vt:lpwstr>https://www.legislation.gov.au/F2008L02309/latest/versions</vt:lpwstr>
      </vt:variant>
      <vt:variant>
        <vt:lpwstr/>
      </vt:variant>
      <vt:variant>
        <vt:i4>3866674</vt:i4>
      </vt:variant>
      <vt:variant>
        <vt:i4>111</vt:i4>
      </vt:variant>
      <vt:variant>
        <vt:i4>0</vt:i4>
      </vt:variant>
      <vt:variant>
        <vt:i4>5</vt:i4>
      </vt:variant>
      <vt:variant>
        <vt:lpwstr>https://www.legislation.gov.au/F2008L02230/latest/versions</vt:lpwstr>
      </vt:variant>
      <vt:variant>
        <vt:lpwstr/>
      </vt:variant>
      <vt:variant>
        <vt:i4>3604537</vt:i4>
      </vt:variant>
      <vt:variant>
        <vt:i4>108</vt:i4>
      </vt:variant>
      <vt:variant>
        <vt:i4>0</vt:i4>
      </vt:variant>
      <vt:variant>
        <vt:i4>5</vt:i4>
      </vt:variant>
      <vt:variant>
        <vt:lpwstr>https://www.legislation.gov.au/C2007A00175/latest/versions</vt:lpwstr>
      </vt:variant>
      <vt:variant>
        <vt:lpwstr/>
      </vt:variant>
      <vt:variant>
        <vt:i4>2228337</vt:i4>
      </vt:variant>
      <vt:variant>
        <vt:i4>105</vt:i4>
      </vt:variant>
      <vt:variant>
        <vt:i4>0</vt:i4>
      </vt:variant>
      <vt:variant>
        <vt:i4>5</vt:i4>
      </vt:variant>
      <vt:variant>
        <vt:lpwstr>https://www.legislation.gov.au/help-and-resources/understanding-legislation/reading-legislation</vt:lpwstr>
      </vt:variant>
      <vt:variant>
        <vt:lpwstr/>
      </vt:variant>
      <vt:variant>
        <vt:i4>7929905</vt:i4>
      </vt:variant>
      <vt:variant>
        <vt:i4>102</vt:i4>
      </vt:variant>
      <vt:variant>
        <vt:i4>0</vt:i4>
      </vt:variant>
      <vt:variant>
        <vt:i4>5</vt:i4>
      </vt:variant>
      <vt:variant>
        <vt:lpwstr>https://cer.gov.au/schemes/national-greenhouse-and-energy-reporting-scheme/assess-your-obligations</vt:lpwstr>
      </vt:variant>
      <vt:variant>
        <vt:lpwstr>what-is-an-nger-facility</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on aggregated facility reporting, percentage estimates, and incidental emissions and energy</dc:title>
  <dc:subject/>
  <dc:creator/>
  <cp:keywords/>
  <cp:lastModifiedBy/>
  <cp:revision>1</cp:revision>
  <dcterms:created xsi:type="dcterms:W3CDTF">2026-07-23T03:48:00Z</dcterms:created>
  <dcterms:modified xsi:type="dcterms:W3CDTF">2026-07-23T03:48:00Z</dcterms:modified>
  <cp:contentStatus/>
</cp:coreProperties>
</file>