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902C9" w14:textId="6B64FA04" w:rsidR="00977234" w:rsidRPr="00587B81" w:rsidRDefault="00B16D30" w:rsidP="00146FC8">
      <w:pPr>
        <w:pStyle w:val="CERcovertitle"/>
        <w:tabs>
          <w:tab w:val="left" w:pos="5103"/>
        </w:tabs>
        <w:spacing w:before="2520"/>
        <w:ind w:left="5103" w:right="-41"/>
        <w:rPr>
          <w:sz w:val="44"/>
          <w:szCs w:val="44"/>
        </w:rPr>
      </w:pPr>
      <w:r>
        <w:drawing>
          <wp:anchor distT="0" distB="0" distL="114300" distR="114300" simplePos="0" relativeHeight="251658242" behindDoc="0" locked="0" layoutInCell="1" allowOverlap="1" wp14:anchorId="711A514B" wp14:editId="69D885D4">
            <wp:simplePos x="0" y="0"/>
            <wp:positionH relativeFrom="column">
              <wp:posOffset>180975</wp:posOffset>
            </wp:positionH>
            <wp:positionV relativeFrom="page">
              <wp:posOffset>2381250</wp:posOffset>
            </wp:positionV>
            <wp:extent cx="2664000" cy="2664000"/>
            <wp:effectExtent l="0" t="0" r="0" b="0"/>
            <wp:wrapNone/>
            <wp:docPr id="22" name="Graphic 22" descr="Gears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ears outline">
                      <a:extLst>
                        <a:ext uri="{C183D7F6-B498-43B3-948B-1728B52AA6E4}">
                          <adec:decorative xmlns:adec="http://schemas.microsoft.com/office/drawing/2017/decorative" val="1"/>
                        </a:ext>
                      </a:extLst>
                    </pic:cNvPr>
                    <pic:cNvPicPr/>
                  </pic:nvPicPr>
                  <pic:blipFill>
                    <a:blip r:embed="rId9">
                      <a:extLst>
                        <a:ext uri="{96DAC541-7B7A-43D3-8B79-37D633B846F1}">
                          <asvg:svgBlip xmlns:asvg="http://schemas.microsoft.com/office/drawing/2016/SVG/main" r:embed="rId10"/>
                        </a:ext>
                      </a:extLst>
                    </a:blip>
                    <a:stretch>
                      <a:fillRect/>
                    </a:stretch>
                  </pic:blipFill>
                  <pic:spPr>
                    <a:xfrm>
                      <a:off x="0" y="0"/>
                      <a:ext cx="2664000" cy="2664000"/>
                    </a:xfrm>
                    <a:prstGeom prst="rect">
                      <a:avLst/>
                    </a:prstGeom>
                  </pic:spPr>
                </pic:pic>
              </a:graphicData>
            </a:graphic>
            <wp14:sizeRelH relativeFrom="page">
              <wp14:pctWidth>0</wp14:pctWidth>
            </wp14:sizeRelH>
            <wp14:sizeRelV relativeFrom="page">
              <wp14:pctHeight>0</wp14:pctHeight>
            </wp14:sizeRelV>
          </wp:anchor>
        </w:drawing>
      </w:r>
      <w:r w:rsidR="001813DE" w:rsidRPr="001813DE">
        <w:rPr>
          <w:rFonts w:asciiTheme="minorHAnsi" w:hAnsiTheme="minorHAnsi"/>
        </w:rPr>
        <mc:AlternateContent>
          <mc:Choice Requires="wps">
            <w:drawing>
              <wp:anchor distT="0" distB="0" distL="114300" distR="114300" simplePos="0" relativeHeight="251658240" behindDoc="0" locked="0" layoutInCell="1" allowOverlap="1" wp14:anchorId="41A7BA9F" wp14:editId="12F0C696">
                <wp:simplePos x="0" y="0"/>
                <wp:positionH relativeFrom="column">
                  <wp:posOffset>-19050</wp:posOffset>
                </wp:positionH>
                <wp:positionV relativeFrom="paragraph">
                  <wp:posOffset>893445</wp:posOffset>
                </wp:positionV>
                <wp:extent cx="6192000" cy="6185230"/>
                <wp:effectExtent l="0" t="0" r="0" b="6350"/>
                <wp:wrapNone/>
                <wp:docPr id="15" name="Freeform: Shape 15">
                  <a:extLst xmlns:a="http://schemas.openxmlformats.org/drawingml/2006/main">
                    <a:ext uri="{FF2B5EF4-FFF2-40B4-BE49-F238E27FC236}">
                      <a16:creationId xmlns:a16="http://schemas.microsoft.com/office/drawing/2014/main" id="{833A9379-F33B-6747-102E-56A337149380}"/>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92000" cy="6185230"/>
                        </a:xfrm>
                        <a:custGeom>
                          <a:avLst/>
                          <a:gdLst>
                            <a:gd name="connsiteX0" fmla="*/ 5805660 w 7550841"/>
                            <a:gd name="connsiteY0" fmla="*/ 5698644 h 7542959"/>
                            <a:gd name="connsiteX1" fmla="*/ 7449582 w 7550841"/>
                            <a:gd name="connsiteY1" fmla="*/ 5698644 h 7542959"/>
                            <a:gd name="connsiteX2" fmla="*/ 7550841 w 7550841"/>
                            <a:gd name="connsiteY2" fmla="*/ 5788610 h 7542959"/>
                            <a:gd name="connsiteX3" fmla="*/ 7550841 w 7550841"/>
                            <a:gd name="connsiteY3" fmla="*/ 7441836 h 7542959"/>
                            <a:gd name="connsiteX4" fmla="*/ 7449582 w 7550841"/>
                            <a:gd name="connsiteY4" fmla="*/ 7542959 h 7542959"/>
                            <a:gd name="connsiteX5" fmla="*/ 5805660 w 7550841"/>
                            <a:gd name="connsiteY5" fmla="*/ 7542959 h 7542959"/>
                            <a:gd name="connsiteX6" fmla="*/ 5704401 w 7550841"/>
                            <a:gd name="connsiteY6" fmla="*/ 7441836 h 7542959"/>
                            <a:gd name="connsiteX7" fmla="*/ 5704401 w 7550841"/>
                            <a:gd name="connsiteY7" fmla="*/ 5788610 h 7542959"/>
                            <a:gd name="connsiteX8" fmla="*/ 3894784 w 7550841"/>
                            <a:gd name="connsiteY8" fmla="*/ 5698644 h 7542959"/>
                            <a:gd name="connsiteX9" fmla="*/ 5559985 w 7550841"/>
                            <a:gd name="connsiteY9" fmla="*/ 5698644 h 7542959"/>
                            <a:gd name="connsiteX10" fmla="*/ 5650604 w 7550841"/>
                            <a:gd name="connsiteY10" fmla="*/ 5788610 h 7542959"/>
                            <a:gd name="connsiteX11" fmla="*/ 5650604 w 7550841"/>
                            <a:gd name="connsiteY11" fmla="*/ 7441836 h 7542959"/>
                            <a:gd name="connsiteX12" fmla="*/ 5559985 w 7550841"/>
                            <a:gd name="connsiteY12" fmla="*/ 7542959 h 7542959"/>
                            <a:gd name="connsiteX13" fmla="*/ 3894784 w 7550841"/>
                            <a:gd name="connsiteY13" fmla="*/ 7542959 h 7542959"/>
                            <a:gd name="connsiteX14" fmla="*/ 3804166 w 7550841"/>
                            <a:gd name="connsiteY14" fmla="*/ 7441836 h 7542959"/>
                            <a:gd name="connsiteX15" fmla="*/ 3804166 w 7550841"/>
                            <a:gd name="connsiteY15" fmla="*/ 5788610 h 7542959"/>
                            <a:gd name="connsiteX16" fmla="*/ 2001855 w 7550841"/>
                            <a:gd name="connsiteY16" fmla="*/ 5698644 h 7542959"/>
                            <a:gd name="connsiteX17" fmla="*/ 3645777 w 7550841"/>
                            <a:gd name="connsiteY17" fmla="*/ 5698644 h 7542959"/>
                            <a:gd name="connsiteX18" fmla="*/ 3747036 w 7550841"/>
                            <a:gd name="connsiteY18" fmla="*/ 5788610 h 7542959"/>
                            <a:gd name="connsiteX19" fmla="*/ 3747036 w 7550841"/>
                            <a:gd name="connsiteY19" fmla="*/ 7441836 h 7542959"/>
                            <a:gd name="connsiteX20" fmla="*/ 3645777 w 7550841"/>
                            <a:gd name="connsiteY20" fmla="*/ 7542959 h 7542959"/>
                            <a:gd name="connsiteX21" fmla="*/ 2001855 w 7550841"/>
                            <a:gd name="connsiteY21" fmla="*/ 7542959 h 7542959"/>
                            <a:gd name="connsiteX22" fmla="*/ 1900596 w 7550841"/>
                            <a:gd name="connsiteY22" fmla="*/ 7441836 h 7542959"/>
                            <a:gd name="connsiteX23" fmla="*/ 1900596 w 7550841"/>
                            <a:gd name="connsiteY23" fmla="*/ 5788610 h 7542959"/>
                            <a:gd name="connsiteX24" fmla="*/ 3894784 w 7550841"/>
                            <a:gd name="connsiteY24" fmla="*/ 3796819 h 7542959"/>
                            <a:gd name="connsiteX25" fmla="*/ 5115195 w 7550841"/>
                            <a:gd name="connsiteY25" fmla="*/ 3796819 h 7542959"/>
                            <a:gd name="connsiteX26" fmla="*/ 5559985 w 7550841"/>
                            <a:gd name="connsiteY26" fmla="*/ 3796819 h 7542959"/>
                            <a:gd name="connsiteX27" fmla="*/ 5805660 w 7550841"/>
                            <a:gd name="connsiteY27" fmla="*/ 3796819 h 7542959"/>
                            <a:gd name="connsiteX28" fmla="*/ 6759117 w 7550841"/>
                            <a:gd name="connsiteY28" fmla="*/ 3796819 h 7542959"/>
                            <a:gd name="connsiteX29" fmla="*/ 7449582 w 7550841"/>
                            <a:gd name="connsiteY29" fmla="*/ 3796819 h 7542959"/>
                            <a:gd name="connsiteX30" fmla="*/ 7550841 w 7550841"/>
                            <a:gd name="connsiteY30" fmla="*/ 3886786 h 7542959"/>
                            <a:gd name="connsiteX31" fmla="*/ 7550841 w 7550841"/>
                            <a:gd name="connsiteY31" fmla="*/ 5540012 h 7542959"/>
                            <a:gd name="connsiteX32" fmla="*/ 7449582 w 7550841"/>
                            <a:gd name="connsiteY32" fmla="*/ 5641134 h 7542959"/>
                            <a:gd name="connsiteX33" fmla="*/ 6759117 w 7550841"/>
                            <a:gd name="connsiteY33" fmla="*/ 5641134 h 7542959"/>
                            <a:gd name="connsiteX34" fmla="*/ 5805660 w 7550841"/>
                            <a:gd name="connsiteY34" fmla="*/ 5641134 h 7542959"/>
                            <a:gd name="connsiteX35" fmla="*/ 5559985 w 7550841"/>
                            <a:gd name="connsiteY35" fmla="*/ 5641134 h 7542959"/>
                            <a:gd name="connsiteX36" fmla="*/ 5115195 w 7550841"/>
                            <a:gd name="connsiteY36" fmla="*/ 5641134 h 7542959"/>
                            <a:gd name="connsiteX37" fmla="*/ 3894784 w 7550841"/>
                            <a:gd name="connsiteY37" fmla="*/ 5641134 h 7542959"/>
                            <a:gd name="connsiteX38" fmla="*/ 3804166 w 7550841"/>
                            <a:gd name="connsiteY38" fmla="*/ 5551150 h 7542959"/>
                            <a:gd name="connsiteX39" fmla="*/ 3804166 w 7550841"/>
                            <a:gd name="connsiteY39" fmla="*/ 3897961 h 7542959"/>
                            <a:gd name="connsiteX40" fmla="*/ 1991217 w 7550841"/>
                            <a:gd name="connsiteY40" fmla="*/ 3796819 h 7542959"/>
                            <a:gd name="connsiteX41" fmla="*/ 3656417 w 7550841"/>
                            <a:gd name="connsiteY41" fmla="*/ 3796819 h 7542959"/>
                            <a:gd name="connsiteX42" fmla="*/ 3747036 w 7550841"/>
                            <a:gd name="connsiteY42" fmla="*/ 3897961 h 7542959"/>
                            <a:gd name="connsiteX43" fmla="*/ 3747036 w 7550841"/>
                            <a:gd name="connsiteY43" fmla="*/ 5551150 h 7542959"/>
                            <a:gd name="connsiteX44" fmla="*/ 3656417 w 7550841"/>
                            <a:gd name="connsiteY44" fmla="*/ 5641134 h 7542959"/>
                            <a:gd name="connsiteX45" fmla="*/ 1991217 w 7550841"/>
                            <a:gd name="connsiteY45" fmla="*/ 5641134 h 7542959"/>
                            <a:gd name="connsiteX46" fmla="*/ 1900599 w 7550841"/>
                            <a:gd name="connsiteY46" fmla="*/ 5551150 h 7542959"/>
                            <a:gd name="connsiteX47" fmla="*/ 1900599 w 7550841"/>
                            <a:gd name="connsiteY47" fmla="*/ 3897961 h 7542959"/>
                            <a:gd name="connsiteX48" fmla="*/ 90980 w 7550841"/>
                            <a:gd name="connsiteY48" fmla="*/ 3796819 h 7542959"/>
                            <a:gd name="connsiteX49" fmla="*/ 1756180 w 7550841"/>
                            <a:gd name="connsiteY49" fmla="*/ 3796819 h 7542959"/>
                            <a:gd name="connsiteX50" fmla="*/ 1846799 w 7550841"/>
                            <a:gd name="connsiteY50" fmla="*/ 3886785 h 7542959"/>
                            <a:gd name="connsiteX51" fmla="*/ 1846799 w 7550841"/>
                            <a:gd name="connsiteY51" fmla="*/ 5540011 h 7542959"/>
                            <a:gd name="connsiteX52" fmla="*/ 1756180 w 7550841"/>
                            <a:gd name="connsiteY52" fmla="*/ 5641134 h 7542959"/>
                            <a:gd name="connsiteX53" fmla="*/ 90980 w 7550841"/>
                            <a:gd name="connsiteY53" fmla="*/ 5641134 h 7542959"/>
                            <a:gd name="connsiteX54" fmla="*/ 361 w 7550841"/>
                            <a:gd name="connsiteY54" fmla="*/ 5540011 h 7542959"/>
                            <a:gd name="connsiteX55" fmla="*/ 361 w 7550841"/>
                            <a:gd name="connsiteY55" fmla="*/ 3886785 h 7542959"/>
                            <a:gd name="connsiteX56" fmla="*/ 90009 w 7550841"/>
                            <a:gd name="connsiteY56" fmla="*/ 0 h 7542959"/>
                            <a:gd name="connsiteX57" fmla="*/ 3645017 w 7550841"/>
                            <a:gd name="connsiteY57" fmla="*/ 0 h 7542959"/>
                            <a:gd name="connsiteX58" fmla="*/ 3735026 w 7550841"/>
                            <a:gd name="connsiteY58" fmla="*/ 90009 h 7542959"/>
                            <a:gd name="connsiteX59" fmla="*/ 3735026 w 7550841"/>
                            <a:gd name="connsiteY59" fmla="*/ 1226288 h 7542959"/>
                            <a:gd name="connsiteX60" fmla="*/ 3735026 w 7550841"/>
                            <a:gd name="connsiteY60" fmla="*/ 1744021 h 7542959"/>
                            <a:gd name="connsiteX61" fmla="*/ 3735026 w 7550841"/>
                            <a:gd name="connsiteY61" fmla="*/ 1991367 h 7542959"/>
                            <a:gd name="connsiteX62" fmla="*/ 3735026 w 7550841"/>
                            <a:gd name="connsiteY62" fmla="*/ 2879939 h 7542959"/>
                            <a:gd name="connsiteX63" fmla="*/ 3735026 w 7550841"/>
                            <a:gd name="connsiteY63" fmla="*/ 3633858 h 7542959"/>
                            <a:gd name="connsiteX64" fmla="*/ 3645017 w 7550841"/>
                            <a:gd name="connsiteY64" fmla="*/ 3735028 h 7542959"/>
                            <a:gd name="connsiteX65" fmla="*/ 2689118 w 7550841"/>
                            <a:gd name="connsiteY65" fmla="*/ 3735028 h 7542959"/>
                            <a:gd name="connsiteX66" fmla="*/ 1991366 w 7550841"/>
                            <a:gd name="connsiteY66" fmla="*/ 3735028 h 7542959"/>
                            <a:gd name="connsiteX67" fmla="*/ 1744020 w 7550841"/>
                            <a:gd name="connsiteY67" fmla="*/ 3735028 h 7542959"/>
                            <a:gd name="connsiteX68" fmla="*/ 1035107 w 7550841"/>
                            <a:gd name="connsiteY68" fmla="*/ 3735028 h 7542959"/>
                            <a:gd name="connsiteX69" fmla="*/ 90009 w 7550841"/>
                            <a:gd name="connsiteY69" fmla="*/ 3735028 h 7542959"/>
                            <a:gd name="connsiteX70" fmla="*/ 0 w 7550841"/>
                            <a:gd name="connsiteY70" fmla="*/ 3633858 h 7542959"/>
                            <a:gd name="connsiteX71" fmla="*/ 0 w 7550841"/>
                            <a:gd name="connsiteY71" fmla="*/ 2879939 h 7542959"/>
                            <a:gd name="connsiteX72" fmla="*/ 0 w 7550841"/>
                            <a:gd name="connsiteY72" fmla="*/ 1991367 h 7542959"/>
                            <a:gd name="connsiteX73" fmla="*/ 0 w 7550841"/>
                            <a:gd name="connsiteY73" fmla="*/ 1744021 h 7542959"/>
                            <a:gd name="connsiteX74" fmla="*/ 0 w 7550841"/>
                            <a:gd name="connsiteY74" fmla="*/ 1226288 h 7542959"/>
                            <a:gd name="connsiteX75" fmla="*/ 0 w 7550841"/>
                            <a:gd name="connsiteY75" fmla="*/ 90009 h 75429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Lst>
                          <a:rect l="l" t="t" r="r" b="b"/>
                          <a:pathLst>
                            <a:path w="7550841" h="7542959">
                              <a:moveTo>
                                <a:pt x="5805660" y="5698644"/>
                              </a:moveTo>
                              <a:lnTo>
                                <a:pt x="7449582" y="5698644"/>
                              </a:lnTo>
                              <a:lnTo>
                                <a:pt x="7550841" y="5788610"/>
                              </a:lnTo>
                              <a:lnTo>
                                <a:pt x="7550841" y="7441836"/>
                              </a:lnTo>
                              <a:lnTo>
                                <a:pt x="7449582" y="7542959"/>
                              </a:lnTo>
                              <a:lnTo>
                                <a:pt x="5805660" y="7542959"/>
                              </a:lnTo>
                              <a:lnTo>
                                <a:pt x="5704401" y="7441836"/>
                              </a:lnTo>
                              <a:lnTo>
                                <a:pt x="5704401" y="5788610"/>
                              </a:lnTo>
                              <a:close/>
                              <a:moveTo>
                                <a:pt x="3894784" y="5698644"/>
                              </a:moveTo>
                              <a:lnTo>
                                <a:pt x="5559985" y="5698644"/>
                              </a:lnTo>
                              <a:lnTo>
                                <a:pt x="5650604" y="5788610"/>
                              </a:lnTo>
                              <a:lnTo>
                                <a:pt x="5650604" y="7441836"/>
                              </a:lnTo>
                              <a:lnTo>
                                <a:pt x="5559985" y="7542959"/>
                              </a:lnTo>
                              <a:lnTo>
                                <a:pt x="3894784" y="7542959"/>
                              </a:lnTo>
                              <a:lnTo>
                                <a:pt x="3804166" y="7441836"/>
                              </a:lnTo>
                              <a:lnTo>
                                <a:pt x="3804166" y="5788610"/>
                              </a:lnTo>
                              <a:close/>
                              <a:moveTo>
                                <a:pt x="2001855" y="5698644"/>
                              </a:moveTo>
                              <a:lnTo>
                                <a:pt x="3645777" y="5698644"/>
                              </a:lnTo>
                              <a:lnTo>
                                <a:pt x="3747036" y="5788610"/>
                              </a:lnTo>
                              <a:lnTo>
                                <a:pt x="3747036" y="7441836"/>
                              </a:lnTo>
                              <a:lnTo>
                                <a:pt x="3645777" y="7542959"/>
                              </a:lnTo>
                              <a:lnTo>
                                <a:pt x="2001855" y="7542959"/>
                              </a:lnTo>
                              <a:lnTo>
                                <a:pt x="1900596" y="7441836"/>
                              </a:lnTo>
                              <a:lnTo>
                                <a:pt x="1900596" y="5788610"/>
                              </a:lnTo>
                              <a:close/>
                              <a:moveTo>
                                <a:pt x="3894784" y="3796819"/>
                              </a:moveTo>
                              <a:lnTo>
                                <a:pt x="5115195" y="3796819"/>
                              </a:lnTo>
                              <a:lnTo>
                                <a:pt x="5559985" y="3796819"/>
                              </a:lnTo>
                              <a:lnTo>
                                <a:pt x="5805660" y="3796819"/>
                              </a:lnTo>
                              <a:lnTo>
                                <a:pt x="6759117" y="3796819"/>
                              </a:lnTo>
                              <a:lnTo>
                                <a:pt x="7449582" y="3796819"/>
                              </a:lnTo>
                              <a:lnTo>
                                <a:pt x="7550841" y="3886786"/>
                              </a:lnTo>
                              <a:lnTo>
                                <a:pt x="7550841" y="5540012"/>
                              </a:lnTo>
                              <a:lnTo>
                                <a:pt x="7449582" y="5641134"/>
                              </a:lnTo>
                              <a:lnTo>
                                <a:pt x="6759117" y="5641134"/>
                              </a:lnTo>
                              <a:lnTo>
                                <a:pt x="5805660" y="5641134"/>
                              </a:lnTo>
                              <a:lnTo>
                                <a:pt x="5559985" y="5641134"/>
                              </a:lnTo>
                              <a:lnTo>
                                <a:pt x="5115195" y="5641134"/>
                              </a:lnTo>
                              <a:lnTo>
                                <a:pt x="3894784" y="5641134"/>
                              </a:lnTo>
                              <a:lnTo>
                                <a:pt x="3804166" y="5551150"/>
                              </a:lnTo>
                              <a:lnTo>
                                <a:pt x="3804166" y="3897961"/>
                              </a:lnTo>
                              <a:close/>
                              <a:moveTo>
                                <a:pt x="1991217" y="3796819"/>
                              </a:moveTo>
                              <a:lnTo>
                                <a:pt x="3656417" y="3796819"/>
                              </a:lnTo>
                              <a:lnTo>
                                <a:pt x="3747036" y="3897961"/>
                              </a:lnTo>
                              <a:lnTo>
                                <a:pt x="3747036" y="5551150"/>
                              </a:lnTo>
                              <a:lnTo>
                                <a:pt x="3656417" y="5641134"/>
                              </a:lnTo>
                              <a:lnTo>
                                <a:pt x="1991217" y="5641134"/>
                              </a:lnTo>
                              <a:lnTo>
                                <a:pt x="1900599" y="5551150"/>
                              </a:lnTo>
                              <a:lnTo>
                                <a:pt x="1900599" y="3897961"/>
                              </a:lnTo>
                              <a:close/>
                              <a:moveTo>
                                <a:pt x="90980" y="3796819"/>
                              </a:moveTo>
                              <a:lnTo>
                                <a:pt x="1756180" y="3796819"/>
                              </a:lnTo>
                              <a:lnTo>
                                <a:pt x="1846799" y="3886785"/>
                              </a:lnTo>
                              <a:lnTo>
                                <a:pt x="1846799" y="5540011"/>
                              </a:lnTo>
                              <a:lnTo>
                                <a:pt x="1756180" y="5641134"/>
                              </a:lnTo>
                              <a:lnTo>
                                <a:pt x="90980" y="5641134"/>
                              </a:lnTo>
                              <a:lnTo>
                                <a:pt x="361" y="5540011"/>
                              </a:lnTo>
                              <a:lnTo>
                                <a:pt x="361" y="3886785"/>
                              </a:lnTo>
                              <a:close/>
                              <a:moveTo>
                                <a:pt x="90009" y="0"/>
                              </a:moveTo>
                              <a:lnTo>
                                <a:pt x="3645017" y="0"/>
                              </a:lnTo>
                              <a:lnTo>
                                <a:pt x="3735026" y="90009"/>
                              </a:lnTo>
                              <a:lnTo>
                                <a:pt x="3735026" y="1226288"/>
                              </a:lnTo>
                              <a:lnTo>
                                <a:pt x="3735026" y="1744021"/>
                              </a:lnTo>
                              <a:lnTo>
                                <a:pt x="3735026" y="1991367"/>
                              </a:lnTo>
                              <a:lnTo>
                                <a:pt x="3735026" y="2879939"/>
                              </a:lnTo>
                              <a:lnTo>
                                <a:pt x="3735026" y="3633858"/>
                              </a:lnTo>
                              <a:lnTo>
                                <a:pt x="3645017" y="3735028"/>
                              </a:lnTo>
                              <a:lnTo>
                                <a:pt x="2689118" y="3735028"/>
                              </a:lnTo>
                              <a:lnTo>
                                <a:pt x="1991366" y="3735028"/>
                              </a:lnTo>
                              <a:lnTo>
                                <a:pt x="1744020" y="3735028"/>
                              </a:lnTo>
                              <a:lnTo>
                                <a:pt x="1035107" y="3735028"/>
                              </a:lnTo>
                              <a:lnTo>
                                <a:pt x="90009" y="3735028"/>
                              </a:lnTo>
                              <a:lnTo>
                                <a:pt x="0" y="3633858"/>
                              </a:lnTo>
                              <a:lnTo>
                                <a:pt x="0" y="2879939"/>
                              </a:lnTo>
                              <a:lnTo>
                                <a:pt x="0" y="1991367"/>
                              </a:lnTo>
                              <a:lnTo>
                                <a:pt x="0" y="1744021"/>
                              </a:lnTo>
                              <a:lnTo>
                                <a:pt x="0" y="1226288"/>
                              </a:lnTo>
                              <a:lnTo>
                                <a:pt x="0" y="90009"/>
                              </a:lnTo>
                              <a:close/>
                            </a:path>
                          </a:pathLst>
                        </a:custGeom>
                        <a:solidFill>
                          <a:srgbClr val="9FB76F"/>
                        </a:solidFill>
                        <a:ln>
                          <a:noFill/>
                        </a:ln>
                        <a:effectLst/>
                      </wps:spPr>
                      <wps:bodyPr wrap="square" anchor="ctr">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svg="http://schemas.microsoft.com/office/drawing/2016/SVG/main" xmlns:a16="http://schemas.microsoft.com/office/drawing/2014/main" xmlns:a14="http://schemas.microsoft.com/office/drawing/2010/main" xmlns:arto="http://schemas.microsoft.com/office/word/2006/arto">
            <w:pict w14:anchorId="183B2630">
              <v:shape id="Freeform: Shape 15" style="position:absolute;margin-left:-1.5pt;margin-top:70.35pt;width:487.55pt;height:48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coordsize="7550841,7542959" o:spid="_x0000_s1026" fillcolor="#9fb76f" stroked="f" path="m5805660,5698644r1643922,l7550841,5788610r,1653226l7449582,7542959r-1643922,l5704401,7441836r,-1653226l5805660,5698644xm3894784,5698644r1665201,l5650604,5788610r,1653226l5559985,7542959r-1665201,l3804166,7441836r,-1653226l3894784,5698644xm2001855,5698644r1643922,l3747036,5788610r,1653226l3645777,7542959r-1643922,l1900596,7441836r,-1653226l2001855,5698644xm3894784,3796819r1220411,l5559985,3796819r245675,l6759117,3796819r690465,l7550841,3886786r,1653226l7449582,5641134r-690465,l5805660,5641134r-245675,l5115195,5641134r-1220411,l3804166,5551150r,-1653189l3894784,3796819xm1991217,3796819r1665200,l3747036,3897961r,1653189l3656417,5641134r-1665200,l1900599,5551150r,-1653189l1991217,3796819xm90980,3796819r1665200,l1846799,3886785r,1653226l1756180,5641134r-1665200,l361,5540011r,-1653226l90980,3796819xm90009,l3645017,r90009,90009l3735026,1226288r,517733l3735026,1991367r,888572l3735026,3633858r-90009,101170l2689118,3735028r-697752,l1744020,3735028r-708913,l90009,3735028,,3633858,,2879939,,1991367,,1744021,,1226288,,90009,9000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" w14:anchorId="66871CE3">
                <v:path arrowok="t" o:connecttype="custom" o:connectlocs="4760880,4672891;6108963,4672891;6192000,4746663;6192000,6102309;6108963,6185230;4760880,6185230;4677843,6102309;4677843,4746663;3193883,4672891;4559416,4672891;4633728,4746663;4633728,6102309;4559416,6185230;3193883,6185230;3119572,6102309;3119572,4746663;1641603,4672891;2989687,4672891;3072724,4746663;3072724,6102309;2989687,6185230;1641603,6185230;1558567,6102309;1558567,4746663;3193883,3113393;4194670,3113393;4559416,3113393;4760880,3113393;5542754,3113393;6108963,3113393;6192000,3187166;6192000,4542812;6108963,4625733;5542754,4625733;4760880,4625733;4559416,4625733;4194670,4625733;3193883,4625733;3119572,4551946;3119572,3196330;1632880,3113393;2998412,3113393;3072724,3196330;3072724,4551946;2998412,4625733;1632880,4625733;1558569,4551946;1558569,3196330;74607,3113393;1440140,3113393;1514451,3187166;1514451,4542812;1440140,4625733;74607,4625733;296,4542812;296,3187166;73811,0;2989064,0;3062875,73807;3062875,1005557;3062875,1430098;3062875,1632922;3062875,2361551;3062875,2979765;2989064,3062725;2205187,3062725;1633002,3062725;1430168,3062725;848830,3062725;73811,3062725;0,2979765;0,2361551;0,1632922;0,1430098;0,1005557;0,73807" o:connectangles="0,0,0,0,0,0,0,0,0,0,0,0,0,0,0,0,0,0,0,0,0,0,0,0,0,0,0,0,0,0,0,0,0,0,0,0,0,0,0,0,0,0,0,0,0,0,0,0,0,0,0,0,0,0,0,0,0,0,0,0,0,0,0,0,0,0,0,0,0,0,0,0,0,0,0,0"/>
                <o:lock v:ext="edit" aspectratio="t"/>
              </v:shape>
            </w:pict>
          </mc:Fallback>
        </mc:AlternateContent>
      </w:r>
      <w:r w:rsidR="00587B81" w:rsidRPr="00587B81">
        <w:rPr>
          <w:rFonts w:asciiTheme="minorHAnsi" w:hAnsiTheme="minorHAnsi"/>
          <w:sz w:val="44"/>
          <w:szCs w:val="44"/>
        </w:rPr>
        <w:t>Estimating emissions and energy from wastewater handling (domestic and commercial</w:t>
      </w:r>
      <w:r w:rsidR="009B4561">
        <w:rPr>
          <w:rFonts w:asciiTheme="minorHAnsi" w:hAnsiTheme="minorHAnsi"/>
          <w:sz w:val="44"/>
          <w:szCs w:val="44"/>
        </w:rPr>
        <w:t>,</w:t>
      </w:r>
      <w:r w:rsidR="00587B81" w:rsidRPr="00587B81">
        <w:rPr>
          <w:rFonts w:asciiTheme="minorHAnsi" w:hAnsiTheme="minorHAnsi"/>
          <w:sz w:val="44"/>
          <w:szCs w:val="44"/>
        </w:rPr>
        <w:t xml:space="preserve"> and industrial) guideline</w:t>
      </w:r>
    </w:p>
    <w:p w14:paraId="3B543F96" w14:textId="7D2B44F2" w:rsidR="003A5739" w:rsidRPr="00531F3B" w:rsidRDefault="00880C7D" w:rsidP="001813DE">
      <w:pPr>
        <w:pStyle w:val="BodyText1"/>
        <w:tabs>
          <w:tab w:val="left" w:pos="3969"/>
        </w:tabs>
        <w:ind w:left="5103" w:right="101"/>
      </w:pPr>
      <w:r>
        <w:t xml:space="preserve">July </w:t>
      </w:r>
      <w:r w:rsidR="0068486A">
        <w:t>202</w:t>
      </w:r>
      <w:r w:rsidR="0023575D">
        <w:t>6</w:t>
      </w:r>
    </w:p>
    <w:p w14:paraId="6519C78F" w14:textId="03C371E9" w:rsidR="00235142" w:rsidRPr="00874B8F" w:rsidRDefault="00346AEF" w:rsidP="009B4561">
      <w:pPr>
        <w:pStyle w:val="Contents"/>
      </w:pPr>
      <w:bookmarkStart w:id="0" w:name="_Toc108024292"/>
      <w:bookmarkStart w:id="1" w:name="_Toc138065284"/>
      <w:r>
        <w:rPr>
          <w:noProof/>
        </w:rPr>
        <w:drawing>
          <wp:anchor distT="0" distB="0" distL="114300" distR="114300" simplePos="0" relativeHeight="251658243" behindDoc="0" locked="0" layoutInCell="1" allowOverlap="1" wp14:anchorId="68F54FFC" wp14:editId="5A2FA83C">
            <wp:simplePos x="0" y="0"/>
            <wp:positionH relativeFrom="column">
              <wp:posOffset>1619250</wp:posOffset>
            </wp:positionH>
            <wp:positionV relativeFrom="page">
              <wp:posOffset>6944995</wp:posOffset>
            </wp:positionV>
            <wp:extent cx="1327785" cy="1306195"/>
            <wp:effectExtent l="0" t="0" r="0" b="0"/>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11">
                      <a:duotone>
                        <a:prstClr val="black"/>
                        <a:schemeClr val="accent1">
                          <a:lumMod val="60000"/>
                          <a:lumOff val="40000"/>
                          <a:tint val="45000"/>
                          <a:satMod val="400000"/>
                        </a:schemeClr>
                      </a:duotone>
                      <a:extLst>
                        <a:ext uri="{BEBA8EAE-BF5A-486C-A8C5-ECC9F3942E4B}">
                          <a14:imgProps xmlns:a14="http://schemas.microsoft.com/office/drawing/2010/main">
                            <a14:imgLayer r:embed="rId12">
                              <a14:imgEffect>
                                <a14:colorTemperature colorTemp="11200"/>
                              </a14:imgEffect>
                              <a14:imgEffect>
                                <a14:saturation sat="400000"/>
                              </a14:imgEffect>
                            </a14:imgLayer>
                          </a14:imgProps>
                        </a:ext>
                      </a:extLst>
                    </a:blip>
                    <a:stretch>
                      <a:fillRect/>
                    </a:stretch>
                  </pic:blipFill>
                  <pic:spPr>
                    <a:xfrm>
                      <a:off x="0" y="0"/>
                      <a:ext cx="1327785" cy="1306195"/>
                    </a:xfrm>
                    <a:prstGeom prst="rect">
                      <a:avLst/>
                    </a:prstGeom>
                  </pic:spPr>
                </pic:pic>
              </a:graphicData>
            </a:graphic>
            <wp14:sizeRelH relativeFrom="page">
              <wp14:pctWidth>0</wp14:pctWidth>
            </wp14:sizeRelH>
            <wp14:sizeRelV relativeFrom="page">
              <wp14:pctHeight>0</wp14:pctHeight>
            </wp14:sizeRelV>
          </wp:anchor>
        </w:drawing>
      </w:r>
      <w:r w:rsidR="00166FC1">
        <w:rPr>
          <w:noProof/>
        </w:rPr>
        <w:drawing>
          <wp:anchor distT="0" distB="0" distL="114300" distR="114300" simplePos="0" relativeHeight="251658247" behindDoc="0" locked="0" layoutInCell="1" allowOverlap="1" wp14:anchorId="1F99CBE1" wp14:editId="639DA6C4">
            <wp:simplePos x="0" y="0"/>
            <wp:positionH relativeFrom="column">
              <wp:posOffset>4772025</wp:posOffset>
            </wp:positionH>
            <wp:positionV relativeFrom="page">
              <wp:posOffset>6929120</wp:posOffset>
            </wp:positionV>
            <wp:extent cx="1328400" cy="1328400"/>
            <wp:effectExtent l="0" t="0" r="5715" b="0"/>
            <wp:wrapNone/>
            <wp:docPr id="27" name="Graphic 27" descr="Bulldozer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Bulldozer outline">
                      <a:extLst>
                        <a:ext uri="{C183D7F6-B498-43B3-948B-1728B52AA6E4}">
                          <adec:decorative xmlns:adec="http://schemas.microsoft.com/office/drawing/2017/decorative" val="1"/>
                        </a:ext>
                      </a:extLst>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sidR="0048085B">
        <w:rPr>
          <w:noProof/>
        </w:rPr>
        <w:drawing>
          <wp:anchor distT="0" distB="0" distL="114300" distR="114300" simplePos="0" relativeHeight="251658246" behindDoc="0" locked="0" layoutInCell="1" allowOverlap="1" wp14:anchorId="321350E1" wp14:editId="4D7A4014">
            <wp:simplePos x="0" y="0"/>
            <wp:positionH relativeFrom="column">
              <wp:posOffset>3848100</wp:posOffset>
            </wp:positionH>
            <wp:positionV relativeFrom="page">
              <wp:posOffset>5262245</wp:posOffset>
            </wp:positionV>
            <wp:extent cx="1419860" cy="1419860"/>
            <wp:effectExtent l="0" t="0" r="8890" b="0"/>
            <wp:wrapNone/>
            <wp:docPr id="20" name="Graphic 20" descr="Solar Panels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olar Panels outline">
                      <a:extLst>
                        <a:ext uri="{C183D7F6-B498-43B3-948B-1728B52AA6E4}">
                          <adec:decorative xmlns:adec="http://schemas.microsoft.com/office/drawing/2017/decorative" val="1"/>
                        </a:ext>
                      </a:extLst>
                    </pic:cNvPr>
                    <pic:cNvPicPr/>
                  </pic:nvPicPr>
                  <pic:blipFill>
                    <a:blip r:embed="rId15">
                      <a:extLst>
                        <a:ext uri="{96DAC541-7B7A-43D3-8B79-37D633B846F1}">
                          <asvg:svgBlip xmlns:asvg="http://schemas.microsoft.com/office/drawing/2016/SVG/main" r:embed="rId16"/>
                        </a:ext>
                      </a:extLst>
                    </a:blip>
                    <a:stretch>
                      <a:fillRect/>
                    </a:stretch>
                  </pic:blipFill>
                  <pic:spPr>
                    <a:xfrm>
                      <a:off x="0" y="0"/>
                      <a:ext cx="1419860" cy="1419860"/>
                    </a:xfrm>
                    <a:prstGeom prst="rect">
                      <a:avLst/>
                    </a:prstGeom>
                  </pic:spPr>
                </pic:pic>
              </a:graphicData>
            </a:graphic>
            <wp14:sizeRelH relativeFrom="page">
              <wp14:pctWidth>0</wp14:pctWidth>
            </wp14:sizeRelH>
            <wp14:sizeRelV relativeFrom="page">
              <wp14:pctHeight>0</wp14:pctHeight>
            </wp14:sizeRelV>
          </wp:anchor>
        </w:drawing>
      </w:r>
      <w:r w:rsidR="00B45921">
        <w:rPr>
          <w:noProof/>
        </w:rPr>
        <w:drawing>
          <wp:anchor distT="0" distB="0" distL="114300" distR="114300" simplePos="0" relativeHeight="251658245" behindDoc="0" locked="0" layoutInCell="1" allowOverlap="1" wp14:anchorId="51D0E73D" wp14:editId="4687BAD5">
            <wp:simplePos x="0" y="0"/>
            <wp:positionH relativeFrom="column">
              <wp:posOffset>1657350</wp:posOffset>
            </wp:positionH>
            <wp:positionV relativeFrom="page">
              <wp:posOffset>5367020</wp:posOffset>
            </wp:positionV>
            <wp:extent cx="1327785" cy="1327785"/>
            <wp:effectExtent l="0" t="0" r="0" b="0"/>
            <wp:wrapNone/>
            <wp:docPr id="18" name="Graphic 18" descr="Factory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actory outline">
                      <a:extLst>
                        <a:ext uri="{C183D7F6-B498-43B3-948B-1728B52AA6E4}">
                          <adec:decorative xmlns:adec="http://schemas.microsoft.com/office/drawing/2017/decorative" val="1"/>
                        </a:ext>
                      </a:extLst>
                    </pic:cNvPr>
                    <pic:cNvPicPr/>
                  </pic:nvPicPr>
                  <pic:blipFill>
                    <a:blip r:embed="rId17">
                      <a:extLst>
                        <a:ext uri="{96DAC541-7B7A-43D3-8B79-37D633B846F1}">
                          <asvg:svgBlip xmlns:asvg="http://schemas.microsoft.com/office/drawing/2016/SVG/main" r:embed="rId18"/>
                        </a:ext>
                      </a:extLst>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sidR="00B16D30">
        <w:rPr>
          <w:noProof/>
        </w:rPr>
        <w:drawing>
          <wp:anchor distT="0" distB="0" distL="114300" distR="114300" simplePos="0" relativeHeight="251658241" behindDoc="0" locked="0" layoutInCell="1" allowOverlap="1" wp14:anchorId="4B5271F4" wp14:editId="35E4E506">
            <wp:simplePos x="0" y="0"/>
            <wp:positionH relativeFrom="column">
              <wp:posOffset>76200</wp:posOffset>
            </wp:positionH>
            <wp:positionV relativeFrom="page">
              <wp:posOffset>5372100</wp:posOffset>
            </wp:positionV>
            <wp:extent cx="1327785" cy="1327785"/>
            <wp:effectExtent l="0" t="0" r="5715" b="0"/>
            <wp:wrapNone/>
            <wp:docPr id="16" name="Graphic 16" descr="Power Plant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Power Plant outline">
                      <a:extLst>
                        <a:ext uri="{C183D7F6-B498-43B3-948B-1728B52AA6E4}">
                          <adec:decorative xmlns:adec="http://schemas.microsoft.com/office/drawing/2017/decorative" val="1"/>
                        </a:ext>
                      </a:extLst>
                    </pic:cNvPr>
                    <pic:cNvPicPr/>
                  </pic:nvPicPr>
                  <pic:blipFill>
                    <a:blip r:embed="rId19">
                      <a:extLst>
                        <a:ext uri="{96DAC541-7B7A-43D3-8B79-37D633B846F1}">
                          <asvg:svgBlip xmlns:asvg="http://schemas.microsoft.com/office/drawing/2016/SVG/main" r:embed="rId20"/>
                        </a:ext>
                      </a:extLst>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sidR="00B16D30">
        <w:rPr>
          <w:noProof/>
        </w:rPr>
        <w:drawing>
          <wp:anchor distT="0" distB="0" distL="114300" distR="114300" simplePos="0" relativeHeight="251658244" behindDoc="0" locked="0" layoutInCell="1" allowOverlap="1" wp14:anchorId="27AA53C8" wp14:editId="3178DEBE">
            <wp:simplePos x="0" y="0"/>
            <wp:positionH relativeFrom="column">
              <wp:posOffset>3197923</wp:posOffset>
            </wp:positionH>
            <wp:positionV relativeFrom="page">
              <wp:posOffset>6931025</wp:posOffset>
            </wp:positionV>
            <wp:extent cx="1328400" cy="1328400"/>
            <wp:effectExtent l="0" t="0" r="0" b="0"/>
            <wp:wrapNone/>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pic:nvPicPr>
                  <pic:blipFill>
                    <a:blip r:embed="rId21">
                      <a:duotone>
                        <a:prstClr val="black"/>
                        <a:schemeClr val="accent1">
                          <a:lumMod val="40000"/>
                          <a:lumOff val="60000"/>
                          <a:tint val="45000"/>
                          <a:satMod val="400000"/>
                        </a:schemeClr>
                      </a:duotone>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sidR="003A5739" w:rsidRPr="00531F3B">
        <w:br w:type="page"/>
      </w:r>
      <w:bookmarkStart w:id="2" w:name="_Toc447009035"/>
      <w:bookmarkStart w:id="3" w:name="_Toc413749884"/>
      <w:r w:rsidR="00235142" w:rsidRPr="00874B8F">
        <w:lastRenderedPageBreak/>
        <w:t>Contents</w:t>
      </w:r>
      <w:bookmarkEnd w:id="0"/>
      <w:bookmarkEnd w:id="1"/>
    </w:p>
    <w:p w14:paraId="6BBDFEDD" w14:textId="089EA209" w:rsidR="006D7BCF" w:rsidRDefault="00235142">
      <w:pPr>
        <w:pStyle w:val="TOC1"/>
        <w:rPr>
          <w:rFonts w:eastAsiaTheme="minorEastAsia" w:cstheme="minorBidi"/>
          <w:b w:val="0"/>
          <w:noProof/>
          <w:color w:val="auto"/>
          <w:kern w:val="2"/>
          <w:sz w:val="24"/>
          <w:lang w:eastAsia="en-AU"/>
          <w14:ligatures w14:val="standardContextual"/>
        </w:rPr>
      </w:pPr>
      <w:r>
        <w:fldChar w:fldCharType="begin"/>
      </w:r>
      <w:r>
        <w:instrText xml:space="preserve"> TOC  \* MERGEFORMAT </w:instrText>
      </w:r>
      <w:r>
        <w:fldChar w:fldCharType="separate"/>
      </w:r>
      <w:r w:rsidR="006D7BCF">
        <w:rPr>
          <w:noProof/>
        </w:rPr>
        <w:t>Definitions and abbreviations</w:t>
      </w:r>
      <w:r w:rsidR="006D7BCF">
        <w:rPr>
          <w:noProof/>
        </w:rPr>
        <w:tab/>
      </w:r>
      <w:r w:rsidR="006D7BCF">
        <w:rPr>
          <w:noProof/>
        </w:rPr>
        <w:fldChar w:fldCharType="begin"/>
      </w:r>
      <w:r w:rsidR="006D7BCF">
        <w:rPr>
          <w:noProof/>
        </w:rPr>
        <w:instrText xml:space="preserve"> PAGEREF _Toc235611532 \h </w:instrText>
      </w:r>
      <w:r w:rsidR="006D7BCF">
        <w:rPr>
          <w:noProof/>
        </w:rPr>
      </w:r>
      <w:r w:rsidR="006D7BCF">
        <w:rPr>
          <w:noProof/>
        </w:rPr>
        <w:fldChar w:fldCharType="separate"/>
      </w:r>
      <w:r w:rsidR="006D7BCF">
        <w:rPr>
          <w:noProof/>
        </w:rPr>
        <w:t>3</w:t>
      </w:r>
      <w:r w:rsidR="006D7BCF">
        <w:rPr>
          <w:noProof/>
        </w:rPr>
        <w:fldChar w:fldCharType="end"/>
      </w:r>
    </w:p>
    <w:p w14:paraId="72E755F3" w14:textId="430DF7C3" w:rsidR="006D7BCF" w:rsidRDefault="006D7BCF">
      <w:pPr>
        <w:pStyle w:val="TOC1"/>
        <w:rPr>
          <w:rFonts w:eastAsiaTheme="minorEastAsia" w:cstheme="minorBidi"/>
          <w:b w:val="0"/>
          <w:noProof/>
          <w:color w:val="auto"/>
          <w:kern w:val="2"/>
          <w:sz w:val="24"/>
          <w:lang w:eastAsia="en-AU"/>
          <w14:ligatures w14:val="standardContextual"/>
        </w:rPr>
      </w:pPr>
      <w:r w:rsidRPr="00313901">
        <w:rPr>
          <w:noProof/>
          <w:lang w:val="en-GB"/>
        </w:rPr>
        <w:t>Disclaimer</w:t>
      </w:r>
      <w:r>
        <w:rPr>
          <w:noProof/>
        </w:rPr>
        <w:tab/>
      </w:r>
      <w:r>
        <w:rPr>
          <w:noProof/>
        </w:rPr>
        <w:fldChar w:fldCharType="begin"/>
      </w:r>
      <w:r>
        <w:rPr>
          <w:noProof/>
        </w:rPr>
        <w:instrText xml:space="preserve"> PAGEREF _Toc235611533 \h </w:instrText>
      </w:r>
      <w:r>
        <w:rPr>
          <w:noProof/>
        </w:rPr>
      </w:r>
      <w:r>
        <w:rPr>
          <w:noProof/>
        </w:rPr>
        <w:fldChar w:fldCharType="separate"/>
      </w:r>
      <w:r>
        <w:rPr>
          <w:noProof/>
        </w:rPr>
        <w:t>4</w:t>
      </w:r>
      <w:r>
        <w:rPr>
          <w:noProof/>
        </w:rPr>
        <w:fldChar w:fldCharType="end"/>
      </w:r>
    </w:p>
    <w:p w14:paraId="2FD93A3F" w14:textId="73961E99" w:rsidR="006D7BCF" w:rsidRDefault="006D7BCF">
      <w:pPr>
        <w:pStyle w:val="TOC1"/>
        <w:rPr>
          <w:rFonts w:eastAsiaTheme="minorEastAsia" w:cstheme="minorBidi"/>
          <w:b w:val="0"/>
          <w:noProof/>
          <w:color w:val="auto"/>
          <w:kern w:val="2"/>
          <w:sz w:val="24"/>
          <w:lang w:eastAsia="en-AU"/>
          <w14:ligatures w14:val="standardContextual"/>
        </w:rPr>
      </w:pPr>
      <w:r>
        <w:rPr>
          <w:noProof/>
        </w:rPr>
        <w:t>2025-26 updates</w:t>
      </w:r>
      <w:r>
        <w:rPr>
          <w:noProof/>
        </w:rPr>
        <w:tab/>
      </w:r>
      <w:r>
        <w:rPr>
          <w:noProof/>
        </w:rPr>
        <w:fldChar w:fldCharType="begin"/>
      </w:r>
      <w:r>
        <w:rPr>
          <w:noProof/>
        </w:rPr>
        <w:instrText xml:space="preserve"> PAGEREF _Toc235611534 \h </w:instrText>
      </w:r>
      <w:r>
        <w:rPr>
          <w:noProof/>
        </w:rPr>
      </w:r>
      <w:r>
        <w:rPr>
          <w:noProof/>
        </w:rPr>
        <w:fldChar w:fldCharType="separate"/>
      </w:r>
      <w:r>
        <w:rPr>
          <w:noProof/>
        </w:rPr>
        <w:t>5</w:t>
      </w:r>
      <w:r>
        <w:rPr>
          <w:noProof/>
        </w:rPr>
        <w:fldChar w:fldCharType="end"/>
      </w:r>
    </w:p>
    <w:p w14:paraId="3B9C5D2D" w14:textId="445DECB3" w:rsidR="006D7BCF" w:rsidRDefault="006D7BCF">
      <w:pPr>
        <w:pStyle w:val="TOC1"/>
        <w:rPr>
          <w:rFonts w:eastAsiaTheme="minorEastAsia" w:cstheme="minorBidi"/>
          <w:b w:val="0"/>
          <w:noProof/>
          <w:color w:val="auto"/>
          <w:kern w:val="2"/>
          <w:sz w:val="24"/>
          <w:lang w:eastAsia="en-AU"/>
          <w14:ligatures w14:val="standardContextual"/>
        </w:rPr>
      </w:pPr>
      <w:r>
        <w:rPr>
          <w:noProof/>
        </w:rPr>
        <w:t>1. Purpose of this guideline</w:t>
      </w:r>
      <w:r>
        <w:rPr>
          <w:noProof/>
        </w:rPr>
        <w:tab/>
      </w:r>
      <w:r>
        <w:rPr>
          <w:noProof/>
        </w:rPr>
        <w:fldChar w:fldCharType="begin"/>
      </w:r>
      <w:r>
        <w:rPr>
          <w:noProof/>
        </w:rPr>
        <w:instrText xml:space="preserve"> PAGEREF _Toc235611535 \h </w:instrText>
      </w:r>
      <w:r>
        <w:rPr>
          <w:noProof/>
        </w:rPr>
      </w:r>
      <w:r>
        <w:rPr>
          <w:noProof/>
        </w:rPr>
        <w:fldChar w:fldCharType="separate"/>
      </w:r>
      <w:r>
        <w:rPr>
          <w:noProof/>
        </w:rPr>
        <w:t>5</w:t>
      </w:r>
      <w:r>
        <w:rPr>
          <w:noProof/>
        </w:rPr>
        <w:fldChar w:fldCharType="end"/>
      </w:r>
    </w:p>
    <w:p w14:paraId="78AF5C77" w14:textId="744807C2" w:rsidR="006D7BCF" w:rsidRDefault="006D7BCF">
      <w:pPr>
        <w:pStyle w:val="TOC2"/>
        <w:tabs>
          <w:tab w:val="left" w:pos="960"/>
          <w:tab w:val="right" w:leader="dot" w:pos="9730"/>
        </w:tabs>
        <w:rPr>
          <w:rFonts w:eastAsiaTheme="minorEastAsia" w:cstheme="minorBidi"/>
          <w:noProof/>
          <w:color w:val="auto"/>
          <w:kern w:val="2"/>
          <w:sz w:val="24"/>
          <w:lang w:eastAsia="en-AU"/>
          <w14:ligatures w14:val="standardContextual"/>
        </w:rPr>
      </w:pPr>
      <w:r w:rsidRPr="00313901">
        <w:rPr>
          <w:rFonts w:ascii="Calibri" w:hAnsi="Calibri"/>
          <w:noProof/>
        </w:rPr>
        <w:t>1.1</w:t>
      </w:r>
      <w:r>
        <w:rPr>
          <w:rFonts w:eastAsiaTheme="minorEastAsia" w:cstheme="minorBidi"/>
          <w:noProof/>
          <w:color w:val="auto"/>
          <w:kern w:val="2"/>
          <w:sz w:val="24"/>
          <w:lang w:eastAsia="en-AU"/>
          <w14:ligatures w14:val="standardContextual"/>
        </w:rPr>
        <w:tab/>
      </w:r>
      <w:r>
        <w:rPr>
          <w:noProof/>
        </w:rPr>
        <w:t>Focus of this guideline</w:t>
      </w:r>
      <w:r>
        <w:rPr>
          <w:noProof/>
        </w:rPr>
        <w:tab/>
      </w:r>
      <w:r>
        <w:rPr>
          <w:noProof/>
        </w:rPr>
        <w:fldChar w:fldCharType="begin"/>
      </w:r>
      <w:r>
        <w:rPr>
          <w:noProof/>
        </w:rPr>
        <w:instrText xml:space="preserve"> PAGEREF _Toc235611536 \h </w:instrText>
      </w:r>
      <w:r>
        <w:rPr>
          <w:noProof/>
        </w:rPr>
      </w:r>
      <w:r>
        <w:rPr>
          <w:noProof/>
        </w:rPr>
        <w:fldChar w:fldCharType="separate"/>
      </w:r>
      <w:r>
        <w:rPr>
          <w:noProof/>
        </w:rPr>
        <w:t>5</w:t>
      </w:r>
      <w:r>
        <w:rPr>
          <w:noProof/>
        </w:rPr>
        <w:fldChar w:fldCharType="end"/>
      </w:r>
    </w:p>
    <w:p w14:paraId="7A7B2841" w14:textId="69D9D922" w:rsidR="006D7BCF" w:rsidRDefault="006D7BCF">
      <w:pPr>
        <w:pStyle w:val="TOC1"/>
        <w:rPr>
          <w:rFonts w:eastAsiaTheme="minorEastAsia" w:cstheme="minorBidi"/>
          <w:b w:val="0"/>
          <w:noProof/>
          <w:color w:val="auto"/>
          <w:kern w:val="2"/>
          <w:sz w:val="24"/>
          <w:lang w:eastAsia="en-AU"/>
          <w14:ligatures w14:val="standardContextual"/>
        </w:rPr>
      </w:pPr>
      <w:r w:rsidRPr="00313901">
        <w:rPr>
          <w:noProof/>
          <w14:scene3d>
            <w14:camera w14:prst="orthographicFront"/>
            <w14:lightRig w14:rig="threePt" w14:dir="t">
              <w14:rot w14:lat="0" w14:lon="0" w14:rev="0"/>
            </w14:lightRig>
          </w14:scene3d>
        </w:rPr>
        <w:t>2.</w:t>
      </w:r>
      <w:r>
        <w:rPr>
          <w:rFonts w:eastAsiaTheme="minorEastAsia" w:cstheme="minorBidi"/>
          <w:b w:val="0"/>
          <w:noProof/>
          <w:color w:val="auto"/>
          <w:kern w:val="2"/>
          <w:sz w:val="24"/>
          <w:lang w:eastAsia="en-AU"/>
          <w14:ligatures w14:val="standardContextual"/>
        </w:rPr>
        <w:tab/>
      </w:r>
      <w:r>
        <w:rPr>
          <w:noProof/>
        </w:rPr>
        <w:t>Good practice reporting of wastewater handling</w:t>
      </w:r>
      <w:r>
        <w:rPr>
          <w:noProof/>
        </w:rPr>
        <w:tab/>
      </w:r>
      <w:r>
        <w:rPr>
          <w:noProof/>
        </w:rPr>
        <w:fldChar w:fldCharType="begin"/>
      </w:r>
      <w:r>
        <w:rPr>
          <w:noProof/>
        </w:rPr>
        <w:instrText xml:space="preserve"> PAGEREF _Toc235611537 \h </w:instrText>
      </w:r>
      <w:r>
        <w:rPr>
          <w:noProof/>
        </w:rPr>
      </w:r>
      <w:r>
        <w:rPr>
          <w:noProof/>
        </w:rPr>
        <w:fldChar w:fldCharType="separate"/>
      </w:r>
      <w:r>
        <w:rPr>
          <w:noProof/>
        </w:rPr>
        <w:t>6</w:t>
      </w:r>
      <w:r>
        <w:rPr>
          <w:noProof/>
        </w:rPr>
        <w:fldChar w:fldCharType="end"/>
      </w:r>
    </w:p>
    <w:p w14:paraId="61C43C86" w14:textId="74B0FE5B" w:rsidR="006D7BCF" w:rsidRDefault="006D7BCF">
      <w:pPr>
        <w:pStyle w:val="TOC1"/>
        <w:rPr>
          <w:rFonts w:eastAsiaTheme="minorEastAsia" w:cstheme="minorBidi"/>
          <w:b w:val="0"/>
          <w:noProof/>
          <w:color w:val="auto"/>
          <w:kern w:val="2"/>
          <w:sz w:val="24"/>
          <w:lang w:eastAsia="en-AU"/>
          <w14:ligatures w14:val="standardContextual"/>
        </w:rPr>
      </w:pPr>
      <w:r w:rsidRPr="00313901">
        <w:rPr>
          <w:noProof/>
          <w14:scene3d>
            <w14:camera w14:prst="orthographicFront"/>
            <w14:lightRig w14:rig="threePt" w14:dir="t">
              <w14:rot w14:lat="0" w14:lon="0" w14:rev="0"/>
            </w14:lightRig>
          </w14:scene3d>
        </w:rPr>
        <w:t>3.</w:t>
      </w:r>
      <w:r>
        <w:rPr>
          <w:rFonts w:eastAsiaTheme="minorEastAsia" w:cstheme="minorBidi"/>
          <w:b w:val="0"/>
          <w:noProof/>
          <w:color w:val="auto"/>
          <w:kern w:val="2"/>
          <w:sz w:val="24"/>
          <w:lang w:eastAsia="en-AU"/>
          <w14:ligatures w14:val="standardContextual"/>
        </w:rPr>
        <w:tab/>
      </w:r>
      <w:r>
        <w:rPr>
          <w:noProof/>
        </w:rPr>
        <w:t>Estimating emissions from wastewater handling (domestic and commercial)</w:t>
      </w:r>
      <w:r>
        <w:rPr>
          <w:noProof/>
        </w:rPr>
        <w:tab/>
      </w:r>
      <w:r>
        <w:rPr>
          <w:noProof/>
        </w:rPr>
        <w:fldChar w:fldCharType="begin"/>
      </w:r>
      <w:r>
        <w:rPr>
          <w:noProof/>
        </w:rPr>
        <w:instrText xml:space="preserve"> PAGEREF _Toc235611538 \h </w:instrText>
      </w:r>
      <w:r>
        <w:rPr>
          <w:noProof/>
        </w:rPr>
      </w:r>
      <w:r>
        <w:rPr>
          <w:noProof/>
        </w:rPr>
        <w:fldChar w:fldCharType="separate"/>
      </w:r>
      <w:r>
        <w:rPr>
          <w:noProof/>
        </w:rPr>
        <w:t>8</w:t>
      </w:r>
      <w:r>
        <w:rPr>
          <w:noProof/>
        </w:rPr>
        <w:fldChar w:fldCharType="end"/>
      </w:r>
    </w:p>
    <w:p w14:paraId="4052C4B6" w14:textId="3242FA3B" w:rsidR="006D7BCF" w:rsidRDefault="006D7BCF">
      <w:pPr>
        <w:pStyle w:val="TOC2"/>
        <w:tabs>
          <w:tab w:val="left" w:pos="960"/>
          <w:tab w:val="right" w:leader="dot" w:pos="9730"/>
        </w:tabs>
        <w:rPr>
          <w:rFonts w:eastAsiaTheme="minorEastAsia" w:cstheme="minorBidi"/>
          <w:noProof/>
          <w:color w:val="auto"/>
          <w:kern w:val="2"/>
          <w:sz w:val="24"/>
          <w:lang w:eastAsia="en-AU"/>
          <w14:ligatures w14:val="standardContextual"/>
        </w:rPr>
      </w:pPr>
      <w:r w:rsidRPr="00313901">
        <w:rPr>
          <w:rFonts w:ascii="Calibri" w:hAnsi="Calibri"/>
          <w:noProof/>
        </w:rPr>
        <w:t>3.1</w:t>
      </w:r>
      <w:r>
        <w:rPr>
          <w:rFonts w:eastAsiaTheme="minorEastAsia" w:cstheme="minorBidi"/>
          <w:noProof/>
          <w:color w:val="auto"/>
          <w:kern w:val="2"/>
          <w:sz w:val="24"/>
          <w:lang w:eastAsia="en-AU"/>
          <w14:ligatures w14:val="standardContextual"/>
        </w:rPr>
        <w:tab/>
      </w:r>
      <w:r>
        <w:rPr>
          <w:noProof/>
        </w:rPr>
        <w:t>Sources of emissions</w:t>
      </w:r>
      <w:r>
        <w:rPr>
          <w:noProof/>
        </w:rPr>
        <w:tab/>
      </w:r>
      <w:r>
        <w:rPr>
          <w:noProof/>
        </w:rPr>
        <w:fldChar w:fldCharType="begin"/>
      </w:r>
      <w:r>
        <w:rPr>
          <w:noProof/>
        </w:rPr>
        <w:instrText xml:space="preserve"> PAGEREF _Toc235611539 \h </w:instrText>
      </w:r>
      <w:r>
        <w:rPr>
          <w:noProof/>
        </w:rPr>
      </w:r>
      <w:r>
        <w:rPr>
          <w:noProof/>
        </w:rPr>
        <w:fldChar w:fldCharType="separate"/>
      </w:r>
      <w:r>
        <w:rPr>
          <w:noProof/>
        </w:rPr>
        <w:t>8</w:t>
      </w:r>
      <w:r>
        <w:rPr>
          <w:noProof/>
        </w:rPr>
        <w:fldChar w:fldCharType="end"/>
      </w:r>
    </w:p>
    <w:p w14:paraId="42514066" w14:textId="19080A5F" w:rsidR="006D7BCF" w:rsidRDefault="006D7BCF">
      <w:pPr>
        <w:pStyle w:val="TOC2"/>
        <w:tabs>
          <w:tab w:val="left" w:pos="960"/>
          <w:tab w:val="right" w:leader="dot" w:pos="9730"/>
        </w:tabs>
        <w:rPr>
          <w:rFonts w:eastAsiaTheme="minorEastAsia" w:cstheme="minorBidi"/>
          <w:noProof/>
          <w:color w:val="auto"/>
          <w:kern w:val="2"/>
          <w:sz w:val="24"/>
          <w:lang w:eastAsia="en-AU"/>
          <w14:ligatures w14:val="standardContextual"/>
        </w:rPr>
      </w:pPr>
      <w:r w:rsidRPr="00313901">
        <w:rPr>
          <w:rFonts w:ascii="Calibri" w:hAnsi="Calibri"/>
          <w:noProof/>
        </w:rPr>
        <w:t>3.2</w:t>
      </w:r>
      <w:r>
        <w:rPr>
          <w:rFonts w:eastAsiaTheme="minorEastAsia" w:cstheme="minorBidi"/>
          <w:noProof/>
          <w:color w:val="auto"/>
          <w:kern w:val="2"/>
          <w:sz w:val="24"/>
          <w:lang w:eastAsia="en-AU"/>
          <w14:ligatures w14:val="standardContextual"/>
        </w:rPr>
        <w:tab/>
      </w:r>
      <w:r w:rsidRPr="00313901">
        <w:rPr>
          <w:noProof/>
        </w:rPr>
        <w:t>Wastewater (Domestic and Commercial) Calculator</w:t>
      </w:r>
      <w:r>
        <w:rPr>
          <w:noProof/>
        </w:rPr>
        <w:tab/>
      </w:r>
      <w:r>
        <w:rPr>
          <w:noProof/>
        </w:rPr>
        <w:fldChar w:fldCharType="begin"/>
      </w:r>
      <w:r>
        <w:rPr>
          <w:noProof/>
        </w:rPr>
        <w:instrText xml:space="preserve"> PAGEREF _Toc235611540 \h </w:instrText>
      </w:r>
      <w:r>
        <w:rPr>
          <w:noProof/>
        </w:rPr>
      </w:r>
      <w:r>
        <w:rPr>
          <w:noProof/>
        </w:rPr>
        <w:fldChar w:fldCharType="separate"/>
      </w:r>
      <w:r>
        <w:rPr>
          <w:noProof/>
        </w:rPr>
        <w:t>9</w:t>
      </w:r>
      <w:r>
        <w:rPr>
          <w:noProof/>
        </w:rPr>
        <w:fldChar w:fldCharType="end"/>
      </w:r>
    </w:p>
    <w:p w14:paraId="4220716E" w14:textId="03382548" w:rsidR="006D7BCF" w:rsidRDefault="006D7BCF">
      <w:pPr>
        <w:pStyle w:val="TOC2"/>
        <w:tabs>
          <w:tab w:val="left" w:pos="960"/>
          <w:tab w:val="right" w:leader="dot" w:pos="9730"/>
        </w:tabs>
        <w:rPr>
          <w:rFonts w:eastAsiaTheme="minorEastAsia" w:cstheme="minorBidi"/>
          <w:noProof/>
          <w:color w:val="auto"/>
          <w:kern w:val="2"/>
          <w:sz w:val="24"/>
          <w:lang w:eastAsia="en-AU"/>
          <w14:ligatures w14:val="standardContextual"/>
        </w:rPr>
      </w:pPr>
      <w:r w:rsidRPr="00313901">
        <w:rPr>
          <w:rFonts w:ascii="Calibri" w:hAnsi="Calibri"/>
          <w:noProof/>
        </w:rPr>
        <w:t>3.3</w:t>
      </w:r>
      <w:r>
        <w:rPr>
          <w:rFonts w:eastAsiaTheme="minorEastAsia" w:cstheme="minorBidi"/>
          <w:noProof/>
          <w:color w:val="auto"/>
          <w:kern w:val="2"/>
          <w:sz w:val="24"/>
          <w:lang w:eastAsia="en-AU"/>
          <w14:ligatures w14:val="standardContextual"/>
        </w:rPr>
        <w:tab/>
      </w:r>
      <w:r w:rsidRPr="00313901">
        <w:rPr>
          <w:noProof/>
        </w:rPr>
        <w:t>Methane emissions from wastewater handling (domestic and commercial)</w:t>
      </w:r>
      <w:r>
        <w:rPr>
          <w:noProof/>
        </w:rPr>
        <w:tab/>
      </w:r>
      <w:r>
        <w:rPr>
          <w:noProof/>
        </w:rPr>
        <w:fldChar w:fldCharType="begin"/>
      </w:r>
      <w:r>
        <w:rPr>
          <w:noProof/>
        </w:rPr>
        <w:instrText xml:space="preserve"> PAGEREF _Toc235611541 \h </w:instrText>
      </w:r>
      <w:r>
        <w:rPr>
          <w:noProof/>
        </w:rPr>
      </w:r>
      <w:r>
        <w:rPr>
          <w:noProof/>
        </w:rPr>
        <w:fldChar w:fldCharType="separate"/>
      </w:r>
      <w:r>
        <w:rPr>
          <w:noProof/>
        </w:rPr>
        <w:t>9</w:t>
      </w:r>
      <w:r>
        <w:rPr>
          <w:noProof/>
        </w:rPr>
        <w:fldChar w:fldCharType="end"/>
      </w:r>
    </w:p>
    <w:p w14:paraId="71AC63C5" w14:textId="02B044E7" w:rsidR="006D7BCF" w:rsidRDefault="006D7BCF">
      <w:pPr>
        <w:pStyle w:val="TOC2"/>
        <w:tabs>
          <w:tab w:val="left" w:pos="960"/>
          <w:tab w:val="right" w:leader="dot" w:pos="9730"/>
        </w:tabs>
        <w:rPr>
          <w:rFonts w:eastAsiaTheme="minorEastAsia" w:cstheme="minorBidi"/>
          <w:noProof/>
          <w:color w:val="auto"/>
          <w:kern w:val="2"/>
          <w:sz w:val="24"/>
          <w:lang w:eastAsia="en-AU"/>
          <w14:ligatures w14:val="standardContextual"/>
        </w:rPr>
      </w:pPr>
      <w:r w:rsidRPr="00313901">
        <w:rPr>
          <w:rFonts w:ascii="Calibri" w:hAnsi="Calibri"/>
          <w:noProof/>
        </w:rPr>
        <w:t>3.4</w:t>
      </w:r>
      <w:r>
        <w:rPr>
          <w:rFonts w:eastAsiaTheme="minorEastAsia" w:cstheme="minorBidi"/>
          <w:noProof/>
          <w:color w:val="auto"/>
          <w:kern w:val="2"/>
          <w:sz w:val="24"/>
          <w:lang w:eastAsia="en-AU"/>
          <w14:ligatures w14:val="standardContextual"/>
        </w:rPr>
        <w:tab/>
      </w:r>
      <w:r w:rsidRPr="00313901">
        <w:rPr>
          <w:noProof/>
        </w:rPr>
        <w:t>Nitrous oxide emissions from wastewater handling (domestic and commercial)</w:t>
      </w:r>
      <w:r>
        <w:rPr>
          <w:noProof/>
        </w:rPr>
        <w:tab/>
      </w:r>
      <w:r>
        <w:rPr>
          <w:noProof/>
        </w:rPr>
        <w:fldChar w:fldCharType="begin"/>
      </w:r>
      <w:r>
        <w:rPr>
          <w:noProof/>
        </w:rPr>
        <w:instrText xml:space="preserve"> PAGEREF _Toc235611542 \h </w:instrText>
      </w:r>
      <w:r>
        <w:rPr>
          <w:noProof/>
        </w:rPr>
      </w:r>
      <w:r>
        <w:rPr>
          <w:noProof/>
        </w:rPr>
        <w:fldChar w:fldCharType="separate"/>
      </w:r>
      <w:r>
        <w:rPr>
          <w:noProof/>
        </w:rPr>
        <w:t>11</w:t>
      </w:r>
      <w:r>
        <w:rPr>
          <w:noProof/>
        </w:rPr>
        <w:fldChar w:fldCharType="end"/>
      </w:r>
    </w:p>
    <w:p w14:paraId="7D7C8276" w14:textId="7CE8B9FB" w:rsidR="006D7BCF" w:rsidRDefault="006D7BCF">
      <w:pPr>
        <w:pStyle w:val="TOC2"/>
        <w:tabs>
          <w:tab w:val="left" w:pos="960"/>
          <w:tab w:val="right" w:leader="dot" w:pos="9730"/>
        </w:tabs>
        <w:rPr>
          <w:rFonts w:eastAsiaTheme="minorEastAsia" w:cstheme="minorBidi"/>
          <w:noProof/>
          <w:color w:val="auto"/>
          <w:kern w:val="2"/>
          <w:sz w:val="24"/>
          <w:lang w:eastAsia="en-AU"/>
          <w14:ligatures w14:val="standardContextual"/>
        </w:rPr>
      </w:pPr>
      <w:r w:rsidRPr="00313901">
        <w:rPr>
          <w:rFonts w:ascii="Calibri" w:hAnsi="Calibri"/>
          <w:noProof/>
        </w:rPr>
        <w:t>3.5</w:t>
      </w:r>
      <w:r>
        <w:rPr>
          <w:rFonts w:eastAsiaTheme="minorEastAsia" w:cstheme="minorBidi"/>
          <w:noProof/>
          <w:color w:val="auto"/>
          <w:kern w:val="2"/>
          <w:sz w:val="24"/>
          <w:lang w:eastAsia="en-AU"/>
          <w14:ligatures w14:val="standardContextual"/>
        </w:rPr>
        <w:tab/>
      </w:r>
      <w:r w:rsidRPr="00313901">
        <w:rPr>
          <w:noProof/>
        </w:rPr>
        <w:t>Wastewater handling (domestic and commercial) - Flaring</w:t>
      </w:r>
      <w:r>
        <w:rPr>
          <w:noProof/>
        </w:rPr>
        <w:tab/>
      </w:r>
      <w:r>
        <w:rPr>
          <w:noProof/>
        </w:rPr>
        <w:fldChar w:fldCharType="begin"/>
      </w:r>
      <w:r>
        <w:rPr>
          <w:noProof/>
        </w:rPr>
        <w:instrText xml:space="preserve"> PAGEREF _Toc235611543 \h </w:instrText>
      </w:r>
      <w:r>
        <w:rPr>
          <w:noProof/>
        </w:rPr>
      </w:r>
      <w:r>
        <w:rPr>
          <w:noProof/>
        </w:rPr>
        <w:fldChar w:fldCharType="separate"/>
      </w:r>
      <w:r>
        <w:rPr>
          <w:noProof/>
        </w:rPr>
        <w:t>12</w:t>
      </w:r>
      <w:r>
        <w:rPr>
          <w:noProof/>
        </w:rPr>
        <w:fldChar w:fldCharType="end"/>
      </w:r>
    </w:p>
    <w:p w14:paraId="2CA5D97C" w14:textId="6AE148B6" w:rsidR="006D7BCF" w:rsidRDefault="006D7BCF">
      <w:pPr>
        <w:pStyle w:val="TOC1"/>
        <w:rPr>
          <w:rFonts w:eastAsiaTheme="minorEastAsia" w:cstheme="minorBidi"/>
          <w:b w:val="0"/>
          <w:noProof/>
          <w:color w:val="auto"/>
          <w:kern w:val="2"/>
          <w:sz w:val="24"/>
          <w:lang w:eastAsia="en-AU"/>
          <w14:ligatures w14:val="standardContextual"/>
        </w:rPr>
      </w:pPr>
      <w:r w:rsidRPr="00313901">
        <w:rPr>
          <w:noProof/>
          <w14:scene3d>
            <w14:camera w14:prst="orthographicFront"/>
            <w14:lightRig w14:rig="threePt" w14:dir="t">
              <w14:rot w14:lat="0" w14:lon="0" w14:rev="0"/>
            </w14:lightRig>
          </w14:scene3d>
        </w:rPr>
        <w:t>4.</w:t>
      </w:r>
      <w:r>
        <w:rPr>
          <w:rFonts w:eastAsiaTheme="minorEastAsia" w:cstheme="minorBidi"/>
          <w:b w:val="0"/>
          <w:noProof/>
          <w:color w:val="auto"/>
          <w:kern w:val="2"/>
          <w:sz w:val="24"/>
          <w:lang w:eastAsia="en-AU"/>
          <w14:ligatures w14:val="standardContextual"/>
        </w:rPr>
        <w:tab/>
      </w:r>
      <w:r>
        <w:rPr>
          <w:noProof/>
        </w:rPr>
        <w:t>Estimating emissions from wastewater handling (industrial)</w:t>
      </w:r>
      <w:r>
        <w:rPr>
          <w:noProof/>
        </w:rPr>
        <w:tab/>
      </w:r>
      <w:r>
        <w:rPr>
          <w:noProof/>
        </w:rPr>
        <w:fldChar w:fldCharType="begin"/>
      </w:r>
      <w:r>
        <w:rPr>
          <w:noProof/>
        </w:rPr>
        <w:instrText xml:space="preserve"> PAGEREF _Toc235611544 \h </w:instrText>
      </w:r>
      <w:r>
        <w:rPr>
          <w:noProof/>
        </w:rPr>
      </w:r>
      <w:r>
        <w:rPr>
          <w:noProof/>
        </w:rPr>
        <w:fldChar w:fldCharType="separate"/>
      </w:r>
      <w:r>
        <w:rPr>
          <w:noProof/>
        </w:rPr>
        <w:t>12</w:t>
      </w:r>
      <w:r>
        <w:rPr>
          <w:noProof/>
        </w:rPr>
        <w:fldChar w:fldCharType="end"/>
      </w:r>
    </w:p>
    <w:p w14:paraId="7195442F" w14:textId="65B84DAC" w:rsidR="006D7BCF" w:rsidRDefault="006D7BCF">
      <w:pPr>
        <w:pStyle w:val="TOC2"/>
        <w:tabs>
          <w:tab w:val="left" w:pos="960"/>
          <w:tab w:val="right" w:leader="dot" w:pos="9730"/>
        </w:tabs>
        <w:rPr>
          <w:rFonts w:eastAsiaTheme="minorEastAsia" w:cstheme="minorBidi"/>
          <w:noProof/>
          <w:color w:val="auto"/>
          <w:kern w:val="2"/>
          <w:sz w:val="24"/>
          <w:lang w:eastAsia="en-AU"/>
          <w14:ligatures w14:val="standardContextual"/>
        </w:rPr>
      </w:pPr>
      <w:r w:rsidRPr="00313901">
        <w:rPr>
          <w:rFonts w:ascii="Calibri" w:hAnsi="Calibri"/>
          <w:noProof/>
        </w:rPr>
        <w:t>4.1</w:t>
      </w:r>
      <w:r>
        <w:rPr>
          <w:rFonts w:eastAsiaTheme="minorEastAsia" w:cstheme="minorBidi"/>
          <w:noProof/>
          <w:color w:val="auto"/>
          <w:kern w:val="2"/>
          <w:sz w:val="24"/>
          <w:lang w:eastAsia="en-AU"/>
          <w14:ligatures w14:val="standardContextual"/>
        </w:rPr>
        <w:tab/>
      </w:r>
      <w:r>
        <w:rPr>
          <w:noProof/>
        </w:rPr>
        <w:t>Sources of emissions</w:t>
      </w:r>
      <w:r>
        <w:rPr>
          <w:noProof/>
        </w:rPr>
        <w:tab/>
      </w:r>
      <w:r>
        <w:rPr>
          <w:noProof/>
        </w:rPr>
        <w:fldChar w:fldCharType="begin"/>
      </w:r>
      <w:r>
        <w:rPr>
          <w:noProof/>
        </w:rPr>
        <w:instrText xml:space="preserve"> PAGEREF _Toc235611545 \h </w:instrText>
      </w:r>
      <w:r>
        <w:rPr>
          <w:noProof/>
        </w:rPr>
      </w:r>
      <w:r>
        <w:rPr>
          <w:noProof/>
        </w:rPr>
        <w:fldChar w:fldCharType="separate"/>
      </w:r>
      <w:r>
        <w:rPr>
          <w:noProof/>
        </w:rPr>
        <w:t>12</w:t>
      </w:r>
      <w:r>
        <w:rPr>
          <w:noProof/>
        </w:rPr>
        <w:fldChar w:fldCharType="end"/>
      </w:r>
    </w:p>
    <w:p w14:paraId="0665ACA0" w14:textId="193D4AFC" w:rsidR="006D7BCF" w:rsidRDefault="006D7BCF">
      <w:pPr>
        <w:pStyle w:val="TOC2"/>
        <w:tabs>
          <w:tab w:val="left" w:pos="960"/>
          <w:tab w:val="right" w:leader="dot" w:pos="9730"/>
        </w:tabs>
        <w:rPr>
          <w:rFonts w:eastAsiaTheme="minorEastAsia" w:cstheme="minorBidi"/>
          <w:noProof/>
          <w:color w:val="auto"/>
          <w:kern w:val="2"/>
          <w:sz w:val="24"/>
          <w:lang w:eastAsia="en-AU"/>
          <w14:ligatures w14:val="standardContextual"/>
        </w:rPr>
      </w:pPr>
      <w:r w:rsidRPr="00313901">
        <w:rPr>
          <w:rFonts w:ascii="Calibri" w:hAnsi="Calibri"/>
          <w:noProof/>
        </w:rPr>
        <w:t>4.2</w:t>
      </w:r>
      <w:r>
        <w:rPr>
          <w:rFonts w:eastAsiaTheme="minorEastAsia" w:cstheme="minorBidi"/>
          <w:noProof/>
          <w:color w:val="auto"/>
          <w:kern w:val="2"/>
          <w:sz w:val="24"/>
          <w:lang w:eastAsia="en-AU"/>
          <w14:ligatures w14:val="standardContextual"/>
        </w:rPr>
        <w:tab/>
      </w:r>
      <w:r w:rsidRPr="00313901">
        <w:rPr>
          <w:noProof/>
        </w:rPr>
        <w:t>Wastewater (Industrial) Calculator</w:t>
      </w:r>
      <w:r>
        <w:rPr>
          <w:noProof/>
        </w:rPr>
        <w:tab/>
      </w:r>
      <w:r>
        <w:rPr>
          <w:noProof/>
        </w:rPr>
        <w:fldChar w:fldCharType="begin"/>
      </w:r>
      <w:r>
        <w:rPr>
          <w:noProof/>
        </w:rPr>
        <w:instrText xml:space="preserve"> PAGEREF _Toc235611546 \h </w:instrText>
      </w:r>
      <w:r>
        <w:rPr>
          <w:noProof/>
        </w:rPr>
      </w:r>
      <w:r>
        <w:rPr>
          <w:noProof/>
        </w:rPr>
        <w:fldChar w:fldCharType="separate"/>
      </w:r>
      <w:r>
        <w:rPr>
          <w:noProof/>
        </w:rPr>
        <w:t>13</w:t>
      </w:r>
      <w:r>
        <w:rPr>
          <w:noProof/>
        </w:rPr>
        <w:fldChar w:fldCharType="end"/>
      </w:r>
    </w:p>
    <w:p w14:paraId="059C18D2" w14:textId="441846F6" w:rsidR="006D7BCF" w:rsidRDefault="006D7BCF">
      <w:pPr>
        <w:pStyle w:val="TOC2"/>
        <w:tabs>
          <w:tab w:val="left" w:pos="960"/>
          <w:tab w:val="right" w:leader="dot" w:pos="9730"/>
        </w:tabs>
        <w:rPr>
          <w:rFonts w:eastAsiaTheme="minorEastAsia" w:cstheme="minorBidi"/>
          <w:noProof/>
          <w:color w:val="auto"/>
          <w:kern w:val="2"/>
          <w:sz w:val="24"/>
          <w:lang w:eastAsia="en-AU"/>
          <w14:ligatures w14:val="standardContextual"/>
        </w:rPr>
      </w:pPr>
      <w:r w:rsidRPr="00313901">
        <w:rPr>
          <w:rFonts w:ascii="Calibri" w:hAnsi="Calibri"/>
          <w:noProof/>
        </w:rPr>
        <w:t>4.3</w:t>
      </w:r>
      <w:r>
        <w:rPr>
          <w:rFonts w:eastAsiaTheme="minorEastAsia" w:cstheme="minorBidi"/>
          <w:noProof/>
          <w:color w:val="auto"/>
          <w:kern w:val="2"/>
          <w:sz w:val="24"/>
          <w:lang w:eastAsia="en-AU"/>
          <w14:ligatures w14:val="standardContextual"/>
        </w:rPr>
        <w:tab/>
      </w:r>
      <w:r w:rsidRPr="00313901">
        <w:rPr>
          <w:noProof/>
        </w:rPr>
        <w:t>Emissions of Methane released from wastewater handling (industrial)</w:t>
      </w:r>
      <w:r>
        <w:rPr>
          <w:noProof/>
        </w:rPr>
        <w:tab/>
      </w:r>
      <w:r>
        <w:rPr>
          <w:noProof/>
        </w:rPr>
        <w:fldChar w:fldCharType="begin"/>
      </w:r>
      <w:r>
        <w:rPr>
          <w:noProof/>
        </w:rPr>
        <w:instrText xml:space="preserve"> PAGEREF _Toc235611547 \h </w:instrText>
      </w:r>
      <w:r>
        <w:rPr>
          <w:noProof/>
        </w:rPr>
      </w:r>
      <w:r>
        <w:rPr>
          <w:noProof/>
        </w:rPr>
        <w:fldChar w:fldCharType="separate"/>
      </w:r>
      <w:r>
        <w:rPr>
          <w:noProof/>
        </w:rPr>
        <w:t>13</w:t>
      </w:r>
      <w:r>
        <w:rPr>
          <w:noProof/>
        </w:rPr>
        <w:fldChar w:fldCharType="end"/>
      </w:r>
    </w:p>
    <w:p w14:paraId="5070E796" w14:textId="773F7420" w:rsidR="006D7BCF" w:rsidRDefault="006D7BCF">
      <w:pPr>
        <w:pStyle w:val="TOC2"/>
        <w:tabs>
          <w:tab w:val="left" w:pos="960"/>
          <w:tab w:val="right" w:leader="dot" w:pos="9730"/>
        </w:tabs>
        <w:rPr>
          <w:rFonts w:eastAsiaTheme="minorEastAsia" w:cstheme="minorBidi"/>
          <w:noProof/>
          <w:color w:val="auto"/>
          <w:kern w:val="2"/>
          <w:sz w:val="24"/>
          <w:lang w:eastAsia="en-AU"/>
          <w14:ligatures w14:val="standardContextual"/>
        </w:rPr>
      </w:pPr>
      <w:r w:rsidRPr="00313901">
        <w:rPr>
          <w:rFonts w:ascii="Calibri" w:hAnsi="Calibri"/>
          <w:noProof/>
        </w:rPr>
        <w:t>4.4</w:t>
      </w:r>
      <w:r>
        <w:rPr>
          <w:rFonts w:eastAsiaTheme="minorEastAsia" w:cstheme="minorBidi"/>
          <w:noProof/>
          <w:color w:val="auto"/>
          <w:kern w:val="2"/>
          <w:sz w:val="24"/>
          <w:lang w:eastAsia="en-AU"/>
          <w14:ligatures w14:val="standardContextual"/>
        </w:rPr>
        <w:tab/>
      </w:r>
      <w:r w:rsidRPr="00313901">
        <w:rPr>
          <w:noProof/>
        </w:rPr>
        <w:t>Wastewater handling (industrial) - Flaring</w:t>
      </w:r>
      <w:r>
        <w:rPr>
          <w:noProof/>
        </w:rPr>
        <w:tab/>
      </w:r>
      <w:r>
        <w:rPr>
          <w:noProof/>
        </w:rPr>
        <w:fldChar w:fldCharType="begin"/>
      </w:r>
      <w:r>
        <w:rPr>
          <w:noProof/>
        </w:rPr>
        <w:instrText xml:space="preserve"> PAGEREF _Toc235611548 \h </w:instrText>
      </w:r>
      <w:r>
        <w:rPr>
          <w:noProof/>
        </w:rPr>
      </w:r>
      <w:r>
        <w:rPr>
          <w:noProof/>
        </w:rPr>
        <w:fldChar w:fldCharType="separate"/>
      </w:r>
      <w:r>
        <w:rPr>
          <w:noProof/>
        </w:rPr>
        <w:t>14</w:t>
      </w:r>
      <w:r>
        <w:rPr>
          <w:noProof/>
        </w:rPr>
        <w:fldChar w:fldCharType="end"/>
      </w:r>
    </w:p>
    <w:p w14:paraId="16714148" w14:textId="18BA3B18" w:rsidR="006D7BCF" w:rsidRDefault="006D7BCF">
      <w:pPr>
        <w:pStyle w:val="TOC1"/>
        <w:rPr>
          <w:rFonts w:eastAsiaTheme="minorEastAsia" w:cstheme="minorBidi"/>
          <w:b w:val="0"/>
          <w:noProof/>
          <w:color w:val="auto"/>
          <w:kern w:val="2"/>
          <w:sz w:val="24"/>
          <w:lang w:eastAsia="en-AU"/>
          <w14:ligatures w14:val="standardContextual"/>
        </w:rPr>
      </w:pPr>
      <w:r>
        <w:rPr>
          <w:noProof/>
        </w:rPr>
        <w:t>More information and references</w:t>
      </w:r>
      <w:r>
        <w:rPr>
          <w:noProof/>
        </w:rPr>
        <w:tab/>
      </w:r>
      <w:r>
        <w:rPr>
          <w:noProof/>
        </w:rPr>
        <w:fldChar w:fldCharType="begin"/>
      </w:r>
      <w:r>
        <w:rPr>
          <w:noProof/>
        </w:rPr>
        <w:instrText xml:space="preserve"> PAGEREF _Toc235611549 \h </w:instrText>
      </w:r>
      <w:r>
        <w:rPr>
          <w:noProof/>
        </w:rPr>
      </w:r>
      <w:r>
        <w:rPr>
          <w:noProof/>
        </w:rPr>
        <w:fldChar w:fldCharType="separate"/>
      </w:r>
      <w:r>
        <w:rPr>
          <w:noProof/>
        </w:rPr>
        <w:t>15</w:t>
      </w:r>
      <w:r>
        <w:rPr>
          <w:noProof/>
        </w:rPr>
        <w:fldChar w:fldCharType="end"/>
      </w:r>
    </w:p>
    <w:p w14:paraId="11E22E31" w14:textId="4B4DF976" w:rsidR="006D7BCF" w:rsidRDefault="006D7BCF">
      <w:pPr>
        <w:pStyle w:val="TOC3"/>
        <w:rPr>
          <w:rFonts w:eastAsiaTheme="minorEastAsia" w:cstheme="minorBidi"/>
          <w:noProof/>
          <w:color w:val="auto"/>
          <w:kern w:val="2"/>
          <w:sz w:val="24"/>
          <w:lang w:eastAsia="en-AU"/>
          <w14:ligatures w14:val="standardContextual"/>
        </w:rPr>
      </w:pPr>
      <w:r>
        <w:rPr>
          <w:noProof/>
        </w:rPr>
        <w:t>More information</w:t>
      </w:r>
      <w:r>
        <w:rPr>
          <w:noProof/>
        </w:rPr>
        <w:tab/>
      </w:r>
      <w:r>
        <w:rPr>
          <w:noProof/>
        </w:rPr>
        <w:fldChar w:fldCharType="begin"/>
      </w:r>
      <w:r>
        <w:rPr>
          <w:noProof/>
        </w:rPr>
        <w:instrText xml:space="preserve"> PAGEREF _Toc235611550 \h </w:instrText>
      </w:r>
      <w:r>
        <w:rPr>
          <w:noProof/>
        </w:rPr>
      </w:r>
      <w:r>
        <w:rPr>
          <w:noProof/>
        </w:rPr>
        <w:fldChar w:fldCharType="separate"/>
      </w:r>
      <w:r>
        <w:rPr>
          <w:noProof/>
        </w:rPr>
        <w:t>15</w:t>
      </w:r>
      <w:r>
        <w:rPr>
          <w:noProof/>
        </w:rPr>
        <w:fldChar w:fldCharType="end"/>
      </w:r>
    </w:p>
    <w:p w14:paraId="6A75B548" w14:textId="2D12C8C5" w:rsidR="00235142" w:rsidRDefault="00235142" w:rsidP="00235142">
      <w:r>
        <w:fldChar w:fldCharType="end"/>
      </w:r>
    </w:p>
    <w:p w14:paraId="345C3B42" w14:textId="77777777" w:rsidR="005042FA" w:rsidRPr="0030215C" w:rsidRDefault="00235142" w:rsidP="005042FA">
      <w:pPr>
        <w:pStyle w:val="Heading1"/>
      </w:pPr>
      <w:r>
        <w:br w:type="page"/>
      </w:r>
      <w:bookmarkStart w:id="4" w:name="_Toc76041532"/>
      <w:bookmarkStart w:id="5" w:name="_Toc235611532"/>
      <w:bookmarkEnd w:id="2"/>
      <w:bookmarkEnd w:id="3"/>
      <w:r w:rsidR="005042FA" w:rsidRPr="0030215C">
        <w:lastRenderedPageBreak/>
        <w:t>Definitions and abbreviations</w:t>
      </w:r>
      <w:bookmarkEnd w:id="4"/>
      <w:bookmarkEnd w:id="5"/>
    </w:p>
    <w:tbl>
      <w:tblPr>
        <w:tblStyle w:val="CERTable"/>
        <w:tblW w:w="0" w:type="auto"/>
        <w:tblLook w:val="06A0" w:firstRow="1" w:lastRow="0" w:firstColumn="1" w:lastColumn="0" w:noHBand="1" w:noVBand="1"/>
      </w:tblPr>
      <w:tblGrid>
        <w:gridCol w:w="2279"/>
        <w:gridCol w:w="7461"/>
      </w:tblGrid>
      <w:tr w:rsidR="005042FA" w:rsidRPr="0030215C" w14:paraId="69BCE025" w14:textId="77777777" w:rsidTr="00916E2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515A1822" w14:textId="77777777" w:rsidR="005042FA" w:rsidRPr="0030215C" w:rsidRDefault="005042FA">
            <w:pPr>
              <w:spacing w:before="60" w:after="60"/>
              <w:jc w:val="center"/>
            </w:pPr>
            <w:r w:rsidRPr="0030215C">
              <w:t>Term</w:t>
            </w:r>
          </w:p>
        </w:tc>
        <w:tc>
          <w:tcPr>
            <w:tcW w:w="0" w:type="auto"/>
          </w:tcPr>
          <w:p w14:paraId="085CC34C" w14:textId="77777777" w:rsidR="005042FA" w:rsidRPr="0030215C" w:rsidRDefault="005042FA">
            <w:pPr>
              <w:spacing w:before="60" w:after="60"/>
              <w:jc w:val="center"/>
              <w:cnfStyle w:val="100000000000" w:firstRow="1" w:lastRow="0" w:firstColumn="0" w:lastColumn="0" w:oddVBand="0" w:evenVBand="0" w:oddHBand="0" w:evenHBand="0" w:firstRowFirstColumn="0" w:firstRowLastColumn="0" w:lastRowFirstColumn="0" w:lastRowLastColumn="0"/>
            </w:pPr>
            <w:r w:rsidRPr="0030215C">
              <w:t>Meaning</w:t>
            </w:r>
          </w:p>
        </w:tc>
      </w:tr>
      <w:tr w:rsidR="005042FA" w:rsidRPr="0030215C" w14:paraId="5F8ECC50" w14:textId="77777777">
        <w:tc>
          <w:tcPr>
            <w:cnfStyle w:val="001000000000" w:firstRow="0" w:lastRow="0" w:firstColumn="1" w:lastColumn="0" w:oddVBand="0" w:evenVBand="0" w:oddHBand="0" w:evenHBand="0" w:firstRowFirstColumn="0" w:firstRowLastColumn="0" w:lastRowFirstColumn="0" w:lastRowLastColumn="0"/>
            <w:tcW w:w="0" w:type="auto"/>
          </w:tcPr>
          <w:p w14:paraId="0DEFEBB9" w14:textId="77777777" w:rsidR="005042FA" w:rsidRPr="0030215C" w:rsidRDefault="005042FA">
            <w:pPr>
              <w:spacing w:before="60" w:after="60"/>
            </w:pPr>
            <w:r w:rsidRPr="0030215C">
              <w:t>ANZSIC</w:t>
            </w:r>
          </w:p>
        </w:tc>
        <w:tc>
          <w:tcPr>
            <w:tcW w:w="0" w:type="auto"/>
          </w:tcPr>
          <w:p w14:paraId="4832CA7C" w14:textId="2CCBB0FF" w:rsidR="005042FA" w:rsidRPr="0030215C" w:rsidRDefault="005042FA">
            <w:pPr>
              <w:spacing w:before="60" w:after="60"/>
              <w:cnfStyle w:val="000000000000" w:firstRow="0" w:lastRow="0" w:firstColumn="0" w:lastColumn="0" w:oddVBand="0" w:evenVBand="0" w:oddHBand="0" w:evenHBand="0" w:firstRowFirstColumn="0" w:firstRowLastColumn="0" w:lastRowFirstColumn="0" w:lastRowLastColumn="0"/>
            </w:pPr>
            <w:r w:rsidRPr="0030215C">
              <w:t>Australian New Zealand Standard Industr</w:t>
            </w:r>
            <w:r w:rsidR="00757A6E">
              <w:t>ial</w:t>
            </w:r>
            <w:r w:rsidRPr="0030215C">
              <w:t xml:space="preserve"> Classification</w:t>
            </w:r>
          </w:p>
        </w:tc>
      </w:tr>
      <w:tr w:rsidR="005042FA" w:rsidRPr="0030215C" w14:paraId="4D128BAA" w14:textId="77777777">
        <w:tc>
          <w:tcPr>
            <w:cnfStyle w:val="001000000000" w:firstRow="0" w:lastRow="0" w:firstColumn="1" w:lastColumn="0" w:oddVBand="0" w:evenVBand="0" w:oddHBand="0" w:evenHBand="0" w:firstRowFirstColumn="0" w:firstRowLastColumn="0" w:lastRowFirstColumn="0" w:lastRowLastColumn="0"/>
            <w:tcW w:w="0" w:type="auto"/>
          </w:tcPr>
          <w:p w14:paraId="04410E08" w14:textId="77777777" w:rsidR="005042FA" w:rsidRPr="0030215C" w:rsidRDefault="005042FA">
            <w:pPr>
              <w:spacing w:before="60" w:after="60"/>
            </w:pPr>
            <w:r>
              <w:t>BOD</w:t>
            </w:r>
          </w:p>
        </w:tc>
        <w:tc>
          <w:tcPr>
            <w:tcW w:w="0" w:type="auto"/>
          </w:tcPr>
          <w:p w14:paraId="4EC3EAC6" w14:textId="77777777" w:rsidR="005042FA" w:rsidRPr="0030215C" w:rsidRDefault="005042FA">
            <w:pPr>
              <w:spacing w:before="60" w:after="60"/>
              <w:cnfStyle w:val="000000000000" w:firstRow="0" w:lastRow="0" w:firstColumn="0" w:lastColumn="0" w:oddVBand="0" w:evenVBand="0" w:oddHBand="0" w:evenHBand="0" w:firstRowFirstColumn="0" w:firstRowLastColumn="0" w:lastRowFirstColumn="0" w:lastRowLastColumn="0"/>
            </w:pPr>
            <w:r>
              <w:t>Biological oxygen demand</w:t>
            </w:r>
          </w:p>
        </w:tc>
      </w:tr>
      <w:tr w:rsidR="005042FA" w:rsidRPr="0030215C" w14:paraId="207B14FE" w14:textId="77777777">
        <w:tc>
          <w:tcPr>
            <w:cnfStyle w:val="001000000000" w:firstRow="0" w:lastRow="0" w:firstColumn="1" w:lastColumn="0" w:oddVBand="0" w:evenVBand="0" w:oddHBand="0" w:evenHBand="0" w:firstRowFirstColumn="0" w:firstRowLastColumn="0" w:lastRowFirstColumn="0" w:lastRowLastColumn="0"/>
            <w:tcW w:w="0" w:type="auto"/>
          </w:tcPr>
          <w:p w14:paraId="5B84DB83" w14:textId="77777777" w:rsidR="005042FA" w:rsidRPr="0030215C" w:rsidRDefault="005042FA">
            <w:pPr>
              <w:spacing w:before="60" w:after="60"/>
            </w:pPr>
            <w:r w:rsidRPr="0030215C">
              <w:t>CH</w:t>
            </w:r>
            <w:r w:rsidRPr="0030215C">
              <w:rPr>
                <w:vertAlign w:val="subscript"/>
              </w:rPr>
              <w:t>4</w:t>
            </w:r>
          </w:p>
        </w:tc>
        <w:tc>
          <w:tcPr>
            <w:tcW w:w="0" w:type="auto"/>
          </w:tcPr>
          <w:p w14:paraId="12E619DE" w14:textId="77777777" w:rsidR="005042FA" w:rsidRPr="0030215C" w:rsidRDefault="005042FA">
            <w:pPr>
              <w:spacing w:before="60" w:after="60"/>
              <w:cnfStyle w:val="000000000000" w:firstRow="0" w:lastRow="0" w:firstColumn="0" w:lastColumn="0" w:oddVBand="0" w:evenVBand="0" w:oddHBand="0" w:evenHBand="0" w:firstRowFirstColumn="0" w:firstRowLastColumn="0" w:lastRowFirstColumn="0" w:lastRowLastColumn="0"/>
            </w:pPr>
            <w:r w:rsidRPr="0030215C">
              <w:t>Methane</w:t>
            </w:r>
          </w:p>
        </w:tc>
      </w:tr>
      <w:tr w:rsidR="002B1426" w:rsidRPr="0030215C" w14:paraId="45DB5783" w14:textId="77777777">
        <w:tc>
          <w:tcPr>
            <w:cnfStyle w:val="001000000000" w:firstRow="0" w:lastRow="0" w:firstColumn="1" w:lastColumn="0" w:oddVBand="0" w:evenVBand="0" w:oddHBand="0" w:evenHBand="0" w:firstRowFirstColumn="0" w:firstRowLastColumn="0" w:lastRowFirstColumn="0" w:lastRowLastColumn="0"/>
            <w:tcW w:w="0" w:type="auto"/>
          </w:tcPr>
          <w:p w14:paraId="39110DD8" w14:textId="548879AE" w:rsidR="002B1426" w:rsidRDefault="002B1426">
            <w:pPr>
              <w:spacing w:before="60" w:after="60"/>
            </w:pPr>
            <w:r>
              <w:t>CO</w:t>
            </w:r>
            <w:r w:rsidRPr="00D058FF">
              <w:rPr>
                <w:vertAlign w:val="subscript"/>
              </w:rPr>
              <w:t>2</w:t>
            </w:r>
          </w:p>
        </w:tc>
        <w:tc>
          <w:tcPr>
            <w:tcW w:w="0" w:type="auto"/>
          </w:tcPr>
          <w:p w14:paraId="5E4CDD86" w14:textId="21474CD6" w:rsidR="002B1426" w:rsidRDefault="002B1426">
            <w:pPr>
              <w:spacing w:before="60" w:after="60"/>
              <w:cnfStyle w:val="000000000000" w:firstRow="0" w:lastRow="0" w:firstColumn="0" w:lastColumn="0" w:oddVBand="0" w:evenVBand="0" w:oddHBand="0" w:evenHBand="0" w:firstRowFirstColumn="0" w:firstRowLastColumn="0" w:lastRowFirstColumn="0" w:lastRowLastColumn="0"/>
            </w:pPr>
            <w:r>
              <w:t>Carbon dioxide</w:t>
            </w:r>
          </w:p>
        </w:tc>
      </w:tr>
      <w:tr w:rsidR="005042FA" w:rsidRPr="0030215C" w14:paraId="46826284" w14:textId="77777777">
        <w:tc>
          <w:tcPr>
            <w:cnfStyle w:val="001000000000" w:firstRow="0" w:lastRow="0" w:firstColumn="1" w:lastColumn="0" w:oddVBand="0" w:evenVBand="0" w:oddHBand="0" w:evenHBand="0" w:firstRowFirstColumn="0" w:firstRowLastColumn="0" w:lastRowFirstColumn="0" w:lastRowLastColumn="0"/>
            <w:tcW w:w="0" w:type="auto"/>
          </w:tcPr>
          <w:p w14:paraId="2CE128B8" w14:textId="77777777" w:rsidR="005042FA" w:rsidRPr="0030215C" w:rsidRDefault="005042FA">
            <w:pPr>
              <w:spacing w:before="60" w:after="60"/>
            </w:pPr>
            <w:r>
              <w:t>COD</w:t>
            </w:r>
          </w:p>
        </w:tc>
        <w:tc>
          <w:tcPr>
            <w:tcW w:w="0" w:type="auto"/>
          </w:tcPr>
          <w:p w14:paraId="54E3E984" w14:textId="77777777" w:rsidR="005042FA" w:rsidRPr="0030215C" w:rsidRDefault="005042FA">
            <w:pPr>
              <w:spacing w:before="60" w:after="60"/>
              <w:cnfStyle w:val="000000000000" w:firstRow="0" w:lastRow="0" w:firstColumn="0" w:lastColumn="0" w:oddVBand="0" w:evenVBand="0" w:oddHBand="0" w:evenHBand="0" w:firstRowFirstColumn="0" w:firstRowLastColumn="0" w:lastRowFirstColumn="0" w:lastRowLastColumn="0"/>
            </w:pPr>
            <w:r>
              <w:t>Chemical oxygen demand</w:t>
            </w:r>
          </w:p>
        </w:tc>
      </w:tr>
      <w:tr w:rsidR="005042FA" w:rsidRPr="0030215C" w14:paraId="1FA42097" w14:textId="77777777">
        <w:tc>
          <w:tcPr>
            <w:cnfStyle w:val="001000000000" w:firstRow="0" w:lastRow="0" w:firstColumn="1" w:lastColumn="0" w:oddVBand="0" w:evenVBand="0" w:oddHBand="0" w:evenHBand="0" w:firstRowFirstColumn="0" w:firstRowLastColumn="0" w:lastRowFirstColumn="0" w:lastRowLastColumn="0"/>
            <w:tcW w:w="0" w:type="auto"/>
          </w:tcPr>
          <w:p w14:paraId="130A3B92" w14:textId="77777777" w:rsidR="005042FA" w:rsidRPr="0030215C" w:rsidRDefault="005042FA">
            <w:pPr>
              <w:spacing w:before="60" w:after="60"/>
            </w:pPr>
            <w:r w:rsidRPr="0030215C">
              <w:t>EERS</w:t>
            </w:r>
          </w:p>
        </w:tc>
        <w:tc>
          <w:tcPr>
            <w:tcW w:w="0" w:type="auto"/>
          </w:tcPr>
          <w:p w14:paraId="0A9C0CCF" w14:textId="77777777" w:rsidR="005042FA" w:rsidRPr="0030215C" w:rsidRDefault="005042FA">
            <w:pPr>
              <w:spacing w:before="60" w:after="60"/>
              <w:cnfStyle w:val="000000000000" w:firstRow="0" w:lastRow="0" w:firstColumn="0" w:lastColumn="0" w:oddVBand="0" w:evenVBand="0" w:oddHBand="0" w:evenHBand="0" w:firstRowFirstColumn="0" w:firstRowLastColumn="0" w:lastRowFirstColumn="0" w:lastRowLastColumn="0"/>
            </w:pPr>
            <w:r w:rsidRPr="0030215C">
              <w:t>Emissions and Energy Reporting System</w:t>
            </w:r>
          </w:p>
        </w:tc>
      </w:tr>
      <w:tr w:rsidR="005042FA" w:rsidRPr="0030215C" w14:paraId="57859B38" w14:textId="77777777">
        <w:tc>
          <w:tcPr>
            <w:cnfStyle w:val="001000000000" w:firstRow="0" w:lastRow="0" w:firstColumn="1" w:lastColumn="0" w:oddVBand="0" w:evenVBand="0" w:oddHBand="0" w:evenHBand="0" w:firstRowFirstColumn="0" w:firstRowLastColumn="0" w:lastRowFirstColumn="0" w:lastRowLastColumn="0"/>
            <w:tcW w:w="0" w:type="auto"/>
          </w:tcPr>
          <w:p w14:paraId="76830DF4" w14:textId="77777777" w:rsidR="005042FA" w:rsidRPr="0030215C" w:rsidRDefault="005042FA">
            <w:pPr>
              <w:spacing w:before="60" w:after="60"/>
            </w:pPr>
            <w:r>
              <w:t>EF</w:t>
            </w:r>
          </w:p>
        </w:tc>
        <w:tc>
          <w:tcPr>
            <w:tcW w:w="0" w:type="auto"/>
          </w:tcPr>
          <w:p w14:paraId="1CBB4653" w14:textId="77777777" w:rsidR="005042FA" w:rsidRPr="0030215C" w:rsidRDefault="005042FA">
            <w:pPr>
              <w:spacing w:before="60" w:after="60"/>
              <w:cnfStyle w:val="000000000000" w:firstRow="0" w:lastRow="0" w:firstColumn="0" w:lastColumn="0" w:oddVBand="0" w:evenVBand="0" w:oddHBand="0" w:evenHBand="0" w:firstRowFirstColumn="0" w:firstRowLastColumn="0" w:lastRowFirstColumn="0" w:lastRowLastColumn="0"/>
            </w:pPr>
            <w:r>
              <w:t>Emission factor</w:t>
            </w:r>
          </w:p>
        </w:tc>
      </w:tr>
      <w:tr w:rsidR="005042FA" w:rsidRPr="0030215C" w14:paraId="7A5718CC" w14:textId="77777777">
        <w:tc>
          <w:tcPr>
            <w:cnfStyle w:val="001000000000" w:firstRow="0" w:lastRow="0" w:firstColumn="1" w:lastColumn="0" w:oddVBand="0" w:evenVBand="0" w:oddHBand="0" w:evenHBand="0" w:firstRowFirstColumn="0" w:firstRowLastColumn="0" w:lastRowFirstColumn="0" w:lastRowLastColumn="0"/>
            <w:tcW w:w="0" w:type="auto"/>
          </w:tcPr>
          <w:p w14:paraId="3F03A95F" w14:textId="65DC57C2" w:rsidR="005042FA" w:rsidRPr="0030215C" w:rsidRDefault="005042FA">
            <w:pPr>
              <w:spacing w:before="60" w:after="60"/>
            </w:pPr>
            <w:r>
              <w:t>Facility</w:t>
            </w:r>
          </w:p>
        </w:tc>
        <w:tc>
          <w:tcPr>
            <w:tcW w:w="0" w:type="auto"/>
          </w:tcPr>
          <w:p w14:paraId="612C44C5" w14:textId="6FD666E2" w:rsidR="005042FA" w:rsidRPr="000F7E30" w:rsidRDefault="00726764" w:rsidP="00D058FF">
            <w:pPr>
              <w:pStyle w:val="CERbullets"/>
              <w:numPr>
                <w:ilvl w:val="0"/>
                <w:numId w:val="0"/>
              </w:numPr>
              <w:ind w:left="42"/>
              <w:cnfStyle w:val="000000000000" w:firstRow="0" w:lastRow="0" w:firstColumn="0" w:lastColumn="0" w:oddVBand="0" w:evenVBand="0" w:oddHBand="0" w:evenHBand="0" w:firstRowFirstColumn="0" w:firstRowLastColumn="0" w:lastRowFirstColumn="0" w:lastRowLastColumn="0"/>
            </w:pPr>
            <w:r w:rsidRPr="00726764">
              <w:rPr>
                <w:szCs w:val="22"/>
              </w:rPr>
              <w:t xml:space="preserve">Has the meaning given by section 9 of the NGER Act. For more information on defining a facility under the NGER </w:t>
            </w:r>
            <w:r w:rsidR="00455978">
              <w:rPr>
                <w:szCs w:val="22"/>
              </w:rPr>
              <w:t>S</w:t>
            </w:r>
            <w:r w:rsidRPr="00726764">
              <w:rPr>
                <w:szCs w:val="22"/>
              </w:rPr>
              <w:t xml:space="preserve">cheme, see </w:t>
            </w:r>
            <w:hyperlink r:id="rId22" w:anchor="what-is-an-nger-facility" w:history="1">
              <w:r w:rsidRPr="00AC404A">
                <w:rPr>
                  <w:rStyle w:val="Hyperlink"/>
                  <w:rFonts w:asciiTheme="minorHAnsi" w:hAnsiTheme="minorHAnsi"/>
                  <w:kern w:val="0"/>
                  <w:szCs w:val="22"/>
                </w:rPr>
                <w:t>What is a Facility</w:t>
              </w:r>
            </w:hyperlink>
            <w:r w:rsidR="00AC404A">
              <w:rPr>
                <w:rStyle w:val="FootnoteReference"/>
                <w:szCs w:val="22"/>
              </w:rPr>
              <w:footnoteReference w:id="2"/>
            </w:r>
            <w:r w:rsidRPr="00726764">
              <w:rPr>
                <w:szCs w:val="22"/>
              </w:rPr>
              <w:t xml:space="preserve">.  </w:t>
            </w:r>
          </w:p>
        </w:tc>
      </w:tr>
      <w:tr w:rsidR="005042FA" w:rsidRPr="0030215C" w14:paraId="250644D3" w14:textId="77777777">
        <w:tc>
          <w:tcPr>
            <w:cnfStyle w:val="001000000000" w:firstRow="0" w:lastRow="0" w:firstColumn="1" w:lastColumn="0" w:oddVBand="0" w:evenVBand="0" w:oddHBand="0" w:evenHBand="0" w:firstRowFirstColumn="0" w:firstRowLastColumn="0" w:lastRowFirstColumn="0" w:lastRowLastColumn="0"/>
            <w:tcW w:w="0" w:type="auto"/>
          </w:tcPr>
          <w:p w14:paraId="7A5F4523" w14:textId="77777777" w:rsidR="005042FA" w:rsidRPr="00C86277" w:rsidRDefault="005042FA">
            <w:pPr>
              <w:spacing w:before="60" w:after="60"/>
            </w:pPr>
            <w:r>
              <w:t>Group</w:t>
            </w:r>
          </w:p>
        </w:tc>
        <w:tc>
          <w:tcPr>
            <w:tcW w:w="0" w:type="auto"/>
          </w:tcPr>
          <w:p w14:paraId="33EC59CF" w14:textId="77777777" w:rsidR="005042FA" w:rsidRDefault="005042FA">
            <w:pPr>
              <w:spacing w:before="60" w:after="60"/>
              <w:cnfStyle w:val="000000000000" w:firstRow="0" w:lastRow="0" w:firstColumn="0" w:lastColumn="0" w:oddVBand="0" w:evenVBand="0" w:oddHBand="0" w:evenHBand="0" w:firstRowFirstColumn="0" w:firstRowLastColumn="0" w:lastRowFirstColumn="0" w:lastRowLastColumn="0"/>
            </w:pPr>
            <w:r>
              <w:t>C</w:t>
            </w:r>
            <w:r w:rsidRPr="00C86277">
              <w:t>onsists of the controlling corporation</w:t>
            </w:r>
            <w:r>
              <w:t xml:space="preserve"> and may include the controlling corporation’s subsidiaries.</w:t>
            </w:r>
          </w:p>
          <w:p w14:paraId="0D3E2B0D" w14:textId="77777777" w:rsidR="005042FA" w:rsidRPr="0030215C" w:rsidRDefault="005042FA">
            <w:pPr>
              <w:spacing w:before="60" w:after="60"/>
              <w:cnfStyle w:val="000000000000" w:firstRow="0" w:lastRow="0" w:firstColumn="0" w:lastColumn="0" w:oddVBand="0" w:evenVBand="0" w:oddHBand="0" w:evenHBand="0" w:firstRowFirstColumn="0" w:firstRowLastColumn="0" w:lastRowFirstColumn="0" w:lastRowLastColumn="0"/>
            </w:pPr>
            <w:r>
              <w:t>Note: refer to</w:t>
            </w:r>
            <w:r w:rsidRPr="000B627F">
              <w:rPr>
                <w:i/>
              </w:rPr>
              <w:t xml:space="preserve"> </w:t>
            </w:r>
            <w:r w:rsidRPr="000B627F">
              <w:t>guideline on ‘</w:t>
            </w:r>
            <w:r>
              <w:t>Registration as a controlling corporation’</w:t>
            </w:r>
            <w:r>
              <w:rPr>
                <w:vertAlign w:val="superscript"/>
              </w:rPr>
              <w:t>1</w:t>
            </w:r>
            <w:r w:rsidRPr="000B627F">
              <w:t xml:space="preserve"> for assistance in defining your </w:t>
            </w:r>
            <w:r>
              <w:t>group</w:t>
            </w:r>
            <w:r w:rsidRPr="000B627F">
              <w:t xml:space="preserve"> for NGER reporting purposes.</w:t>
            </w:r>
          </w:p>
        </w:tc>
      </w:tr>
      <w:tr w:rsidR="005042FA" w:rsidRPr="0030215C" w14:paraId="51E7DC95" w14:textId="77777777">
        <w:tc>
          <w:tcPr>
            <w:cnfStyle w:val="001000000000" w:firstRow="0" w:lastRow="0" w:firstColumn="1" w:lastColumn="0" w:oddVBand="0" w:evenVBand="0" w:oddHBand="0" w:evenHBand="0" w:firstRowFirstColumn="0" w:firstRowLastColumn="0" w:lastRowFirstColumn="0" w:lastRowLastColumn="0"/>
            <w:tcW w:w="0" w:type="auto"/>
          </w:tcPr>
          <w:p w14:paraId="7C8B27D8" w14:textId="77777777" w:rsidR="005042FA" w:rsidRPr="007C1F49" w:rsidRDefault="005042FA">
            <w:pPr>
              <w:spacing w:before="60" w:after="60"/>
              <w:rPr>
                <w:vertAlign w:val="subscript"/>
              </w:rPr>
            </w:pPr>
            <w:r>
              <w:t>MCF</w:t>
            </w:r>
          </w:p>
        </w:tc>
        <w:tc>
          <w:tcPr>
            <w:tcW w:w="0" w:type="auto"/>
          </w:tcPr>
          <w:p w14:paraId="01847778" w14:textId="77777777" w:rsidR="005042FA" w:rsidRPr="0030215C" w:rsidRDefault="005042FA">
            <w:pPr>
              <w:spacing w:before="60" w:after="60"/>
              <w:cnfStyle w:val="000000000000" w:firstRow="0" w:lastRow="0" w:firstColumn="0" w:lastColumn="0" w:oddVBand="0" w:evenVBand="0" w:oddHBand="0" w:evenHBand="0" w:firstRowFirstColumn="0" w:firstRowLastColumn="0" w:lastRowFirstColumn="0" w:lastRowLastColumn="0"/>
            </w:pPr>
            <w:r>
              <w:t>Methane correction factor</w:t>
            </w:r>
          </w:p>
        </w:tc>
      </w:tr>
      <w:tr w:rsidR="005042FA" w:rsidRPr="0030215C" w14:paraId="137845AC" w14:textId="77777777">
        <w:tc>
          <w:tcPr>
            <w:cnfStyle w:val="001000000000" w:firstRow="0" w:lastRow="0" w:firstColumn="1" w:lastColumn="0" w:oddVBand="0" w:evenVBand="0" w:oddHBand="0" w:evenHBand="0" w:firstRowFirstColumn="0" w:firstRowLastColumn="0" w:lastRowFirstColumn="0" w:lastRowLastColumn="0"/>
            <w:tcW w:w="0" w:type="auto"/>
          </w:tcPr>
          <w:p w14:paraId="47061D7E" w14:textId="77777777" w:rsidR="005042FA" w:rsidRPr="0030215C" w:rsidRDefault="005042FA">
            <w:pPr>
              <w:spacing w:before="60" w:after="60"/>
            </w:pPr>
            <w:r w:rsidRPr="0030215C">
              <w:t>N</w:t>
            </w:r>
            <w:r w:rsidRPr="0030215C">
              <w:rPr>
                <w:vertAlign w:val="subscript"/>
              </w:rPr>
              <w:t>2</w:t>
            </w:r>
            <w:r w:rsidRPr="0030215C">
              <w:t>O</w:t>
            </w:r>
          </w:p>
        </w:tc>
        <w:tc>
          <w:tcPr>
            <w:tcW w:w="0" w:type="auto"/>
          </w:tcPr>
          <w:p w14:paraId="50A63627" w14:textId="77777777" w:rsidR="005042FA" w:rsidRPr="0030215C" w:rsidRDefault="005042FA">
            <w:pPr>
              <w:spacing w:before="60" w:after="60"/>
              <w:cnfStyle w:val="000000000000" w:firstRow="0" w:lastRow="0" w:firstColumn="0" w:lastColumn="0" w:oddVBand="0" w:evenVBand="0" w:oddHBand="0" w:evenHBand="0" w:firstRowFirstColumn="0" w:firstRowLastColumn="0" w:lastRowFirstColumn="0" w:lastRowLastColumn="0"/>
            </w:pPr>
            <w:r w:rsidRPr="0030215C">
              <w:t>Nitrous oxide</w:t>
            </w:r>
          </w:p>
        </w:tc>
      </w:tr>
      <w:tr w:rsidR="005042FA" w:rsidRPr="0030215C" w14:paraId="788B1FA8" w14:textId="77777777">
        <w:tc>
          <w:tcPr>
            <w:cnfStyle w:val="001000000000" w:firstRow="0" w:lastRow="0" w:firstColumn="1" w:lastColumn="0" w:oddVBand="0" w:evenVBand="0" w:oddHBand="0" w:evenHBand="0" w:firstRowFirstColumn="0" w:firstRowLastColumn="0" w:lastRowFirstColumn="0" w:lastRowLastColumn="0"/>
            <w:tcW w:w="0" w:type="auto"/>
          </w:tcPr>
          <w:p w14:paraId="08158040" w14:textId="77777777" w:rsidR="005042FA" w:rsidRPr="0030215C" w:rsidRDefault="005042FA">
            <w:pPr>
              <w:spacing w:before="60" w:after="60"/>
            </w:pPr>
            <w:r w:rsidRPr="0030215C">
              <w:t>NGER</w:t>
            </w:r>
          </w:p>
        </w:tc>
        <w:tc>
          <w:tcPr>
            <w:tcW w:w="0" w:type="auto"/>
          </w:tcPr>
          <w:p w14:paraId="3BE5C388" w14:textId="77777777" w:rsidR="005042FA" w:rsidRPr="000564D3" w:rsidRDefault="005042FA">
            <w:pPr>
              <w:spacing w:before="60" w:after="60"/>
              <w:cnfStyle w:val="000000000000" w:firstRow="0" w:lastRow="0" w:firstColumn="0" w:lastColumn="0" w:oddVBand="0" w:evenVBand="0" w:oddHBand="0" w:evenHBand="0" w:firstRowFirstColumn="0" w:firstRowLastColumn="0" w:lastRowFirstColumn="0" w:lastRowLastColumn="0"/>
            </w:pPr>
            <w:r w:rsidRPr="000564D3">
              <w:t>National Greenhouse and Energy Reporting</w:t>
            </w:r>
          </w:p>
        </w:tc>
      </w:tr>
      <w:tr w:rsidR="005042FA" w:rsidRPr="0030215C" w14:paraId="2371C300" w14:textId="77777777">
        <w:tc>
          <w:tcPr>
            <w:cnfStyle w:val="001000000000" w:firstRow="0" w:lastRow="0" w:firstColumn="1" w:lastColumn="0" w:oddVBand="0" w:evenVBand="0" w:oddHBand="0" w:evenHBand="0" w:firstRowFirstColumn="0" w:firstRowLastColumn="0" w:lastRowFirstColumn="0" w:lastRowLastColumn="0"/>
            <w:tcW w:w="0" w:type="auto"/>
          </w:tcPr>
          <w:p w14:paraId="0C4A556A" w14:textId="77777777" w:rsidR="005042FA" w:rsidRPr="0030215C" w:rsidRDefault="005042FA">
            <w:pPr>
              <w:spacing w:before="60" w:after="60"/>
            </w:pPr>
            <w:r w:rsidRPr="0030215C">
              <w:t>NGER Act</w:t>
            </w:r>
          </w:p>
        </w:tc>
        <w:tc>
          <w:tcPr>
            <w:tcW w:w="0" w:type="auto"/>
          </w:tcPr>
          <w:p w14:paraId="1ABB6DD8" w14:textId="77777777" w:rsidR="005042FA" w:rsidRPr="0030215C" w:rsidRDefault="005042FA">
            <w:pPr>
              <w:spacing w:before="60" w:after="60"/>
              <w:cnfStyle w:val="000000000000" w:firstRow="0" w:lastRow="0" w:firstColumn="0" w:lastColumn="0" w:oddVBand="0" w:evenVBand="0" w:oddHBand="0" w:evenHBand="0" w:firstRowFirstColumn="0" w:firstRowLastColumn="0" w:lastRowFirstColumn="0" w:lastRowLastColumn="0"/>
              <w:rPr>
                <w:i/>
              </w:rPr>
            </w:pPr>
            <w:r w:rsidRPr="0030215C">
              <w:rPr>
                <w:i/>
              </w:rPr>
              <w:t xml:space="preserve">National Greenhouse and Energy Reporting Act 2007 </w:t>
            </w:r>
          </w:p>
        </w:tc>
      </w:tr>
      <w:tr w:rsidR="005042FA" w:rsidRPr="0030215C" w14:paraId="3519336A" w14:textId="77777777">
        <w:tc>
          <w:tcPr>
            <w:cnfStyle w:val="001000000000" w:firstRow="0" w:lastRow="0" w:firstColumn="1" w:lastColumn="0" w:oddVBand="0" w:evenVBand="0" w:oddHBand="0" w:evenHBand="0" w:firstRowFirstColumn="0" w:firstRowLastColumn="0" w:lastRowFirstColumn="0" w:lastRowLastColumn="0"/>
            <w:tcW w:w="0" w:type="auto"/>
          </w:tcPr>
          <w:p w14:paraId="5E528E12" w14:textId="77777777" w:rsidR="005042FA" w:rsidRPr="0030215C" w:rsidRDefault="005042FA">
            <w:pPr>
              <w:spacing w:before="60" w:after="60"/>
            </w:pPr>
            <w:r w:rsidRPr="0030215C">
              <w:t xml:space="preserve">NGER </w:t>
            </w:r>
            <w:r>
              <w:t xml:space="preserve">Measurement </w:t>
            </w:r>
            <w:r w:rsidRPr="0030215C">
              <w:t>Determination</w:t>
            </w:r>
          </w:p>
        </w:tc>
        <w:tc>
          <w:tcPr>
            <w:tcW w:w="0" w:type="auto"/>
          </w:tcPr>
          <w:p w14:paraId="202135C9" w14:textId="77777777" w:rsidR="005042FA" w:rsidRPr="000F7E30" w:rsidRDefault="005042FA">
            <w:pPr>
              <w:spacing w:before="60" w:after="60"/>
              <w:cnfStyle w:val="000000000000" w:firstRow="0" w:lastRow="0" w:firstColumn="0" w:lastColumn="0" w:oddVBand="0" w:evenVBand="0" w:oddHBand="0" w:evenHBand="0" w:firstRowFirstColumn="0" w:firstRowLastColumn="0" w:lastRowFirstColumn="0" w:lastRowLastColumn="0"/>
            </w:pPr>
            <w:r w:rsidRPr="000F7E30">
              <w:t xml:space="preserve">National Greenhouse and Energy Reporting (Measurement) Determination 2008 </w:t>
            </w:r>
          </w:p>
        </w:tc>
      </w:tr>
      <w:tr w:rsidR="005042FA" w:rsidRPr="0030215C" w14:paraId="79904B75" w14:textId="77777777">
        <w:tc>
          <w:tcPr>
            <w:cnfStyle w:val="001000000000" w:firstRow="0" w:lastRow="0" w:firstColumn="1" w:lastColumn="0" w:oddVBand="0" w:evenVBand="0" w:oddHBand="0" w:evenHBand="0" w:firstRowFirstColumn="0" w:firstRowLastColumn="0" w:lastRowFirstColumn="0" w:lastRowLastColumn="0"/>
            <w:tcW w:w="0" w:type="auto"/>
          </w:tcPr>
          <w:p w14:paraId="22D649B8" w14:textId="77777777" w:rsidR="005042FA" w:rsidRPr="0030215C" w:rsidRDefault="005042FA">
            <w:pPr>
              <w:spacing w:before="60" w:after="60"/>
            </w:pPr>
            <w:r w:rsidRPr="0030215C">
              <w:t>NGER Regulations</w:t>
            </w:r>
          </w:p>
        </w:tc>
        <w:tc>
          <w:tcPr>
            <w:tcW w:w="0" w:type="auto"/>
          </w:tcPr>
          <w:p w14:paraId="11D6D404" w14:textId="77777777" w:rsidR="005042FA" w:rsidRPr="000F7E30" w:rsidRDefault="005042FA">
            <w:pPr>
              <w:spacing w:before="60" w:after="60"/>
              <w:cnfStyle w:val="000000000000" w:firstRow="0" w:lastRow="0" w:firstColumn="0" w:lastColumn="0" w:oddVBand="0" w:evenVBand="0" w:oddHBand="0" w:evenHBand="0" w:firstRowFirstColumn="0" w:firstRowLastColumn="0" w:lastRowFirstColumn="0" w:lastRowLastColumn="0"/>
            </w:pPr>
            <w:r w:rsidRPr="000F7E30">
              <w:t xml:space="preserve">National Greenhouse and Energy Reporting Regulations 2008 </w:t>
            </w:r>
          </w:p>
        </w:tc>
      </w:tr>
      <w:tr w:rsidR="005042FA" w:rsidRPr="0030215C" w14:paraId="60A2C151" w14:textId="77777777">
        <w:tc>
          <w:tcPr>
            <w:cnfStyle w:val="001000000000" w:firstRow="0" w:lastRow="0" w:firstColumn="1" w:lastColumn="0" w:oddVBand="0" w:evenVBand="0" w:oddHBand="0" w:evenHBand="0" w:firstRowFirstColumn="0" w:firstRowLastColumn="0" w:lastRowFirstColumn="0" w:lastRowLastColumn="0"/>
            <w:tcW w:w="0" w:type="auto"/>
          </w:tcPr>
          <w:p w14:paraId="2FABB593" w14:textId="1BD230DF" w:rsidR="005042FA" w:rsidRPr="0030215C" w:rsidRDefault="005042FA">
            <w:pPr>
              <w:spacing w:before="60" w:after="60"/>
            </w:pPr>
            <w:r>
              <w:t>S</w:t>
            </w:r>
            <w:r w:rsidRPr="0030215C">
              <w:t xml:space="preserve">afeguard </w:t>
            </w:r>
            <w:r w:rsidR="002B2C79">
              <w:t>M</w:t>
            </w:r>
            <w:r w:rsidRPr="0030215C">
              <w:t>echanism</w:t>
            </w:r>
          </w:p>
        </w:tc>
        <w:tc>
          <w:tcPr>
            <w:tcW w:w="0" w:type="auto"/>
          </w:tcPr>
          <w:p w14:paraId="691B083A" w14:textId="776F4969" w:rsidR="000275DB" w:rsidRPr="00705C5F" w:rsidRDefault="000275DB" w:rsidP="000275DB">
            <w:pPr>
              <w:cnfStyle w:val="000000000000" w:firstRow="0" w:lastRow="0" w:firstColumn="0" w:lastColumn="0" w:oddVBand="0" w:evenVBand="0" w:oddHBand="0" w:evenHBand="0" w:firstRowFirstColumn="0" w:firstRowLastColumn="0" w:lastRowFirstColumn="0" w:lastRowLastColumn="0"/>
              <w:rPr>
                <w:rFonts w:ascii="Calibri" w:hAnsi="Calibri" w:cs="Calibri"/>
                <w:color w:val="auto"/>
                <w:szCs w:val="22"/>
              </w:rPr>
            </w:pPr>
            <w:r w:rsidRPr="00D058FF">
              <w:rPr>
                <w:color w:val="auto"/>
              </w:rPr>
              <w:t xml:space="preserve">The Australian Government’s mechanism to contribute to the achievement of Australia’s greenhouse gas emissions reduction targets. See </w:t>
            </w:r>
            <w:hyperlink r:id="rId23" w:tooltip="A link to the Safdeguard Mechanism Scheme page of the Clean Energy Regulator website" w:history="1">
              <w:r w:rsidRPr="004D4668">
                <w:rPr>
                  <w:rStyle w:val="Hyperlink"/>
                </w:rPr>
                <w:t>the Safeguard Mechanism</w:t>
              </w:r>
            </w:hyperlink>
            <w:r w:rsidRPr="00D058FF">
              <w:rPr>
                <w:color w:val="auto"/>
              </w:rPr>
              <w:t xml:space="preserve"> for more information</w:t>
            </w:r>
            <w:r w:rsidR="005B15E0">
              <w:rPr>
                <w:rStyle w:val="FootnoteReference"/>
                <w:color w:val="auto"/>
              </w:rPr>
              <w:footnoteReference w:id="3"/>
            </w:r>
            <w:r w:rsidRPr="00D058FF">
              <w:rPr>
                <w:color w:val="auto"/>
              </w:rPr>
              <w:t>.</w:t>
            </w:r>
          </w:p>
          <w:p w14:paraId="69619BCC" w14:textId="674886D7" w:rsidR="005042FA" w:rsidRPr="0030215C" w:rsidRDefault="005042FA">
            <w:pPr>
              <w:spacing w:before="60" w:after="60"/>
              <w:cnfStyle w:val="000000000000" w:firstRow="0" w:lastRow="0" w:firstColumn="0" w:lastColumn="0" w:oddVBand="0" w:evenVBand="0" w:oddHBand="0" w:evenHBand="0" w:firstRowFirstColumn="0" w:firstRowLastColumn="0" w:lastRowFirstColumn="0" w:lastRowLastColumn="0"/>
            </w:pPr>
          </w:p>
        </w:tc>
      </w:tr>
    </w:tbl>
    <w:p w14:paraId="177A4052" w14:textId="77777777" w:rsidR="004F565A" w:rsidRPr="00F8076C" w:rsidRDefault="004F565A" w:rsidP="004F565A">
      <w:pPr>
        <w:pStyle w:val="BodyText1"/>
      </w:pPr>
      <w:bookmarkStart w:id="6" w:name="_Toc45529854"/>
      <w:r w:rsidRPr="00F8076C">
        <w:t xml:space="preserve">Terms in NGER legislation may have specific meanings within the law. These key words and phrases are normally identified under a heading such as Definitions, Interpretation or Dictionary or in other parts of the document. </w:t>
      </w:r>
    </w:p>
    <w:p w14:paraId="48023B9E" w14:textId="457B2515" w:rsidR="004F565A" w:rsidRPr="00F8076C" w:rsidRDefault="004F565A" w:rsidP="004F565A">
      <w:pPr>
        <w:pStyle w:val="BodyText1"/>
      </w:pPr>
      <w:r w:rsidRPr="00F8076C">
        <w:lastRenderedPageBreak/>
        <w:t xml:space="preserve">For more information on interpreting legislation see </w:t>
      </w:r>
      <w:hyperlink r:id="rId24" w:tooltip="A link to the Australian Government webiste, The Federal Register of Legislation - Understanding Legislation" w:history="1">
        <w:r w:rsidRPr="00F8076C">
          <w:rPr>
            <w:rStyle w:val="Hyperlink"/>
            <w:rFonts w:asciiTheme="minorHAnsi" w:hAnsiTheme="minorHAnsi"/>
          </w:rPr>
          <w:t>Federal Register of Legislation - Understanding Legislation</w:t>
        </w:r>
      </w:hyperlink>
      <w:r>
        <w:rPr>
          <w:rStyle w:val="FootnoteReference"/>
          <w:lang w:val="en-GB"/>
        </w:rPr>
        <w:footnoteReference w:id="4"/>
      </w:r>
      <w:r w:rsidRPr="00F8076C">
        <w:t>.</w:t>
      </w:r>
    </w:p>
    <w:p w14:paraId="314CE560" w14:textId="39DE9D75" w:rsidR="005042FA" w:rsidRPr="00B76DE9" w:rsidRDefault="005042FA" w:rsidP="005042FA">
      <w:pPr>
        <w:pStyle w:val="Heading1"/>
        <w:ind w:left="357" w:hanging="357"/>
        <w:rPr>
          <w:lang w:val="en-GB" w:eastAsia="en-AU"/>
        </w:rPr>
      </w:pPr>
      <w:bookmarkStart w:id="7" w:name="_Toc76041533"/>
      <w:bookmarkStart w:id="8" w:name="_Toc235611533"/>
      <w:r w:rsidRPr="00B76DE9">
        <w:rPr>
          <w:lang w:val="en-GB"/>
        </w:rPr>
        <w:t>Disclaimer</w:t>
      </w:r>
      <w:bookmarkEnd w:id="6"/>
      <w:bookmarkEnd w:id="7"/>
      <w:bookmarkEnd w:id="8"/>
    </w:p>
    <w:p w14:paraId="6E085B94" w14:textId="76C0F8ED" w:rsidR="005042FA" w:rsidRPr="000B3301" w:rsidRDefault="005042FA" w:rsidP="000910BB">
      <w:pPr>
        <w:autoSpaceDE w:val="0"/>
        <w:autoSpaceDN w:val="0"/>
        <w:adjustRightInd w:val="0"/>
        <w:spacing w:after="0"/>
        <w:rPr>
          <w:lang w:eastAsia="en-AU"/>
        </w:rPr>
      </w:pPr>
      <w:r w:rsidRPr="000B3301">
        <w:rPr>
          <w:lang w:eastAsia="en-AU"/>
        </w:rPr>
        <w:t>This</w:t>
      </w:r>
      <w:r w:rsidRPr="000B3301">
        <w:rPr>
          <w:i/>
          <w:iCs/>
          <w:lang w:eastAsia="en-AU"/>
        </w:rPr>
        <w:t xml:space="preserve"> </w:t>
      </w:r>
      <w:r w:rsidRPr="000B3301">
        <w:rPr>
          <w:lang w:eastAsia="en-AU"/>
        </w:rPr>
        <w:t>guideline has been developed by the Clean Energy Regulator (</w:t>
      </w:r>
      <w:r w:rsidR="5D2A9FF4" w:rsidRPr="000B3301">
        <w:rPr>
          <w:lang w:eastAsia="en-AU"/>
        </w:rPr>
        <w:t>CER</w:t>
      </w:r>
      <w:r w:rsidRPr="000B3301">
        <w:rPr>
          <w:lang w:eastAsia="en-AU"/>
        </w:rPr>
        <w:t xml:space="preserve">) to assist entities to comply with their reporting obligations under the </w:t>
      </w:r>
      <w:hyperlink r:id="rId25" w:tooltip="A link to the Australian Government legislation - the National Greenhouse and Energy reporting act 2007" w:history="1">
        <w:r w:rsidRPr="000B3301">
          <w:rPr>
            <w:rStyle w:val="Hyperlink"/>
            <w:i/>
            <w:iCs/>
            <w:lang w:eastAsia="en-AU"/>
          </w:rPr>
          <w:t>National Greenhouse and Energy Reporting Act 2007</w:t>
        </w:r>
      </w:hyperlink>
      <w:bookmarkStart w:id="9" w:name="_Ref105748531"/>
      <w:r w:rsidRPr="00A469D7">
        <w:rPr>
          <w:rStyle w:val="FootnoteReference"/>
          <w:color w:val="000000"/>
          <w:lang w:eastAsia="en-AU"/>
        </w:rPr>
        <w:footnoteReference w:id="5"/>
      </w:r>
      <w:bookmarkEnd w:id="9"/>
      <w:r w:rsidRPr="000B3301">
        <w:rPr>
          <w:i/>
          <w:iCs/>
          <w:lang w:eastAsia="en-AU"/>
        </w:rPr>
        <w:t xml:space="preserve"> </w:t>
      </w:r>
      <w:r w:rsidRPr="000B3301">
        <w:rPr>
          <w:iCs/>
          <w:lang w:eastAsia="en-AU"/>
        </w:rPr>
        <w:t>(NGER Act)</w:t>
      </w:r>
      <w:r w:rsidRPr="000B3301">
        <w:rPr>
          <w:i/>
          <w:iCs/>
          <w:lang w:eastAsia="en-AU"/>
        </w:rPr>
        <w:t xml:space="preserve"> </w:t>
      </w:r>
      <w:r w:rsidRPr="000B3301">
        <w:rPr>
          <w:lang w:eastAsia="en-AU"/>
        </w:rPr>
        <w:t>and associated legislation.</w:t>
      </w:r>
    </w:p>
    <w:p w14:paraId="51AE3673" w14:textId="77777777" w:rsidR="005042FA" w:rsidRPr="000B3301" w:rsidRDefault="005042FA" w:rsidP="000910BB">
      <w:pPr>
        <w:autoSpaceDE w:val="0"/>
        <w:autoSpaceDN w:val="0"/>
        <w:adjustRightInd w:val="0"/>
        <w:spacing w:after="0"/>
        <w:rPr>
          <w:lang w:eastAsia="en-AU"/>
        </w:rPr>
      </w:pPr>
    </w:p>
    <w:p w14:paraId="236BB305" w14:textId="5662CD0C" w:rsidR="005042FA" w:rsidRPr="000B3301" w:rsidRDefault="005042FA" w:rsidP="000910BB">
      <w:pPr>
        <w:autoSpaceDE w:val="0"/>
        <w:autoSpaceDN w:val="0"/>
        <w:adjustRightInd w:val="0"/>
        <w:spacing w:after="0"/>
        <w:rPr>
          <w:lang w:eastAsia="en-AU"/>
        </w:rPr>
      </w:pPr>
      <w:r w:rsidRPr="004C131A">
        <w:rPr>
          <w:lang w:eastAsia="en-AU"/>
        </w:rPr>
        <w:t xml:space="preserve">This guideline only applies to the </w:t>
      </w:r>
      <w:r w:rsidR="003072FC">
        <w:rPr>
          <w:lang w:eastAsia="en-AU"/>
        </w:rPr>
        <w:t>202</w:t>
      </w:r>
      <w:r w:rsidR="00570E62">
        <w:rPr>
          <w:lang w:eastAsia="en-AU"/>
        </w:rPr>
        <w:t>5</w:t>
      </w:r>
      <w:r w:rsidR="003072FC">
        <w:rPr>
          <w:lang w:eastAsia="en-AU"/>
        </w:rPr>
        <w:t>–2</w:t>
      </w:r>
      <w:r w:rsidR="00570E62">
        <w:rPr>
          <w:lang w:eastAsia="en-AU"/>
        </w:rPr>
        <w:t>6</w:t>
      </w:r>
      <w:r w:rsidRPr="004C131A">
        <w:rPr>
          <w:lang w:eastAsia="en-AU"/>
        </w:rPr>
        <w:t xml:space="preserve"> NGER reporting year and should be read in conjunction with the NGER </w:t>
      </w:r>
      <w:r w:rsidRPr="00CA26D3">
        <w:rPr>
          <w:lang w:eastAsia="en-AU"/>
        </w:rPr>
        <w:t xml:space="preserve">Act, </w:t>
      </w:r>
      <w:hyperlink r:id="rId26" w:tooltip="A link to the Australian Government legislation - the National Greenhouse and Energy regulations 2008" w:history="1">
        <w:r w:rsidRPr="000910BB">
          <w:rPr>
            <w:rStyle w:val="Hyperlink"/>
            <w:lang w:eastAsia="en-AU"/>
          </w:rPr>
          <w:t>National Greenhouse and Energy Regulations 2008</w:t>
        </w:r>
      </w:hyperlink>
      <w:r w:rsidRPr="00CA26D3">
        <w:rPr>
          <w:rStyle w:val="FootnoteReference"/>
          <w:color w:val="000000"/>
          <w:lang w:eastAsia="en-AU"/>
        </w:rPr>
        <w:footnoteReference w:id="6"/>
      </w:r>
      <w:r w:rsidRPr="00CA26D3">
        <w:rPr>
          <w:color w:val="000000"/>
          <w:lang w:eastAsia="en-AU"/>
        </w:rPr>
        <w:t xml:space="preserve"> (</w:t>
      </w:r>
      <w:r w:rsidRPr="00CA26D3">
        <w:rPr>
          <w:lang w:eastAsia="en-AU"/>
        </w:rPr>
        <w:t xml:space="preserve">NGER Regulations), and </w:t>
      </w:r>
      <w:hyperlink r:id="rId27" w:tooltip="A link to the Australian Government legislation - the National Greenhouse and Energy Measurement Determination" w:history="1">
        <w:r w:rsidRPr="000910BB">
          <w:rPr>
            <w:rStyle w:val="Hyperlink"/>
            <w:lang w:eastAsia="en-AU"/>
          </w:rPr>
          <w:t>National Greenhouse and Energy Reporting (Measurement) Determination 2008</w:t>
        </w:r>
      </w:hyperlink>
      <w:r w:rsidRPr="00CA26D3">
        <w:rPr>
          <w:rStyle w:val="FootnoteReference"/>
          <w:color w:val="000000"/>
          <w:lang w:eastAsia="en-AU"/>
        </w:rPr>
        <w:footnoteReference w:id="7"/>
      </w:r>
      <w:r w:rsidRPr="00CA26D3">
        <w:rPr>
          <w:lang w:eastAsia="en-AU"/>
        </w:rPr>
        <w:t xml:space="preserve"> (NGER Measurement Determination), as</w:t>
      </w:r>
      <w:r w:rsidRPr="004C131A">
        <w:rPr>
          <w:lang w:eastAsia="en-AU"/>
        </w:rPr>
        <w:t xml:space="preserve"> in force for this reporting period. These</w:t>
      </w:r>
      <w:r w:rsidRPr="000B3301">
        <w:rPr>
          <w:lang w:eastAsia="en-AU"/>
        </w:rPr>
        <w:t xml:space="preserve"> laws and their interpretation are subject to change, which may affect the accuracy of the information contained in the guideline. </w:t>
      </w:r>
    </w:p>
    <w:p w14:paraId="75BF871A" w14:textId="77777777" w:rsidR="005042FA" w:rsidRPr="000B3301" w:rsidRDefault="005042FA" w:rsidP="000910BB">
      <w:pPr>
        <w:autoSpaceDE w:val="0"/>
        <w:autoSpaceDN w:val="0"/>
        <w:adjustRightInd w:val="0"/>
        <w:spacing w:after="0"/>
        <w:rPr>
          <w:lang w:eastAsia="en-AU"/>
        </w:rPr>
      </w:pPr>
    </w:p>
    <w:p w14:paraId="4FAEEACD" w14:textId="3231602A" w:rsidR="005042FA" w:rsidRPr="000B3301" w:rsidRDefault="005042FA" w:rsidP="000910BB">
      <w:pPr>
        <w:autoSpaceDE w:val="0"/>
        <w:autoSpaceDN w:val="0"/>
        <w:adjustRightInd w:val="0"/>
        <w:spacing w:after="0"/>
        <w:rPr>
          <w:lang w:eastAsia="en-AU"/>
        </w:rPr>
      </w:pPr>
      <w:r w:rsidRPr="000B3301">
        <w:rPr>
          <w:lang w:eastAsia="en-AU"/>
        </w:rPr>
        <w:t>The guidance provided in this document is not exhaustive, nor does it consider all circumstances applicable to all entities. Th</w:t>
      </w:r>
      <w:r>
        <w:rPr>
          <w:lang w:eastAsia="en-AU"/>
        </w:rPr>
        <w:t>is</w:t>
      </w:r>
      <w:r w:rsidRPr="000B3301">
        <w:rPr>
          <w:lang w:eastAsia="en-AU"/>
        </w:rPr>
        <w:t xml:space="preserve"> </w:t>
      </w:r>
      <w:r>
        <w:rPr>
          <w:lang w:eastAsia="en-AU"/>
        </w:rPr>
        <w:t>guidance</w:t>
      </w:r>
      <w:r w:rsidRPr="000B3301">
        <w:rPr>
          <w:lang w:eastAsia="en-AU"/>
        </w:rPr>
        <w:t xml:space="preserve"> is not intended to comprehensively deal with its subject area, and it is not a substitute for independent legal advice. Although entities are not bound to follow the guidance provided in this document, they must ensure they meet their obligations under the </w:t>
      </w:r>
      <w:hyperlink r:id="rId28" w:tooltip="A link to the NGER scheme page of the Clean Energy Regulator website" w:history="1">
        <w:r w:rsidRPr="00452C2E">
          <w:rPr>
            <w:rStyle w:val="Hyperlink"/>
            <w:lang w:eastAsia="en-AU"/>
          </w:rPr>
          <w:t xml:space="preserve">National Greenhouse and Energy Reporting (NGER) </w:t>
        </w:r>
        <w:r w:rsidR="004360AB">
          <w:rPr>
            <w:rStyle w:val="Hyperlink"/>
            <w:lang w:eastAsia="en-AU"/>
          </w:rPr>
          <w:t>S</w:t>
        </w:r>
        <w:r w:rsidRPr="00452C2E">
          <w:rPr>
            <w:rStyle w:val="Hyperlink"/>
            <w:lang w:eastAsia="en-AU"/>
          </w:rPr>
          <w:t>cheme</w:t>
        </w:r>
      </w:hyperlink>
      <w:r>
        <w:rPr>
          <w:rStyle w:val="FootnoteReference"/>
          <w:lang w:eastAsia="en-AU"/>
        </w:rPr>
        <w:footnoteReference w:id="8"/>
      </w:r>
      <w:r w:rsidRPr="000B3301">
        <w:rPr>
          <w:lang w:eastAsia="en-AU"/>
        </w:rPr>
        <w:t xml:space="preserve"> at all times. </w:t>
      </w:r>
      <w:r w:rsidR="1B86179A" w:rsidRPr="000B3301">
        <w:rPr>
          <w:lang w:eastAsia="en-AU"/>
        </w:rPr>
        <w:t>CER</w:t>
      </w:r>
      <w:r w:rsidRPr="000B3301">
        <w:rPr>
          <w:lang w:eastAsia="en-AU"/>
        </w:rPr>
        <w:t xml:space="preserve"> encourages all users of this </w:t>
      </w:r>
      <w:r>
        <w:rPr>
          <w:lang w:eastAsia="en-AU"/>
        </w:rPr>
        <w:t>guidance</w:t>
      </w:r>
      <w:r w:rsidRPr="000B3301">
        <w:rPr>
          <w:lang w:eastAsia="en-AU"/>
        </w:rPr>
        <w:t xml:space="preserve"> to seek independent legal advice before taking any action or decision </w:t>
      </w:r>
      <w:r w:rsidR="008D18BE" w:rsidRPr="000B3301">
        <w:rPr>
          <w:lang w:eastAsia="en-AU"/>
        </w:rPr>
        <w:t>based on</w:t>
      </w:r>
      <w:r w:rsidRPr="000B3301">
        <w:rPr>
          <w:lang w:eastAsia="en-AU"/>
        </w:rPr>
        <w:t xml:space="preserve"> this </w:t>
      </w:r>
      <w:r>
        <w:rPr>
          <w:lang w:eastAsia="en-AU"/>
        </w:rPr>
        <w:t>guidance</w:t>
      </w:r>
      <w:r w:rsidRPr="000B3301">
        <w:rPr>
          <w:lang w:eastAsia="en-AU"/>
        </w:rPr>
        <w:t>.</w:t>
      </w:r>
    </w:p>
    <w:p w14:paraId="0472AC25" w14:textId="77777777" w:rsidR="005042FA" w:rsidRPr="000B3301" w:rsidRDefault="005042FA" w:rsidP="000910BB">
      <w:pPr>
        <w:autoSpaceDE w:val="0"/>
        <w:autoSpaceDN w:val="0"/>
        <w:adjustRightInd w:val="0"/>
        <w:spacing w:after="0"/>
        <w:rPr>
          <w:lang w:eastAsia="en-AU"/>
        </w:rPr>
      </w:pPr>
    </w:p>
    <w:p w14:paraId="3E42A99C" w14:textId="32771B24" w:rsidR="005042FA" w:rsidRPr="000B3301" w:rsidRDefault="404502C3" w:rsidP="000910BB">
      <w:pPr>
        <w:autoSpaceDE w:val="0"/>
        <w:autoSpaceDN w:val="0"/>
        <w:adjustRightInd w:val="0"/>
        <w:spacing w:after="0"/>
        <w:rPr>
          <w:lang w:eastAsia="en-AU"/>
        </w:rPr>
      </w:pPr>
      <w:r w:rsidRPr="4FB54A55">
        <w:rPr>
          <w:lang w:eastAsia="en-AU"/>
        </w:rPr>
        <w:t>CER</w:t>
      </w:r>
      <w:r w:rsidR="005042FA" w:rsidRPr="000B3301">
        <w:rPr>
          <w:lang w:eastAsia="en-AU"/>
        </w:rPr>
        <w:t xml:space="preserve"> and the Australian Government will not be liable for any loss or damage from any cause (including negligence) whether arising directly, </w:t>
      </w:r>
      <w:r w:rsidR="008D18BE" w:rsidRPr="000B3301">
        <w:rPr>
          <w:lang w:eastAsia="en-AU"/>
        </w:rPr>
        <w:t>incidentally,</w:t>
      </w:r>
      <w:r w:rsidR="005042FA" w:rsidRPr="000B3301">
        <w:rPr>
          <w:lang w:eastAsia="en-AU"/>
        </w:rPr>
        <w:t xml:space="preserve"> or as consequential loss, out of or in connection with, any use of this guideline or reliance on it, for any purpose.</w:t>
      </w:r>
    </w:p>
    <w:p w14:paraId="1E7198EB" w14:textId="77777777" w:rsidR="005042FA" w:rsidRPr="000B3301" w:rsidRDefault="005042FA" w:rsidP="000910BB">
      <w:pPr>
        <w:autoSpaceDE w:val="0"/>
        <w:autoSpaceDN w:val="0"/>
        <w:adjustRightInd w:val="0"/>
        <w:spacing w:after="0"/>
        <w:rPr>
          <w:lang w:eastAsia="en-AU"/>
        </w:rPr>
      </w:pPr>
    </w:p>
    <w:p w14:paraId="070441A5" w14:textId="6992C60F" w:rsidR="005042FA" w:rsidRPr="00A82423" w:rsidRDefault="005042FA" w:rsidP="000910BB">
      <w:pPr>
        <w:spacing w:after="0"/>
      </w:pPr>
      <w:r w:rsidRPr="000B3301">
        <w:rPr>
          <w:lang w:eastAsia="en-AU"/>
        </w:rPr>
        <w:t xml:space="preserve">If an entity chooses to meet their obligations under the NGER </w:t>
      </w:r>
      <w:r w:rsidR="00455978">
        <w:rPr>
          <w:lang w:eastAsia="en-AU"/>
        </w:rPr>
        <w:t>S</w:t>
      </w:r>
      <w:r w:rsidRPr="000B3301">
        <w:rPr>
          <w:lang w:eastAsia="en-AU"/>
        </w:rPr>
        <w:t xml:space="preserve">cheme in a manner that is inconsistent with the guidance provided in this document, </w:t>
      </w:r>
      <w:r w:rsidR="3F0C7180" w:rsidRPr="4FB54A55">
        <w:rPr>
          <w:lang w:eastAsia="en-AU"/>
        </w:rPr>
        <w:t>CER</w:t>
      </w:r>
      <w:r w:rsidRPr="000B3301">
        <w:rPr>
          <w:lang w:eastAsia="en-AU"/>
        </w:rPr>
        <w:t>, or an independent auditor, may require the entity to demonstrate that they are compliant with requirements of the NGER Act, NGER Regulations, and/or the NGER Measurement Determination. Entities are responsible for determining their obligations under the law and for applying the law to their individual circumstances.</w:t>
      </w:r>
    </w:p>
    <w:p w14:paraId="3CF5301E" w14:textId="48E97FD0" w:rsidR="005042FA" w:rsidRPr="00FA7635" w:rsidRDefault="005042FA">
      <w:pPr>
        <w:pStyle w:val="Heading1"/>
      </w:pPr>
      <w:r>
        <w:rPr>
          <w:lang w:val="en-GB"/>
        </w:rPr>
        <w:br w:type="page"/>
      </w:r>
      <w:bookmarkStart w:id="10" w:name="_Toc235611534"/>
      <w:r w:rsidR="003072FC">
        <w:lastRenderedPageBreak/>
        <w:t>202</w:t>
      </w:r>
      <w:r w:rsidR="00DE5693">
        <w:t>5</w:t>
      </w:r>
      <w:r w:rsidR="0077452F">
        <w:t>-</w:t>
      </w:r>
      <w:r w:rsidR="003072FC">
        <w:t>2</w:t>
      </w:r>
      <w:r w:rsidR="00DE5693">
        <w:t>6</w:t>
      </w:r>
      <w:r>
        <w:t xml:space="preserve"> updates</w:t>
      </w:r>
      <w:bookmarkEnd w:id="10"/>
    </w:p>
    <w:p w14:paraId="2543B243" w14:textId="4A56DA1E" w:rsidR="005042FA" w:rsidRDefault="005042FA" w:rsidP="00A11B9C">
      <w:pPr>
        <w:spacing w:before="240"/>
      </w:pPr>
      <w:r>
        <w:t xml:space="preserve">Changes in this document for the </w:t>
      </w:r>
      <w:r w:rsidR="003072FC">
        <w:t>202</w:t>
      </w:r>
      <w:r w:rsidR="00DE5693">
        <w:t>5</w:t>
      </w:r>
      <w:r w:rsidR="00BA6390">
        <w:t>-</w:t>
      </w:r>
      <w:r w:rsidR="003072FC">
        <w:t>2</w:t>
      </w:r>
      <w:r w:rsidR="00DE5693">
        <w:t>6</w:t>
      </w:r>
      <w:r>
        <w:t xml:space="preserve"> reporting year:</w:t>
      </w:r>
    </w:p>
    <w:p w14:paraId="468BC37A" w14:textId="1229A949" w:rsidR="00B87C39" w:rsidRPr="00B87C39" w:rsidRDefault="00B87C39" w:rsidP="007D373D">
      <w:pPr>
        <w:pStyle w:val="CERbullets"/>
        <w:rPr>
          <w:lang w:eastAsia="en-AU"/>
        </w:rPr>
      </w:pPr>
      <w:r w:rsidRPr="00B87C39">
        <w:rPr>
          <w:lang w:val="en-GB" w:eastAsia="en-AU"/>
        </w:rPr>
        <w:t>Minor stylistic and formatting changes have been made to this document</w:t>
      </w:r>
      <w:r w:rsidR="007B009A">
        <w:rPr>
          <w:lang w:val="en-GB" w:eastAsia="en-AU"/>
        </w:rPr>
        <w:t>.</w:t>
      </w:r>
      <w:r w:rsidRPr="00B87C39">
        <w:rPr>
          <w:lang w:eastAsia="en-AU"/>
        </w:rPr>
        <w:t> </w:t>
      </w:r>
      <w:r w:rsidRPr="00B87C39">
        <w:rPr>
          <w:lang w:eastAsia="en-AU"/>
        </w:rPr>
        <w:br/>
        <w:t> </w:t>
      </w:r>
    </w:p>
    <w:p w14:paraId="7AD6ED05" w14:textId="41EBDA4C" w:rsidR="00B87C39" w:rsidRPr="00B87C39" w:rsidRDefault="00B87C39" w:rsidP="00B87C39">
      <w:pPr>
        <w:spacing w:after="0"/>
        <w:textAlignment w:val="baseline"/>
        <w:rPr>
          <w:rFonts w:ascii="Calibri" w:eastAsia="Times New Roman" w:hAnsi="Calibri" w:cs="Calibri"/>
          <w:color w:val="auto"/>
          <w:szCs w:val="22"/>
          <w:lang w:eastAsia="en-AU"/>
        </w:rPr>
      </w:pPr>
      <w:r w:rsidRPr="00B87C39">
        <w:rPr>
          <w:rFonts w:ascii="Calibri" w:eastAsia="Times New Roman" w:hAnsi="Calibri" w:cs="Calibri"/>
          <w:color w:val="auto"/>
          <w:szCs w:val="22"/>
          <w:lang w:eastAsia="en-AU"/>
        </w:rPr>
        <w:t xml:space="preserve">Read about the </w:t>
      </w:r>
      <w:hyperlink r:id="rId29" w:tooltip="A link to the NGER amendments page of the Clean Energy Regulator website" w:history="1">
        <w:r w:rsidR="003D6716" w:rsidRPr="003D6716">
          <w:rPr>
            <w:rStyle w:val="Hyperlink"/>
            <w:rFonts w:eastAsia="Times New Roman" w:cs="Calibri"/>
            <w:szCs w:val="22"/>
            <w:lang w:eastAsia="en-AU"/>
          </w:rPr>
          <w:t xml:space="preserve">changes to the NGER </w:t>
        </w:r>
        <w:r w:rsidR="00B00B93">
          <w:rPr>
            <w:rStyle w:val="Hyperlink"/>
            <w:rFonts w:eastAsia="Times New Roman" w:cs="Calibri"/>
            <w:szCs w:val="22"/>
            <w:lang w:eastAsia="en-AU"/>
          </w:rPr>
          <w:t>l</w:t>
        </w:r>
        <w:r w:rsidR="003D6716" w:rsidRPr="003D6716">
          <w:rPr>
            <w:rStyle w:val="Hyperlink"/>
            <w:rFonts w:eastAsia="Times New Roman" w:cs="Calibri"/>
            <w:szCs w:val="22"/>
            <w:lang w:eastAsia="en-AU"/>
          </w:rPr>
          <w:t xml:space="preserve">egislation for the </w:t>
        </w:r>
        <w:r w:rsidR="003072FC">
          <w:rPr>
            <w:rStyle w:val="Hyperlink"/>
            <w:rFonts w:eastAsia="Times New Roman" w:cs="Calibri"/>
            <w:szCs w:val="22"/>
            <w:lang w:eastAsia="en-AU"/>
          </w:rPr>
          <w:t>202</w:t>
        </w:r>
        <w:r w:rsidR="00DE5693">
          <w:rPr>
            <w:rStyle w:val="Hyperlink"/>
            <w:rFonts w:eastAsia="Times New Roman" w:cs="Calibri"/>
            <w:szCs w:val="22"/>
            <w:lang w:eastAsia="en-AU"/>
          </w:rPr>
          <w:t>5</w:t>
        </w:r>
        <w:r w:rsidR="0077452F">
          <w:rPr>
            <w:rStyle w:val="Hyperlink"/>
            <w:rFonts w:eastAsia="Times New Roman" w:cs="Calibri"/>
            <w:szCs w:val="22"/>
            <w:lang w:eastAsia="en-AU"/>
          </w:rPr>
          <w:t>-</w:t>
        </w:r>
        <w:r w:rsidR="003072FC">
          <w:rPr>
            <w:rStyle w:val="Hyperlink"/>
            <w:rFonts w:eastAsia="Times New Roman" w:cs="Calibri"/>
            <w:szCs w:val="22"/>
            <w:lang w:eastAsia="en-AU"/>
          </w:rPr>
          <w:t>2</w:t>
        </w:r>
        <w:r w:rsidR="00DE5693">
          <w:rPr>
            <w:rStyle w:val="Hyperlink"/>
            <w:rFonts w:eastAsia="Times New Roman" w:cs="Calibri"/>
            <w:szCs w:val="22"/>
            <w:lang w:eastAsia="en-AU"/>
          </w:rPr>
          <w:t>6</w:t>
        </w:r>
        <w:r w:rsidR="003D6716" w:rsidRPr="003D6716">
          <w:rPr>
            <w:rStyle w:val="Hyperlink"/>
            <w:rFonts w:eastAsia="Times New Roman" w:cs="Calibri"/>
            <w:szCs w:val="22"/>
            <w:lang w:eastAsia="en-AU"/>
          </w:rPr>
          <w:t xml:space="preserve"> reporting period</w:t>
        </w:r>
        <w:r w:rsidR="00A445B6">
          <w:rPr>
            <w:rStyle w:val="FootnoteReference"/>
            <w:rFonts w:ascii="Calibri" w:eastAsia="Times New Roman" w:hAnsi="Calibri" w:cs="Calibri"/>
            <w:color w:val="006C93" w:themeColor="accent3"/>
            <w:szCs w:val="22"/>
            <w:u w:val="single"/>
            <w:lang w:eastAsia="en-AU"/>
          </w:rPr>
          <w:footnoteReference w:id="9"/>
        </w:r>
        <w:r w:rsidR="003D6716" w:rsidRPr="003D6716">
          <w:rPr>
            <w:rStyle w:val="Hyperlink"/>
            <w:rFonts w:eastAsia="Times New Roman" w:cs="Calibri"/>
            <w:szCs w:val="22"/>
            <w:lang w:eastAsia="en-AU"/>
          </w:rPr>
          <w:t xml:space="preserve">.  </w:t>
        </w:r>
      </w:hyperlink>
      <w:r w:rsidR="003D6716">
        <w:rPr>
          <w:rFonts w:ascii="Calibri" w:eastAsia="Times New Roman" w:hAnsi="Calibri" w:cs="Calibri"/>
          <w:color w:val="auto"/>
          <w:szCs w:val="22"/>
          <w:lang w:eastAsia="en-AU"/>
        </w:rPr>
        <w:t xml:space="preserve"> </w:t>
      </w:r>
    </w:p>
    <w:p w14:paraId="3C12D94D" w14:textId="069E9DA1" w:rsidR="005042FA" w:rsidRPr="00397217" w:rsidRDefault="00397217" w:rsidP="000910BB">
      <w:pPr>
        <w:pStyle w:val="Heading1"/>
      </w:pPr>
      <w:bookmarkStart w:id="11" w:name="_Toc235611535"/>
      <w:r>
        <w:t>1</w:t>
      </w:r>
      <w:bookmarkStart w:id="12" w:name="_Toc43871036"/>
      <w:bookmarkStart w:id="13" w:name="_Toc76041534"/>
      <w:r>
        <w:t xml:space="preserve">. </w:t>
      </w:r>
      <w:r w:rsidR="005042FA" w:rsidRPr="00397217">
        <w:t>Purpose of this guideline</w:t>
      </w:r>
      <w:bookmarkEnd w:id="11"/>
      <w:bookmarkEnd w:id="12"/>
      <w:bookmarkEnd w:id="13"/>
    </w:p>
    <w:p w14:paraId="3A27301F" w14:textId="066376FF" w:rsidR="005042FA" w:rsidRPr="0030215C" w:rsidRDefault="005042FA" w:rsidP="00A11B9C">
      <w:pPr>
        <w:spacing w:before="240"/>
      </w:pPr>
      <w:r>
        <w:t>H</w:t>
      </w:r>
      <w:r w:rsidRPr="0030215C">
        <w:t>andlers</w:t>
      </w:r>
      <w:r>
        <w:t xml:space="preserve"> of </w:t>
      </w:r>
      <w:r w:rsidRPr="0030215C">
        <w:t>domestic</w:t>
      </w:r>
      <w:r>
        <w:t>,</w:t>
      </w:r>
      <w:r w:rsidRPr="0030215C">
        <w:t xml:space="preserve"> </w:t>
      </w:r>
      <w:r w:rsidR="00640DB2" w:rsidRPr="0030215C">
        <w:t>commercial,</w:t>
      </w:r>
      <w:r w:rsidRPr="0030215C">
        <w:t xml:space="preserve"> and industrial</w:t>
      </w:r>
      <w:r>
        <w:t xml:space="preserve"> wastewater</w:t>
      </w:r>
      <w:r w:rsidRPr="0030215C">
        <w:t xml:space="preserve"> have reporting obligations under the NGER Act, the NGER Regulations and the</w:t>
      </w:r>
      <w:r w:rsidRPr="0030215C">
        <w:rPr>
          <w:i/>
        </w:rPr>
        <w:t xml:space="preserve"> </w:t>
      </w:r>
      <w:r w:rsidRPr="0030215C">
        <w:t xml:space="preserve">NGER </w:t>
      </w:r>
      <w:r>
        <w:t xml:space="preserve">Measurement </w:t>
      </w:r>
      <w:r w:rsidRPr="0030215C">
        <w:t>Determination.</w:t>
      </w:r>
    </w:p>
    <w:p w14:paraId="0C6DE43D" w14:textId="77777777" w:rsidR="005042FA" w:rsidRPr="0030215C" w:rsidRDefault="005042FA" w:rsidP="005042FA">
      <w:r w:rsidRPr="0030215C">
        <w:t xml:space="preserve">It is important </w:t>
      </w:r>
      <w:r>
        <w:t>that</w:t>
      </w:r>
      <w:r w:rsidRPr="0030215C">
        <w:t xml:space="preserve"> </w:t>
      </w:r>
      <w:r>
        <w:t xml:space="preserve">the reporting of </w:t>
      </w:r>
      <w:r w:rsidRPr="0030215C">
        <w:t>information related to greenhouse gas emissions, energy consumption and energy production of corporations</w:t>
      </w:r>
      <w:r>
        <w:t xml:space="preserve"> is accurate</w:t>
      </w:r>
      <w:r w:rsidRPr="0030215C">
        <w:t>. The information is used to:</w:t>
      </w:r>
    </w:p>
    <w:p w14:paraId="6ED9BCDE" w14:textId="77777777" w:rsidR="005042FA" w:rsidRPr="0030215C" w:rsidRDefault="005042FA" w:rsidP="005042FA">
      <w:pPr>
        <w:pStyle w:val="CERbullets"/>
        <w:ind w:left="360" w:hanging="360"/>
        <w:rPr>
          <w:spacing w:val="-2"/>
        </w:rPr>
      </w:pPr>
      <w:r w:rsidRPr="0030215C">
        <w:rPr>
          <w:spacing w:val="-2"/>
        </w:rPr>
        <w:t>inform government policy formulation and the Australian public</w:t>
      </w:r>
    </w:p>
    <w:p w14:paraId="322F8025" w14:textId="77777777" w:rsidR="005042FA" w:rsidRPr="0030215C" w:rsidRDefault="005042FA" w:rsidP="005042FA">
      <w:pPr>
        <w:pStyle w:val="CERbullets"/>
        <w:ind w:left="360" w:hanging="360"/>
        <w:rPr>
          <w:spacing w:val="-2"/>
        </w:rPr>
      </w:pPr>
      <w:r w:rsidRPr="0030215C">
        <w:rPr>
          <w:spacing w:val="-2"/>
        </w:rPr>
        <w:t>meet Australia’s international reporting obligations</w:t>
      </w:r>
    </w:p>
    <w:p w14:paraId="6353C9B4" w14:textId="77777777" w:rsidR="005042FA" w:rsidRPr="0030215C" w:rsidRDefault="005042FA" w:rsidP="005042FA">
      <w:pPr>
        <w:pStyle w:val="CERbullets"/>
        <w:ind w:left="360" w:hanging="360"/>
        <w:rPr>
          <w:spacing w:val="-2"/>
        </w:rPr>
      </w:pPr>
      <w:r w:rsidRPr="0030215C">
        <w:rPr>
          <w:spacing w:val="-2"/>
        </w:rPr>
        <w:t>assist Commonwealth, state and territory government programs and activities</w:t>
      </w:r>
    </w:p>
    <w:p w14:paraId="206DFC6C" w14:textId="6F6DD577" w:rsidR="005042FA" w:rsidRPr="0030215C" w:rsidRDefault="005042FA" w:rsidP="005042FA">
      <w:pPr>
        <w:pStyle w:val="CERbullets"/>
        <w:ind w:left="360" w:hanging="360"/>
        <w:rPr>
          <w:spacing w:val="-2"/>
        </w:rPr>
      </w:pPr>
      <w:r w:rsidRPr="0030215C">
        <w:rPr>
          <w:spacing w:val="-2"/>
        </w:rPr>
        <w:t xml:space="preserve">ensure, under the </w:t>
      </w:r>
      <w:r w:rsidR="008B1FB0">
        <w:rPr>
          <w:spacing w:val="-2"/>
        </w:rPr>
        <w:t>S</w:t>
      </w:r>
      <w:r w:rsidRPr="0030215C">
        <w:rPr>
          <w:spacing w:val="-2"/>
        </w:rPr>
        <w:t xml:space="preserve">afeguard </w:t>
      </w:r>
      <w:r w:rsidR="008B1FB0">
        <w:rPr>
          <w:spacing w:val="-2"/>
        </w:rPr>
        <w:t>M</w:t>
      </w:r>
      <w:r w:rsidRPr="0030215C">
        <w:rPr>
          <w:spacing w:val="-2"/>
        </w:rPr>
        <w:t>echanism, that net covered emissions of greenhouse gases from the operation of a designated large facility do not exceed the baseline applicable to the facility.</w:t>
      </w:r>
    </w:p>
    <w:p w14:paraId="367982A4" w14:textId="77777777" w:rsidR="005042FA" w:rsidRPr="0030215C" w:rsidRDefault="005042FA" w:rsidP="005042FA">
      <w:r w:rsidRPr="0030215C">
        <w:t xml:space="preserve">This </w:t>
      </w:r>
      <w:r w:rsidRPr="00B414AE">
        <w:t>guideline</w:t>
      </w:r>
      <w:r w:rsidRPr="0030215C">
        <w:t xml:space="preserve"> is intended to</w:t>
      </w:r>
      <w:r>
        <w:t xml:space="preserve"> </w:t>
      </w:r>
      <w:r w:rsidRPr="0030215C">
        <w:t>assist</w:t>
      </w:r>
      <w:r>
        <w:t xml:space="preserve"> </w:t>
      </w:r>
      <w:r w:rsidRPr="0030215C">
        <w:t>wastewater managers to estimate and report emissions from wastewater</w:t>
      </w:r>
      <w:r>
        <w:t xml:space="preserve"> </w:t>
      </w:r>
      <w:r w:rsidRPr="0030215C">
        <w:t>handling</w:t>
      </w:r>
      <w:r>
        <w:t>.</w:t>
      </w:r>
    </w:p>
    <w:p w14:paraId="6E95AB63" w14:textId="37B2AEA8" w:rsidR="005042FA" w:rsidRPr="0030215C" w:rsidRDefault="005042FA" w:rsidP="005042FA">
      <w:pPr>
        <w:rPr>
          <w:rFonts w:eastAsia="Times New Roman"/>
          <w:b/>
          <w:bCs/>
          <w:color w:val="005874"/>
          <w:kern w:val="32"/>
          <w:sz w:val="40"/>
        </w:rPr>
      </w:pPr>
      <w:r w:rsidRPr="0030215C">
        <w:t xml:space="preserve">It also provides guidance on the use of industry estimation practices. </w:t>
      </w:r>
      <w:r>
        <w:t xml:space="preserve">This </w:t>
      </w:r>
      <w:r w:rsidRPr="0030215C">
        <w:t xml:space="preserve">guideline </w:t>
      </w:r>
      <w:r>
        <w:t xml:space="preserve">must </w:t>
      </w:r>
      <w:r w:rsidRPr="0030215C">
        <w:t xml:space="preserve">be read in conjunction with Chapter </w:t>
      </w:r>
      <w:r w:rsidR="000340F9">
        <w:t>5</w:t>
      </w:r>
      <w:r w:rsidRPr="0030215C">
        <w:t xml:space="preserve"> of the NGER </w:t>
      </w:r>
      <w:r>
        <w:t xml:space="preserve">Measurement </w:t>
      </w:r>
      <w:r w:rsidRPr="0030215C">
        <w:t>Determination.</w:t>
      </w:r>
    </w:p>
    <w:p w14:paraId="7EDCDEAF" w14:textId="77777777" w:rsidR="005042FA" w:rsidRPr="0030215C" w:rsidRDefault="005042FA" w:rsidP="000910BB">
      <w:pPr>
        <w:pStyle w:val="Heading2"/>
        <w:numPr>
          <w:ilvl w:val="1"/>
          <w:numId w:val="3"/>
        </w:numPr>
        <w:ind w:left="567" w:hanging="567"/>
      </w:pPr>
      <w:bookmarkStart w:id="14" w:name="_Toc43871037"/>
      <w:bookmarkStart w:id="15" w:name="_Toc76041535"/>
      <w:bookmarkStart w:id="16" w:name="_Toc235611536"/>
      <w:r w:rsidRPr="0030215C">
        <w:t>Focus of this guideline</w:t>
      </w:r>
      <w:bookmarkEnd w:id="14"/>
      <w:bookmarkEnd w:id="15"/>
      <w:bookmarkEnd w:id="16"/>
    </w:p>
    <w:p w14:paraId="7A57EB2A" w14:textId="77777777" w:rsidR="005042FA" w:rsidRPr="0030215C" w:rsidRDefault="005042FA" w:rsidP="00A11B9C">
      <w:pPr>
        <w:spacing w:before="240"/>
        <w:rPr>
          <w:lang w:val="en-GB"/>
        </w:rPr>
      </w:pPr>
      <w:r w:rsidRPr="0030215C">
        <w:rPr>
          <w:lang w:val="en-GB"/>
        </w:rPr>
        <w:t xml:space="preserve">The NGER </w:t>
      </w:r>
      <w:r>
        <w:rPr>
          <w:lang w:val="en-GB"/>
        </w:rPr>
        <w:t xml:space="preserve">Measurement </w:t>
      </w:r>
      <w:r w:rsidRPr="0030215C">
        <w:rPr>
          <w:lang w:val="en-GB"/>
        </w:rPr>
        <w:t>Determination and the NGER Regulations contain</w:t>
      </w:r>
      <w:r w:rsidRPr="0030215C" w:rsidDel="00B22C2E">
        <w:rPr>
          <w:lang w:val="en-GB"/>
        </w:rPr>
        <w:t xml:space="preserve"> </w:t>
      </w:r>
      <w:r w:rsidRPr="0030215C">
        <w:rPr>
          <w:lang w:val="en-GB"/>
        </w:rPr>
        <w:t>the</w:t>
      </w:r>
      <w:r>
        <w:rPr>
          <w:lang w:val="en-GB"/>
        </w:rPr>
        <w:t xml:space="preserve"> specific</w:t>
      </w:r>
      <w:r w:rsidRPr="0030215C">
        <w:rPr>
          <w:lang w:val="en-GB"/>
        </w:rPr>
        <w:t xml:space="preserve"> requirements</w:t>
      </w:r>
      <w:r>
        <w:rPr>
          <w:lang w:val="en-GB"/>
        </w:rPr>
        <w:t xml:space="preserve"> and methods</w:t>
      </w:r>
      <w:r w:rsidRPr="0030215C">
        <w:rPr>
          <w:lang w:val="en-GB"/>
        </w:rPr>
        <w:t xml:space="preserve"> for estimation and reporting of emissions and energy from wastewater handling (domestic and commercial) and</w:t>
      </w:r>
      <w:r>
        <w:rPr>
          <w:lang w:val="en-GB"/>
        </w:rPr>
        <w:t xml:space="preserve"> wastewater handling</w:t>
      </w:r>
      <w:r w:rsidRPr="0030215C">
        <w:rPr>
          <w:lang w:val="en-GB"/>
        </w:rPr>
        <w:t xml:space="preserve"> (industrial). </w:t>
      </w:r>
      <w:r>
        <w:t>This guidance will assist reporting entitles in the appropriate use and application of these methods.</w:t>
      </w:r>
      <w:r>
        <w:rPr>
          <w:lang w:val="en-GB"/>
        </w:rPr>
        <w:t xml:space="preserve"> </w:t>
      </w:r>
    </w:p>
    <w:p w14:paraId="19E59363" w14:textId="3EE40BC4" w:rsidR="005042FA" w:rsidRPr="0030215C" w:rsidRDefault="005042FA" w:rsidP="005042FA">
      <w:pPr>
        <w:rPr>
          <w:lang w:val="en-GB"/>
        </w:rPr>
      </w:pPr>
      <w:r w:rsidRPr="0030215C">
        <w:rPr>
          <w:lang w:val="en-GB"/>
        </w:rPr>
        <w:t>T</w:t>
      </w:r>
      <w:r w:rsidRPr="0030215C">
        <w:rPr>
          <w:spacing w:val="-2"/>
          <w:lang w:val="en-GB"/>
        </w:rPr>
        <w:t>h</w:t>
      </w:r>
      <w:r w:rsidRPr="0030215C">
        <w:rPr>
          <w:lang w:val="en-GB"/>
        </w:rPr>
        <w:t>e</w:t>
      </w:r>
      <w:r>
        <w:rPr>
          <w:lang w:val="en-GB"/>
        </w:rPr>
        <w:t xml:space="preserve">re are </w:t>
      </w:r>
      <w:r w:rsidR="00C906E9">
        <w:rPr>
          <w:lang w:val="en-GB"/>
        </w:rPr>
        <w:t>3</w:t>
      </w:r>
      <w:r w:rsidRPr="0030215C">
        <w:rPr>
          <w:spacing w:val="-1"/>
          <w:lang w:val="en-GB"/>
        </w:rPr>
        <w:t xml:space="preserve"> </w:t>
      </w:r>
      <w:r w:rsidRPr="0030215C">
        <w:rPr>
          <w:spacing w:val="1"/>
          <w:lang w:val="en-GB"/>
        </w:rPr>
        <w:t>m</w:t>
      </w:r>
      <w:r w:rsidRPr="0030215C">
        <w:rPr>
          <w:lang w:val="en-GB"/>
        </w:rPr>
        <w:t>e</w:t>
      </w:r>
      <w:r w:rsidRPr="0030215C">
        <w:rPr>
          <w:spacing w:val="-2"/>
          <w:lang w:val="en-GB"/>
        </w:rPr>
        <w:t>t</w:t>
      </w:r>
      <w:r w:rsidRPr="0030215C">
        <w:rPr>
          <w:lang w:val="en-GB"/>
        </w:rPr>
        <w:t>hods</w:t>
      </w:r>
      <w:r w:rsidRPr="0030215C">
        <w:rPr>
          <w:spacing w:val="-2"/>
          <w:lang w:val="en-GB"/>
        </w:rPr>
        <w:t xml:space="preserve"> </w:t>
      </w:r>
      <w:r w:rsidRPr="0030215C">
        <w:rPr>
          <w:lang w:val="en-GB"/>
        </w:rPr>
        <w:t>a</w:t>
      </w:r>
      <w:r w:rsidRPr="0030215C">
        <w:rPr>
          <w:spacing w:val="-2"/>
          <w:lang w:val="en-GB"/>
        </w:rPr>
        <w:t>n</w:t>
      </w:r>
      <w:r w:rsidRPr="0030215C">
        <w:rPr>
          <w:lang w:val="en-GB"/>
        </w:rPr>
        <w:t>d</w:t>
      </w:r>
      <w:r w:rsidRPr="0030215C">
        <w:rPr>
          <w:spacing w:val="1"/>
          <w:lang w:val="en-GB"/>
        </w:rPr>
        <w:t xml:space="preserve"> </w:t>
      </w:r>
      <w:r w:rsidRPr="0030215C">
        <w:rPr>
          <w:lang w:val="en-GB"/>
        </w:rPr>
        <w:t>c</w:t>
      </w:r>
      <w:r w:rsidRPr="0030215C">
        <w:rPr>
          <w:spacing w:val="-1"/>
          <w:lang w:val="en-GB"/>
        </w:rPr>
        <w:t>ri</w:t>
      </w:r>
      <w:r w:rsidRPr="0030215C">
        <w:rPr>
          <w:lang w:val="en-GB"/>
        </w:rPr>
        <w:t>t</w:t>
      </w:r>
      <w:r w:rsidRPr="0030215C">
        <w:rPr>
          <w:spacing w:val="-2"/>
          <w:lang w:val="en-GB"/>
        </w:rPr>
        <w:t>e</w:t>
      </w:r>
      <w:r w:rsidRPr="0030215C">
        <w:rPr>
          <w:spacing w:val="-1"/>
          <w:lang w:val="en-GB"/>
        </w:rPr>
        <w:t>ri</w:t>
      </w:r>
      <w:r w:rsidRPr="0030215C">
        <w:rPr>
          <w:lang w:val="en-GB"/>
        </w:rPr>
        <w:t>a</w:t>
      </w:r>
      <w:r w:rsidRPr="0030215C">
        <w:rPr>
          <w:spacing w:val="1"/>
          <w:lang w:val="en-GB"/>
        </w:rPr>
        <w:t xml:space="preserve"> </w:t>
      </w:r>
      <w:r w:rsidRPr="0030215C">
        <w:rPr>
          <w:lang w:val="en-GB"/>
        </w:rPr>
        <w:t>for</w:t>
      </w:r>
      <w:r w:rsidRPr="0030215C">
        <w:rPr>
          <w:spacing w:val="-1"/>
          <w:lang w:val="en-GB"/>
        </w:rPr>
        <w:t xml:space="preserve"> </w:t>
      </w:r>
      <w:r w:rsidRPr="0030215C">
        <w:rPr>
          <w:lang w:val="en-GB"/>
        </w:rPr>
        <w:t>ca</w:t>
      </w:r>
      <w:r w:rsidRPr="0030215C">
        <w:rPr>
          <w:spacing w:val="-1"/>
          <w:lang w:val="en-GB"/>
        </w:rPr>
        <w:t>l</w:t>
      </w:r>
      <w:r w:rsidRPr="0030215C">
        <w:rPr>
          <w:lang w:val="en-GB"/>
        </w:rPr>
        <w:t>cu</w:t>
      </w:r>
      <w:r w:rsidRPr="0030215C">
        <w:rPr>
          <w:spacing w:val="-1"/>
          <w:lang w:val="en-GB"/>
        </w:rPr>
        <w:t>l</w:t>
      </w:r>
      <w:r w:rsidRPr="0030215C">
        <w:rPr>
          <w:lang w:val="en-GB"/>
        </w:rPr>
        <w:t>at</w:t>
      </w:r>
      <w:r w:rsidRPr="0030215C">
        <w:rPr>
          <w:spacing w:val="-3"/>
          <w:lang w:val="en-GB"/>
        </w:rPr>
        <w:t>i</w:t>
      </w:r>
      <w:r w:rsidRPr="0030215C">
        <w:rPr>
          <w:lang w:val="en-GB"/>
        </w:rPr>
        <w:t>ng</w:t>
      </w:r>
      <w:r w:rsidRPr="0030215C">
        <w:rPr>
          <w:spacing w:val="-1"/>
          <w:lang w:val="en-GB"/>
        </w:rPr>
        <w:t xml:space="preserve"> </w:t>
      </w:r>
      <w:r w:rsidRPr="0030215C">
        <w:rPr>
          <w:lang w:val="en-GB"/>
        </w:rPr>
        <w:t>d</w:t>
      </w:r>
      <w:r w:rsidRPr="0030215C">
        <w:rPr>
          <w:spacing w:val="-1"/>
          <w:lang w:val="en-GB"/>
        </w:rPr>
        <w:t>ir</w:t>
      </w:r>
      <w:r w:rsidRPr="0030215C">
        <w:rPr>
          <w:lang w:val="en-GB"/>
        </w:rPr>
        <w:t xml:space="preserve">ect </w:t>
      </w:r>
      <w:r w:rsidRPr="0030215C">
        <w:rPr>
          <w:spacing w:val="-1"/>
          <w:lang w:val="en-GB"/>
        </w:rPr>
        <w:t>(</w:t>
      </w:r>
      <w:r w:rsidRPr="0030215C">
        <w:rPr>
          <w:lang w:val="en-GB"/>
        </w:rPr>
        <w:t>scope</w:t>
      </w:r>
      <w:r w:rsidRPr="0030215C">
        <w:rPr>
          <w:spacing w:val="-1"/>
          <w:lang w:val="en-GB"/>
        </w:rPr>
        <w:t xml:space="preserve"> </w:t>
      </w:r>
      <w:r w:rsidRPr="0030215C">
        <w:rPr>
          <w:lang w:val="en-GB"/>
        </w:rPr>
        <w:t>1)</w:t>
      </w:r>
      <w:r w:rsidRPr="0030215C">
        <w:rPr>
          <w:spacing w:val="-1"/>
          <w:lang w:val="en-GB"/>
        </w:rPr>
        <w:t xml:space="preserve"> </w:t>
      </w:r>
      <w:r w:rsidRPr="0030215C">
        <w:rPr>
          <w:spacing w:val="-2"/>
          <w:lang w:val="en-GB"/>
        </w:rPr>
        <w:t>g</w:t>
      </w:r>
      <w:r w:rsidRPr="0030215C">
        <w:rPr>
          <w:spacing w:val="-1"/>
          <w:lang w:val="en-GB"/>
        </w:rPr>
        <w:t>r</w:t>
      </w:r>
      <w:r w:rsidRPr="0030215C">
        <w:rPr>
          <w:lang w:val="en-GB"/>
        </w:rPr>
        <w:t>een</w:t>
      </w:r>
      <w:r w:rsidRPr="0030215C">
        <w:rPr>
          <w:spacing w:val="-2"/>
          <w:lang w:val="en-GB"/>
        </w:rPr>
        <w:t>h</w:t>
      </w:r>
      <w:r w:rsidRPr="0030215C">
        <w:rPr>
          <w:lang w:val="en-GB"/>
        </w:rPr>
        <w:t>ou</w:t>
      </w:r>
      <w:r w:rsidRPr="0030215C">
        <w:rPr>
          <w:spacing w:val="-3"/>
          <w:lang w:val="en-GB"/>
        </w:rPr>
        <w:t>s</w:t>
      </w:r>
      <w:r w:rsidRPr="0030215C">
        <w:rPr>
          <w:lang w:val="en-GB"/>
        </w:rPr>
        <w:t>e</w:t>
      </w:r>
      <w:r w:rsidRPr="0030215C">
        <w:rPr>
          <w:spacing w:val="1"/>
          <w:lang w:val="en-GB"/>
        </w:rPr>
        <w:t xml:space="preserve"> </w:t>
      </w:r>
      <w:r w:rsidRPr="0030215C">
        <w:rPr>
          <w:spacing w:val="-2"/>
          <w:lang w:val="en-GB"/>
        </w:rPr>
        <w:t>biogas</w:t>
      </w:r>
      <w:r w:rsidRPr="0030215C">
        <w:rPr>
          <w:lang w:val="en-GB"/>
        </w:rPr>
        <w:t xml:space="preserve"> </w:t>
      </w:r>
      <w:r w:rsidRPr="0030215C">
        <w:rPr>
          <w:spacing w:val="-2"/>
          <w:lang w:val="en-GB"/>
        </w:rPr>
        <w:t>e</w:t>
      </w:r>
      <w:r w:rsidRPr="0030215C">
        <w:rPr>
          <w:spacing w:val="1"/>
          <w:lang w:val="en-GB"/>
        </w:rPr>
        <w:t>m</w:t>
      </w:r>
      <w:r w:rsidRPr="0030215C">
        <w:rPr>
          <w:spacing w:val="-1"/>
          <w:lang w:val="en-GB"/>
        </w:rPr>
        <w:t>i</w:t>
      </w:r>
      <w:r w:rsidRPr="0030215C">
        <w:rPr>
          <w:lang w:val="en-GB"/>
        </w:rPr>
        <w:t>ss</w:t>
      </w:r>
      <w:r w:rsidRPr="0030215C">
        <w:rPr>
          <w:spacing w:val="-1"/>
          <w:lang w:val="en-GB"/>
        </w:rPr>
        <w:t>i</w:t>
      </w:r>
      <w:r w:rsidRPr="0030215C">
        <w:rPr>
          <w:lang w:val="en-GB"/>
        </w:rPr>
        <w:t>ons</w:t>
      </w:r>
      <w:r w:rsidRPr="0030215C">
        <w:rPr>
          <w:spacing w:val="-2"/>
          <w:lang w:val="en-GB"/>
        </w:rPr>
        <w:t xml:space="preserve"> </w:t>
      </w:r>
      <w:r w:rsidRPr="0030215C">
        <w:rPr>
          <w:lang w:val="en-GB"/>
        </w:rPr>
        <w:t>f</w:t>
      </w:r>
      <w:r w:rsidRPr="0030215C">
        <w:rPr>
          <w:spacing w:val="-1"/>
          <w:lang w:val="en-GB"/>
        </w:rPr>
        <w:t>r</w:t>
      </w:r>
      <w:r w:rsidRPr="0030215C">
        <w:rPr>
          <w:spacing w:val="-2"/>
          <w:lang w:val="en-GB"/>
        </w:rPr>
        <w:t>o</w:t>
      </w:r>
      <w:r w:rsidRPr="0030215C">
        <w:rPr>
          <w:lang w:val="en-GB"/>
        </w:rPr>
        <w:t>m</w:t>
      </w:r>
      <w:r>
        <w:rPr>
          <w:lang w:val="en-GB"/>
        </w:rPr>
        <w:t xml:space="preserve"> domestic, commercial</w:t>
      </w:r>
      <w:r w:rsidR="00C906E9">
        <w:rPr>
          <w:lang w:val="en-GB"/>
        </w:rPr>
        <w:t>,</w:t>
      </w:r>
      <w:r>
        <w:rPr>
          <w:lang w:val="en-GB"/>
        </w:rPr>
        <w:t xml:space="preserve"> and industrial wastewater </w:t>
      </w:r>
      <w:r w:rsidRPr="0030215C">
        <w:rPr>
          <w:lang w:val="en-GB"/>
        </w:rPr>
        <w:t>handling</w:t>
      </w:r>
      <w:r w:rsidRPr="0030215C">
        <w:rPr>
          <w:spacing w:val="1"/>
          <w:lang w:val="en-GB"/>
        </w:rPr>
        <w:t xml:space="preserve"> </w:t>
      </w:r>
      <w:r w:rsidRPr="0030215C">
        <w:rPr>
          <w:spacing w:val="-1"/>
          <w:lang w:val="en-GB"/>
        </w:rPr>
        <w:t>i</w:t>
      </w:r>
      <w:r w:rsidRPr="0030215C">
        <w:rPr>
          <w:lang w:val="en-GB"/>
        </w:rPr>
        <w:t>n</w:t>
      </w:r>
      <w:r w:rsidRPr="0030215C">
        <w:rPr>
          <w:spacing w:val="-1"/>
          <w:lang w:val="en-GB"/>
        </w:rPr>
        <w:t xml:space="preserve"> </w:t>
      </w:r>
      <w:r w:rsidRPr="0030215C">
        <w:rPr>
          <w:lang w:val="en-GB"/>
        </w:rPr>
        <w:t>Chap</w:t>
      </w:r>
      <w:r w:rsidRPr="0030215C">
        <w:rPr>
          <w:spacing w:val="-2"/>
          <w:lang w:val="en-GB"/>
        </w:rPr>
        <w:t>t</w:t>
      </w:r>
      <w:r w:rsidRPr="0030215C">
        <w:rPr>
          <w:lang w:val="en-GB"/>
        </w:rPr>
        <w:t>er</w:t>
      </w:r>
      <w:r w:rsidRPr="0030215C">
        <w:rPr>
          <w:spacing w:val="-1"/>
          <w:lang w:val="en-GB"/>
        </w:rPr>
        <w:t xml:space="preserve"> </w:t>
      </w:r>
      <w:r w:rsidRPr="0030215C">
        <w:rPr>
          <w:lang w:val="en-GB"/>
        </w:rPr>
        <w:t>5</w:t>
      </w:r>
      <w:r w:rsidRPr="0030215C">
        <w:rPr>
          <w:spacing w:val="-1"/>
          <w:lang w:val="en-GB"/>
        </w:rPr>
        <w:t xml:space="preserve"> </w:t>
      </w:r>
      <w:r w:rsidRPr="0030215C">
        <w:rPr>
          <w:spacing w:val="-2"/>
          <w:lang w:val="en-GB"/>
        </w:rPr>
        <w:t>o</w:t>
      </w:r>
      <w:r w:rsidRPr="0030215C">
        <w:rPr>
          <w:lang w:val="en-GB"/>
        </w:rPr>
        <w:t>f</w:t>
      </w:r>
      <w:r w:rsidRPr="0030215C">
        <w:rPr>
          <w:spacing w:val="3"/>
          <w:lang w:val="en-GB"/>
        </w:rPr>
        <w:t xml:space="preserve"> </w:t>
      </w:r>
      <w:r w:rsidRPr="0030215C">
        <w:rPr>
          <w:spacing w:val="-2"/>
          <w:lang w:val="en-GB"/>
        </w:rPr>
        <w:t>t</w:t>
      </w:r>
      <w:r w:rsidRPr="0030215C">
        <w:rPr>
          <w:lang w:val="en-GB"/>
        </w:rPr>
        <w:t>he</w:t>
      </w:r>
      <w:r w:rsidRPr="0030215C">
        <w:rPr>
          <w:spacing w:val="1"/>
          <w:lang w:val="en-GB"/>
        </w:rPr>
        <w:t xml:space="preserve"> </w:t>
      </w:r>
      <w:r w:rsidRPr="0030215C">
        <w:rPr>
          <w:spacing w:val="-2"/>
          <w:lang w:val="en-GB"/>
        </w:rPr>
        <w:t xml:space="preserve">NGER </w:t>
      </w:r>
      <w:r>
        <w:rPr>
          <w:spacing w:val="-2"/>
          <w:lang w:val="en-GB"/>
        </w:rPr>
        <w:t xml:space="preserve">Measurement </w:t>
      </w:r>
      <w:r w:rsidRPr="0030215C">
        <w:rPr>
          <w:spacing w:val="-2"/>
          <w:lang w:val="en-GB"/>
        </w:rPr>
        <w:t>Determination</w:t>
      </w:r>
      <w:r>
        <w:rPr>
          <w:lang w:val="en-GB"/>
        </w:rPr>
        <w:t>:</w:t>
      </w:r>
      <w:r w:rsidRPr="0030215C">
        <w:rPr>
          <w:spacing w:val="-2"/>
          <w:lang w:val="en-GB"/>
        </w:rPr>
        <w:t xml:space="preserve"> </w:t>
      </w:r>
    </w:p>
    <w:p w14:paraId="1753EA73" w14:textId="18D94B92" w:rsidR="005042FA" w:rsidRPr="0030215C" w:rsidRDefault="4B690010" w:rsidP="005042FA">
      <w:pPr>
        <w:pStyle w:val="CERbullets"/>
        <w:ind w:left="360" w:hanging="360"/>
        <w:rPr>
          <w:lang w:val="en-GB"/>
        </w:rPr>
      </w:pPr>
      <w:r>
        <w:rPr>
          <w:spacing w:val="-1"/>
          <w:lang w:val="en-GB"/>
        </w:rPr>
        <w:t>M</w:t>
      </w:r>
      <w:r w:rsidR="005042FA">
        <w:rPr>
          <w:spacing w:val="-1"/>
          <w:lang w:val="en-GB"/>
        </w:rPr>
        <w:t>ethod</w:t>
      </w:r>
      <w:r w:rsidR="005042FA" w:rsidRPr="0030215C">
        <w:rPr>
          <w:spacing w:val="-1"/>
          <w:lang w:val="en-GB"/>
        </w:rPr>
        <w:t xml:space="preserve"> </w:t>
      </w:r>
      <w:r w:rsidR="005042FA" w:rsidRPr="0030215C">
        <w:rPr>
          <w:lang w:val="en-GB"/>
        </w:rPr>
        <w:t>1</w:t>
      </w:r>
      <w:r w:rsidR="005042FA" w:rsidRPr="0030215C">
        <w:rPr>
          <w:spacing w:val="1"/>
          <w:lang w:val="en-GB"/>
        </w:rPr>
        <w:t xml:space="preserve"> </w:t>
      </w:r>
      <w:r w:rsidR="005042FA" w:rsidRPr="0030215C">
        <w:rPr>
          <w:spacing w:val="-1"/>
          <w:lang w:val="en-GB"/>
        </w:rPr>
        <w:t>(</w:t>
      </w:r>
      <w:r w:rsidR="005042FA" w:rsidRPr="0030215C">
        <w:rPr>
          <w:spacing w:val="-2"/>
          <w:lang w:val="en-GB"/>
        </w:rPr>
        <w:t>de</w:t>
      </w:r>
      <w:r w:rsidR="005042FA" w:rsidRPr="0030215C">
        <w:rPr>
          <w:spacing w:val="2"/>
          <w:lang w:val="en-GB"/>
        </w:rPr>
        <w:t>f</w:t>
      </w:r>
      <w:r w:rsidR="005042FA" w:rsidRPr="0030215C">
        <w:rPr>
          <w:spacing w:val="-2"/>
          <w:lang w:val="en-GB"/>
        </w:rPr>
        <w:t>a</w:t>
      </w:r>
      <w:r w:rsidR="005042FA" w:rsidRPr="0030215C">
        <w:rPr>
          <w:lang w:val="en-GB"/>
        </w:rPr>
        <w:t>u</w:t>
      </w:r>
      <w:r w:rsidR="005042FA" w:rsidRPr="0030215C">
        <w:rPr>
          <w:spacing w:val="-1"/>
          <w:lang w:val="en-GB"/>
        </w:rPr>
        <w:t>l</w:t>
      </w:r>
      <w:r w:rsidR="005042FA" w:rsidRPr="0030215C">
        <w:rPr>
          <w:lang w:val="en-GB"/>
        </w:rPr>
        <w:t>t</w:t>
      </w:r>
      <w:r w:rsidR="005042FA" w:rsidRPr="0030215C">
        <w:rPr>
          <w:spacing w:val="-2"/>
          <w:lang w:val="en-GB"/>
        </w:rPr>
        <w:t xml:space="preserve"> </w:t>
      </w:r>
      <w:r w:rsidR="005042FA" w:rsidRPr="0030215C">
        <w:rPr>
          <w:spacing w:val="1"/>
          <w:lang w:val="en-GB"/>
        </w:rPr>
        <w:t>m</w:t>
      </w:r>
      <w:r w:rsidR="005042FA" w:rsidRPr="0030215C">
        <w:rPr>
          <w:lang w:val="en-GB"/>
        </w:rPr>
        <w:t>e</w:t>
      </w:r>
      <w:r w:rsidR="005042FA" w:rsidRPr="0030215C">
        <w:rPr>
          <w:spacing w:val="-2"/>
          <w:lang w:val="en-GB"/>
        </w:rPr>
        <w:t>t</w:t>
      </w:r>
      <w:r w:rsidR="005042FA" w:rsidRPr="0030215C">
        <w:rPr>
          <w:lang w:val="en-GB"/>
        </w:rPr>
        <w:t>hod</w:t>
      </w:r>
      <w:r w:rsidR="005042FA" w:rsidRPr="0030215C">
        <w:rPr>
          <w:spacing w:val="-1"/>
          <w:lang w:val="en-GB"/>
        </w:rPr>
        <w:t>)</w:t>
      </w:r>
      <w:r w:rsidR="005042FA" w:rsidRPr="0030215C">
        <w:rPr>
          <w:lang w:val="en-GB"/>
        </w:rPr>
        <w:t xml:space="preserve"> </w:t>
      </w:r>
      <w:r w:rsidR="009078CA">
        <w:rPr>
          <w:lang w:val="en-GB"/>
        </w:rPr>
        <w:t xml:space="preserve">– </w:t>
      </w:r>
      <w:r w:rsidR="005042FA" w:rsidRPr="0030215C">
        <w:rPr>
          <w:lang w:val="en-GB"/>
        </w:rPr>
        <w:t>bas</w:t>
      </w:r>
      <w:r w:rsidR="005042FA" w:rsidRPr="0030215C">
        <w:rPr>
          <w:spacing w:val="-2"/>
          <w:lang w:val="en-GB"/>
        </w:rPr>
        <w:t>e</w:t>
      </w:r>
      <w:r w:rsidR="005042FA" w:rsidRPr="0030215C">
        <w:rPr>
          <w:lang w:val="en-GB"/>
        </w:rPr>
        <w:t>d</w:t>
      </w:r>
      <w:r w:rsidR="005042FA" w:rsidRPr="0030215C">
        <w:rPr>
          <w:spacing w:val="1"/>
          <w:lang w:val="en-GB"/>
        </w:rPr>
        <w:t xml:space="preserve"> </w:t>
      </w:r>
      <w:r w:rsidR="005042FA" w:rsidRPr="0030215C">
        <w:rPr>
          <w:spacing w:val="-2"/>
          <w:lang w:val="en-GB"/>
        </w:rPr>
        <w:t>o</w:t>
      </w:r>
      <w:r w:rsidR="005042FA" w:rsidRPr="0030215C">
        <w:rPr>
          <w:lang w:val="en-GB"/>
        </w:rPr>
        <w:t>n</w:t>
      </w:r>
      <w:r w:rsidR="005042FA" w:rsidRPr="0030215C">
        <w:rPr>
          <w:spacing w:val="1"/>
          <w:lang w:val="en-GB"/>
        </w:rPr>
        <w:t xml:space="preserve"> </w:t>
      </w:r>
      <w:r w:rsidR="005042FA" w:rsidRPr="0030215C">
        <w:rPr>
          <w:spacing w:val="-2"/>
          <w:lang w:val="en-GB"/>
        </w:rPr>
        <w:t>n</w:t>
      </w:r>
      <w:r w:rsidR="005042FA" w:rsidRPr="0030215C">
        <w:rPr>
          <w:lang w:val="en-GB"/>
        </w:rPr>
        <w:t>at</w:t>
      </w:r>
      <w:r w:rsidR="005042FA" w:rsidRPr="0030215C">
        <w:rPr>
          <w:spacing w:val="-1"/>
          <w:lang w:val="en-GB"/>
        </w:rPr>
        <w:t>i</w:t>
      </w:r>
      <w:r w:rsidR="005042FA" w:rsidRPr="0030215C">
        <w:rPr>
          <w:lang w:val="en-GB"/>
        </w:rPr>
        <w:t>o</w:t>
      </w:r>
      <w:r w:rsidR="005042FA" w:rsidRPr="0030215C">
        <w:rPr>
          <w:spacing w:val="-2"/>
          <w:lang w:val="en-GB"/>
        </w:rPr>
        <w:t>na</w:t>
      </w:r>
      <w:r w:rsidR="005042FA" w:rsidRPr="0030215C">
        <w:rPr>
          <w:lang w:val="en-GB"/>
        </w:rPr>
        <w:t>l a</w:t>
      </w:r>
      <w:r w:rsidR="005042FA" w:rsidRPr="0030215C">
        <w:rPr>
          <w:spacing w:val="-3"/>
          <w:lang w:val="en-GB"/>
        </w:rPr>
        <w:t>v</w:t>
      </w:r>
      <w:r w:rsidR="005042FA" w:rsidRPr="0030215C">
        <w:rPr>
          <w:lang w:val="en-GB"/>
        </w:rPr>
        <w:t>e</w:t>
      </w:r>
      <w:r w:rsidR="005042FA" w:rsidRPr="0030215C">
        <w:rPr>
          <w:spacing w:val="-1"/>
          <w:lang w:val="en-GB"/>
        </w:rPr>
        <w:t>r</w:t>
      </w:r>
      <w:r w:rsidR="005042FA" w:rsidRPr="0030215C">
        <w:rPr>
          <w:lang w:val="en-GB"/>
        </w:rPr>
        <w:t>a</w:t>
      </w:r>
      <w:r w:rsidR="005042FA" w:rsidRPr="0030215C">
        <w:rPr>
          <w:spacing w:val="-2"/>
          <w:lang w:val="en-GB"/>
        </w:rPr>
        <w:t>g</w:t>
      </w:r>
      <w:r w:rsidR="005042FA" w:rsidRPr="0030215C">
        <w:rPr>
          <w:lang w:val="en-GB"/>
        </w:rPr>
        <w:t>e</w:t>
      </w:r>
      <w:r w:rsidR="005042FA" w:rsidRPr="0030215C">
        <w:rPr>
          <w:spacing w:val="1"/>
          <w:lang w:val="en-GB"/>
        </w:rPr>
        <w:t xml:space="preserve"> </w:t>
      </w:r>
      <w:r w:rsidR="005042FA" w:rsidRPr="0030215C">
        <w:rPr>
          <w:lang w:val="en-GB"/>
        </w:rPr>
        <w:t>est</w:t>
      </w:r>
      <w:r w:rsidR="005042FA" w:rsidRPr="0030215C">
        <w:rPr>
          <w:spacing w:val="-1"/>
          <w:lang w:val="en-GB"/>
        </w:rPr>
        <w:t>i</w:t>
      </w:r>
      <w:r w:rsidR="005042FA" w:rsidRPr="0030215C">
        <w:rPr>
          <w:spacing w:val="1"/>
          <w:lang w:val="en-GB"/>
        </w:rPr>
        <w:t>m</w:t>
      </w:r>
      <w:r w:rsidR="005042FA" w:rsidRPr="0030215C">
        <w:rPr>
          <w:lang w:val="en-GB"/>
        </w:rPr>
        <w:t>a</w:t>
      </w:r>
      <w:r w:rsidR="005042FA" w:rsidRPr="0030215C">
        <w:rPr>
          <w:spacing w:val="-2"/>
          <w:lang w:val="en-GB"/>
        </w:rPr>
        <w:t>t</w:t>
      </w:r>
      <w:r w:rsidR="005042FA" w:rsidRPr="0030215C">
        <w:rPr>
          <w:lang w:val="en-GB"/>
        </w:rPr>
        <w:t>es</w:t>
      </w:r>
    </w:p>
    <w:p w14:paraId="0955FB13" w14:textId="7DB35686" w:rsidR="005042FA" w:rsidRPr="0030215C" w:rsidRDefault="4BBE04C4" w:rsidP="005042FA">
      <w:pPr>
        <w:pStyle w:val="CERbullets"/>
        <w:ind w:left="360" w:hanging="360"/>
        <w:rPr>
          <w:lang w:val="en-GB"/>
        </w:rPr>
      </w:pPr>
      <w:r>
        <w:rPr>
          <w:spacing w:val="-1"/>
          <w:lang w:val="en-GB"/>
        </w:rPr>
        <w:t>M</w:t>
      </w:r>
      <w:r w:rsidR="005042FA">
        <w:rPr>
          <w:spacing w:val="-1"/>
          <w:lang w:val="en-GB"/>
        </w:rPr>
        <w:t>ethod</w:t>
      </w:r>
      <w:r w:rsidR="005042FA" w:rsidRPr="0030215C">
        <w:rPr>
          <w:spacing w:val="-1"/>
          <w:lang w:val="en-GB"/>
        </w:rPr>
        <w:t xml:space="preserve"> </w:t>
      </w:r>
      <w:r w:rsidR="005042FA" w:rsidRPr="0030215C">
        <w:rPr>
          <w:lang w:val="en-GB"/>
        </w:rPr>
        <w:t>2</w:t>
      </w:r>
      <w:r w:rsidR="005042FA" w:rsidRPr="0030215C">
        <w:rPr>
          <w:spacing w:val="1"/>
          <w:lang w:val="en-GB"/>
        </w:rPr>
        <w:t xml:space="preserve"> </w:t>
      </w:r>
      <w:r w:rsidR="005042FA" w:rsidRPr="0030215C">
        <w:rPr>
          <w:spacing w:val="-4"/>
          <w:lang w:val="en-GB"/>
        </w:rPr>
        <w:t>(</w:t>
      </w:r>
      <w:r w:rsidR="005042FA" w:rsidRPr="0030215C">
        <w:rPr>
          <w:lang w:val="en-GB"/>
        </w:rPr>
        <w:t>fac</w:t>
      </w:r>
      <w:r w:rsidR="005042FA" w:rsidRPr="0030215C">
        <w:rPr>
          <w:spacing w:val="-1"/>
          <w:lang w:val="en-GB"/>
        </w:rPr>
        <w:t>ili</w:t>
      </w:r>
      <w:r w:rsidR="005042FA" w:rsidRPr="0030215C">
        <w:rPr>
          <w:lang w:val="en-GB"/>
        </w:rPr>
        <w:t>ty</w:t>
      </w:r>
      <w:r w:rsidR="005042FA" w:rsidRPr="0030215C">
        <w:rPr>
          <w:spacing w:val="-2"/>
          <w:lang w:val="en-GB"/>
        </w:rPr>
        <w:t xml:space="preserve"> </w:t>
      </w:r>
      <w:r w:rsidR="005042FA" w:rsidRPr="0030215C">
        <w:rPr>
          <w:lang w:val="en-GB"/>
        </w:rPr>
        <w:t>spec</w:t>
      </w:r>
      <w:r w:rsidR="005042FA" w:rsidRPr="0030215C">
        <w:rPr>
          <w:spacing w:val="-1"/>
          <w:lang w:val="en-GB"/>
        </w:rPr>
        <w:t>i</w:t>
      </w:r>
      <w:r w:rsidR="005042FA" w:rsidRPr="0030215C">
        <w:rPr>
          <w:spacing w:val="2"/>
          <w:lang w:val="en-GB"/>
        </w:rPr>
        <w:t>f</w:t>
      </w:r>
      <w:r w:rsidR="005042FA" w:rsidRPr="0030215C">
        <w:rPr>
          <w:spacing w:val="-1"/>
          <w:lang w:val="en-GB"/>
        </w:rPr>
        <w:t>i</w:t>
      </w:r>
      <w:r w:rsidR="005042FA" w:rsidRPr="0030215C">
        <w:rPr>
          <w:lang w:val="en-GB"/>
        </w:rPr>
        <w:t>c</w:t>
      </w:r>
      <w:r w:rsidR="005042FA" w:rsidRPr="0030215C">
        <w:rPr>
          <w:spacing w:val="-2"/>
          <w:lang w:val="en-GB"/>
        </w:rPr>
        <w:t xml:space="preserve"> </w:t>
      </w:r>
      <w:r w:rsidR="005042FA" w:rsidRPr="0030215C">
        <w:rPr>
          <w:spacing w:val="1"/>
          <w:lang w:val="en-GB"/>
        </w:rPr>
        <w:t>m</w:t>
      </w:r>
      <w:r w:rsidR="005042FA" w:rsidRPr="0030215C">
        <w:rPr>
          <w:lang w:val="en-GB"/>
        </w:rPr>
        <w:t>e</w:t>
      </w:r>
      <w:r w:rsidR="005042FA" w:rsidRPr="0030215C">
        <w:rPr>
          <w:spacing w:val="-2"/>
          <w:lang w:val="en-GB"/>
        </w:rPr>
        <w:t>t</w:t>
      </w:r>
      <w:r w:rsidR="005042FA" w:rsidRPr="0030215C">
        <w:rPr>
          <w:lang w:val="en-GB"/>
        </w:rPr>
        <w:t>h</w:t>
      </w:r>
      <w:r w:rsidR="005042FA" w:rsidRPr="0030215C">
        <w:rPr>
          <w:spacing w:val="-2"/>
          <w:lang w:val="en-GB"/>
        </w:rPr>
        <w:t>o</w:t>
      </w:r>
      <w:r w:rsidR="005042FA" w:rsidRPr="0030215C">
        <w:rPr>
          <w:lang w:val="en-GB"/>
        </w:rPr>
        <w:t>d</w:t>
      </w:r>
      <w:r w:rsidR="005042FA" w:rsidRPr="0030215C">
        <w:rPr>
          <w:spacing w:val="-1"/>
          <w:lang w:val="en-GB"/>
        </w:rPr>
        <w:t>)</w:t>
      </w:r>
      <w:r w:rsidR="005042FA" w:rsidRPr="0030215C">
        <w:rPr>
          <w:lang w:val="en-GB"/>
        </w:rPr>
        <w:t xml:space="preserve"> </w:t>
      </w:r>
      <w:r w:rsidR="009078CA">
        <w:rPr>
          <w:lang w:val="en-GB"/>
        </w:rPr>
        <w:t xml:space="preserve">– </w:t>
      </w:r>
      <w:r w:rsidR="005042FA" w:rsidRPr="0030215C">
        <w:rPr>
          <w:lang w:val="en-GB"/>
        </w:rPr>
        <w:t>u</w:t>
      </w:r>
      <w:r w:rsidR="005042FA" w:rsidRPr="0030215C">
        <w:rPr>
          <w:spacing w:val="-3"/>
          <w:lang w:val="en-GB"/>
        </w:rPr>
        <w:t>s</w:t>
      </w:r>
      <w:r w:rsidR="005042FA" w:rsidRPr="0030215C">
        <w:rPr>
          <w:lang w:val="en-GB"/>
        </w:rPr>
        <w:t xml:space="preserve">es </w:t>
      </w:r>
      <w:r w:rsidR="005042FA" w:rsidRPr="0030215C">
        <w:rPr>
          <w:spacing w:val="-1"/>
          <w:lang w:val="en-GB"/>
        </w:rPr>
        <w:t>i</w:t>
      </w:r>
      <w:r w:rsidR="005042FA" w:rsidRPr="0030215C">
        <w:rPr>
          <w:lang w:val="en-GB"/>
        </w:rPr>
        <w:t>n</w:t>
      </w:r>
      <w:r w:rsidR="005042FA" w:rsidRPr="0030215C">
        <w:rPr>
          <w:spacing w:val="-2"/>
          <w:lang w:val="en-GB"/>
        </w:rPr>
        <w:t>du</w:t>
      </w:r>
      <w:r w:rsidR="005042FA" w:rsidRPr="0030215C">
        <w:rPr>
          <w:lang w:val="en-GB"/>
        </w:rPr>
        <w:t>st</w:t>
      </w:r>
      <w:r w:rsidR="005042FA" w:rsidRPr="0030215C">
        <w:rPr>
          <w:spacing w:val="-1"/>
          <w:lang w:val="en-GB"/>
        </w:rPr>
        <w:t>r</w:t>
      </w:r>
      <w:r w:rsidR="005042FA" w:rsidRPr="0030215C">
        <w:rPr>
          <w:lang w:val="en-GB"/>
        </w:rPr>
        <w:t>y</w:t>
      </w:r>
      <w:r w:rsidR="005042FA" w:rsidRPr="0030215C">
        <w:rPr>
          <w:spacing w:val="-2"/>
          <w:lang w:val="en-GB"/>
        </w:rPr>
        <w:t xml:space="preserve"> </w:t>
      </w:r>
      <w:r w:rsidR="005042FA" w:rsidRPr="0030215C">
        <w:rPr>
          <w:lang w:val="en-GB"/>
        </w:rPr>
        <w:t>p</w:t>
      </w:r>
      <w:r w:rsidR="005042FA" w:rsidRPr="0030215C">
        <w:rPr>
          <w:spacing w:val="-1"/>
          <w:lang w:val="en-GB"/>
        </w:rPr>
        <w:t>r</w:t>
      </w:r>
      <w:r w:rsidR="005042FA" w:rsidRPr="0030215C">
        <w:rPr>
          <w:lang w:val="en-GB"/>
        </w:rPr>
        <w:t>act</w:t>
      </w:r>
      <w:r w:rsidR="005042FA" w:rsidRPr="0030215C">
        <w:rPr>
          <w:spacing w:val="-1"/>
          <w:lang w:val="en-GB"/>
        </w:rPr>
        <w:t>i</w:t>
      </w:r>
      <w:r w:rsidR="005042FA" w:rsidRPr="0030215C">
        <w:rPr>
          <w:lang w:val="en-GB"/>
        </w:rPr>
        <w:t>ces for</w:t>
      </w:r>
      <w:r w:rsidR="005042FA" w:rsidRPr="0030215C">
        <w:rPr>
          <w:spacing w:val="-1"/>
          <w:lang w:val="en-GB"/>
        </w:rPr>
        <w:t xml:space="preserve"> </w:t>
      </w:r>
      <w:r w:rsidR="005042FA" w:rsidRPr="0030215C">
        <w:rPr>
          <w:lang w:val="en-GB"/>
        </w:rPr>
        <w:t>s</w:t>
      </w:r>
      <w:r w:rsidR="005042FA" w:rsidRPr="0030215C">
        <w:rPr>
          <w:spacing w:val="-2"/>
          <w:lang w:val="en-GB"/>
        </w:rPr>
        <w:t>a</w:t>
      </w:r>
      <w:r w:rsidR="005042FA" w:rsidRPr="0030215C">
        <w:rPr>
          <w:spacing w:val="1"/>
          <w:lang w:val="en-GB"/>
        </w:rPr>
        <w:t>m</w:t>
      </w:r>
      <w:r w:rsidR="005042FA" w:rsidRPr="0030215C">
        <w:rPr>
          <w:spacing w:val="-2"/>
          <w:lang w:val="en-GB"/>
        </w:rPr>
        <w:t>p</w:t>
      </w:r>
      <w:r w:rsidR="005042FA" w:rsidRPr="0030215C">
        <w:rPr>
          <w:spacing w:val="-1"/>
          <w:lang w:val="en-GB"/>
        </w:rPr>
        <w:t>li</w:t>
      </w:r>
      <w:r w:rsidR="005042FA" w:rsidRPr="0030215C">
        <w:rPr>
          <w:lang w:val="en-GB"/>
        </w:rPr>
        <w:t>ng</w:t>
      </w:r>
      <w:r w:rsidR="005042FA" w:rsidRPr="0030215C">
        <w:rPr>
          <w:spacing w:val="-1"/>
          <w:lang w:val="en-GB"/>
        </w:rPr>
        <w:t xml:space="preserve"> </w:t>
      </w:r>
      <w:r w:rsidR="005042FA" w:rsidRPr="0030215C">
        <w:rPr>
          <w:lang w:val="en-GB"/>
        </w:rPr>
        <w:t>and</w:t>
      </w:r>
      <w:r w:rsidR="005042FA" w:rsidRPr="0030215C">
        <w:rPr>
          <w:spacing w:val="1"/>
          <w:lang w:val="en-GB"/>
        </w:rPr>
        <w:t xml:space="preserve"> </w:t>
      </w:r>
      <w:r w:rsidR="005042FA" w:rsidRPr="0030215C">
        <w:rPr>
          <w:spacing w:val="-2"/>
          <w:lang w:val="en-GB"/>
        </w:rPr>
        <w:t>A</w:t>
      </w:r>
      <w:r w:rsidR="005042FA" w:rsidRPr="0030215C">
        <w:rPr>
          <w:lang w:val="en-GB"/>
        </w:rPr>
        <w:t>ust</w:t>
      </w:r>
      <w:r w:rsidR="005042FA" w:rsidRPr="0030215C">
        <w:rPr>
          <w:spacing w:val="-1"/>
          <w:lang w:val="en-GB"/>
        </w:rPr>
        <w:t>r</w:t>
      </w:r>
      <w:r w:rsidR="005042FA" w:rsidRPr="0030215C">
        <w:rPr>
          <w:lang w:val="en-GB"/>
        </w:rPr>
        <w:t>a</w:t>
      </w:r>
      <w:r w:rsidR="005042FA" w:rsidRPr="0030215C">
        <w:rPr>
          <w:spacing w:val="-1"/>
          <w:lang w:val="en-GB"/>
        </w:rPr>
        <w:t>li</w:t>
      </w:r>
      <w:r w:rsidR="005042FA" w:rsidRPr="0030215C">
        <w:rPr>
          <w:lang w:val="en-GB"/>
        </w:rPr>
        <w:t>an or</w:t>
      </w:r>
      <w:r w:rsidR="005042FA" w:rsidRPr="0030215C">
        <w:rPr>
          <w:spacing w:val="-1"/>
          <w:lang w:val="en-GB"/>
        </w:rPr>
        <w:t xml:space="preserve"> </w:t>
      </w:r>
      <w:r w:rsidR="005042FA" w:rsidRPr="0030215C">
        <w:rPr>
          <w:lang w:val="en-GB"/>
        </w:rPr>
        <w:t>e</w:t>
      </w:r>
      <w:r w:rsidR="005042FA" w:rsidRPr="0030215C">
        <w:rPr>
          <w:spacing w:val="-2"/>
          <w:lang w:val="en-GB"/>
        </w:rPr>
        <w:t>q</w:t>
      </w:r>
      <w:r w:rsidR="005042FA" w:rsidRPr="0030215C">
        <w:rPr>
          <w:lang w:val="en-GB"/>
        </w:rPr>
        <w:t>u</w:t>
      </w:r>
      <w:r w:rsidR="005042FA" w:rsidRPr="0030215C">
        <w:rPr>
          <w:spacing w:val="-1"/>
          <w:lang w:val="en-GB"/>
        </w:rPr>
        <w:t>i</w:t>
      </w:r>
      <w:r w:rsidR="005042FA" w:rsidRPr="0030215C">
        <w:rPr>
          <w:spacing w:val="-3"/>
          <w:lang w:val="en-GB"/>
        </w:rPr>
        <w:t>v</w:t>
      </w:r>
      <w:r w:rsidR="005042FA" w:rsidRPr="0030215C">
        <w:rPr>
          <w:lang w:val="en-GB"/>
        </w:rPr>
        <w:t>a</w:t>
      </w:r>
      <w:r w:rsidR="005042FA" w:rsidRPr="0030215C">
        <w:rPr>
          <w:spacing w:val="-1"/>
          <w:lang w:val="en-GB"/>
        </w:rPr>
        <w:t>l</w:t>
      </w:r>
      <w:r w:rsidR="005042FA" w:rsidRPr="0030215C">
        <w:rPr>
          <w:lang w:val="en-GB"/>
        </w:rPr>
        <w:t>ent st</w:t>
      </w:r>
      <w:r w:rsidR="005042FA" w:rsidRPr="0030215C">
        <w:rPr>
          <w:spacing w:val="-2"/>
          <w:lang w:val="en-GB"/>
        </w:rPr>
        <w:t>a</w:t>
      </w:r>
      <w:r w:rsidR="005042FA" w:rsidRPr="0030215C">
        <w:rPr>
          <w:lang w:val="en-GB"/>
        </w:rPr>
        <w:t>nda</w:t>
      </w:r>
      <w:r w:rsidR="005042FA" w:rsidRPr="0030215C">
        <w:rPr>
          <w:spacing w:val="-1"/>
          <w:lang w:val="en-GB"/>
        </w:rPr>
        <w:t>r</w:t>
      </w:r>
      <w:r w:rsidR="005042FA" w:rsidRPr="0030215C">
        <w:rPr>
          <w:spacing w:val="-2"/>
          <w:lang w:val="en-GB"/>
        </w:rPr>
        <w:t>d</w:t>
      </w:r>
      <w:r w:rsidR="005042FA" w:rsidRPr="0030215C">
        <w:rPr>
          <w:lang w:val="en-GB"/>
        </w:rPr>
        <w:t>s for</w:t>
      </w:r>
      <w:r w:rsidR="005042FA" w:rsidRPr="0030215C">
        <w:rPr>
          <w:spacing w:val="-1"/>
          <w:lang w:val="en-GB"/>
        </w:rPr>
        <w:t xml:space="preserve"> </w:t>
      </w:r>
      <w:r w:rsidR="005042FA" w:rsidRPr="0030215C">
        <w:rPr>
          <w:lang w:val="en-GB"/>
        </w:rPr>
        <w:t>a</w:t>
      </w:r>
      <w:r w:rsidR="005042FA" w:rsidRPr="0030215C">
        <w:rPr>
          <w:spacing w:val="-2"/>
          <w:lang w:val="en-GB"/>
        </w:rPr>
        <w:t>n</w:t>
      </w:r>
      <w:r w:rsidR="005042FA" w:rsidRPr="0030215C">
        <w:rPr>
          <w:lang w:val="en-GB"/>
        </w:rPr>
        <w:t>a</w:t>
      </w:r>
      <w:r w:rsidR="005042FA" w:rsidRPr="0030215C">
        <w:rPr>
          <w:spacing w:val="-1"/>
          <w:lang w:val="en-GB"/>
        </w:rPr>
        <w:t>l</w:t>
      </w:r>
      <w:r w:rsidR="005042FA" w:rsidRPr="0030215C">
        <w:rPr>
          <w:spacing w:val="-3"/>
          <w:lang w:val="en-GB"/>
        </w:rPr>
        <w:t>y</w:t>
      </w:r>
      <w:r w:rsidR="005042FA" w:rsidRPr="0030215C">
        <w:rPr>
          <w:lang w:val="en-GB"/>
        </w:rPr>
        <w:t>s</w:t>
      </w:r>
      <w:r w:rsidR="005042FA" w:rsidRPr="0030215C">
        <w:rPr>
          <w:spacing w:val="-1"/>
          <w:lang w:val="en-GB"/>
        </w:rPr>
        <w:t>i</w:t>
      </w:r>
      <w:r w:rsidR="005042FA" w:rsidRPr="0030215C">
        <w:rPr>
          <w:lang w:val="en-GB"/>
        </w:rPr>
        <w:t>s</w:t>
      </w:r>
    </w:p>
    <w:p w14:paraId="428DAB58" w14:textId="364C03CE" w:rsidR="005042FA" w:rsidRPr="0030215C" w:rsidRDefault="5BC09A90" w:rsidP="005042FA">
      <w:pPr>
        <w:pStyle w:val="CERbullets"/>
        <w:ind w:left="360" w:hanging="360"/>
        <w:rPr>
          <w:lang w:val="en-GB"/>
        </w:rPr>
      </w:pPr>
      <w:r>
        <w:rPr>
          <w:spacing w:val="-1"/>
          <w:lang w:val="en-GB"/>
        </w:rPr>
        <w:lastRenderedPageBreak/>
        <w:t>M</w:t>
      </w:r>
      <w:r w:rsidR="005042FA">
        <w:rPr>
          <w:spacing w:val="-1"/>
          <w:lang w:val="en-GB"/>
        </w:rPr>
        <w:t>ethod</w:t>
      </w:r>
      <w:r w:rsidR="005042FA" w:rsidRPr="0030215C">
        <w:rPr>
          <w:spacing w:val="-1"/>
          <w:lang w:val="en-GB"/>
        </w:rPr>
        <w:t xml:space="preserve"> </w:t>
      </w:r>
      <w:r w:rsidR="005042FA" w:rsidRPr="0030215C">
        <w:rPr>
          <w:lang w:val="en-GB"/>
        </w:rPr>
        <w:t>3</w:t>
      </w:r>
      <w:r w:rsidR="005042FA" w:rsidRPr="0030215C">
        <w:rPr>
          <w:spacing w:val="1"/>
          <w:lang w:val="en-GB"/>
        </w:rPr>
        <w:t xml:space="preserve"> </w:t>
      </w:r>
      <w:r w:rsidR="005042FA" w:rsidRPr="0030215C">
        <w:rPr>
          <w:spacing w:val="-4"/>
          <w:lang w:val="en-GB"/>
        </w:rPr>
        <w:t>(</w:t>
      </w:r>
      <w:r w:rsidR="005042FA" w:rsidRPr="0030215C">
        <w:rPr>
          <w:lang w:val="en-GB"/>
        </w:rPr>
        <w:t>fac</w:t>
      </w:r>
      <w:r w:rsidR="005042FA" w:rsidRPr="0030215C">
        <w:rPr>
          <w:spacing w:val="-1"/>
          <w:lang w:val="en-GB"/>
        </w:rPr>
        <w:t>ili</w:t>
      </w:r>
      <w:r w:rsidR="005042FA" w:rsidRPr="0030215C">
        <w:rPr>
          <w:lang w:val="en-GB"/>
        </w:rPr>
        <w:t>ty</w:t>
      </w:r>
      <w:r w:rsidR="005042FA" w:rsidRPr="0030215C">
        <w:rPr>
          <w:spacing w:val="-2"/>
          <w:lang w:val="en-GB"/>
        </w:rPr>
        <w:t xml:space="preserve"> </w:t>
      </w:r>
      <w:r w:rsidR="005042FA" w:rsidRPr="0030215C">
        <w:rPr>
          <w:lang w:val="en-GB"/>
        </w:rPr>
        <w:t>spec</w:t>
      </w:r>
      <w:r w:rsidR="005042FA" w:rsidRPr="0030215C">
        <w:rPr>
          <w:spacing w:val="-1"/>
          <w:lang w:val="en-GB"/>
        </w:rPr>
        <w:t>i</w:t>
      </w:r>
      <w:r w:rsidR="005042FA" w:rsidRPr="0030215C">
        <w:rPr>
          <w:spacing w:val="2"/>
          <w:lang w:val="en-GB"/>
        </w:rPr>
        <w:t>f</w:t>
      </w:r>
      <w:r w:rsidR="005042FA" w:rsidRPr="0030215C">
        <w:rPr>
          <w:spacing w:val="-1"/>
          <w:lang w:val="en-GB"/>
        </w:rPr>
        <w:t>i</w:t>
      </w:r>
      <w:r w:rsidR="005042FA" w:rsidRPr="0030215C">
        <w:rPr>
          <w:lang w:val="en-GB"/>
        </w:rPr>
        <w:t>c</w:t>
      </w:r>
      <w:r w:rsidR="005042FA" w:rsidRPr="0030215C">
        <w:rPr>
          <w:spacing w:val="-2"/>
          <w:lang w:val="en-GB"/>
        </w:rPr>
        <w:t xml:space="preserve"> </w:t>
      </w:r>
      <w:r w:rsidR="005042FA" w:rsidRPr="0030215C">
        <w:rPr>
          <w:spacing w:val="1"/>
          <w:lang w:val="en-GB"/>
        </w:rPr>
        <w:t>m</w:t>
      </w:r>
      <w:r w:rsidR="005042FA" w:rsidRPr="0030215C">
        <w:rPr>
          <w:lang w:val="en-GB"/>
        </w:rPr>
        <w:t>e</w:t>
      </w:r>
      <w:r w:rsidR="005042FA" w:rsidRPr="0030215C">
        <w:rPr>
          <w:spacing w:val="-2"/>
          <w:lang w:val="en-GB"/>
        </w:rPr>
        <w:t>t</w:t>
      </w:r>
      <w:r w:rsidR="005042FA" w:rsidRPr="0030215C">
        <w:rPr>
          <w:lang w:val="en-GB"/>
        </w:rPr>
        <w:t>h</w:t>
      </w:r>
      <w:r w:rsidR="005042FA" w:rsidRPr="0030215C">
        <w:rPr>
          <w:spacing w:val="-2"/>
          <w:lang w:val="en-GB"/>
        </w:rPr>
        <w:t>o</w:t>
      </w:r>
      <w:r w:rsidR="005042FA" w:rsidRPr="0030215C">
        <w:rPr>
          <w:lang w:val="en-GB"/>
        </w:rPr>
        <w:t>d</w:t>
      </w:r>
      <w:r w:rsidR="005042FA" w:rsidRPr="0030215C">
        <w:rPr>
          <w:spacing w:val="-1"/>
          <w:lang w:val="en-GB"/>
        </w:rPr>
        <w:t>)</w:t>
      </w:r>
      <w:r w:rsidR="005042FA" w:rsidRPr="0030215C">
        <w:rPr>
          <w:lang w:val="en-GB"/>
        </w:rPr>
        <w:t xml:space="preserve"> </w:t>
      </w:r>
      <w:r w:rsidR="009078CA">
        <w:rPr>
          <w:lang w:val="en-GB"/>
        </w:rPr>
        <w:t xml:space="preserve">– </w:t>
      </w:r>
      <w:r w:rsidR="005042FA" w:rsidRPr="0030215C">
        <w:rPr>
          <w:lang w:val="en-GB"/>
        </w:rPr>
        <w:t>u</w:t>
      </w:r>
      <w:r w:rsidR="005042FA" w:rsidRPr="0030215C">
        <w:rPr>
          <w:spacing w:val="-3"/>
          <w:lang w:val="en-GB"/>
        </w:rPr>
        <w:t>s</w:t>
      </w:r>
      <w:r w:rsidR="005042FA" w:rsidRPr="0030215C">
        <w:rPr>
          <w:lang w:val="en-GB"/>
        </w:rPr>
        <w:t xml:space="preserve">es </w:t>
      </w:r>
      <w:r w:rsidR="005042FA" w:rsidRPr="0030215C">
        <w:rPr>
          <w:spacing w:val="-2"/>
          <w:lang w:val="en-GB"/>
        </w:rPr>
        <w:t>A</w:t>
      </w:r>
      <w:r w:rsidR="005042FA" w:rsidRPr="0030215C">
        <w:rPr>
          <w:lang w:val="en-GB"/>
        </w:rPr>
        <w:t>us</w:t>
      </w:r>
      <w:r w:rsidR="005042FA" w:rsidRPr="0030215C">
        <w:rPr>
          <w:spacing w:val="-2"/>
          <w:lang w:val="en-GB"/>
        </w:rPr>
        <w:t>t</w:t>
      </w:r>
      <w:r w:rsidR="005042FA" w:rsidRPr="0030215C">
        <w:rPr>
          <w:spacing w:val="-1"/>
          <w:lang w:val="en-GB"/>
        </w:rPr>
        <w:t>r</w:t>
      </w:r>
      <w:r w:rsidR="005042FA" w:rsidRPr="0030215C">
        <w:rPr>
          <w:lang w:val="en-GB"/>
        </w:rPr>
        <w:t>a</w:t>
      </w:r>
      <w:r w:rsidR="005042FA" w:rsidRPr="0030215C">
        <w:rPr>
          <w:spacing w:val="-1"/>
          <w:lang w:val="en-GB"/>
        </w:rPr>
        <w:t>li</w:t>
      </w:r>
      <w:r w:rsidR="005042FA" w:rsidRPr="0030215C">
        <w:rPr>
          <w:lang w:val="en-GB"/>
        </w:rPr>
        <w:t>an</w:t>
      </w:r>
      <w:r w:rsidR="005042FA" w:rsidRPr="0030215C">
        <w:rPr>
          <w:spacing w:val="1"/>
          <w:lang w:val="en-GB"/>
        </w:rPr>
        <w:t xml:space="preserve"> </w:t>
      </w:r>
      <w:r w:rsidR="005042FA" w:rsidRPr="0030215C">
        <w:rPr>
          <w:lang w:val="en-GB"/>
        </w:rPr>
        <w:t>or</w:t>
      </w:r>
      <w:r w:rsidR="005042FA" w:rsidRPr="0030215C">
        <w:rPr>
          <w:spacing w:val="-1"/>
          <w:lang w:val="en-GB"/>
        </w:rPr>
        <w:t xml:space="preserve"> </w:t>
      </w:r>
      <w:r w:rsidR="005042FA" w:rsidRPr="0030215C">
        <w:rPr>
          <w:lang w:val="en-GB"/>
        </w:rPr>
        <w:t>e</w:t>
      </w:r>
      <w:r w:rsidR="005042FA" w:rsidRPr="0030215C">
        <w:rPr>
          <w:spacing w:val="-2"/>
          <w:lang w:val="en-GB"/>
        </w:rPr>
        <w:t>q</w:t>
      </w:r>
      <w:r w:rsidR="005042FA" w:rsidRPr="0030215C">
        <w:rPr>
          <w:lang w:val="en-GB"/>
        </w:rPr>
        <w:t>u</w:t>
      </w:r>
      <w:r w:rsidR="005042FA" w:rsidRPr="0030215C">
        <w:rPr>
          <w:spacing w:val="-1"/>
          <w:lang w:val="en-GB"/>
        </w:rPr>
        <w:t>i</w:t>
      </w:r>
      <w:r w:rsidR="005042FA" w:rsidRPr="0030215C">
        <w:rPr>
          <w:spacing w:val="-3"/>
          <w:lang w:val="en-GB"/>
        </w:rPr>
        <w:t>v</w:t>
      </w:r>
      <w:r w:rsidR="005042FA" w:rsidRPr="0030215C">
        <w:rPr>
          <w:lang w:val="en-GB"/>
        </w:rPr>
        <w:t>a</w:t>
      </w:r>
      <w:r w:rsidR="005042FA" w:rsidRPr="0030215C">
        <w:rPr>
          <w:spacing w:val="-1"/>
          <w:lang w:val="en-GB"/>
        </w:rPr>
        <w:t>l</w:t>
      </w:r>
      <w:r w:rsidR="005042FA" w:rsidRPr="0030215C">
        <w:rPr>
          <w:lang w:val="en-GB"/>
        </w:rPr>
        <w:t>ent s</w:t>
      </w:r>
      <w:r w:rsidR="005042FA" w:rsidRPr="0030215C">
        <w:rPr>
          <w:spacing w:val="-2"/>
          <w:lang w:val="en-GB"/>
        </w:rPr>
        <w:t>ta</w:t>
      </w:r>
      <w:r w:rsidR="005042FA" w:rsidRPr="0030215C">
        <w:rPr>
          <w:lang w:val="en-GB"/>
        </w:rPr>
        <w:t>nda</w:t>
      </w:r>
      <w:r w:rsidR="005042FA" w:rsidRPr="0030215C">
        <w:rPr>
          <w:spacing w:val="-1"/>
          <w:lang w:val="en-GB"/>
        </w:rPr>
        <w:t>r</w:t>
      </w:r>
      <w:r w:rsidR="005042FA" w:rsidRPr="0030215C">
        <w:rPr>
          <w:lang w:val="en-GB"/>
        </w:rPr>
        <w:t>ds</w:t>
      </w:r>
      <w:r w:rsidR="005042FA" w:rsidRPr="0030215C">
        <w:rPr>
          <w:spacing w:val="-2"/>
          <w:lang w:val="en-GB"/>
        </w:rPr>
        <w:t xml:space="preserve"> </w:t>
      </w:r>
      <w:r w:rsidR="005042FA" w:rsidRPr="0030215C">
        <w:rPr>
          <w:lang w:val="en-GB"/>
        </w:rPr>
        <w:t>for</w:t>
      </w:r>
      <w:r w:rsidR="005042FA" w:rsidRPr="0030215C">
        <w:rPr>
          <w:spacing w:val="-1"/>
          <w:lang w:val="en-GB"/>
        </w:rPr>
        <w:t xml:space="preserve"> </w:t>
      </w:r>
      <w:r w:rsidR="005042FA" w:rsidRPr="0030215C">
        <w:rPr>
          <w:spacing w:val="-2"/>
          <w:lang w:val="en-GB"/>
        </w:rPr>
        <w:t>b</w:t>
      </w:r>
      <w:r w:rsidR="005042FA" w:rsidRPr="0030215C">
        <w:rPr>
          <w:lang w:val="en-GB"/>
        </w:rPr>
        <w:t>oth sa</w:t>
      </w:r>
      <w:r w:rsidR="005042FA" w:rsidRPr="0030215C">
        <w:rPr>
          <w:spacing w:val="1"/>
          <w:lang w:val="en-GB"/>
        </w:rPr>
        <w:t>m</w:t>
      </w:r>
      <w:r w:rsidR="005042FA" w:rsidRPr="0030215C">
        <w:rPr>
          <w:lang w:val="en-GB"/>
        </w:rPr>
        <w:t>p</w:t>
      </w:r>
      <w:r w:rsidR="005042FA" w:rsidRPr="0030215C">
        <w:rPr>
          <w:spacing w:val="-1"/>
          <w:lang w:val="en-GB"/>
        </w:rPr>
        <w:t>li</w:t>
      </w:r>
      <w:r w:rsidR="005042FA" w:rsidRPr="0030215C">
        <w:rPr>
          <w:lang w:val="en-GB"/>
        </w:rPr>
        <w:t>ng</w:t>
      </w:r>
      <w:r w:rsidR="005042FA" w:rsidRPr="0030215C">
        <w:rPr>
          <w:spacing w:val="-1"/>
          <w:lang w:val="en-GB"/>
        </w:rPr>
        <w:t xml:space="preserve"> </w:t>
      </w:r>
      <w:r w:rsidR="005042FA" w:rsidRPr="0030215C">
        <w:rPr>
          <w:spacing w:val="-2"/>
          <w:lang w:val="en-GB"/>
        </w:rPr>
        <w:t>a</w:t>
      </w:r>
      <w:r w:rsidR="005042FA" w:rsidRPr="0030215C">
        <w:rPr>
          <w:lang w:val="en-GB"/>
        </w:rPr>
        <w:t>nd</w:t>
      </w:r>
      <w:r w:rsidR="005042FA" w:rsidRPr="0030215C">
        <w:rPr>
          <w:spacing w:val="-1"/>
          <w:lang w:val="en-GB"/>
        </w:rPr>
        <w:t xml:space="preserve"> </w:t>
      </w:r>
      <w:r w:rsidR="005042FA" w:rsidRPr="0030215C">
        <w:rPr>
          <w:lang w:val="en-GB"/>
        </w:rPr>
        <w:t>ana</w:t>
      </w:r>
      <w:r w:rsidR="005042FA" w:rsidRPr="0030215C">
        <w:rPr>
          <w:spacing w:val="-1"/>
          <w:lang w:val="en-GB"/>
        </w:rPr>
        <w:t>l</w:t>
      </w:r>
      <w:r w:rsidR="005042FA" w:rsidRPr="0030215C">
        <w:rPr>
          <w:spacing w:val="-3"/>
          <w:lang w:val="en-GB"/>
        </w:rPr>
        <w:t>y</w:t>
      </w:r>
      <w:r w:rsidR="005042FA" w:rsidRPr="0030215C">
        <w:rPr>
          <w:lang w:val="en-GB"/>
        </w:rPr>
        <w:t>s</w:t>
      </w:r>
      <w:r w:rsidR="005042FA" w:rsidRPr="0030215C">
        <w:rPr>
          <w:spacing w:val="-1"/>
          <w:lang w:val="en-GB"/>
        </w:rPr>
        <w:t>i</w:t>
      </w:r>
      <w:r w:rsidR="005042FA" w:rsidRPr="0030215C">
        <w:rPr>
          <w:lang w:val="en-GB"/>
        </w:rPr>
        <w:t>s.</w:t>
      </w:r>
    </w:p>
    <w:p w14:paraId="4FF32596" w14:textId="08543EEF" w:rsidR="005042FA" w:rsidRDefault="005042FA" w:rsidP="005042FA">
      <w:pPr>
        <w:spacing w:after="0"/>
        <w:rPr>
          <w:rFonts w:eastAsia="Times New Roman"/>
          <w:b/>
          <w:color w:val="005874"/>
          <w:kern w:val="32"/>
          <w:sz w:val="40"/>
          <w:szCs w:val="40"/>
        </w:rPr>
      </w:pPr>
      <w:bookmarkStart w:id="17" w:name="_Toc43871038"/>
      <w:r w:rsidRPr="00CF756B">
        <w:t xml:space="preserve">This guidance has been developed to assist those using the NGER Wastewater (Domestic and Commercial) Calculator and NGER Wastewater (Industrial) Calculator (as applicable). These calculators were developed by </w:t>
      </w:r>
      <w:r w:rsidR="252664A0">
        <w:t>CER</w:t>
      </w:r>
      <w:r w:rsidRPr="00CF756B">
        <w:t xml:space="preserve">, as described at </w:t>
      </w:r>
      <w:hyperlink w:anchor="_Wastewater_(Domestic_and">
        <w:r w:rsidRPr="4FB54A55">
          <w:rPr>
            <w:rStyle w:val="Hyperlink"/>
            <w:rFonts w:asciiTheme="minorHAnsi" w:hAnsiTheme="minorHAnsi"/>
          </w:rPr>
          <w:t>sections 3.2</w:t>
        </w:r>
      </w:hyperlink>
      <w:r w:rsidRPr="00CF756B">
        <w:t xml:space="preserve"> and </w:t>
      </w:r>
      <w:hyperlink w:anchor="_Wastewater_(Industrial)_Calculator">
        <w:r w:rsidRPr="4FB54A55">
          <w:rPr>
            <w:rStyle w:val="Hyperlink"/>
            <w:rFonts w:asciiTheme="minorHAnsi" w:hAnsiTheme="minorHAnsi"/>
          </w:rPr>
          <w:t>4.2</w:t>
        </w:r>
      </w:hyperlink>
      <w:r w:rsidRPr="00CF756B">
        <w:t xml:space="preserve"> of this guideline</w:t>
      </w:r>
      <w:r>
        <w:t>.</w:t>
      </w:r>
    </w:p>
    <w:p w14:paraId="3DF5C46F" w14:textId="77777777" w:rsidR="005042FA" w:rsidRPr="0030215C" w:rsidRDefault="005042FA" w:rsidP="00DA67F2">
      <w:pPr>
        <w:pStyle w:val="Heading1"/>
        <w:numPr>
          <w:ilvl w:val="0"/>
          <w:numId w:val="3"/>
        </w:numPr>
        <w:ind w:left="0" w:firstLine="0"/>
      </w:pPr>
      <w:bookmarkStart w:id="18" w:name="_Toc76041536"/>
      <w:bookmarkStart w:id="19" w:name="_Toc235611537"/>
      <w:r w:rsidRPr="0030215C">
        <w:t>Good practice reporting</w:t>
      </w:r>
      <w:r>
        <w:t xml:space="preserve"> of </w:t>
      </w:r>
      <w:r w:rsidRPr="0030215C">
        <w:t>wastewater handling</w:t>
      </w:r>
      <w:bookmarkEnd w:id="17"/>
      <w:bookmarkEnd w:id="18"/>
      <w:bookmarkEnd w:id="19"/>
    </w:p>
    <w:p w14:paraId="187DA11B" w14:textId="77777777" w:rsidR="005042FA" w:rsidRDefault="005042FA" w:rsidP="00A11B9C">
      <w:pPr>
        <w:spacing w:before="240"/>
      </w:pPr>
      <w:r w:rsidRPr="0030215C">
        <w:rPr>
          <w:spacing w:val="-2"/>
          <w:lang w:val="en-GB"/>
        </w:rPr>
        <w:t xml:space="preserve">Wastewater </w:t>
      </w:r>
      <w:r>
        <w:rPr>
          <w:spacing w:val="-2"/>
          <w:lang w:val="en-GB"/>
        </w:rPr>
        <w:t xml:space="preserve">handlers </w:t>
      </w:r>
      <w:r w:rsidRPr="0030215C">
        <w:t xml:space="preserve">must keep records of the activities across </w:t>
      </w:r>
      <w:r>
        <w:t xml:space="preserve">their </w:t>
      </w:r>
      <w:r w:rsidRPr="0030215C">
        <w:t>group</w:t>
      </w:r>
      <w:r>
        <w:t>.</w:t>
      </w:r>
    </w:p>
    <w:p w14:paraId="269A46ED" w14:textId="77777777" w:rsidR="005042FA" w:rsidRPr="0030215C" w:rsidRDefault="005042FA" w:rsidP="005042FA">
      <w:r w:rsidRPr="00C86277">
        <w:t xml:space="preserve">Registered corporations must apply the principles set out in section 1.13 of the NGER Measurement Determination to all estimates of emissions, energy production and energy consumption. Those principles and how they apply to reporting for wastewater handling are set </w:t>
      </w:r>
      <w:r>
        <w:t>out below.</w:t>
      </w:r>
    </w:p>
    <w:p w14:paraId="079FBBD5" w14:textId="595B1E3D" w:rsidR="005042FA" w:rsidRPr="0030215C" w:rsidRDefault="005042FA" w:rsidP="005042FA">
      <w:pPr>
        <w:pStyle w:val="Caption"/>
        <w:keepNext/>
      </w:pPr>
      <w:r w:rsidRPr="0030215C">
        <w:t xml:space="preserve">Table </w:t>
      </w:r>
      <w:r w:rsidRPr="0030215C">
        <w:rPr>
          <w:noProof/>
        </w:rPr>
        <w:fldChar w:fldCharType="begin"/>
      </w:r>
      <w:r w:rsidRPr="0030215C">
        <w:rPr>
          <w:noProof/>
        </w:rPr>
        <w:instrText xml:space="preserve"> SEQ Table \* ARABIC </w:instrText>
      </w:r>
      <w:r w:rsidRPr="0030215C">
        <w:rPr>
          <w:noProof/>
        </w:rPr>
        <w:fldChar w:fldCharType="separate"/>
      </w:r>
      <w:r w:rsidR="00AB56A9">
        <w:rPr>
          <w:noProof/>
        </w:rPr>
        <w:t>1</w:t>
      </w:r>
      <w:r w:rsidRPr="0030215C">
        <w:rPr>
          <w:noProof/>
        </w:rPr>
        <w:fldChar w:fldCharType="end"/>
      </w:r>
      <w:r w:rsidRPr="0030215C">
        <w:t xml:space="preserve"> General principles for NGER reporting for wastewater handling</w:t>
      </w:r>
      <w:r w:rsidR="002E7F11">
        <w:t>.</w:t>
      </w:r>
    </w:p>
    <w:tbl>
      <w:tblPr>
        <w:tblStyle w:val="CERTable"/>
        <w:tblW w:w="5000" w:type="pct"/>
        <w:tblLook w:val="0420" w:firstRow="1" w:lastRow="0" w:firstColumn="0" w:lastColumn="0" w:noHBand="0" w:noVBand="1"/>
      </w:tblPr>
      <w:tblGrid>
        <w:gridCol w:w="3423"/>
        <w:gridCol w:w="6317"/>
      </w:tblGrid>
      <w:tr w:rsidR="005042FA" w:rsidRPr="0030215C" w14:paraId="65585BB1" w14:textId="77777777" w:rsidTr="007D373D">
        <w:trPr>
          <w:cnfStyle w:val="100000000000" w:firstRow="1" w:lastRow="0" w:firstColumn="0" w:lastColumn="0" w:oddVBand="0" w:evenVBand="0" w:oddHBand="0" w:evenHBand="0" w:firstRowFirstColumn="0" w:firstRowLastColumn="0" w:lastRowFirstColumn="0" w:lastRowLastColumn="0"/>
          <w:tblHeader/>
        </w:trPr>
        <w:tc>
          <w:tcPr>
            <w:tcW w:w="1757" w:type="pct"/>
            <w:hideMark/>
          </w:tcPr>
          <w:p w14:paraId="15F583AB" w14:textId="77777777" w:rsidR="005042FA" w:rsidRPr="0030215C" w:rsidRDefault="005042FA">
            <w:pPr>
              <w:spacing w:after="100"/>
              <w:rPr>
                <w:b w:val="0"/>
                <w:bCs/>
                <w:color w:val="auto"/>
                <w:szCs w:val="20"/>
                <w:lang w:eastAsia="en-AU"/>
              </w:rPr>
            </w:pPr>
            <w:r w:rsidRPr="0030215C">
              <w:rPr>
                <w:bCs/>
                <w:szCs w:val="20"/>
                <w:lang w:eastAsia="en-AU"/>
              </w:rPr>
              <w:t>General estimation principles</w:t>
            </w:r>
          </w:p>
        </w:tc>
        <w:tc>
          <w:tcPr>
            <w:tcW w:w="3243" w:type="pct"/>
            <w:hideMark/>
          </w:tcPr>
          <w:p w14:paraId="06C8EDD3" w14:textId="77777777" w:rsidR="005042FA" w:rsidRPr="0030215C" w:rsidRDefault="005042FA">
            <w:pPr>
              <w:spacing w:after="100"/>
              <w:rPr>
                <w:b w:val="0"/>
                <w:bCs/>
                <w:szCs w:val="20"/>
                <w:lang w:eastAsia="en-AU"/>
              </w:rPr>
            </w:pPr>
            <w:r w:rsidRPr="0030215C">
              <w:rPr>
                <w:bCs/>
                <w:szCs w:val="20"/>
                <w:lang w:eastAsia="en-AU"/>
              </w:rPr>
              <w:t>Implication for wastewater handling in NGER reporting</w:t>
            </w:r>
          </w:p>
        </w:tc>
      </w:tr>
      <w:tr w:rsidR="005042FA" w:rsidRPr="0030215C" w14:paraId="51F2AEA6" w14:textId="77777777" w:rsidTr="007D373D">
        <w:trPr>
          <w:cnfStyle w:val="000000100000" w:firstRow="0" w:lastRow="0" w:firstColumn="0" w:lastColumn="0" w:oddVBand="0" w:evenVBand="0" w:oddHBand="1" w:evenHBand="0" w:firstRowFirstColumn="0" w:firstRowLastColumn="0" w:lastRowFirstColumn="0" w:lastRowLastColumn="0"/>
        </w:trPr>
        <w:tc>
          <w:tcPr>
            <w:tcW w:w="1757" w:type="pct"/>
            <w:shd w:val="clear" w:color="auto" w:fill="F2F2F2" w:themeFill="background1" w:themeFillShade="F2"/>
            <w:hideMark/>
          </w:tcPr>
          <w:p w14:paraId="09C27D4E" w14:textId="77777777" w:rsidR="005042FA" w:rsidRPr="0030215C" w:rsidRDefault="005042FA">
            <w:pPr>
              <w:spacing w:after="120"/>
              <w:rPr>
                <w:color w:val="000000"/>
                <w:szCs w:val="20"/>
                <w:lang w:eastAsia="en-AU"/>
              </w:rPr>
            </w:pPr>
            <w:r w:rsidRPr="0030215C">
              <w:rPr>
                <w:b/>
                <w:bCs/>
                <w:color w:val="000000"/>
                <w:szCs w:val="20"/>
                <w:lang w:eastAsia="en-AU"/>
              </w:rPr>
              <w:t>Transparency</w:t>
            </w:r>
          </w:p>
          <w:p w14:paraId="054DD150" w14:textId="77777777" w:rsidR="005042FA" w:rsidRPr="0030215C" w:rsidRDefault="005042FA">
            <w:pPr>
              <w:rPr>
                <w:color w:val="000000"/>
                <w:szCs w:val="20"/>
                <w:lang w:eastAsia="en-AU"/>
              </w:rPr>
            </w:pPr>
            <w:r w:rsidRPr="0030215C">
              <w:rPr>
                <w:color w:val="000000"/>
                <w:szCs w:val="20"/>
                <w:lang w:eastAsia="en-AU"/>
              </w:rPr>
              <w:t>Emission estimates must be documented and verifiable</w:t>
            </w:r>
          </w:p>
        </w:tc>
        <w:tc>
          <w:tcPr>
            <w:tcW w:w="3243" w:type="pct"/>
            <w:hideMark/>
          </w:tcPr>
          <w:p w14:paraId="1563917A" w14:textId="77777777" w:rsidR="005042FA" w:rsidRPr="0030215C" w:rsidRDefault="005042FA" w:rsidP="005042FA">
            <w:pPr>
              <w:pStyle w:val="CERbullets"/>
              <w:ind w:left="360" w:hanging="360"/>
              <w:rPr>
                <w:color w:val="000000"/>
                <w:szCs w:val="20"/>
                <w:lang w:eastAsia="en-AU"/>
              </w:rPr>
            </w:pPr>
            <w:r w:rsidRPr="0030215C">
              <w:rPr>
                <w:color w:val="000000"/>
                <w:szCs w:val="20"/>
              </w:rPr>
              <w:t xml:space="preserve">All key decisions and assumptions made to prepare NGER reporting must be documented and updated each year, in a ‘Basis of preparation’ document or procedure. </w:t>
            </w:r>
          </w:p>
          <w:p w14:paraId="27D0BDA1" w14:textId="77777777" w:rsidR="005042FA" w:rsidRPr="00B20B34" w:rsidRDefault="005042FA" w:rsidP="005042FA">
            <w:pPr>
              <w:pStyle w:val="CERbullets"/>
              <w:ind w:left="360" w:hanging="360"/>
              <w:rPr>
                <w:color w:val="000000"/>
                <w:szCs w:val="20"/>
              </w:rPr>
            </w:pPr>
            <w:r w:rsidRPr="00B20B34">
              <w:rPr>
                <w:color w:val="000000"/>
                <w:szCs w:val="20"/>
              </w:rPr>
              <w:t>All data must be recorded in a form that can be easily audited</w:t>
            </w:r>
            <w:r w:rsidRPr="0030215C">
              <w:rPr>
                <w:color w:val="000000"/>
                <w:szCs w:val="20"/>
              </w:rPr>
              <w:t xml:space="preserve">. </w:t>
            </w:r>
            <w:r>
              <w:t xml:space="preserve">This includes all data resulting from sampling undertaken to support estimates of wastewater biogas flared. </w:t>
            </w:r>
            <w:r w:rsidRPr="00B20B34" w:rsidDel="00B20B34">
              <w:rPr>
                <w:color w:val="000000"/>
                <w:szCs w:val="20"/>
              </w:rPr>
              <w:t xml:space="preserve"> </w:t>
            </w:r>
          </w:p>
          <w:p w14:paraId="0E0787D5" w14:textId="24C83EDB" w:rsidR="005042FA" w:rsidRPr="0030215C" w:rsidRDefault="005042FA" w:rsidP="005042FA">
            <w:pPr>
              <w:pStyle w:val="CERbullets"/>
              <w:ind w:left="360" w:hanging="360"/>
              <w:rPr>
                <w:color w:val="000000"/>
                <w:szCs w:val="20"/>
              </w:rPr>
            </w:pPr>
            <w:r w:rsidRPr="00B20B34">
              <w:rPr>
                <w:color w:val="000000"/>
                <w:szCs w:val="20"/>
              </w:rPr>
              <w:t>Al</w:t>
            </w:r>
            <w:r w:rsidRPr="0030215C">
              <w:rPr>
                <w:color w:val="000000"/>
                <w:szCs w:val="20"/>
              </w:rPr>
              <w:t>l data</w:t>
            </w:r>
            <w:r>
              <w:rPr>
                <w:color w:val="000000"/>
                <w:szCs w:val="20"/>
              </w:rPr>
              <w:t>,</w:t>
            </w:r>
            <w:r w:rsidRPr="0030215C">
              <w:rPr>
                <w:color w:val="000000"/>
                <w:szCs w:val="20"/>
              </w:rPr>
              <w:t xml:space="preserve"> and</w:t>
            </w:r>
            <w:r>
              <w:rPr>
                <w:color w:val="000000"/>
                <w:szCs w:val="20"/>
              </w:rPr>
              <w:t xml:space="preserve"> documentation of any</w:t>
            </w:r>
            <w:r w:rsidRPr="0030215C">
              <w:rPr>
                <w:color w:val="000000"/>
                <w:szCs w:val="20"/>
              </w:rPr>
              <w:t xml:space="preserve"> assumptions</w:t>
            </w:r>
            <w:r>
              <w:rPr>
                <w:color w:val="000000"/>
                <w:szCs w:val="20"/>
              </w:rPr>
              <w:t xml:space="preserve"> applied to the data and the calculations</w:t>
            </w:r>
            <w:r w:rsidRPr="0030215C">
              <w:rPr>
                <w:color w:val="000000"/>
                <w:szCs w:val="20"/>
              </w:rPr>
              <w:t xml:space="preserve"> must be </w:t>
            </w:r>
            <w:r>
              <w:rPr>
                <w:color w:val="000000"/>
                <w:szCs w:val="20"/>
              </w:rPr>
              <w:t>retained in accordance with the record-keeping requirements</w:t>
            </w:r>
            <w:r w:rsidRPr="0030215C">
              <w:rPr>
                <w:color w:val="000000"/>
                <w:szCs w:val="20"/>
              </w:rPr>
              <w:t xml:space="preserve"> for </w:t>
            </w:r>
            <w:r w:rsidR="000340F9">
              <w:rPr>
                <w:color w:val="000000"/>
                <w:szCs w:val="20"/>
              </w:rPr>
              <w:t>5</w:t>
            </w:r>
            <w:r w:rsidRPr="0030215C">
              <w:rPr>
                <w:color w:val="000000"/>
                <w:szCs w:val="20"/>
              </w:rPr>
              <w:t xml:space="preserve"> years</w:t>
            </w:r>
            <w:r>
              <w:rPr>
                <w:color w:val="000000"/>
                <w:szCs w:val="20"/>
              </w:rPr>
              <w:t xml:space="preserve"> from the end of the financial year in which the relevant activity took place</w:t>
            </w:r>
            <w:r w:rsidRPr="0030215C">
              <w:rPr>
                <w:color w:val="000000"/>
                <w:szCs w:val="20"/>
              </w:rPr>
              <w:t xml:space="preserve">. </w:t>
            </w:r>
          </w:p>
        </w:tc>
      </w:tr>
      <w:tr w:rsidR="005042FA" w:rsidRPr="0030215C" w14:paraId="172AC2C4" w14:textId="77777777" w:rsidTr="007D373D">
        <w:trPr>
          <w:cnfStyle w:val="000000010000" w:firstRow="0" w:lastRow="0" w:firstColumn="0" w:lastColumn="0" w:oddVBand="0" w:evenVBand="0" w:oddHBand="0" w:evenHBand="1" w:firstRowFirstColumn="0" w:firstRowLastColumn="0" w:lastRowFirstColumn="0" w:lastRowLastColumn="0"/>
        </w:trPr>
        <w:tc>
          <w:tcPr>
            <w:tcW w:w="1757" w:type="pct"/>
            <w:shd w:val="clear" w:color="auto" w:fill="F2F2F2" w:themeFill="background1" w:themeFillShade="F2"/>
            <w:hideMark/>
          </w:tcPr>
          <w:p w14:paraId="6622FFF4" w14:textId="77777777" w:rsidR="005042FA" w:rsidRPr="0030215C" w:rsidRDefault="005042FA">
            <w:pPr>
              <w:spacing w:after="120"/>
              <w:rPr>
                <w:color w:val="000000"/>
                <w:szCs w:val="20"/>
                <w:lang w:eastAsia="en-AU"/>
              </w:rPr>
            </w:pPr>
            <w:r w:rsidRPr="0030215C">
              <w:rPr>
                <w:b/>
                <w:bCs/>
                <w:color w:val="000000"/>
                <w:szCs w:val="20"/>
                <w:lang w:eastAsia="en-AU"/>
              </w:rPr>
              <w:t>Comparability</w:t>
            </w:r>
          </w:p>
          <w:p w14:paraId="67C211D3" w14:textId="30D8C6EA" w:rsidR="005042FA" w:rsidRPr="0030215C" w:rsidRDefault="005042FA">
            <w:pPr>
              <w:rPr>
                <w:color w:val="000000"/>
                <w:szCs w:val="20"/>
                <w:lang w:eastAsia="en-AU"/>
              </w:rPr>
            </w:pPr>
            <w:r>
              <w:rPr>
                <w:szCs w:val="20"/>
              </w:rPr>
              <w:t xml:space="preserve">Estimates </w:t>
            </w:r>
            <w:r w:rsidRPr="0030215C">
              <w:rPr>
                <w:szCs w:val="20"/>
              </w:rPr>
              <w:t>using a particular method and produced by a registered corporation in an industry sector must be comparable with emission estimates produced by similar corporations in that industry sector using the same method and be consistent with the emission estimates published by the Department</w:t>
            </w:r>
            <w:r>
              <w:rPr>
                <w:szCs w:val="20"/>
              </w:rPr>
              <w:t xml:space="preserve"> of Climate Change, Energy, the Environment and Water</w:t>
            </w:r>
            <w:r w:rsidRPr="0030215C">
              <w:rPr>
                <w:szCs w:val="20"/>
              </w:rPr>
              <w:t xml:space="preserve"> in the </w:t>
            </w:r>
            <w:r>
              <w:rPr>
                <w:szCs w:val="20"/>
              </w:rPr>
              <w:t xml:space="preserve">Australia’s </w:t>
            </w:r>
            <w:r w:rsidRPr="000F7E30">
              <w:rPr>
                <w:iCs/>
                <w:szCs w:val="20"/>
              </w:rPr>
              <w:t>National Greenhouse Accounts</w:t>
            </w:r>
          </w:p>
        </w:tc>
        <w:tc>
          <w:tcPr>
            <w:tcW w:w="3243" w:type="pct"/>
            <w:hideMark/>
          </w:tcPr>
          <w:p w14:paraId="1B32B1DB" w14:textId="77777777" w:rsidR="005042FA" w:rsidRPr="0030215C" w:rsidRDefault="005042FA" w:rsidP="005042FA">
            <w:pPr>
              <w:pStyle w:val="CERbullets"/>
              <w:ind w:left="360" w:hanging="360"/>
              <w:rPr>
                <w:color w:val="000000"/>
                <w:szCs w:val="20"/>
                <w:lang w:eastAsia="en-AU"/>
              </w:rPr>
            </w:pPr>
            <w:r w:rsidRPr="0030215C">
              <w:rPr>
                <w:color w:val="000000"/>
                <w:szCs w:val="20"/>
              </w:rPr>
              <w:t xml:space="preserve">Appropriately using the rules and requirements of the NGER </w:t>
            </w:r>
            <w:r>
              <w:rPr>
                <w:color w:val="000000"/>
                <w:szCs w:val="20"/>
              </w:rPr>
              <w:t xml:space="preserve">Measurement </w:t>
            </w:r>
            <w:r w:rsidRPr="0030215C">
              <w:rPr>
                <w:color w:val="000000"/>
                <w:szCs w:val="20"/>
              </w:rPr>
              <w:t>Determination will achieve this for most activity data and emissions estimates in wastewater handling.</w:t>
            </w:r>
          </w:p>
          <w:p w14:paraId="02DDEF1C" w14:textId="270640C0" w:rsidR="005042FA" w:rsidRPr="004D2FB9" w:rsidRDefault="005042FA" w:rsidP="005042FA">
            <w:pPr>
              <w:pStyle w:val="CERbullets"/>
              <w:ind w:left="360" w:hanging="360"/>
              <w:rPr>
                <w:color w:val="000000"/>
              </w:rPr>
            </w:pPr>
            <w:r w:rsidRPr="65607FD3">
              <w:rPr>
                <w:color w:val="000000" w:themeColor="text1"/>
              </w:rPr>
              <w:t xml:space="preserve">Unspecified industry estimation practices are acceptable for some components of </w:t>
            </w:r>
            <w:r w:rsidR="6EABDC16" w:rsidRPr="65607FD3">
              <w:rPr>
                <w:color w:val="000000" w:themeColor="text1"/>
              </w:rPr>
              <w:t>M</w:t>
            </w:r>
            <w:r w:rsidRPr="65607FD3">
              <w:rPr>
                <w:color w:val="000000" w:themeColor="text1"/>
              </w:rPr>
              <w:t xml:space="preserve">ethod 1 if they meet the other requirements of section 1.13 of the Measurement Determination </w:t>
            </w:r>
            <w:r w:rsidR="00E73594">
              <w:rPr>
                <w:color w:val="000000" w:themeColor="text1"/>
              </w:rPr>
              <w:t>-</w:t>
            </w:r>
            <w:r w:rsidRPr="65607FD3">
              <w:rPr>
                <w:color w:val="000000" w:themeColor="text1"/>
              </w:rPr>
              <w:t>for example, ‘Transparency’ and ‘Accuracy’.</w:t>
            </w:r>
          </w:p>
        </w:tc>
      </w:tr>
      <w:tr w:rsidR="005042FA" w:rsidRPr="0030215C" w14:paraId="4A4D72D1" w14:textId="77777777" w:rsidTr="007D373D">
        <w:trPr>
          <w:cnfStyle w:val="000000100000" w:firstRow="0" w:lastRow="0" w:firstColumn="0" w:lastColumn="0" w:oddVBand="0" w:evenVBand="0" w:oddHBand="1" w:evenHBand="0" w:firstRowFirstColumn="0" w:firstRowLastColumn="0" w:lastRowFirstColumn="0" w:lastRowLastColumn="0"/>
        </w:trPr>
        <w:tc>
          <w:tcPr>
            <w:tcW w:w="1757" w:type="pct"/>
            <w:shd w:val="clear" w:color="auto" w:fill="F2F2F2" w:themeFill="background1" w:themeFillShade="F2"/>
          </w:tcPr>
          <w:p w14:paraId="5E7E9885" w14:textId="77777777" w:rsidR="005042FA" w:rsidRPr="0030215C" w:rsidRDefault="005042FA">
            <w:pPr>
              <w:spacing w:after="120"/>
              <w:rPr>
                <w:color w:val="000000"/>
                <w:szCs w:val="20"/>
                <w:lang w:eastAsia="en-AU"/>
              </w:rPr>
            </w:pPr>
            <w:r w:rsidRPr="0030215C">
              <w:rPr>
                <w:b/>
                <w:bCs/>
                <w:color w:val="000000"/>
                <w:szCs w:val="20"/>
                <w:lang w:eastAsia="en-AU"/>
              </w:rPr>
              <w:lastRenderedPageBreak/>
              <w:t>Accuracy</w:t>
            </w:r>
          </w:p>
          <w:p w14:paraId="39AE0374" w14:textId="375626FE" w:rsidR="005042FA" w:rsidRPr="0030215C" w:rsidRDefault="005042FA">
            <w:pPr>
              <w:spacing w:after="120"/>
              <w:rPr>
                <w:b/>
                <w:bCs/>
                <w:color w:val="000000"/>
                <w:szCs w:val="20"/>
                <w:lang w:eastAsia="en-AU"/>
              </w:rPr>
            </w:pPr>
            <w:r w:rsidRPr="0030215C">
              <w:rPr>
                <w:szCs w:val="20"/>
              </w:rPr>
              <w:t>Having regard to the availability of reasonable resources by a registered corporation and the requirements of the NGER Determination, uncertainties in</w:t>
            </w:r>
            <w:r>
              <w:rPr>
                <w:szCs w:val="20"/>
              </w:rPr>
              <w:t xml:space="preserve"> emissions and energy </w:t>
            </w:r>
            <w:r w:rsidRPr="0030215C">
              <w:rPr>
                <w:szCs w:val="20"/>
              </w:rPr>
              <w:t>estimates must be minimised, and any estimates must be neither over nor underestimates of the true values at a 95</w:t>
            </w:r>
            <w:r>
              <w:rPr>
                <w:szCs w:val="20"/>
              </w:rPr>
              <w:t xml:space="preserve">% </w:t>
            </w:r>
            <w:r w:rsidRPr="0030215C">
              <w:rPr>
                <w:szCs w:val="20"/>
              </w:rPr>
              <w:t>confidence level</w:t>
            </w:r>
          </w:p>
        </w:tc>
        <w:tc>
          <w:tcPr>
            <w:tcW w:w="3243" w:type="pct"/>
          </w:tcPr>
          <w:p w14:paraId="63C74A83" w14:textId="77777777" w:rsidR="005042FA" w:rsidRPr="0030215C" w:rsidRDefault="005042FA" w:rsidP="005042FA">
            <w:pPr>
              <w:pStyle w:val="CERbullets"/>
              <w:ind w:left="360" w:hanging="360"/>
              <w:rPr>
                <w:color w:val="000000"/>
                <w:szCs w:val="20"/>
                <w:lang w:eastAsia="en-AU"/>
              </w:rPr>
            </w:pPr>
            <w:r w:rsidRPr="0030215C">
              <w:rPr>
                <w:color w:val="000000"/>
                <w:szCs w:val="20"/>
              </w:rPr>
              <w:t>Sampling, e.g. for methane content</w:t>
            </w:r>
            <w:r>
              <w:rPr>
                <w:color w:val="000000"/>
                <w:szCs w:val="20"/>
              </w:rPr>
              <w:t>,</w:t>
            </w:r>
            <w:r w:rsidRPr="0030215C">
              <w:rPr>
                <w:color w:val="000000"/>
                <w:szCs w:val="20"/>
              </w:rPr>
              <w:t xml:space="preserve"> must be performed for a duration and </w:t>
            </w:r>
            <w:r>
              <w:rPr>
                <w:color w:val="000000"/>
                <w:szCs w:val="20"/>
              </w:rPr>
              <w:t xml:space="preserve">at a </w:t>
            </w:r>
            <w:r w:rsidRPr="0030215C">
              <w:rPr>
                <w:color w:val="000000"/>
                <w:szCs w:val="20"/>
              </w:rPr>
              <w:t>frequency to enable reliable estimates.</w:t>
            </w:r>
          </w:p>
          <w:p w14:paraId="6F826777" w14:textId="77777777" w:rsidR="005042FA" w:rsidRDefault="005042FA" w:rsidP="005042FA">
            <w:pPr>
              <w:pStyle w:val="CERbullets"/>
              <w:ind w:left="360" w:hanging="360"/>
              <w:rPr>
                <w:color w:val="000000"/>
                <w:szCs w:val="20"/>
              </w:rPr>
            </w:pPr>
            <w:r w:rsidRPr="0030215C">
              <w:rPr>
                <w:color w:val="000000"/>
                <w:szCs w:val="20"/>
              </w:rPr>
              <w:t>Estimates must be neutral without bias</w:t>
            </w:r>
          </w:p>
          <w:p w14:paraId="78C8454D" w14:textId="502711E0" w:rsidR="005042FA" w:rsidRPr="007D373D" w:rsidRDefault="005042FA" w:rsidP="007D373D">
            <w:pPr>
              <w:pStyle w:val="CERbullets"/>
              <w:numPr>
                <w:ilvl w:val="1"/>
                <w:numId w:val="1"/>
              </w:numPr>
            </w:pPr>
            <w:r w:rsidRPr="007D373D">
              <w:t>understating emissions when compared to the likely true value is not allowed</w:t>
            </w:r>
          </w:p>
          <w:p w14:paraId="36178B97" w14:textId="77777777" w:rsidR="005042FA" w:rsidRPr="007D373D" w:rsidRDefault="005042FA" w:rsidP="007D373D">
            <w:pPr>
              <w:pStyle w:val="CERbullets"/>
              <w:numPr>
                <w:ilvl w:val="1"/>
                <w:numId w:val="1"/>
              </w:numPr>
            </w:pPr>
            <w:r w:rsidRPr="007D373D">
              <w:t>overstating emissions when compared to the likely true value, for example, use of a ‘conservative’ value to compensate for uncertainty in the estimation method is not allowed.</w:t>
            </w:r>
          </w:p>
          <w:p w14:paraId="4052F9FF" w14:textId="77777777" w:rsidR="005042FA" w:rsidRPr="0030215C" w:rsidRDefault="005042FA" w:rsidP="005042FA">
            <w:pPr>
              <w:pStyle w:val="CERbullets"/>
              <w:ind w:left="360" w:hanging="360"/>
              <w:rPr>
                <w:color w:val="000000"/>
                <w:szCs w:val="20"/>
              </w:rPr>
            </w:pPr>
            <w:r w:rsidRPr="0030215C">
              <w:rPr>
                <w:szCs w:val="20"/>
                <w:lang w:val="en-GB"/>
              </w:rPr>
              <w:t>Reporters</w:t>
            </w:r>
            <w:r>
              <w:rPr>
                <w:szCs w:val="20"/>
                <w:lang w:val="en-GB"/>
              </w:rPr>
              <w:t xml:space="preserve"> must apply reasonable effort and resources to minimise uncertainty associated with emissions and energy estimates</w:t>
            </w:r>
            <w:r w:rsidRPr="0030215C">
              <w:rPr>
                <w:szCs w:val="20"/>
                <w:lang w:val="en-GB"/>
              </w:rPr>
              <w:t>.</w:t>
            </w:r>
          </w:p>
        </w:tc>
      </w:tr>
      <w:tr w:rsidR="005042FA" w:rsidRPr="0030215C" w14:paraId="5C9B0B3F" w14:textId="77777777" w:rsidTr="007D373D">
        <w:trPr>
          <w:cnfStyle w:val="000000010000" w:firstRow="0" w:lastRow="0" w:firstColumn="0" w:lastColumn="0" w:oddVBand="0" w:evenVBand="0" w:oddHBand="0" w:evenHBand="1" w:firstRowFirstColumn="0" w:firstRowLastColumn="0" w:lastRowFirstColumn="0" w:lastRowLastColumn="0"/>
        </w:trPr>
        <w:tc>
          <w:tcPr>
            <w:tcW w:w="1757" w:type="pct"/>
            <w:shd w:val="clear" w:color="auto" w:fill="F2F2F2" w:themeFill="background1" w:themeFillShade="F2"/>
            <w:hideMark/>
          </w:tcPr>
          <w:p w14:paraId="183AAB32" w14:textId="77777777" w:rsidR="005042FA" w:rsidRPr="0030215C" w:rsidRDefault="005042FA">
            <w:pPr>
              <w:spacing w:after="120"/>
              <w:rPr>
                <w:b/>
                <w:bCs/>
                <w:color w:val="000000"/>
                <w:szCs w:val="20"/>
                <w:lang w:eastAsia="en-AU"/>
              </w:rPr>
            </w:pPr>
            <w:r w:rsidRPr="0030215C">
              <w:rPr>
                <w:b/>
                <w:bCs/>
                <w:color w:val="000000"/>
                <w:szCs w:val="20"/>
                <w:lang w:eastAsia="en-AU"/>
              </w:rPr>
              <w:t>Completeness</w:t>
            </w:r>
          </w:p>
          <w:p w14:paraId="1DC66CE4" w14:textId="77777777" w:rsidR="005042FA" w:rsidRPr="0030215C" w:rsidRDefault="005042FA">
            <w:pPr>
              <w:rPr>
                <w:color w:val="000000"/>
                <w:szCs w:val="20"/>
                <w:lang w:eastAsia="en-AU"/>
              </w:rPr>
            </w:pPr>
            <w:r w:rsidRPr="0030215C">
              <w:rPr>
                <w:szCs w:val="20"/>
              </w:rPr>
              <w:t>Subject to any applicable reporting thresholds, all emission sources identified in section 1.10 of the NGER Measurement Determination, and production and consumption of all fuels and energy commodities listed in Schedule 1 of the NGER Regulations, must be accounted for</w:t>
            </w:r>
          </w:p>
        </w:tc>
        <w:tc>
          <w:tcPr>
            <w:tcW w:w="3243" w:type="pct"/>
            <w:hideMark/>
          </w:tcPr>
          <w:p w14:paraId="604C247E" w14:textId="77777777" w:rsidR="005042FA" w:rsidRPr="0030215C" w:rsidRDefault="005042FA" w:rsidP="005042FA">
            <w:pPr>
              <w:pStyle w:val="CERbullets"/>
              <w:keepNext/>
              <w:ind w:left="360" w:hanging="360"/>
              <w:rPr>
                <w:color w:val="000000"/>
                <w:szCs w:val="20"/>
                <w:lang w:eastAsia="en-AU"/>
              </w:rPr>
            </w:pPr>
            <w:r w:rsidRPr="0030215C">
              <w:rPr>
                <w:color w:val="000000"/>
                <w:szCs w:val="20"/>
              </w:rPr>
              <w:t xml:space="preserve">All typical </w:t>
            </w:r>
            <w:r>
              <w:rPr>
                <w:color w:val="000000"/>
                <w:szCs w:val="20"/>
              </w:rPr>
              <w:t xml:space="preserve">emission </w:t>
            </w:r>
            <w:r w:rsidRPr="0030215C">
              <w:rPr>
                <w:color w:val="000000"/>
                <w:szCs w:val="20"/>
              </w:rPr>
              <w:t xml:space="preserve">source types for wastewater handling </w:t>
            </w:r>
            <w:r>
              <w:rPr>
                <w:color w:val="000000"/>
                <w:szCs w:val="20"/>
              </w:rPr>
              <w:t xml:space="preserve">are </w:t>
            </w:r>
            <w:r w:rsidRPr="0030215C">
              <w:rPr>
                <w:color w:val="000000"/>
                <w:szCs w:val="20"/>
              </w:rPr>
              <w:t>identified in the NGER</w:t>
            </w:r>
            <w:r>
              <w:rPr>
                <w:color w:val="000000"/>
                <w:szCs w:val="20"/>
              </w:rPr>
              <w:t xml:space="preserve"> Measurement</w:t>
            </w:r>
            <w:r w:rsidRPr="0030215C">
              <w:rPr>
                <w:color w:val="000000"/>
                <w:szCs w:val="20"/>
              </w:rPr>
              <w:t xml:space="preserve"> Determination.</w:t>
            </w:r>
          </w:p>
          <w:p w14:paraId="6420E26B" w14:textId="0EE1D32B" w:rsidR="005042FA" w:rsidRPr="0030215C" w:rsidRDefault="005042FA" w:rsidP="005042FA">
            <w:pPr>
              <w:pStyle w:val="CERbullets"/>
              <w:keepNext/>
              <w:ind w:left="360" w:hanging="360"/>
              <w:rPr>
                <w:color w:val="000000"/>
                <w:szCs w:val="20"/>
              </w:rPr>
            </w:pPr>
            <w:r w:rsidRPr="0030215C">
              <w:rPr>
                <w:color w:val="000000"/>
                <w:szCs w:val="20"/>
              </w:rPr>
              <w:t xml:space="preserve">A key issue is identifying the reporting boundary and documenting all emissions and energy sources that the </w:t>
            </w:r>
            <w:r w:rsidRPr="0030215C">
              <w:rPr>
                <w:szCs w:val="20"/>
              </w:rPr>
              <w:t>registered corporation or liable entity must report, and those that must be</w:t>
            </w:r>
            <w:r>
              <w:rPr>
                <w:szCs w:val="20"/>
              </w:rPr>
              <w:t xml:space="preserve"> separately</w:t>
            </w:r>
            <w:r w:rsidRPr="0030215C">
              <w:rPr>
                <w:szCs w:val="20"/>
              </w:rPr>
              <w:t xml:space="preserve"> reported by contractors</w:t>
            </w:r>
            <w:r w:rsidRPr="0030215C">
              <w:rPr>
                <w:color w:val="000000"/>
                <w:szCs w:val="20"/>
              </w:rPr>
              <w:t>.</w:t>
            </w:r>
            <w:r>
              <w:rPr>
                <w:color w:val="000000"/>
                <w:szCs w:val="20"/>
              </w:rPr>
              <w:t xml:space="preserve"> S</w:t>
            </w:r>
            <w:r>
              <w:t xml:space="preserve">ee guidelines on </w:t>
            </w:r>
            <w:hyperlink r:id="rId30" w:tooltip="A link to the Defining a NGER facility guide on the Clean Energy Regulator website" w:history="1">
              <w:r w:rsidRPr="004D2FB9">
                <w:rPr>
                  <w:rStyle w:val="Hyperlink"/>
                  <w:rFonts w:asciiTheme="minorHAnsi" w:hAnsiTheme="minorHAnsi"/>
                </w:rPr>
                <w:t>Defining a facility</w:t>
              </w:r>
            </w:hyperlink>
            <w:r>
              <w:rPr>
                <w:rStyle w:val="FootnoteReference"/>
              </w:rPr>
              <w:footnoteReference w:id="10"/>
            </w:r>
            <w:r>
              <w:t xml:space="preserve"> and </w:t>
            </w:r>
            <w:hyperlink r:id="rId31" w:tooltip="A link to the Operational control guide on the Clean Energy Regulator website" w:history="1">
              <w:r w:rsidRPr="004D2FB9">
                <w:rPr>
                  <w:rStyle w:val="Hyperlink"/>
                  <w:rFonts w:asciiTheme="minorHAnsi" w:hAnsiTheme="minorHAnsi"/>
                </w:rPr>
                <w:t>Operation control</w:t>
              </w:r>
            </w:hyperlink>
            <w:r>
              <w:rPr>
                <w:rStyle w:val="FootnoteReference"/>
              </w:rPr>
              <w:footnoteReference w:id="11"/>
            </w:r>
            <w:r>
              <w:t xml:space="preserve"> for more information.</w:t>
            </w:r>
          </w:p>
        </w:tc>
      </w:tr>
    </w:tbl>
    <w:p w14:paraId="430B4AB3" w14:textId="6FD05B4B" w:rsidR="005042FA" w:rsidRPr="0030215C" w:rsidRDefault="005042FA" w:rsidP="005042FA">
      <w:pPr>
        <w:spacing w:before="240"/>
      </w:pPr>
      <w:r w:rsidRPr="0030215C">
        <w:t>An executive officer must</w:t>
      </w:r>
      <w:r>
        <w:t xml:space="preserve"> approve</w:t>
      </w:r>
      <w:r w:rsidRPr="0030215C">
        <w:t xml:space="preserve"> the report</w:t>
      </w:r>
      <w:r>
        <w:t>’s</w:t>
      </w:r>
      <w:r w:rsidRPr="0030215C">
        <w:t xml:space="preserve"> submi</w:t>
      </w:r>
      <w:r>
        <w:t>ssion</w:t>
      </w:r>
      <w:r w:rsidRPr="0030215C">
        <w:t xml:space="preserve"> to </w:t>
      </w:r>
      <w:r w:rsidR="09342805">
        <w:t>CER</w:t>
      </w:r>
      <w:r w:rsidRPr="0030215C">
        <w:t xml:space="preserve">, confirming that </w:t>
      </w:r>
      <w:r>
        <w:t>it</w:t>
      </w:r>
      <w:r w:rsidRPr="0030215C">
        <w:t xml:space="preserve"> has been prepared in accordance with the</w:t>
      </w:r>
      <w:r>
        <w:t xml:space="preserve"> NGER</w:t>
      </w:r>
      <w:r w:rsidRPr="0030215C">
        <w:t xml:space="preserve"> legislation, including that the general principles have been appropriately applied. </w:t>
      </w:r>
    </w:p>
    <w:p w14:paraId="233D9490" w14:textId="77777777" w:rsidR="005042FA" w:rsidRPr="0030215C" w:rsidRDefault="005042FA" w:rsidP="005042FA">
      <w:r w:rsidRPr="0030215C">
        <w:t>It is up to the</w:t>
      </w:r>
      <w:r>
        <w:t xml:space="preserve"> reporting </w:t>
      </w:r>
      <w:r w:rsidRPr="0030215C">
        <w:t>entity to prepare the NGER report and to determine what reporting processes and controls are deemed appropriate to achieve transparency, comparability, completeness and accuracy. However, formalised and repeatable processes are expected. A few observations for wastewater NGER reporting are worth mentioning in this regard:</w:t>
      </w:r>
    </w:p>
    <w:p w14:paraId="0C79227F" w14:textId="77777777" w:rsidR="005042FA" w:rsidRPr="009F1076" w:rsidRDefault="005042FA" w:rsidP="005042FA">
      <w:pPr>
        <w:pStyle w:val="CERbullets"/>
        <w:ind w:left="360" w:hanging="360"/>
      </w:pPr>
      <w:r w:rsidRPr="001B028E">
        <w:t>Individuals responsible for NGER report compilation do not necessarily control the data</w:t>
      </w:r>
      <w:r w:rsidRPr="00637460">
        <w:t xml:space="preserve"> – for</w:t>
      </w:r>
      <w:r w:rsidRPr="009F1076">
        <w:t xml:space="preserve"> wastewater facilities, NGER reporting responsibility may be delegated to a person with little control over the data required to prepare the report. Whilst this may be appropriate for report compilation purposes, it may be difficult for a person physically removed from wastewater operations to confirm whether data is complete and accurate.</w:t>
      </w:r>
    </w:p>
    <w:p w14:paraId="1E2D0EDF" w14:textId="77777777" w:rsidR="005042FA" w:rsidRPr="0030215C" w:rsidRDefault="005042FA" w:rsidP="005042FA">
      <w:pPr>
        <w:pStyle w:val="CERbullets"/>
        <w:ind w:left="360" w:hanging="360"/>
      </w:pPr>
      <w:r w:rsidRPr="001B028E">
        <w:t>Formalising reliance on data processes</w:t>
      </w:r>
      <w:r w:rsidRPr="00637460">
        <w:t xml:space="preserve"> – existing measurement </w:t>
      </w:r>
      <w:r w:rsidRPr="009F1076">
        <w:t>processes controlled by parties external to the liable entity may be suitable to rely upon</w:t>
      </w:r>
      <w:r w:rsidRPr="0030215C">
        <w:t xml:space="preserve"> for NGER reporting. For example, data on wastewater </w:t>
      </w:r>
      <w:r w:rsidRPr="0030215C">
        <w:lastRenderedPageBreak/>
        <w:t xml:space="preserve">biogas quantities combusted and flared, and methane content, may be derived from another party such as the wastewater biogas manager. </w:t>
      </w:r>
    </w:p>
    <w:p w14:paraId="32046527" w14:textId="0E5F66D3" w:rsidR="00CB1EDF" w:rsidRDefault="005042FA" w:rsidP="00CB196F">
      <w:pPr>
        <w:spacing w:after="0"/>
        <w:rPr>
          <w:rFonts w:ascii="Calibri" w:eastAsia="Times New Roman" w:hAnsi="Calibri" w:cs="Calibri"/>
          <w:kern w:val="32"/>
          <w:sz w:val="40"/>
        </w:rPr>
      </w:pPr>
      <w:r w:rsidRPr="0030215C">
        <w:t xml:space="preserve">It is good practice to appoint individual ‘data owners’ who conduct checking and validation of specific data used for NGER reporting who are formally accountable for ensuring the specific data is complete and accurate. Executive officers </w:t>
      </w:r>
      <w:r>
        <w:t xml:space="preserve">often </w:t>
      </w:r>
      <w:r w:rsidRPr="0030215C">
        <w:t>rely on the work of others when they provide confirmation that the general principles have been appropriately applied, hence it is prudent to have data owners sign-off on the completeness and accuracy of the annual data for which they are accountable. Where possible, it can also</w:t>
      </w:r>
      <w:r>
        <w:t xml:space="preserve"> </w:t>
      </w:r>
      <w:r w:rsidRPr="0030215C">
        <w:t xml:space="preserve">include ‘sense-checks’ on total amounts to be reported in the NGER report to </w:t>
      </w:r>
      <w:r>
        <w:t xml:space="preserve">underlying systems </w:t>
      </w:r>
      <w:r w:rsidR="00D124D2">
        <w:t>-</w:t>
      </w:r>
      <w:r>
        <w:t>for example the tonnages or kilolitres of wastewater entering and leaving a facility compared to previous years.</w:t>
      </w:r>
      <w:bookmarkStart w:id="20" w:name="_Ref510519012"/>
      <w:bookmarkStart w:id="21" w:name="_Ref510527396"/>
      <w:bookmarkStart w:id="22" w:name="_Toc43871039"/>
      <w:bookmarkStart w:id="23" w:name="_Toc76041537"/>
    </w:p>
    <w:p w14:paraId="3C9133FC" w14:textId="001EA09D" w:rsidR="005042FA" w:rsidRPr="0030215C" w:rsidRDefault="005042FA" w:rsidP="00F73528">
      <w:pPr>
        <w:pStyle w:val="Heading1"/>
        <w:numPr>
          <w:ilvl w:val="0"/>
          <w:numId w:val="3"/>
        </w:numPr>
      </w:pPr>
      <w:bookmarkStart w:id="24" w:name="_Toc235611538"/>
      <w:r w:rsidRPr="0030215C">
        <w:t>Estimating emissions</w:t>
      </w:r>
      <w:bookmarkEnd w:id="20"/>
      <w:bookmarkEnd w:id="21"/>
      <w:r w:rsidRPr="0030215C">
        <w:t xml:space="preserve"> from wastewater handling (domestic and commercial)</w:t>
      </w:r>
      <w:bookmarkEnd w:id="22"/>
      <w:bookmarkEnd w:id="23"/>
      <w:bookmarkEnd w:id="24"/>
    </w:p>
    <w:p w14:paraId="29841D6B" w14:textId="77777777" w:rsidR="005042FA" w:rsidRPr="0030215C" w:rsidRDefault="005042FA" w:rsidP="0081682F">
      <w:pPr>
        <w:pStyle w:val="Heading2"/>
        <w:numPr>
          <w:ilvl w:val="1"/>
          <w:numId w:val="3"/>
        </w:numPr>
      </w:pPr>
      <w:bookmarkStart w:id="25" w:name="_Ref510527401"/>
      <w:bookmarkStart w:id="26" w:name="_Toc43871040"/>
      <w:bookmarkStart w:id="27" w:name="_Toc76041538"/>
      <w:bookmarkStart w:id="28" w:name="_Toc235611539"/>
      <w:r w:rsidRPr="0030215C">
        <w:t>Sources of emissions</w:t>
      </w:r>
      <w:bookmarkEnd w:id="25"/>
      <w:bookmarkEnd w:id="26"/>
      <w:bookmarkEnd w:id="27"/>
      <w:bookmarkEnd w:id="28"/>
    </w:p>
    <w:p w14:paraId="4C6967AA" w14:textId="77777777" w:rsidR="005042FA" w:rsidRPr="002C7A62" w:rsidRDefault="005042FA" w:rsidP="0072212A">
      <w:pPr>
        <w:widowControl w:val="0"/>
        <w:spacing w:before="240"/>
        <w:ind w:right="537"/>
        <w:rPr>
          <w:rFonts w:eastAsia="Arial"/>
          <w:color w:val="auto"/>
          <w:szCs w:val="22"/>
          <w:lang w:val="en-GB"/>
        </w:rPr>
      </w:pPr>
      <w:r w:rsidRPr="002C7A62">
        <w:rPr>
          <w:rFonts w:eastAsia="Arial"/>
          <w:color w:val="auto"/>
          <w:szCs w:val="22"/>
          <w:lang w:val="en-GB"/>
        </w:rPr>
        <w:t xml:space="preserve">Domestic or commercial wastewater refers to liquid wastes and sludge (including </w:t>
      </w:r>
      <w:r>
        <w:rPr>
          <w:rFonts w:eastAsia="Arial"/>
          <w:color w:val="auto"/>
          <w:szCs w:val="22"/>
          <w:lang w:val="en-GB"/>
        </w:rPr>
        <w:t xml:space="preserve">but not limited to </w:t>
      </w:r>
      <w:r w:rsidRPr="002C7A62">
        <w:rPr>
          <w:rFonts w:eastAsia="Arial"/>
          <w:color w:val="auto"/>
          <w:szCs w:val="22"/>
          <w:lang w:val="en-GB"/>
        </w:rPr>
        <w:t xml:space="preserve">human waste) from housing or commercial premises. </w:t>
      </w:r>
      <w:r>
        <w:rPr>
          <w:rFonts w:eastAsia="Arial"/>
          <w:color w:val="auto"/>
          <w:szCs w:val="22"/>
          <w:lang w:val="en-GB"/>
        </w:rPr>
        <w:t xml:space="preserve">Handling of domestic and </w:t>
      </w:r>
      <w:r w:rsidRPr="002C7A62">
        <w:rPr>
          <w:rFonts w:eastAsia="Arial"/>
          <w:color w:val="auto"/>
          <w:szCs w:val="22"/>
          <w:lang w:val="en-GB"/>
        </w:rPr>
        <w:t>commercial wastewater generates emissions through treatment in wastewater collection an</w:t>
      </w:r>
      <w:r>
        <w:rPr>
          <w:rFonts w:eastAsia="Arial"/>
          <w:color w:val="auto"/>
          <w:szCs w:val="22"/>
          <w:lang w:val="en-GB"/>
        </w:rPr>
        <w:t>d</w:t>
      </w:r>
      <w:r w:rsidRPr="002C7A62">
        <w:rPr>
          <w:rFonts w:eastAsia="Arial"/>
          <w:color w:val="auto"/>
          <w:szCs w:val="22"/>
          <w:lang w:val="en-GB"/>
        </w:rPr>
        <w:t xml:space="preserve"> treatment systems, or discharge into surface waters.</w:t>
      </w:r>
      <w:r>
        <w:rPr>
          <w:rFonts w:eastAsia="Arial"/>
          <w:color w:val="auto"/>
          <w:szCs w:val="22"/>
          <w:lang w:val="en-GB"/>
        </w:rPr>
        <w:t xml:space="preserve"> More specifically, the emissions are generated </w:t>
      </w:r>
      <w:r w:rsidRPr="002C7A62">
        <w:rPr>
          <w:rFonts w:eastAsia="Arial"/>
          <w:color w:val="auto"/>
          <w:szCs w:val="22"/>
          <w:lang w:val="en-GB"/>
        </w:rPr>
        <w:t>from:</w:t>
      </w:r>
    </w:p>
    <w:p w14:paraId="02BABDC7" w14:textId="77777777" w:rsidR="005042FA" w:rsidRDefault="005042FA" w:rsidP="005042FA">
      <w:pPr>
        <w:pStyle w:val="CERbullets"/>
        <w:ind w:left="360" w:hanging="360"/>
        <w:rPr>
          <w:lang w:val="en-GB"/>
        </w:rPr>
      </w:pPr>
      <w:r>
        <w:rPr>
          <w:lang w:val="en-GB"/>
        </w:rPr>
        <w:t>decomposition</w:t>
      </w:r>
      <w:r w:rsidRPr="002C7A62">
        <w:rPr>
          <w:lang w:val="en-GB"/>
        </w:rPr>
        <w:t xml:space="preserve"> of organic material</w:t>
      </w:r>
    </w:p>
    <w:p w14:paraId="510F26AD" w14:textId="77777777" w:rsidR="005042FA" w:rsidRDefault="005042FA" w:rsidP="005042FA">
      <w:pPr>
        <w:pStyle w:val="CERbullets"/>
        <w:ind w:left="360" w:hanging="360"/>
        <w:rPr>
          <w:lang w:val="en-GB"/>
        </w:rPr>
      </w:pPr>
      <w:r w:rsidRPr="004D2FB9">
        <w:rPr>
          <w:lang w:val="en-GB"/>
        </w:rPr>
        <w:t>nitrification and denitrification processes</w:t>
      </w:r>
    </w:p>
    <w:p w14:paraId="4D4B9B35" w14:textId="77777777" w:rsidR="005042FA" w:rsidRPr="00FE413B" w:rsidRDefault="005042FA" w:rsidP="005042FA">
      <w:pPr>
        <w:pStyle w:val="CERbullets"/>
        <w:ind w:left="360" w:hanging="360"/>
        <w:rPr>
          <w:lang w:val="en-GB"/>
        </w:rPr>
      </w:pPr>
      <w:r w:rsidRPr="004D2FB9">
        <w:rPr>
          <w:lang w:val="en-GB"/>
        </w:rPr>
        <w:t xml:space="preserve">flaring of sludge </w:t>
      </w:r>
      <w:r w:rsidRPr="000F7E30">
        <w:t>biogas</w:t>
      </w:r>
      <w:r w:rsidRPr="004D2FB9">
        <w:rPr>
          <w:lang w:val="en-GB"/>
        </w:rPr>
        <w:t>.</w:t>
      </w:r>
    </w:p>
    <w:p w14:paraId="688E215C" w14:textId="77777777" w:rsidR="005042FA" w:rsidRPr="00FE22DC" w:rsidRDefault="005042FA" w:rsidP="005042FA">
      <w:pPr>
        <w:ind w:right="537"/>
        <w:rPr>
          <w:rFonts w:eastAsia="Arial"/>
          <w:szCs w:val="22"/>
        </w:rPr>
      </w:pPr>
      <w:r w:rsidRPr="00FE22DC">
        <w:rPr>
          <w:rFonts w:eastAsia="Arial"/>
          <w:szCs w:val="22"/>
        </w:rPr>
        <w:t xml:space="preserve">A summary of the available methods used to calculate emissions generated by </w:t>
      </w:r>
      <w:r>
        <w:rPr>
          <w:rFonts w:eastAsia="Arial"/>
          <w:szCs w:val="22"/>
        </w:rPr>
        <w:t>wastewater</w:t>
      </w:r>
      <w:r w:rsidRPr="00FE22DC">
        <w:rPr>
          <w:rFonts w:eastAsia="Arial"/>
          <w:szCs w:val="22"/>
        </w:rPr>
        <w:t xml:space="preserve"> handling (domestic and commercial) from the NGER </w:t>
      </w:r>
      <w:r>
        <w:rPr>
          <w:rFonts w:eastAsia="Arial"/>
          <w:szCs w:val="22"/>
        </w:rPr>
        <w:t xml:space="preserve">Measurement </w:t>
      </w:r>
      <w:r w:rsidRPr="00FE22DC">
        <w:rPr>
          <w:rFonts w:eastAsia="Arial"/>
          <w:szCs w:val="22"/>
        </w:rPr>
        <w:t>Determination is provided below.</w:t>
      </w:r>
    </w:p>
    <w:p w14:paraId="5DF2D45A" w14:textId="38708654" w:rsidR="00790430" w:rsidRDefault="005042FA" w:rsidP="004D4668">
      <w:pPr>
        <w:pStyle w:val="Caption"/>
      </w:pPr>
      <w:r>
        <w:t xml:space="preserve">Table </w:t>
      </w:r>
      <w:fldSimple w:instr=" SEQ Table \* ARABIC ">
        <w:r w:rsidR="00AB56A9">
          <w:rPr>
            <w:noProof/>
          </w:rPr>
          <w:t>2</w:t>
        </w:r>
      </w:fldSimple>
      <w:r w:rsidR="00790430">
        <w:rPr>
          <w:noProof/>
        </w:rPr>
        <w:t>.</w:t>
      </w:r>
      <w:r w:rsidRPr="00C63DC3">
        <w:t xml:space="preserve"> </w:t>
      </w:r>
      <w:r w:rsidRPr="000F7E30">
        <w:t xml:space="preserve">Summary of available methods by </w:t>
      </w:r>
      <w:r w:rsidRPr="004D4668">
        <w:t>emissions</w:t>
      </w:r>
      <w:r w:rsidRPr="000F7E30">
        <w:t xml:space="preserve"> of gas type</w:t>
      </w:r>
      <w:r w:rsidR="00790430">
        <w:t xml:space="preserve"> - </w:t>
      </w:r>
      <w:r w:rsidR="003706F8">
        <w:t>e</w:t>
      </w:r>
      <w:r w:rsidR="00790430" w:rsidRPr="000F7E30">
        <w:t>missions from wastewater handling (domestic and commercial)</w:t>
      </w:r>
      <w:r w:rsidR="002E7F11">
        <w:t>.</w:t>
      </w:r>
    </w:p>
    <w:tbl>
      <w:tblPr>
        <w:tblStyle w:val="CERTable"/>
        <w:tblW w:w="0" w:type="auto"/>
        <w:tblLook w:val="01E0" w:firstRow="1" w:lastRow="1" w:firstColumn="1" w:lastColumn="1" w:noHBand="0" w:noVBand="0"/>
      </w:tblPr>
      <w:tblGrid>
        <w:gridCol w:w="2373"/>
        <w:gridCol w:w="2373"/>
        <w:gridCol w:w="2373"/>
        <w:gridCol w:w="2374"/>
      </w:tblGrid>
      <w:tr w:rsidR="00790430" w:rsidRPr="0030215C" w14:paraId="71120BC0" w14:textId="77777777" w:rsidTr="003706F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73" w:type="dxa"/>
          </w:tcPr>
          <w:p w14:paraId="4841C352" w14:textId="77777777" w:rsidR="00790430" w:rsidRPr="004D4668" w:rsidRDefault="00790430">
            <w:pPr>
              <w:pStyle w:val="Note"/>
              <w:spacing w:line="276" w:lineRule="auto"/>
              <w:ind w:left="0"/>
              <w:rPr>
                <w:rFonts w:asciiTheme="minorHAnsi" w:hAnsiTheme="minorHAnsi" w:cstheme="minorHAnsi"/>
                <w:b w:val="0"/>
                <w:color w:val="000000"/>
                <w:sz w:val="22"/>
                <w:szCs w:val="28"/>
              </w:rPr>
            </w:pPr>
          </w:p>
        </w:tc>
        <w:tc>
          <w:tcPr>
            <w:tcW w:w="2373" w:type="dxa"/>
          </w:tcPr>
          <w:p w14:paraId="1DEF0199" w14:textId="77777777" w:rsidR="00790430" w:rsidRPr="004D4668" w:rsidRDefault="00790430">
            <w:pPr>
              <w:pStyle w:val="Note"/>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000000"/>
                <w:sz w:val="22"/>
                <w:szCs w:val="28"/>
              </w:rPr>
            </w:pPr>
            <w:r w:rsidRPr="004D4668">
              <w:rPr>
                <w:rFonts w:asciiTheme="minorHAnsi" w:hAnsiTheme="minorHAnsi" w:cstheme="minorHAnsi"/>
                <w:color w:val="000000"/>
                <w:sz w:val="22"/>
                <w:szCs w:val="28"/>
              </w:rPr>
              <w:t>CO</w:t>
            </w:r>
            <w:r w:rsidRPr="004D4668">
              <w:rPr>
                <w:rFonts w:asciiTheme="minorHAnsi" w:hAnsiTheme="minorHAnsi" w:cstheme="minorHAnsi"/>
                <w:color w:val="000000"/>
                <w:sz w:val="22"/>
                <w:szCs w:val="28"/>
                <w:vertAlign w:val="subscript"/>
              </w:rPr>
              <w:t>2</w:t>
            </w:r>
          </w:p>
        </w:tc>
        <w:tc>
          <w:tcPr>
            <w:tcW w:w="2373" w:type="dxa"/>
          </w:tcPr>
          <w:p w14:paraId="751D1821" w14:textId="77777777" w:rsidR="00790430" w:rsidRPr="004D4668" w:rsidRDefault="00790430">
            <w:pPr>
              <w:pStyle w:val="Note"/>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000000"/>
                <w:sz w:val="22"/>
                <w:szCs w:val="28"/>
              </w:rPr>
            </w:pPr>
            <w:r w:rsidRPr="004D4668">
              <w:rPr>
                <w:rFonts w:asciiTheme="minorHAnsi" w:hAnsiTheme="minorHAnsi" w:cstheme="minorHAnsi"/>
                <w:color w:val="000000"/>
                <w:sz w:val="22"/>
                <w:szCs w:val="28"/>
              </w:rPr>
              <w:t>CH</w:t>
            </w:r>
            <w:r w:rsidRPr="004D4668">
              <w:rPr>
                <w:rFonts w:asciiTheme="minorHAnsi" w:hAnsiTheme="minorHAnsi" w:cstheme="minorHAnsi"/>
                <w:color w:val="000000"/>
                <w:sz w:val="22"/>
                <w:szCs w:val="28"/>
                <w:vertAlign w:val="subscript"/>
              </w:rPr>
              <w:t>4</w:t>
            </w:r>
          </w:p>
        </w:tc>
        <w:tc>
          <w:tcPr>
            <w:tcW w:w="2374" w:type="dxa"/>
          </w:tcPr>
          <w:p w14:paraId="7833AA1D" w14:textId="77777777" w:rsidR="00790430" w:rsidRPr="004D4668" w:rsidRDefault="00790430">
            <w:pPr>
              <w:pStyle w:val="Note"/>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000000"/>
                <w:sz w:val="22"/>
                <w:szCs w:val="28"/>
              </w:rPr>
            </w:pPr>
            <w:r w:rsidRPr="004D4668">
              <w:rPr>
                <w:rFonts w:asciiTheme="minorHAnsi" w:hAnsiTheme="minorHAnsi" w:cstheme="minorHAnsi"/>
                <w:color w:val="000000"/>
                <w:sz w:val="22"/>
                <w:szCs w:val="28"/>
              </w:rPr>
              <w:t>N</w:t>
            </w:r>
            <w:r w:rsidRPr="004D4668">
              <w:rPr>
                <w:rFonts w:asciiTheme="minorHAnsi" w:hAnsiTheme="minorHAnsi" w:cstheme="minorHAnsi"/>
                <w:color w:val="000000"/>
                <w:sz w:val="22"/>
                <w:szCs w:val="28"/>
                <w:vertAlign w:val="subscript"/>
              </w:rPr>
              <w:t>2</w:t>
            </w:r>
            <w:r w:rsidRPr="004D4668">
              <w:rPr>
                <w:rFonts w:asciiTheme="minorHAnsi" w:hAnsiTheme="minorHAnsi" w:cstheme="minorHAnsi"/>
                <w:color w:val="000000"/>
                <w:sz w:val="22"/>
                <w:szCs w:val="28"/>
              </w:rPr>
              <w:t>O</w:t>
            </w:r>
          </w:p>
        </w:tc>
      </w:tr>
      <w:tr w:rsidR="00790430" w:rsidRPr="0030215C" w14:paraId="6E4A869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dxa"/>
          </w:tcPr>
          <w:p w14:paraId="70DD0A7F" w14:textId="77777777" w:rsidR="00790430" w:rsidRPr="004D4668" w:rsidRDefault="00790430">
            <w:pPr>
              <w:pStyle w:val="Note"/>
              <w:spacing w:line="276" w:lineRule="auto"/>
              <w:ind w:left="0"/>
              <w:rPr>
                <w:rFonts w:asciiTheme="minorHAnsi" w:hAnsiTheme="minorHAnsi" w:cstheme="minorHAnsi"/>
                <w:color w:val="000000"/>
                <w:sz w:val="22"/>
                <w:szCs w:val="28"/>
              </w:rPr>
            </w:pPr>
            <w:r w:rsidRPr="004D4668">
              <w:rPr>
                <w:rFonts w:asciiTheme="minorHAnsi" w:hAnsiTheme="minorHAnsi" w:cstheme="minorHAnsi"/>
                <w:color w:val="000000"/>
                <w:sz w:val="22"/>
                <w:szCs w:val="28"/>
              </w:rPr>
              <w:t>Method 1</w:t>
            </w:r>
          </w:p>
        </w:tc>
        <w:tc>
          <w:tcPr>
            <w:tcW w:w="2373" w:type="dxa"/>
          </w:tcPr>
          <w:p w14:paraId="6AE8A671" w14:textId="77777777" w:rsidR="00790430" w:rsidRPr="004D4668" w:rsidRDefault="00790430">
            <w:pPr>
              <w:pStyle w:val="Note"/>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8"/>
              </w:rPr>
            </w:pPr>
            <w:r w:rsidRPr="004D4668">
              <w:rPr>
                <w:rFonts w:asciiTheme="minorHAnsi" w:hAnsiTheme="minorHAnsi" w:cstheme="minorHAnsi"/>
                <w:color w:val="000000"/>
                <w:sz w:val="22"/>
                <w:szCs w:val="28"/>
              </w:rPr>
              <w:t>NA</w:t>
            </w:r>
          </w:p>
        </w:tc>
        <w:tc>
          <w:tcPr>
            <w:tcW w:w="2373" w:type="dxa"/>
          </w:tcPr>
          <w:p w14:paraId="7A462413" w14:textId="77777777" w:rsidR="00790430" w:rsidRPr="004D4668" w:rsidRDefault="00790430">
            <w:pPr>
              <w:pStyle w:val="Note"/>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8"/>
              </w:rPr>
            </w:pPr>
            <w:r w:rsidRPr="004D4668">
              <w:rPr>
                <w:rFonts w:asciiTheme="minorHAnsi" w:hAnsiTheme="minorHAnsi" w:cstheme="minorHAnsi"/>
                <w:color w:val="000000"/>
                <w:sz w:val="22"/>
                <w:szCs w:val="28"/>
              </w:rPr>
              <w:t>Section 5.25</w:t>
            </w:r>
          </w:p>
        </w:tc>
        <w:tc>
          <w:tcPr>
            <w:tcW w:w="2374" w:type="dxa"/>
          </w:tcPr>
          <w:p w14:paraId="6FE2E3D0" w14:textId="77777777" w:rsidR="00790430" w:rsidRPr="004D4668" w:rsidRDefault="00790430">
            <w:pPr>
              <w:pStyle w:val="Note"/>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8"/>
              </w:rPr>
            </w:pPr>
            <w:r w:rsidRPr="004D4668">
              <w:rPr>
                <w:rFonts w:asciiTheme="minorHAnsi" w:hAnsiTheme="minorHAnsi" w:cstheme="minorHAnsi"/>
                <w:color w:val="000000"/>
                <w:sz w:val="22"/>
                <w:szCs w:val="28"/>
              </w:rPr>
              <w:t>Section 5.31</w:t>
            </w:r>
          </w:p>
        </w:tc>
      </w:tr>
      <w:tr w:rsidR="00790430" w:rsidRPr="0030215C" w14:paraId="60EF7735"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dxa"/>
          </w:tcPr>
          <w:p w14:paraId="3C1A3B94" w14:textId="77777777" w:rsidR="00790430" w:rsidRPr="004D4668" w:rsidRDefault="00790430">
            <w:pPr>
              <w:pStyle w:val="Note"/>
              <w:spacing w:line="276" w:lineRule="auto"/>
              <w:ind w:left="0"/>
              <w:rPr>
                <w:rFonts w:asciiTheme="minorHAnsi" w:hAnsiTheme="minorHAnsi" w:cstheme="minorHAnsi"/>
                <w:color w:val="000000"/>
                <w:sz w:val="22"/>
                <w:szCs w:val="28"/>
              </w:rPr>
            </w:pPr>
            <w:r w:rsidRPr="004D4668">
              <w:rPr>
                <w:rFonts w:asciiTheme="minorHAnsi" w:hAnsiTheme="minorHAnsi" w:cstheme="minorHAnsi"/>
                <w:color w:val="000000"/>
                <w:sz w:val="22"/>
                <w:szCs w:val="28"/>
              </w:rPr>
              <w:t>Method 2</w:t>
            </w:r>
          </w:p>
        </w:tc>
        <w:tc>
          <w:tcPr>
            <w:tcW w:w="2373" w:type="dxa"/>
          </w:tcPr>
          <w:p w14:paraId="556C65D2" w14:textId="77777777" w:rsidR="00790430" w:rsidRPr="004D4668" w:rsidRDefault="00790430">
            <w:pPr>
              <w:pStyle w:val="Note"/>
              <w:spacing w:line="276" w:lineRule="auto"/>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8"/>
              </w:rPr>
            </w:pPr>
            <w:r w:rsidRPr="004D4668">
              <w:rPr>
                <w:rFonts w:asciiTheme="minorHAnsi" w:hAnsiTheme="minorHAnsi" w:cstheme="minorHAnsi"/>
                <w:color w:val="000000"/>
                <w:sz w:val="22"/>
                <w:szCs w:val="28"/>
              </w:rPr>
              <w:t>NA</w:t>
            </w:r>
          </w:p>
        </w:tc>
        <w:tc>
          <w:tcPr>
            <w:tcW w:w="2373" w:type="dxa"/>
          </w:tcPr>
          <w:p w14:paraId="3A8B06F3" w14:textId="77777777" w:rsidR="00790430" w:rsidRPr="004D4668" w:rsidRDefault="00790430">
            <w:pPr>
              <w:pStyle w:val="Note"/>
              <w:spacing w:line="276" w:lineRule="auto"/>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8"/>
              </w:rPr>
            </w:pPr>
            <w:r w:rsidRPr="004D4668">
              <w:rPr>
                <w:rFonts w:asciiTheme="minorHAnsi" w:hAnsiTheme="minorHAnsi" w:cstheme="minorHAnsi"/>
                <w:color w:val="000000"/>
                <w:sz w:val="22"/>
                <w:szCs w:val="28"/>
              </w:rPr>
              <w:t>Section 5.26</w:t>
            </w:r>
          </w:p>
        </w:tc>
        <w:tc>
          <w:tcPr>
            <w:tcW w:w="2374" w:type="dxa"/>
          </w:tcPr>
          <w:p w14:paraId="02967412" w14:textId="77777777" w:rsidR="00790430" w:rsidRPr="004D4668" w:rsidRDefault="00790430">
            <w:pPr>
              <w:pStyle w:val="Note"/>
              <w:spacing w:line="276" w:lineRule="auto"/>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8"/>
              </w:rPr>
            </w:pPr>
            <w:r w:rsidRPr="004D4668">
              <w:rPr>
                <w:rFonts w:asciiTheme="minorHAnsi" w:hAnsiTheme="minorHAnsi" w:cstheme="minorHAnsi"/>
                <w:color w:val="000000"/>
                <w:sz w:val="22"/>
                <w:szCs w:val="28"/>
              </w:rPr>
              <w:t>Section 5.32</w:t>
            </w:r>
          </w:p>
        </w:tc>
      </w:tr>
      <w:tr w:rsidR="00790430" w:rsidRPr="0030215C" w14:paraId="4F723F71" w14:textId="7777777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dxa"/>
          </w:tcPr>
          <w:p w14:paraId="5DBD0D96" w14:textId="77777777" w:rsidR="00790430" w:rsidRPr="004D4668" w:rsidRDefault="00790430">
            <w:pPr>
              <w:pStyle w:val="Note"/>
              <w:spacing w:line="276" w:lineRule="auto"/>
              <w:ind w:left="0"/>
              <w:rPr>
                <w:rFonts w:asciiTheme="minorHAnsi" w:hAnsiTheme="minorHAnsi" w:cstheme="minorHAnsi"/>
                <w:color w:val="000000"/>
                <w:sz w:val="22"/>
                <w:szCs w:val="28"/>
              </w:rPr>
            </w:pPr>
            <w:r w:rsidRPr="004D4668">
              <w:rPr>
                <w:rFonts w:asciiTheme="minorHAnsi" w:hAnsiTheme="minorHAnsi" w:cstheme="minorHAnsi"/>
                <w:color w:val="000000"/>
                <w:sz w:val="22"/>
                <w:szCs w:val="28"/>
              </w:rPr>
              <w:t>Method 3</w:t>
            </w:r>
          </w:p>
        </w:tc>
        <w:tc>
          <w:tcPr>
            <w:tcW w:w="2373" w:type="dxa"/>
          </w:tcPr>
          <w:p w14:paraId="38BF2276" w14:textId="77777777" w:rsidR="00790430" w:rsidRPr="004D4668" w:rsidRDefault="00790430">
            <w:pPr>
              <w:pStyle w:val="Note"/>
              <w:spacing w:line="276" w:lineRule="auto"/>
              <w:ind w:left="0"/>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b w:val="0"/>
                <w:bCs/>
                <w:color w:val="000000"/>
                <w:sz w:val="22"/>
                <w:szCs w:val="28"/>
              </w:rPr>
            </w:pPr>
            <w:r w:rsidRPr="004D4668">
              <w:rPr>
                <w:rFonts w:asciiTheme="minorHAnsi" w:hAnsiTheme="minorHAnsi" w:cstheme="minorHAnsi"/>
                <w:b w:val="0"/>
                <w:bCs/>
                <w:color w:val="000000"/>
                <w:sz w:val="22"/>
                <w:szCs w:val="28"/>
              </w:rPr>
              <w:t>NA</w:t>
            </w:r>
          </w:p>
        </w:tc>
        <w:tc>
          <w:tcPr>
            <w:tcW w:w="2373" w:type="dxa"/>
          </w:tcPr>
          <w:p w14:paraId="1799E315" w14:textId="77777777" w:rsidR="00790430" w:rsidRPr="004D4668" w:rsidRDefault="00790430">
            <w:pPr>
              <w:pStyle w:val="Note"/>
              <w:spacing w:line="276" w:lineRule="auto"/>
              <w:ind w:left="0"/>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b w:val="0"/>
                <w:bCs/>
                <w:color w:val="000000"/>
                <w:sz w:val="22"/>
                <w:szCs w:val="28"/>
              </w:rPr>
            </w:pPr>
            <w:r w:rsidRPr="004D4668">
              <w:rPr>
                <w:rFonts w:asciiTheme="minorHAnsi" w:hAnsiTheme="minorHAnsi" w:cstheme="minorHAnsi"/>
                <w:b w:val="0"/>
                <w:bCs/>
                <w:color w:val="000000"/>
                <w:sz w:val="22"/>
                <w:szCs w:val="28"/>
              </w:rPr>
              <w:t>Section 5.30</w:t>
            </w:r>
          </w:p>
        </w:tc>
        <w:tc>
          <w:tcPr>
            <w:tcW w:w="2374" w:type="dxa"/>
          </w:tcPr>
          <w:p w14:paraId="05A96AC8" w14:textId="77777777" w:rsidR="00790430" w:rsidRPr="004D4668" w:rsidRDefault="00790430">
            <w:pPr>
              <w:pStyle w:val="Note"/>
              <w:spacing w:line="276" w:lineRule="auto"/>
              <w:ind w:left="0"/>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b w:val="0"/>
                <w:bCs/>
                <w:color w:val="000000"/>
                <w:sz w:val="22"/>
                <w:szCs w:val="28"/>
              </w:rPr>
            </w:pPr>
            <w:r w:rsidRPr="004D4668">
              <w:rPr>
                <w:rFonts w:asciiTheme="minorHAnsi" w:hAnsiTheme="minorHAnsi" w:cstheme="minorHAnsi"/>
                <w:b w:val="0"/>
                <w:bCs/>
                <w:color w:val="000000"/>
                <w:sz w:val="22"/>
                <w:szCs w:val="28"/>
              </w:rPr>
              <w:t>Section 5.36</w:t>
            </w:r>
          </w:p>
        </w:tc>
      </w:tr>
    </w:tbl>
    <w:p w14:paraId="78AF28E8" w14:textId="0F09401C" w:rsidR="00790430" w:rsidRDefault="00790430" w:rsidP="003706F8">
      <w:r w:rsidRPr="0030215C">
        <w:t>NA = Not available</w:t>
      </w:r>
    </w:p>
    <w:p w14:paraId="3C03A696" w14:textId="77777777" w:rsidR="00095400" w:rsidRDefault="00095400">
      <w:pPr>
        <w:spacing w:after="0"/>
        <w:rPr>
          <w:rFonts w:ascii="Calibri Light" w:eastAsiaTheme="minorHAnsi" w:hAnsi="Calibri Light" w:cs="Calibri Light"/>
          <w:i/>
          <w:iCs/>
          <w:sz w:val="18"/>
          <w:szCs w:val="18"/>
        </w:rPr>
      </w:pPr>
      <w:r>
        <w:br w:type="page"/>
      </w:r>
    </w:p>
    <w:p w14:paraId="3DB31AEC" w14:textId="53248B5F" w:rsidR="00790430" w:rsidRPr="00790430" w:rsidRDefault="00790430" w:rsidP="003706F8">
      <w:pPr>
        <w:pStyle w:val="Caption"/>
      </w:pPr>
      <w:r>
        <w:lastRenderedPageBreak/>
        <w:t xml:space="preserve">Table </w:t>
      </w:r>
      <w:fldSimple w:instr=" SEQ Table \* ARABIC ">
        <w:r w:rsidR="00AB56A9">
          <w:rPr>
            <w:noProof/>
          </w:rPr>
          <w:t>3</w:t>
        </w:r>
      </w:fldSimple>
      <w:r>
        <w:rPr>
          <w:noProof/>
        </w:rPr>
        <w:t>.</w:t>
      </w:r>
      <w:r w:rsidRPr="00C63DC3">
        <w:t xml:space="preserve"> </w:t>
      </w:r>
      <w:r w:rsidRPr="000F7E30">
        <w:t>Summary of available methods by emissions of gas type</w:t>
      </w:r>
      <w:r>
        <w:t xml:space="preserve"> - </w:t>
      </w:r>
      <w:r w:rsidR="003706F8">
        <w:t>e</w:t>
      </w:r>
      <w:r w:rsidRPr="00790430">
        <w:t xml:space="preserve">missions </w:t>
      </w:r>
      <w:proofErr w:type="gramStart"/>
      <w:r w:rsidRPr="00790430">
        <w:t>as a result of</w:t>
      </w:r>
      <w:proofErr w:type="gramEnd"/>
      <w:r w:rsidRPr="00790430">
        <w:t xml:space="preserve"> methane flared from the operation of the facility (estimated for each gas type)</w:t>
      </w:r>
      <w:r w:rsidR="002E7F11">
        <w:t>.</w:t>
      </w:r>
    </w:p>
    <w:tbl>
      <w:tblPr>
        <w:tblStyle w:val="CERTable"/>
        <w:tblW w:w="0" w:type="auto"/>
        <w:tblLook w:val="01E0" w:firstRow="1" w:lastRow="1" w:firstColumn="1" w:lastColumn="1" w:noHBand="0" w:noVBand="0"/>
      </w:tblPr>
      <w:tblGrid>
        <w:gridCol w:w="2373"/>
        <w:gridCol w:w="2373"/>
        <w:gridCol w:w="2373"/>
        <w:gridCol w:w="2374"/>
      </w:tblGrid>
      <w:tr w:rsidR="00790430" w:rsidRPr="0030215C" w14:paraId="7C44C0CE" w14:textId="77777777" w:rsidTr="003706F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73" w:type="dxa"/>
          </w:tcPr>
          <w:p w14:paraId="1B1CB664" w14:textId="77777777" w:rsidR="00790430" w:rsidRPr="004D4668" w:rsidRDefault="00790430">
            <w:pPr>
              <w:pStyle w:val="Note"/>
              <w:spacing w:line="276" w:lineRule="auto"/>
              <w:ind w:left="0"/>
              <w:rPr>
                <w:rFonts w:asciiTheme="minorHAnsi" w:hAnsiTheme="minorHAnsi" w:cstheme="minorHAnsi"/>
                <w:b w:val="0"/>
                <w:color w:val="000000"/>
                <w:sz w:val="22"/>
                <w:szCs w:val="28"/>
              </w:rPr>
            </w:pPr>
          </w:p>
        </w:tc>
        <w:tc>
          <w:tcPr>
            <w:tcW w:w="2373" w:type="dxa"/>
          </w:tcPr>
          <w:p w14:paraId="378DC7F6" w14:textId="77777777" w:rsidR="00790430" w:rsidRPr="004D4668" w:rsidRDefault="00790430">
            <w:pPr>
              <w:pStyle w:val="Note"/>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000000"/>
                <w:sz w:val="22"/>
                <w:szCs w:val="28"/>
              </w:rPr>
            </w:pPr>
            <w:r w:rsidRPr="004D4668">
              <w:rPr>
                <w:rFonts w:asciiTheme="minorHAnsi" w:hAnsiTheme="minorHAnsi" w:cstheme="minorHAnsi"/>
                <w:color w:val="000000"/>
                <w:sz w:val="22"/>
                <w:szCs w:val="28"/>
              </w:rPr>
              <w:t>CO</w:t>
            </w:r>
            <w:r w:rsidRPr="004D4668">
              <w:rPr>
                <w:rFonts w:asciiTheme="minorHAnsi" w:hAnsiTheme="minorHAnsi" w:cstheme="minorHAnsi"/>
                <w:color w:val="000000"/>
                <w:sz w:val="22"/>
                <w:szCs w:val="28"/>
                <w:vertAlign w:val="subscript"/>
              </w:rPr>
              <w:t>2</w:t>
            </w:r>
          </w:p>
        </w:tc>
        <w:tc>
          <w:tcPr>
            <w:tcW w:w="2373" w:type="dxa"/>
          </w:tcPr>
          <w:p w14:paraId="553CF398" w14:textId="77777777" w:rsidR="00790430" w:rsidRPr="004D4668" w:rsidRDefault="00790430">
            <w:pPr>
              <w:pStyle w:val="Note"/>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000000"/>
                <w:sz w:val="22"/>
                <w:szCs w:val="28"/>
              </w:rPr>
            </w:pPr>
            <w:r w:rsidRPr="004D4668">
              <w:rPr>
                <w:rFonts w:asciiTheme="minorHAnsi" w:hAnsiTheme="minorHAnsi" w:cstheme="minorHAnsi"/>
                <w:color w:val="000000"/>
                <w:sz w:val="22"/>
                <w:szCs w:val="28"/>
              </w:rPr>
              <w:t>CH</w:t>
            </w:r>
            <w:r w:rsidRPr="004D4668">
              <w:rPr>
                <w:rFonts w:asciiTheme="minorHAnsi" w:hAnsiTheme="minorHAnsi" w:cstheme="minorHAnsi"/>
                <w:color w:val="000000"/>
                <w:sz w:val="22"/>
                <w:szCs w:val="28"/>
                <w:vertAlign w:val="subscript"/>
              </w:rPr>
              <w:t>4</w:t>
            </w:r>
          </w:p>
        </w:tc>
        <w:tc>
          <w:tcPr>
            <w:tcW w:w="2374" w:type="dxa"/>
          </w:tcPr>
          <w:p w14:paraId="1E59F626" w14:textId="77777777" w:rsidR="00790430" w:rsidRPr="004D4668" w:rsidRDefault="00790430">
            <w:pPr>
              <w:pStyle w:val="Note"/>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000000"/>
                <w:sz w:val="22"/>
                <w:szCs w:val="28"/>
              </w:rPr>
            </w:pPr>
            <w:r w:rsidRPr="004D4668">
              <w:rPr>
                <w:rFonts w:asciiTheme="minorHAnsi" w:hAnsiTheme="minorHAnsi" w:cstheme="minorHAnsi"/>
                <w:color w:val="000000"/>
                <w:sz w:val="22"/>
                <w:szCs w:val="28"/>
              </w:rPr>
              <w:t>N</w:t>
            </w:r>
            <w:r w:rsidRPr="004D4668">
              <w:rPr>
                <w:rFonts w:asciiTheme="minorHAnsi" w:hAnsiTheme="minorHAnsi" w:cstheme="minorHAnsi"/>
                <w:color w:val="000000"/>
                <w:sz w:val="22"/>
                <w:szCs w:val="28"/>
                <w:vertAlign w:val="subscript"/>
              </w:rPr>
              <w:t>2</w:t>
            </w:r>
            <w:r w:rsidRPr="004D4668">
              <w:rPr>
                <w:rFonts w:asciiTheme="minorHAnsi" w:hAnsiTheme="minorHAnsi" w:cstheme="minorHAnsi"/>
                <w:color w:val="000000"/>
                <w:sz w:val="22"/>
                <w:szCs w:val="28"/>
              </w:rPr>
              <w:t>O</w:t>
            </w:r>
          </w:p>
        </w:tc>
      </w:tr>
      <w:tr w:rsidR="00790430" w:rsidRPr="0030215C" w14:paraId="07C1B8D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dxa"/>
          </w:tcPr>
          <w:p w14:paraId="74A59718" w14:textId="77777777" w:rsidR="00790430" w:rsidRPr="004D4668" w:rsidRDefault="00790430">
            <w:pPr>
              <w:pStyle w:val="Note"/>
              <w:spacing w:line="276" w:lineRule="auto"/>
              <w:ind w:left="0"/>
              <w:rPr>
                <w:rFonts w:asciiTheme="minorHAnsi" w:hAnsiTheme="minorHAnsi" w:cstheme="minorHAnsi"/>
                <w:color w:val="000000"/>
                <w:sz w:val="22"/>
                <w:szCs w:val="28"/>
              </w:rPr>
            </w:pPr>
            <w:r w:rsidRPr="004D4668">
              <w:rPr>
                <w:rFonts w:asciiTheme="minorHAnsi" w:hAnsiTheme="minorHAnsi" w:cstheme="minorHAnsi"/>
                <w:color w:val="000000"/>
                <w:sz w:val="22"/>
                <w:szCs w:val="28"/>
              </w:rPr>
              <w:t>Method 1</w:t>
            </w:r>
          </w:p>
        </w:tc>
        <w:tc>
          <w:tcPr>
            <w:tcW w:w="2373" w:type="dxa"/>
          </w:tcPr>
          <w:p w14:paraId="0FA26217" w14:textId="77777777" w:rsidR="00790430" w:rsidRPr="004D4668" w:rsidRDefault="00790430">
            <w:pPr>
              <w:pStyle w:val="Note"/>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8"/>
              </w:rPr>
            </w:pPr>
            <w:r w:rsidRPr="004D4668">
              <w:rPr>
                <w:rFonts w:asciiTheme="minorHAnsi" w:hAnsiTheme="minorHAnsi" w:cstheme="minorHAnsi"/>
                <w:color w:val="000000"/>
                <w:sz w:val="22"/>
                <w:szCs w:val="28"/>
              </w:rPr>
              <w:t>NA</w:t>
            </w:r>
          </w:p>
        </w:tc>
        <w:tc>
          <w:tcPr>
            <w:tcW w:w="2373" w:type="dxa"/>
          </w:tcPr>
          <w:p w14:paraId="6399D542" w14:textId="77777777" w:rsidR="00790430" w:rsidRPr="004D4668" w:rsidRDefault="00790430">
            <w:pPr>
              <w:pStyle w:val="Note"/>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8"/>
              </w:rPr>
            </w:pPr>
            <w:r w:rsidRPr="004D4668">
              <w:rPr>
                <w:rFonts w:asciiTheme="minorHAnsi" w:hAnsiTheme="minorHAnsi" w:cstheme="minorHAnsi"/>
                <w:color w:val="000000"/>
                <w:sz w:val="22"/>
                <w:szCs w:val="28"/>
              </w:rPr>
              <w:t>Section 5.37</w:t>
            </w:r>
          </w:p>
        </w:tc>
        <w:tc>
          <w:tcPr>
            <w:tcW w:w="2374" w:type="dxa"/>
          </w:tcPr>
          <w:p w14:paraId="1F973B11" w14:textId="77777777" w:rsidR="00790430" w:rsidRPr="004D4668" w:rsidRDefault="00790430">
            <w:pPr>
              <w:pStyle w:val="Note"/>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8"/>
              </w:rPr>
            </w:pPr>
            <w:r w:rsidRPr="004D4668">
              <w:rPr>
                <w:rFonts w:asciiTheme="minorHAnsi" w:hAnsiTheme="minorHAnsi" w:cstheme="minorHAnsi"/>
                <w:color w:val="000000"/>
                <w:sz w:val="22"/>
                <w:szCs w:val="28"/>
              </w:rPr>
              <w:t>Section 5.37</w:t>
            </w:r>
          </w:p>
        </w:tc>
      </w:tr>
      <w:tr w:rsidR="00790430" w:rsidRPr="0030215C" w14:paraId="5AC2D4E2"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dxa"/>
          </w:tcPr>
          <w:p w14:paraId="2DDCFCC1" w14:textId="77777777" w:rsidR="00790430" w:rsidRPr="004D4668" w:rsidRDefault="00790430">
            <w:pPr>
              <w:pStyle w:val="Note"/>
              <w:spacing w:line="276" w:lineRule="auto"/>
              <w:ind w:left="0"/>
              <w:rPr>
                <w:rFonts w:asciiTheme="minorHAnsi" w:hAnsiTheme="minorHAnsi" w:cstheme="minorHAnsi"/>
                <w:color w:val="000000"/>
                <w:sz w:val="22"/>
                <w:szCs w:val="28"/>
              </w:rPr>
            </w:pPr>
            <w:r w:rsidRPr="004D4668">
              <w:rPr>
                <w:rFonts w:asciiTheme="minorHAnsi" w:hAnsiTheme="minorHAnsi" w:cstheme="minorHAnsi"/>
                <w:color w:val="000000"/>
                <w:sz w:val="22"/>
                <w:szCs w:val="28"/>
              </w:rPr>
              <w:t>Method 2</w:t>
            </w:r>
          </w:p>
        </w:tc>
        <w:tc>
          <w:tcPr>
            <w:tcW w:w="2373" w:type="dxa"/>
          </w:tcPr>
          <w:p w14:paraId="11D93A21" w14:textId="77777777" w:rsidR="00790430" w:rsidRPr="004D4668" w:rsidRDefault="00790430">
            <w:pPr>
              <w:pStyle w:val="Note"/>
              <w:spacing w:line="276" w:lineRule="auto"/>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8"/>
              </w:rPr>
            </w:pPr>
            <w:r w:rsidRPr="004D4668">
              <w:rPr>
                <w:rFonts w:asciiTheme="minorHAnsi" w:hAnsiTheme="minorHAnsi" w:cstheme="minorHAnsi"/>
                <w:color w:val="000000"/>
                <w:sz w:val="22"/>
                <w:szCs w:val="28"/>
              </w:rPr>
              <w:t>NA</w:t>
            </w:r>
          </w:p>
        </w:tc>
        <w:tc>
          <w:tcPr>
            <w:tcW w:w="2373" w:type="dxa"/>
          </w:tcPr>
          <w:p w14:paraId="5597B870" w14:textId="77777777" w:rsidR="00790430" w:rsidRPr="004D4668" w:rsidRDefault="00790430">
            <w:pPr>
              <w:pStyle w:val="Note"/>
              <w:spacing w:line="276" w:lineRule="auto"/>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8"/>
              </w:rPr>
            </w:pPr>
            <w:r w:rsidRPr="004D4668">
              <w:rPr>
                <w:rFonts w:asciiTheme="minorHAnsi" w:hAnsiTheme="minorHAnsi" w:cstheme="minorHAnsi"/>
                <w:color w:val="000000"/>
                <w:sz w:val="22"/>
                <w:szCs w:val="28"/>
              </w:rPr>
              <w:t>Section 5.38</w:t>
            </w:r>
          </w:p>
        </w:tc>
        <w:tc>
          <w:tcPr>
            <w:tcW w:w="2374" w:type="dxa"/>
          </w:tcPr>
          <w:p w14:paraId="388B8039" w14:textId="77777777" w:rsidR="00790430" w:rsidRPr="004D4668" w:rsidRDefault="00790430">
            <w:pPr>
              <w:pStyle w:val="Note"/>
              <w:spacing w:line="276" w:lineRule="auto"/>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8"/>
              </w:rPr>
            </w:pPr>
            <w:r w:rsidRPr="004D4668">
              <w:rPr>
                <w:rFonts w:asciiTheme="minorHAnsi" w:hAnsiTheme="minorHAnsi" w:cstheme="minorHAnsi"/>
                <w:color w:val="000000"/>
                <w:sz w:val="22"/>
                <w:szCs w:val="28"/>
              </w:rPr>
              <w:t>Section 5.38</w:t>
            </w:r>
          </w:p>
        </w:tc>
      </w:tr>
      <w:tr w:rsidR="00790430" w:rsidRPr="0030215C" w14:paraId="4B4BBB2B" w14:textId="7777777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3" w:type="dxa"/>
          </w:tcPr>
          <w:p w14:paraId="7F6DDB8F" w14:textId="77777777" w:rsidR="00790430" w:rsidRPr="004D4668" w:rsidRDefault="00790430">
            <w:pPr>
              <w:pStyle w:val="Note"/>
              <w:spacing w:line="276" w:lineRule="auto"/>
              <w:ind w:left="0"/>
              <w:rPr>
                <w:rFonts w:asciiTheme="minorHAnsi" w:hAnsiTheme="minorHAnsi" w:cstheme="minorHAnsi"/>
                <w:color w:val="000000"/>
                <w:sz w:val="22"/>
                <w:szCs w:val="28"/>
              </w:rPr>
            </w:pPr>
            <w:r w:rsidRPr="004D4668">
              <w:rPr>
                <w:rFonts w:asciiTheme="minorHAnsi" w:hAnsiTheme="minorHAnsi" w:cstheme="minorHAnsi"/>
                <w:color w:val="000000"/>
                <w:sz w:val="22"/>
                <w:szCs w:val="28"/>
              </w:rPr>
              <w:t>Method 3</w:t>
            </w:r>
          </w:p>
        </w:tc>
        <w:tc>
          <w:tcPr>
            <w:tcW w:w="2373" w:type="dxa"/>
          </w:tcPr>
          <w:p w14:paraId="348CE7A6" w14:textId="77777777" w:rsidR="00790430" w:rsidRPr="004D4668" w:rsidRDefault="00790430">
            <w:pPr>
              <w:pStyle w:val="Note"/>
              <w:spacing w:line="276" w:lineRule="auto"/>
              <w:ind w:left="0"/>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b w:val="0"/>
                <w:color w:val="000000"/>
                <w:sz w:val="22"/>
                <w:szCs w:val="28"/>
              </w:rPr>
            </w:pPr>
            <w:r w:rsidRPr="004D4668">
              <w:rPr>
                <w:rFonts w:asciiTheme="minorHAnsi" w:hAnsiTheme="minorHAnsi" w:cstheme="minorHAnsi"/>
                <w:b w:val="0"/>
                <w:color w:val="000000"/>
                <w:sz w:val="22"/>
                <w:szCs w:val="28"/>
              </w:rPr>
              <w:t>NA</w:t>
            </w:r>
          </w:p>
        </w:tc>
        <w:tc>
          <w:tcPr>
            <w:tcW w:w="2373" w:type="dxa"/>
          </w:tcPr>
          <w:p w14:paraId="1C9F97F5" w14:textId="77777777" w:rsidR="00790430" w:rsidRPr="004D4668" w:rsidRDefault="00790430">
            <w:pPr>
              <w:pStyle w:val="Note"/>
              <w:spacing w:line="276" w:lineRule="auto"/>
              <w:ind w:left="0"/>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b w:val="0"/>
                <w:color w:val="000000"/>
                <w:sz w:val="22"/>
                <w:szCs w:val="28"/>
              </w:rPr>
            </w:pPr>
            <w:r w:rsidRPr="004D4668">
              <w:rPr>
                <w:rFonts w:asciiTheme="minorHAnsi" w:hAnsiTheme="minorHAnsi" w:cstheme="minorHAnsi"/>
                <w:b w:val="0"/>
                <w:color w:val="000000"/>
                <w:sz w:val="22"/>
                <w:szCs w:val="28"/>
              </w:rPr>
              <w:t>Section 5.39</w:t>
            </w:r>
          </w:p>
        </w:tc>
        <w:tc>
          <w:tcPr>
            <w:tcW w:w="2374" w:type="dxa"/>
          </w:tcPr>
          <w:p w14:paraId="319564E0" w14:textId="77777777" w:rsidR="00790430" w:rsidRPr="004D4668" w:rsidRDefault="00790430">
            <w:pPr>
              <w:pStyle w:val="Note"/>
              <w:spacing w:line="276" w:lineRule="auto"/>
              <w:ind w:left="0"/>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b w:val="0"/>
                <w:color w:val="000000"/>
                <w:sz w:val="22"/>
                <w:szCs w:val="28"/>
              </w:rPr>
            </w:pPr>
            <w:r w:rsidRPr="004D4668">
              <w:rPr>
                <w:rFonts w:asciiTheme="minorHAnsi" w:hAnsiTheme="minorHAnsi" w:cstheme="minorHAnsi"/>
                <w:b w:val="0"/>
                <w:color w:val="000000"/>
                <w:sz w:val="22"/>
                <w:szCs w:val="28"/>
              </w:rPr>
              <w:t>Section 5.39</w:t>
            </w:r>
          </w:p>
        </w:tc>
      </w:tr>
    </w:tbl>
    <w:p w14:paraId="335839A3" w14:textId="77777777" w:rsidR="00790430" w:rsidRDefault="00790430" w:rsidP="00790430">
      <w:r w:rsidRPr="0030215C">
        <w:t>NA = Not available</w:t>
      </w:r>
    </w:p>
    <w:p w14:paraId="6084A9CF" w14:textId="47878A9C" w:rsidR="005042FA" w:rsidRPr="00CE5DFC" w:rsidRDefault="005042FA" w:rsidP="0081682F">
      <w:pPr>
        <w:pStyle w:val="Heading2"/>
        <w:numPr>
          <w:ilvl w:val="1"/>
          <w:numId w:val="3"/>
        </w:numPr>
        <w:spacing w:line="276" w:lineRule="auto"/>
      </w:pPr>
      <w:bookmarkStart w:id="29" w:name="_Toc199492429"/>
      <w:bookmarkStart w:id="30" w:name="_Toc199492430"/>
      <w:bookmarkStart w:id="31" w:name="_Wastewater_(Domestic_and"/>
      <w:bookmarkStart w:id="32" w:name="_Hlk42684584"/>
      <w:bookmarkStart w:id="33" w:name="_Ref510010176"/>
      <w:bookmarkStart w:id="34" w:name="_Toc43871041"/>
      <w:bookmarkStart w:id="35" w:name="_Toc76041539"/>
      <w:bookmarkStart w:id="36" w:name="_Toc235611540"/>
      <w:bookmarkStart w:id="37" w:name="_Hlk42683634"/>
      <w:bookmarkEnd w:id="29"/>
      <w:bookmarkEnd w:id="30"/>
      <w:bookmarkEnd w:id="31"/>
      <w:r w:rsidRPr="00CE5DFC">
        <w:rPr>
          <w:bCs w:val="0"/>
        </w:rPr>
        <w:t>W</w:t>
      </w:r>
      <w:bookmarkEnd w:id="32"/>
      <w:r w:rsidRPr="00CE5DFC">
        <w:rPr>
          <w:bCs w:val="0"/>
        </w:rPr>
        <w:t>astewater (Domestic and Commercial) Calculator</w:t>
      </w:r>
      <w:bookmarkEnd w:id="33"/>
      <w:bookmarkEnd w:id="34"/>
      <w:bookmarkEnd w:id="35"/>
      <w:bookmarkEnd w:id="36"/>
    </w:p>
    <w:bookmarkEnd w:id="37"/>
    <w:p w14:paraId="5C735319" w14:textId="343BF201" w:rsidR="005042FA" w:rsidRPr="00FE22DC" w:rsidRDefault="39F50F84" w:rsidP="0072212A">
      <w:pPr>
        <w:spacing w:before="240"/>
      </w:pPr>
      <w:r>
        <w:t>CER</w:t>
      </w:r>
      <w:r w:rsidR="005042FA">
        <w:t xml:space="preserve"> has</w:t>
      </w:r>
      <w:r w:rsidR="005042FA" w:rsidRPr="0030215C">
        <w:t xml:space="preserve"> developed a Microsoft Excel based </w:t>
      </w:r>
      <w:bookmarkStart w:id="38" w:name="_Hlk42677922"/>
      <w:bookmarkStart w:id="39" w:name="_Hlk42680959"/>
      <w:r w:rsidR="005042FA">
        <w:rPr>
          <w:color w:val="auto"/>
          <w:spacing w:val="1"/>
          <w:lang w:val="en-GB"/>
        </w:rPr>
        <w:fldChar w:fldCharType="begin"/>
      </w:r>
      <w:r w:rsidR="00D53AA1">
        <w:rPr>
          <w:color w:val="auto"/>
          <w:spacing w:val="1"/>
          <w:lang w:val="en-GB"/>
        </w:rPr>
        <w:instrText>HYPERLINK "http://www.cleanenergyregulator.gov.au/NGER/Forms-and-resources/Calculators" \o "A link to the Wastewater (domestic and commercial) calculator on the Clean Energy Regulator website"</w:instrText>
      </w:r>
      <w:r w:rsidR="005042FA">
        <w:rPr>
          <w:color w:val="auto"/>
          <w:spacing w:val="1"/>
          <w:lang w:val="en-GB"/>
        </w:rPr>
      </w:r>
      <w:r w:rsidR="005042FA">
        <w:rPr>
          <w:color w:val="auto"/>
          <w:spacing w:val="1"/>
          <w:lang w:val="en-GB"/>
        </w:rPr>
        <w:fldChar w:fldCharType="separate"/>
      </w:r>
      <w:r w:rsidR="005042FA" w:rsidRPr="004D2FB9">
        <w:rPr>
          <w:rStyle w:val="Hyperlink"/>
          <w:rFonts w:asciiTheme="minorHAnsi" w:hAnsiTheme="minorHAnsi"/>
          <w:spacing w:val="1"/>
          <w:lang w:val="en-GB"/>
        </w:rPr>
        <w:t>Wastewater (Domestic and Commercial) Calculator</w:t>
      </w:r>
      <w:r w:rsidR="005042FA">
        <w:rPr>
          <w:color w:val="auto"/>
          <w:spacing w:val="1"/>
          <w:lang w:val="en-GB"/>
        </w:rPr>
        <w:fldChar w:fldCharType="end"/>
      </w:r>
      <w:r w:rsidR="005042FA">
        <w:rPr>
          <w:rStyle w:val="FootnoteReference"/>
          <w:color w:val="auto"/>
          <w:spacing w:val="1"/>
          <w:lang w:val="en-GB"/>
        </w:rPr>
        <w:footnoteReference w:id="12"/>
      </w:r>
      <w:r w:rsidR="005042FA">
        <w:rPr>
          <w:color w:val="auto"/>
          <w:spacing w:val="1"/>
          <w:lang w:val="en-GB"/>
        </w:rPr>
        <w:t xml:space="preserve"> to </w:t>
      </w:r>
      <w:bookmarkEnd w:id="38"/>
      <w:bookmarkEnd w:id="39"/>
      <w:r w:rsidR="005042FA" w:rsidRPr="0030215C">
        <w:t xml:space="preserve">assist wastewater handlers to report emissions data relating to </w:t>
      </w:r>
      <w:r w:rsidR="005042FA">
        <w:t>these</w:t>
      </w:r>
      <w:r w:rsidR="005042FA" w:rsidRPr="0030215C">
        <w:t xml:space="preserve"> activities</w:t>
      </w:r>
      <w:r w:rsidR="005042FA">
        <w:t xml:space="preserve">. </w:t>
      </w:r>
      <w:r w:rsidR="42998A48">
        <w:t>CER</w:t>
      </w:r>
      <w:r w:rsidR="005042FA">
        <w:t xml:space="preserve"> </w:t>
      </w:r>
      <w:r w:rsidR="005042FA" w:rsidRPr="007635FE">
        <w:t xml:space="preserve">recommends that reporters use it to </w:t>
      </w:r>
      <w:r w:rsidR="005042FA">
        <w:t xml:space="preserve">assist with </w:t>
      </w:r>
      <w:r w:rsidR="005042FA" w:rsidRPr="007635FE">
        <w:t>ensur</w:t>
      </w:r>
      <w:r w:rsidR="005042FA">
        <w:t>ing</w:t>
      </w:r>
      <w:r w:rsidR="005042FA" w:rsidRPr="007635FE">
        <w:t xml:space="preserve"> that reporting requirements are met</w:t>
      </w:r>
      <w:r w:rsidR="005042FA">
        <w:t xml:space="preserve">. </w:t>
      </w:r>
      <w:r w:rsidR="005042FA" w:rsidRPr="4FB54A55">
        <w:rPr>
          <w:spacing w:val="2"/>
        </w:rPr>
        <w:t>T</w:t>
      </w:r>
      <w:r w:rsidR="005042FA" w:rsidRPr="4FB54A55">
        <w:rPr>
          <w:spacing w:val="-2"/>
        </w:rPr>
        <w:t>h</w:t>
      </w:r>
      <w:r w:rsidR="005042FA" w:rsidRPr="4FB54A55">
        <w:t>e</w:t>
      </w:r>
      <w:r w:rsidR="005042FA" w:rsidRPr="0030215C">
        <w:rPr>
          <w:spacing w:val="1"/>
          <w:szCs w:val="22"/>
        </w:rPr>
        <w:t xml:space="preserve"> </w:t>
      </w:r>
      <w:r w:rsidR="005042FA" w:rsidRPr="4FB54A55">
        <w:rPr>
          <w:spacing w:val="-1"/>
        </w:rPr>
        <w:t>Wastewater</w:t>
      </w:r>
      <w:r w:rsidR="005042FA" w:rsidRPr="0030215C">
        <w:rPr>
          <w:color w:val="auto"/>
          <w:spacing w:val="1"/>
          <w:lang w:val="en-GB"/>
        </w:rPr>
        <w:t xml:space="preserve"> (Domestic and Commercial) Calculator</w:t>
      </w:r>
      <w:r w:rsidR="005042FA" w:rsidRPr="4FB54A55">
        <w:t xml:space="preserve"> ca</w:t>
      </w:r>
      <w:r w:rsidR="005042FA" w:rsidRPr="4FB54A55">
        <w:rPr>
          <w:spacing w:val="-1"/>
        </w:rPr>
        <w:t>l</w:t>
      </w:r>
      <w:r w:rsidR="005042FA" w:rsidRPr="4FB54A55">
        <w:t>cu</w:t>
      </w:r>
      <w:r w:rsidR="005042FA" w:rsidRPr="4FB54A55">
        <w:rPr>
          <w:spacing w:val="-1"/>
        </w:rPr>
        <w:t>l</w:t>
      </w:r>
      <w:r w:rsidR="005042FA" w:rsidRPr="4FB54A55">
        <w:t>ates</w:t>
      </w:r>
      <w:r w:rsidR="005042FA" w:rsidRPr="0030215C">
        <w:rPr>
          <w:spacing w:val="-1"/>
          <w:szCs w:val="22"/>
        </w:rPr>
        <w:t xml:space="preserve"> </w:t>
      </w:r>
      <w:r w:rsidR="005042FA" w:rsidRPr="4FB54A55">
        <w:t>the</w:t>
      </w:r>
      <w:r w:rsidR="005042FA" w:rsidRPr="0030215C">
        <w:rPr>
          <w:spacing w:val="-1"/>
          <w:szCs w:val="22"/>
        </w:rPr>
        <w:t xml:space="preserve"> </w:t>
      </w:r>
      <w:r w:rsidR="005042FA" w:rsidRPr="4FB54A55">
        <w:t>t</w:t>
      </w:r>
      <w:r w:rsidR="005042FA" w:rsidRPr="4FB54A55">
        <w:rPr>
          <w:spacing w:val="-2"/>
        </w:rPr>
        <w:t>o</w:t>
      </w:r>
      <w:r w:rsidR="005042FA" w:rsidRPr="4FB54A55">
        <w:t xml:space="preserve">tal </w:t>
      </w:r>
      <w:r w:rsidR="005042FA" w:rsidRPr="4FB54A55">
        <w:rPr>
          <w:spacing w:val="-2"/>
        </w:rPr>
        <w:t>emissions</w:t>
      </w:r>
      <w:r w:rsidR="005042FA" w:rsidRPr="4FB54A55">
        <w:rPr>
          <w:spacing w:val="2"/>
        </w:rPr>
        <w:t xml:space="preserve"> from wastewater handling facilities based on Chemical Oxygen Demand (COD) or Biochemical Oxygen Demand (BOD) for</w:t>
      </w:r>
      <w:r w:rsidR="005042FA">
        <w:rPr>
          <w:spacing w:val="2"/>
          <w:szCs w:val="22"/>
        </w:rPr>
        <w:t xml:space="preserve"> </w:t>
      </w:r>
      <w:r w:rsidR="005042FA" w:rsidRPr="4FB54A55">
        <w:rPr>
          <w:spacing w:val="2"/>
        </w:rPr>
        <w:t>methane and nitrogen content of materials entering and leaving a facility.</w:t>
      </w:r>
      <w:r w:rsidR="005042FA" w:rsidRPr="4FB54A55">
        <w:t xml:space="preserve"> The emissions calculations are in</w:t>
      </w:r>
      <w:r w:rsidR="005042FA" w:rsidRPr="0030215C">
        <w:rPr>
          <w:spacing w:val="-1"/>
          <w:szCs w:val="22"/>
        </w:rPr>
        <w:t xml:space="preserve"> </w:t>
      </w:r>
      <w:r w:rsidR="005042FA" w:rsidRPr="4FB54A55">
        <w:t>acco</w:t>
      </w:r>
      <w:r w:rsidR="005042FA" w:rsidRPr="4FB54A55">
        <w:rPr>
          <w:spacing w:val="-1"/>
        </w:rPr>
        <w:t>r</w:t>
      </w:r>
      <w:r w:rsidR="005042FA" w:rsidRPr="4FB54A55">
        <w:rPr>
          <w:spacing w:val="-2"/>
        </w:rPr>
        <w:t>d</w:t>
      </w:r>
      <w:r w:rsidR="005042FA" w:rsidRPr="4FB54A55">
        <w:t>a</w:t>
      </w:r>
      <w:r w:rsidR="005042FA" w:rsidRPr="4FB54A55">
        <w:rPr>
          <w:spacing w:val="-2"/>
        </w:rPr>
        <w:t>n</w:t>
      </w:r>
      <w:r w:rsidR="005042FA" w:rsidRPr="4FB54A55">
        <w:t>ce</w:t>
      </w:r>
      <w:r w:rsidR="005042FA" w:rsidRPr="0030215C">
        <w:rPr>
          <w:spacing w:val="1"/>
          <w:szCs w:val="22"/>
        </w:rPr>
        <w:t xml:space="preserve"> </w:t>
      </w:r>
      <w:r w:rsidR="005042FA" w:rsidRPr="4FB54A55">
        <w:rPr>
          <w:spacing w:val="-3"/>
        </w:rPr>
        <w:t>w</w:t>
      </w:r>
      <w:r w:rsidR="005042FA" w:rsidRPr="4FB54A55">
        <w:rPr>
          <w:spacing w:val="-1"/>
        </w:rPr>
        <w:t>i</w:t>
      </w:r>
      <w:r w:rsidR="005042FA" w:rsidRPr="4FB54A55">
        <w:t>th</w:t>
      </w:r>
      <w:r w:rsidR="005042FA" w:rsidRPr="0030215C">
        <w:rPr>
          <w:spacing w:val="1"/>
          <w:szCs w:val="22"/>
        </w:rPr>
        <w:t xml:space="preserve"> </w:t>
      </w:r>
      <w:r w:rsidR="005042FA" w:rsidRPr="4FB54A55">
        <w:t>the</w:t>
      </w:r>
      <w:r w:rsidR="005042FA" w:rsidRPr="0030215C">
        <w:rPr>
          <w:spacing w:val="1"/>
          <w:szCs w:val="22"/>
        </w:rPr>
        <w:t xml:space="preserve"> </w:t>
      </w:r>
      <w:r w:rsidR="005042FA" w:rsidRPr="4FB54A55">
        <w:rPr>
          <w:spacing w:val="-1"/>
        </w:rPr>
        <w:t>r</w:t>
      </w:r>
      <w:r w:rsidR="005042FA" w:rsidRPr="4FB54A55">
        <w:t>e</w:t>
      </w:r>
      <w:r w:rsidR="005042FA" w:rsidRPr="4FB54A55">
        <w:rPr>
          <w:spacing w:val="-1"/>
        </w:rPr>
        <w:t>l</w:t>
      </w:r>
      <w:r w:rsidR="005042FA" w:rsidRPr="4FB54A55">
        <w:t>e</w:t>
      </w:r>
      <w:r w:rsidR="005042FA" w:rsidRPr="4FB54A55">
        <w:rPr>
          <w:spacing w:val="-3"/>
        </w:rPr>
        <w:t>v</w:t>
      </w:r>
      <w:r w:rsidR="005042FA" w:rsidRPr="4FB54A55">
        <w:t>ant e</w:t>
      </w:r>
      <w:r w:rsidR="005042FA" w:rsidRPr="4FB54A55">
        <w:rPr>
          <w:spacing w:val="-2"/>
        </w:rPr>
        <w:t>q</w:t>
      </w:r>
      <w:r w:rsidR="005042FA" w:rsidRPr="4FB54A55">
        <w:t>uat</w:t>
      </w:r>
      <w:r w:rsidR="005042FA" w:rsidRPr="4FB54A55">
        <w:rPr>
          <w:spacing w:val="-1"/>
        </w:rPr>
        <w:t>i</w:t>
      </w:r>
      <w:r w:rsidR="005042FA" w:rsidRPr="4FB54A55">
        <w:t xml:space="preserve">ons and factors </w:t>
      </w:r>
      <w:r w:rsidR="005042FA" w:rsidRPr="4FB54A55">
        <w:rPr>
          <w:spacing w:val="-3"/>
        </w:rPr>
        <w:t>s</w:t>
      </w:r>
      <w:r w:rsidR="005042FA" w:rsidRPr="4FB54A55">
        <w:t>et</w:t>
      </w:r>
      <w:r w:rsidR="005042FA" w:rsidRPr="0030215C">
        <w:rPr>
          <w:spacing w:val="-2"/>
          <w:szCs w:val="22"/>
        </w:rPr>
        <w:t xml:space="preserve"> </w:t>
      </w:r>
      <w:r w:rsidR="005042FA" w:rsidRPr="4FB54A55">
        <w:t xml:space="preserve">out </w:t>
      </w:r>
      <w:r w:rsidR="005042FA" w:rsidRPr="4FB54A55">
        <w:rPr>
          <w:spacing w:val="-3"/>
        </w:rPr>
        <w:t>i</w:t>
      </w:r>
      <w:r w:rsidR="005042FA" w:rsidRPr="4FB54A55">
        <w:t>n</w:t>
      </w:r>
      <w:r w:rsidR="005042FA" w:rsidRPr="0030215C">
        <w:rPr>
          <w:spacing w:val="1"/>
          <w:szCs w:val="22"/>
        </w:rPr>
        <w:t xml:space="preserve"> </w:t>
      </w:r>
      <w:r w:rsidR="005042FA" w:rsidRPr="4FB54A55">
        <w:rPr>
          <w:spacing w:val="-1"/>
        </w:rPr>
        <w:t>Part 5.3</w:t>
      </w:r>
      <w:r w:rsidR="005042FA" w:rsidRPr="0030215C">
        <w:rPr>
          <w:spacing w:val="-1"/>
          <w:szCs w:val="22"/>
        </w:rPr>
        <w:t xml:space="preserve"> </w:t>
      </w:r>
      <w:r w:rsidR="005042FA" w:rsidRPr="4FB54A55">
        <w:rPr>
          <w:spacing w:val="-2"/>
        </w:rPr>
        <w:t>o</w:t>
      </w:r>
      <w:r w:rsidR="005042FA" w:rsidRPr="4FB54A55">
        <w:t>f</w:t>
      </w:r>
      <w:r w:rsidR="005042FA" w:rsidRPr="0030215C">
        <w:rPr>
          <w:spacing w:val="3"/>
          <w:szCs w:val="22"/>
        </w:rPr>
        <w:t xml:space="preserve"> </w:t>
      </w:r>
      <w:r w:rsidR="005042FA" w:rsidRPr="4FB54A55">
        <w:rPr>
          <w:spacing w:val="-2"/>
        </w:rPr>
        <w:t>the NGER Measurement Determination.</w:t>
      </w:r>
      <w:r w:rsidR="005042FA" w:rsidRPr="0030215C">
        <w:rPr>
          <w:szCs w:val="22"/>
        </w:rPr>
        <w:t xml:space="preserve"> </w:t>
      </w:r>
    </w:p>
    <w:p w14:paraId="4F47CB4F" w14:textId="77777777" w:rsidR="005042FA" w:rsidRPr="00FE22DC" w:rsidRDefault="005042FA" w:rsidP="005042FA">
      <w:pPr>
        <w:rPr>
          <w:szCs w:val="22"/>
        </w:rPr>
      </w:pPr>
      <w:r w:rsidRPr="0030215C">
        <w:rPr>
          <w:color w:val="000000"/>
          <w:lang w:val="en-GB"/>
        </w:rPr>
        <w:t>The Wastewater (Domestic and Commercial) Calculator allows users to input activity data in editable fields and does not allow users to edit equations and factors that are required by the NGER</w:t>
      </w:r>
      <w:r>
        <w:rPr>
          <w:color w:val="000000"/>
          <w:lang w:val="en-GB"/>
        </w:rPr>
        <w:t xml:space="preserve"> Measurement</w:t>
      </w:r>
      <w:r w:rsidRPr="0030215C">
        <w:rPr>
          <w:color w:val="000000"/>
          <w:lang w:val="en-GB"/>
        </w:rPr>
        <w:t xml:space="preserve"> Determination.</w:t>
      </w:r>
      <w:r w:rsidRPr="0030215C">
        <w:rPr>
          <w:color w:val="000000"/>
          <w:spacing w:val="-1"/>
          <w:lang w:val="en-GB"/>
        </w:rPr>
        <w:t xml:space="preserve"> The calculator assists wastewater handlers</w:t>
      </w:r>
      <w:r w:rsidRPr="0030215C">
        <w:rPr>
          <w:color w:val="000000"/>
          <w:lang w:val="en-GB"/>
        </w:rPr>
        <w:t xml:space="preserve"> to</w:t>
      </w:r>
      <w:r w:rsidRPr="0030215C">
        <w:rPr>
          <w:color w:val="000000"/>
          <w:spacing w:val="-1"/>
          <w:lang w:val="en-GB"/>
        </w:rPr>
        <w:t xml:space="preserve"> </w:t>
      </w:r>
      <w:r w:rsidRPr="0030215C">
        <w:rPr>
          <w:color w:val="000000"/>
          <w:lang w:val="en-GB"/>
        </w:rPr>
        <w:t>calculate and report current</w:t>
      </w:r>
      <w:r w:rsidRPr="0030215C">
        <w:rPr>
          <w:color w:val="000000"/>
          <w:spacing w:val="-1"/>
          <w:lang w:val="en-GB"/>
        </w:rPr>
        <w:t xml:space="preserve"> </w:t>
      </w:r>
      <w:r w:rsidRPr="0030215C">
        <w:rPr>
          <w:color w:val="000000"/>
          <w:lang w:val="en-GB"/>
        </w:rPr>
        <w:t>e</w:t>
      </w:r>
      <w:r w:rsidRPr="0030215C">
        <w:rPr>
          <w:color w:val="000000"/>
          <w:spacing w:val="1"/>
          <w:lang w:val="en-GB"/>
        </w:rPr>
        <w:t>m</w:t>
      </w:r>
      <w:r w:rsidRPr="0030215C">
        <w:rPr>
          <w:color w:val="000000"/>
          <w:spacing w:val="-1"/>
          <w:lang w:val="en-GB"/>
        </w:rPr>
        <w:t>i</w:t>
      </w:r>
      <w:r w:rsidRPr="0030215C">
        <w:rPr>
          <w:color w:val="000000"/>
          <w:lang w:val="en-GB"/>
        </w:rPr>
        <w:t>ss</w:t>
      </w:r>
      <w:r w:rsidRPr="0030215C">
        <w:rPr>
          <w:color w:val="000000"/>
          <w:spacing w:val="-1"/>
          <w:lang w:val="en-GB"/>
        </w:rPr>
        <w:t>i</w:t>
      </w:r>
      <w:r w:rsidRPr="0030215C">
        <w:rPr>
          <w:color w:val="000000"/>
          <w:spacing w:val="-2"/>
          <w:lang w:val="en-GB"/>
        </w:rPr>
        <w:t>o</w:t>
      </w:r>
      <w:r w:rsidRPr="0030215C">
        <w:rPr>
          <w:color w:val="000000"/>
          <w:lang w:val="en-GB"/>
        </w:rPr>
        <w:t xml:space="preserve">ns. </w:t>
      </w:r>
      <w:r w:rsidRPr="0030215C">
        <w:t xml:space="preserve">The calculator tabulates the information provided and results from calculations undertaken, in a form that can be manually entered into the </w:t>
      </w:r>
      <w:r w:rsidRPr="0030215C">
        <w:rPr>
          <w:szCs w:val="22"/>
        </w:rPr>
        <w:t>Emissions and Energy Reporting System (EERS).</w:t>
      </w:r>
    </w:p>
    <w:p w14:paraId="104F7EC0" w14:textId="7A2BC220" w:rsidR="005042FA" w:rsidRPr="0030215C" w:rsidRDefault="005042FA" w:rsidP="005042FA">
      <w:pPr>
        <w:rPr>
          <w:spacing w:val="-2"/>
        </w:rPr>
      </w:pPr>
      <w:r w:rsidRPr="0030215C">
        <w:t xml:space="preserve">The </w:t>
      </w:r>
      <w:r w:rsidRPr="0030215C">
        <w:rPr>
          <w:color w:val="auto"/>
          <w:spacing w:val="1"/>
          <w:lang w:val="en-GB"/>
        </w:rPr>
        <w:t>Wastewater (Domestic and Commercial) Calculator</w:t>
      </w:r>
      <w:r w:rsidRPr="0030215C">
        <w:t xml:space="preserve"> is reviewed and updated as necessary to remain consistent with the NGER </w:t>
      </w:r>
      <w:r>
        <w:t xml:space="preserve">Measurement </w:t>
      </w:r>
      <w:r w:rsidRPr="0030215C">
        <w:t>Determination. It is important to ensu</w:t>
      </w:r>
      <w:r w:rsidRPr="0030215C">
        <w:rPr>
          <w:spacing w:val="-4"/>
        </w:rPr>
        <w:t>r</w:t>
      </w:r>
      <w:r w:rsidRPr="0030215C">
        <w:t>e</w:t>
      </w:r>
      <w:r w:rsidRPr="0030215C">
        <w:rPr>
          <w:spacing w:val="-1"/>
        </w:rPr>
        <w:t xml:space="preserve"> </w:t>
      </w:r>
      <w:r w:rsidRPr="0030215C">
        <w:rPr>
          <w:spacing w:val="-3"/>
        </w:rPr>
        <w:t>c</w:t>
      </w:r>
      <w:r w:rsidRPr="0030215C">
        <w:t>o</w:t>
      </w:r>
      <w:r w:rsidRPr="0030215C">
        <w:rPr>
          <w:spacing w:val="-1"/>
        </w:rPr>
        <w:t>rr</w:t>
      </w:r>
      <w:r w:rsidRPr="0030215C">
        <w:t xml:space="preserve">ect </w:t>
      </w:r>
      <w:r w:rsidRPr="0030215C">
        <w:rPr>
          <w:spacing w:val="-3"/>
        </w:rPr>
        <w:t>v</w:t>
      </w:r>
      <w:r w:rsidRPr="0030215C">
        <w:t>e</w:t>
      </w:r>
      <w:r w:rsidRPr="0030215C">
        <w:rPr>
          <w:spacing w:val="-1"/>
        </w:rPr>
        <w:t>r</w:t>
      </w:r>
      <w:r w:rsidRPr="0030215C">
        <w:t>s</w:t>
      </w:r>
      <w:r w:rsidRPr="0030215C">
        <w:rPr>
          <w:spacing w:val="-1"/>
        </w:rPr>
        <w:t>i</w:t>
      </w:r>
      <w:r w:rsidRPr="0030215C">
        <w:t>ons of the NGER</w:t>
      </w:r>
      <w:r>
        <w:t xml:space="preserve"> Measurement</w:t>
      </w:r>
      <w:r w:rsidRPr="0030215C">
        <w:t xml:space="preserve"> </w:t>
      </w:r>
      <w:r w:rsidR="00A871E1" w:rsidRPr="0030215C">
        <w:t>Determination,</w:t>
      </w:r>
      <w:r w:rsidRPr="0030215C">
        <w:rPr>
          <w:spacing w:val="-1"/>
        </w:rPr>
        <w:t xml:space="preserve"> and the latest version of the </w:t>
      </w:r>
      <w:r w:rsidRPr="0030215C">
        <w:rPr>
          <w:color w:val="auto"/>
          <w:spacing w:val="1"/>
          <w:lang w:val="en-GB"/>
        </w:rPr>
        <w:t>Wastewater (Domestic and Commercial) Calculator</w:t>
      </w:r>
      <w:r w:rsidRPr="0030215C">
        <w:rPr>
          <w:spacing w:val="-1"/>
        </w:rPr>
        <w:t xml:space="preserve"> are used </w:t>
      </w:r>
      <w:r w:rsidRPr="0030215C">
        <w:rPr>
          <w:spacing w:val="2"/>
        </w:rPr>
        <w:t>f</w:t>
      </w:r>
      <w:r w:rsidRPr="0030215C">
        <w:t xml:space="preserve">or </w:t>
      </w:r>
      <w:bookmarkStart w:id="40" w:name="_Hlk42691573"/>
      <w:r w:rsidRPr="0030215C">
        <w:t>each</w:t>
      </w:r>
      <w:r w:rsidRPr="0030215C">
        <w:rPr>
          <w:spacing w:val="1"/>
        </w:rPr>
        <w:t xml:space="preserve"> </w:t>
      </w:r>
      <w:r w:rsidRPr="0030215C">
        <w:rPr>
          <w:spacing w:val="-1"/>
        </w:rPr>
        <w:t>r</w:t>
      </w:r>
      <w:r w:rsidRPr="0030215C">
        <w:rPr>
          <w:spacing w:val="-2"/>
        </w:rPr>
        <w:t>e</w:t>
      </w:r>
      <w:r w:rsidRPr="0030215C">
        <w:t>po</w:t>
      </w:r>
      <w:r w:rsidRPr="0030215C">
        <w:rPr>
          <w:spacing w:val="-1"/>
        </w:rPr>
        <w:t>r</w:t>
      </w:r>
      <w:r w:rsidRPr="0030215C">
        <w:t>t</w:t>
      </w:r>
      <w:r w:rsidRPr="0030215C">
        <w:rPr>
          <w:spacing w:val="-1"/>
        </w:rPr>
        <w:t>i</w:t>
      </w:r>
      <w:r w:rsidRPr="0030215C">
        <w:t>ng</w:t>
      </w:r>
      <w:r w:rsidRPr="0030215C">
        <w:rPr>
          <w:spacing w:val="-1"/>
        </w:rPr>
        <w:t xml:space="preserve"> </w:t>
      </w:r>
      <w:r w:rsidRPr="0030215C">
        <w:rPr>
          <w:spacing w:val="-3"/>
        </w:rPr>
        <w:t>y</w:t>
      </w:r>
      <w:r w:rsidRPr="0030215C">
        <w:t>ear.</w:t>
      </w:r>
      <w:r w:rsidRPr="0030215C">
        <w:rPr>
          <w:spacing w:val="-2"/>
        </w:rPr>
        <w:t xml:space="preserve"> </w:t>
      </w:r>
      <w:bookmarkStart w:id="41" w:name="_Toc510527439"/>
      <w:bookmarkStart w:id="42" w:name="_Toc510537331"/>
      <w:bookmarkStart w:id="43" w:name="_Hlk42684520"/>
      <w:bookmarkEnd w:id="41"/>
      <w:bookmarkEnd w:id="42"/>
    </w:p>
    <w:p w14:paraId="54BE588D" w14:textId="77777777" w:rsidR="005042FA" w:rsidRPr="00CE5DFC" w:rsidRDefault="005042FA" w:rsidP="000910BB">
      <w:pPr>
        <w:pStyle w:val="Heading2"/>
        <w:numPr>
          <w:ilvl w:val="1"/>
          <w:numId w:val="3"/>
        </w:numPr>
        <w:tabs>
          <w:tab w:val="num" w:pos="567"/>
        </w:tabs>
        <w:spacing w:line="276" w:lineRule="auto"/>
        <w:ind w:left="567" w:hanging="567"/>
      </w:pPr>
      <w:bookmarkStart w:id="44" w:name="_Toc43871042"/>
      <w:bookmarkStart w:id="45" w:name="_Toc76041540"/>
      <w:bookmarkStart w:id="46" w:name="_Toc235611541"/>
      <w:bookmarkStart w:id="47" w:name="_Hlk42684692"/>
      <w:r w:rsidRPr="00CE5DFC">
        <w:rPr>
          <w:bCs w:val="0"/>
        </w:rPr>
        <w:t xml:space="preserve">Methane </w:t>
      </w:r>
      <w:r>
        <w:rPr>
          <w:bCs w:val="0"/>
        </w:rPr>
        <w:t xml:space="preserve">emissions </w:t>
      </w:r>
      <w:bookmarkEnd w:id="43"/>
      <w:r w:rsidRPr="00CE5DFC">
        <w:rPr>
          <w:bCs w:val="0"/>
        </w:rPr>
        <w:t>from wastewater handling (domestic and commercial)</w:t>
      </w:r>
      <w:bookmarkEnd w:id="44"/>
      <w:bookmarkEnd w:id="45"/>
      <w:bookmarkEnd w:id="46"/>
    </w:p>
    <w:bookmarkEnd w:id="47"/>
    <w:p w14:paraId="2557FA08" w14:textId="213369E5" w:rsidR="005042FA" w:rsidRPr="00F34419" w:rsidRDefault="005042FA" w:rsidP="0072212A">
      <w:pPr>
        <w:spacing w:before="240"/>
      </w:pPr>
      <w:r>
        <w:t xml:space="preserve">Section 5.25 of the NGER Measurement Determination sets out </w:t>
      </w:r>
      <w:r w:rsidR="356DF741">
        <w:t>M</w:t>
      </w:r>
      <w:r>
        <w:t>ethod 1 for estimating</w:t>
      </w:r>
      <w:r w:rsidR="00B762C6">
        <w:t xml:space="preserve"> </w:t>
      </w:r>
      <w:r w:rsidDel="00B762C6">
        <w:t>methane</w:t>
      </w:r>
      <w:r>
        <w:t xml:space="preserve"> emissions from wastewater handling (domestic and commercial</w:t>
      </w:r>
      <w:bookmarkEnd w:id="40"/>
      <w:r>
        <w:t>).</w:t>
      </w:r>
    </w:p>
    <w:p w14:paraId="3B1FD275" w14:textId="77777777" w:rsidR="005042FA" w:rsidRPr="00DF32B1" w:rsidRDefault="005042FA" w:rsidP="005042FA">
      <w:pPr>
        <w:rPr>
          <w:szCs w:val="22"/>
        </w:rPr>
      </w:pPr>
      <w:r w:rsidRPr="00F34419">
        <w:rPr>
          <w:szCs w:val="22"/>
        </w:rPr>
        <w:t xml:space="preserve">Method 1 for wastewater handling is </w:t>
      </w:r>
      <w:r w:rsidRPr="00050340">
        <w:rPr>
          <w:rFonts w:eastAsia="Times New Roman" w:cs="Arial"/>
          <w:color w:val="auto"/>
          <w:szCs w:val="22"/>
          <w:lang w:eastAsia="en-AU"/>
        </w:rPr>
        <w:t xml:space="preserve">consistent with the methods used for </w:t>
      </w:r>
      <w:r w:rsidRPr="00050340">
        <w:rPr>
          <w:rFonts w:eastAsia="Times New Roman" w:cs="Arial"/>
          <w:iCs/>
          <w:color w:val="auto"/>
          <w:szCs w:val="22"/>
          <w:lang w:eastAsia="en-AU"/>
        </w:rPr>
        <w:t>Australia’s</w:t>
      </w:r>
      <w:r w:rsidRPr="00FE413B">
        <w:rPr>
          <w:rFonts w:eastAsia="Times New Roman" w:cs="Arial"/>
          <w:iCs/>
          <w:color w:val="auto"/>
          <w:szCs w:val="22"/>
          <w:lang w:eastAsia="en-AU"/>
        </w:rPr>
        <w:t xml:space="preserve"> </w:t>
      </w:r>
      <w:r w:rsidRPr="000F7E30">
        <w:rPr>
          <w:rFonts w:eastAsia="Times New Roman" w:cs="Arial"/>
          <w:color w:val="auto"/>
          <w:szCs w:val="22"/>
          <w:lang w:eastAsia="en-AU"/>
        </w:rPr>
        <w:t>National Greenhouse Accounts</w:t>
      </w:r>
      <w:r w:rsidRPr="00651FD3">
        <w:rPr>
          <w:szCs w:val="22"/>
        </w:rPr>
        <w:t>, except in certain circumstances</w:t>
      </w:r>
      <w:r w:rsidRPr="00DF32B1">
        <w:rPr>
          <w:szCs w:val="22"/>
        </w:rPr>
        <w:t xml:space="preserve"> specified below. </w:t>
      </w:r>
    </w:p>
    <w:p w14:paraId="4ED9AC44" w14:textId="77777777" w:rsidR="005042FA" w:rsidRPr="00FE22DC" w:rsidRDefault="005042FA" w:rsidP="005042FA">
      <w:pPr>
        <w:rPr>
          <w:szCs w:val="22"/>
        </w:rPr>
      </w:pPr>
      <w:r w:rsidRPr="00DF32B1">
        <w:rPr>
          <w:szCs w:val="22"/>
        </w:rPr>
        <w:lastRenderedPageBreak/>
        <w:t>Total greenhouse gas emissions from domestic an</w:t>
      </w:r>
      <w:r w:rsidRPr="00E321BA">
        <w:rPr>
          <w:szCs w:val="22"/>
        </w:rPr>
        <w:t>d commercial wastewater are the sum of emissions from wastewater treatment and sludge treatment. The total quantity of wastewater treated depends on the size of the population that is generating</w:t>
      </w:r>
      <w:r>
        <w:rPr>
          <w:szCs w:val="22"/>
        </w:rPr>
        <w:t xml:space="preserve"> the</w:t>
      </w:r>
      <w:r w:rsidRPr="00FE22DC">
        <w:rPr>
          <w:szCs w:val="22"/>
        </w:rPr>
        <w:t xml:space="preserve"> wastewater.</w:t>
      </w:r>
    </w:p>
    <w:p w14:paraId="0FB29DC6" w14:textId="77777777" w:rsidR="005042FA" w:rsidRPr="00FE22DC" w:rsidRDefault="005042FA" w:rsidP="005042FA">
      <w:pPr>
        <w:rPr>
          <w:szCs w:val="22"/>
        </w:rPr>
      </w:pPr>
      <w:r w:rsidRPr="00FE22DC">
        <w:rPr>
          <w:szCs w:val="22"/>
        </w:rPr>
        <w:t>Method 1</w:t>
      </w:r>
      <w:r>
        <w:rPr>
          <w:szCs w:val="22"/>
        </w:rPr>
        <w:t xml:space="preserve"> does not require </w:t>
      </w:r>
      <w:r w:rsidRPr="00FE22DC">
        <w:rPr>
          <w:szCs w:val="22"/>
        </w:rPr>
        <w:t>data on COD or BOD estimates of on-site wastewater and sludge.</w:t>
      </w:r>
    </w:p>
    <w:p w14:paraId="525B6C13" w14:textId="268F759E" w:rsidR="005042FA" w:rsidRDefault="005042FA" w:rsidP="005042FA">
      <w:r w:rsidRPr="00FE22DC">
        <w:rPr>
          <w:szCs w:val="22"/>
        </w:rPr>
        <w:t>S</w:t>
      </w:r>
      <w:r w:rsidR="00F9691A">
        <w:rPr>
          <w:szCs w:val="22"/>
        </w:rPr>
        <w:t>ubs</w:t>
      </w:r>
      <w:r w:rsidRPr="00FE22DC">
        <w:rPr>
          <w:szCs w:val="22"/>
        </w:rPr>
        <w:t>ection 5.25</w:t>
      </w:r>
      <w:r>
        <w:rPr>
          <w:szCs w:val="22"/>
        </w:rPr>
        <w:t>(3)</w:t>
      </w:r>
      <w:r w:rsidRPr="00FE22DC">
        <w:rPr>
          <w:szCs w:val="22"/>
        </w:rPr>
        <w:t xml:space="preserve"> of the NGER </w:t>
      </w:r>
      <w:r>
        <w:rPr>
          <w:szCs w:val="22"/>
        </w:rPr>
        <w:t xml:space="preserve">Measurement </w:t>
      </w:r>
      <w:r w:rsidRPr="00FE22DC">
        <w:rPr>
          <w:szCs w:val="22"/>
        </w:rPr>
        <w:t xml:space="preserve">Determination </w:t>
      </w:r>
      <w:r>
        <w:rPr>
          <w:szCs w:val="22"/>
        </w:rPr>
        <w:t xml:space="preserve">provides that </w:t>
      </w:r>
      <w:r w:rsidRPr="00FE22DC">
        <w:rPr>
          <w:szCs w:val="22"/>
        </w:rPr>
        <w:t xml:space="preserve">an alternative approach </w:t>
      </w:r>
      <w:r>
        <w:rPr>
          <w:szCs w:val="22"/>
        </w:rPr>
        <w:t xml:space="preserve">to the estimated quantity of methane </w:t>
      </w:r>
      <w:r w:rsidRPr="00FE22DC">
        <w:rPr>
          <w:szCs w:val="22"/>
        </w:rPr>
        <w:t>should apply</w:t>
      </w:r>
      <w:r>
        <w:rPr>
          <w:szCs w:val="22"/>
        </w:rPr>
        <w:t xml:space="preserve"> to </w:t>
      </w:r>
      <w:r w:rsidRPr="00FE22DC">
        <w:rPr>
          <w:szCs w:val="22"/>
        </w:rPr>
        <w:t>facilities</w:t>
      </w:r>
      <w:r>
        <w:t>:</w:t>
      </w:r>
    </w:p>
    <w:p w14:paraId="184E091E" w14:textId="702625F6" w:rsidR="005042FA" w:rsidRPr="00232012" w:rsidRDefault="005042FA" w:rsidP="005042FA">
      <w:pPr>
        <w:pStyle w:val="CERbullets"/>
        <w:ind w:left="360" w:hanging="360"/>
      </w:pPr>
      <w:r>
        <w:rPr>
          <w:lang w:val="en-GB"/>
        </w:rPr>
        <w:t xml:space="preserve">that </w:t>
      </w:r>
      <w:r w:rsidRPr="00342E37">
        <w:rPr>
          <w:lang w:val="en-GB"/>
        </w:rPr>
        <w:t>capture</w:t>
      </w:r>
      <w:r w:rsidR="00581FC3">
        <w:rPr>
          <w:lang w:val="en-GB"/>
        </w:rPr>
        <w:t xml:space="preserve"> </w:t>
      </w:r>
      <w:r w:rsidRPr="00581FC3" w:rsidDel="00581FC3">
        <w:rPr>
          <w:lang w:val="en-GB"/>
        </w:rPr>
        <w:t>methane</w:t>
      </w:r>
      <w:r w:rsidRPr="00342E37">
        <w:rPr>
          <w:lang w:val="en-GB"/>
        </w:rPr>
        <w:t xml:space="preserve"> generated by the wastewater handling</w:t>
      </w:r>
      <w:r w:rsidR="005E7435">
        <w:rPr>
          <w:lang w:val="en-GB"/>
        </w:rPr>
        <w:t>.</w:t>
      </w:r>
    </w:p>
    <w:p w14:paraId="04C0932D" w14:textId="6255504A" w:rsidR="005042FA" w:rsidRPr="007D185C" w:rsidRDefault="005042FA" w:rsidP="005042FA">
      <w:pPr>
        <w:pStyle w:val="CERbullets"/>
        <w:ind w:left="360" w:hanging="360"/>
      </w:pPr>
      <w:r w:rsidRPr="00342E37">
        <w:rPr>
          <w:lang w:val="en-GB"/>
        </w:rPr>
        <w:t>where the estimates of the quantity of</w:t>
      </w:r>
      <w:r w:rsidR="00581FC3">
        <w:rPr>
          <w:lang w:val="en-GB"/>
        </w:rPr>
        <w:t xml:space="preserve"> </w:t>
      </w:r>
      <w:r w:rsidRPr="00342E37" w:rsidDel="00581FC3">
        <w:rPr>
          <w:lang w:val="en-GB"/>
        </w:rPr>
        <w:t>methane</w:t>
      </w:r>
      <w:r w:rsidRPr="00342E37">
        <w:rPr>
          <w:lang w:val="en-GB"/>
        </w:rPr>
        <w:t xml:space="preserve"> captured for combustion (either at the facility or elsewhere) or flaring exceed 75</w:t>
      </w:r>
      <w:r>
        <w:rPr>
          <w:lang w:val="en-GB"/>
        </w:rPr>
        <w:t xml:space="preserve">% </w:t>
      </w:r>
      <w:r w:rsidRPr="00342E37">
        <w:rPr>
          <w:lang w:val="en-GB"/>
        </w:rPr>
        <w:t>of the estimated emissions generated from the wastewater from the facility according to the application of the methane generation model</w:t>
      </w:r>
      <w:r>
        <w:rPr>
          <w:lang w:val="en-GB"/>
        </w:rPr>
        <w:t>.</w:t>
      </w:r>
    </w:p>
    <w:p w14:paraId="6ADADF91" w14:textId="518BD114" w:rsidR="005042FA" w:rsidRPr="006577F4" w:rsidRDefault="005042FA" w:rsidP="005042FA">
      <w:pPr>
        <w:rPr>
          <w:spacing w:val="2"/>
          <w:szCs w:val="22"/>
        </w:rPr>
      </w:pPr>
      <w:r w:rsidRPr="006577F4">
        <w:rPr>
          <w:spacing w:val="2"/>
          <w:szCs w:val="22"/>
        </w:rPr>
        <w:t>This approach applies to facilities that capture</w:t>
      </w:r>
      <w:r w:rsidR="00A364EC">
        <w:rPr>
          <w:spacing w:val="2"/>
          <w:szCs w:val="22"/>
        </w:rPr>
        <w:t xml:space="preserve"> </w:t>
      </w:r>
      <w:r w:rsidRPr="006577F4" w:rsidDel="00A364EC">
        <w:rPr>
          <w:spacing w:val="2"/>
          <w:szCs w:val="22"/>
        </w:rPr>
        <w:t>methane</w:t>
      </w:r>
      <w:r w:rsidRPr="006577F4">
        <w:rPr>
          <w:spacing w:val="2"/>
          <w:szCs w:val="22"/>
        </w:rPr>
        <w:t xml:space="preserve"> generated</w:t>
      </w:r>
      <w:r>
        <w:rPr>
          <w:spacing w:val="2"/>
          <w:szCs w:val="22"/>
        </w:rPr>
        <w:t xml:space="preserve"> from the wastewater handling </w:t>
      </w:r>
      <w:r w:rsidRPr="006577F4">
        <w:rPr>
          <w:spacing w:val="2"/>
          <w:szCs w:val="22"/>
        </w:rPr>
        <w:t xml:space="preserve">and where the estimates of the quantity of </w:t>
      </w:r>
      <w:r>
        <w:rPr>
          <w:spacing w:val="2"/>
          <w:szCs w:val="22"/>
        </w:rPr>
        <w:t xml:space="preserve">captured </w:t>
      </w:r>
      <w:r w:rsidRPr="006577F4">
        <w:rPr>
          <w:spacing w:val="2"/>
          <w:szCs w:val="22"/>
        </w:rPr>
        <w:t>methane exceed 75</w:t>
      </w:r>
      <w:r>
        <w:rPr>
          <w:spacing w:val="2"/>
          <w:szCs w:val="22"/>
        </w:rPr>
        <w:t xml:space="preserve">% </w:t>
      </w:r>
      <w:r w:rsidRPr="006577F4">
        <w:rPr>
          <w:spacing w:val="2"/>
          <w:szCs w:val="22"/>
        </w:rPr>
        <w:t xml:space="preserve">of the estimated emissions generated by the landfill according to the application of the FOD model.  </w:t>
      </w:r>
    </w:p>
    <w:p w14:paraId="76EACBB3" w14:textId="6D6C1E96" w:rsidR="005042FA" w:rsidRPr="00790430" w:rsidRDefault="005042FA" w:rsidP="00790430">
      <w:pPr>
        <w:rPr>
          <w:rFonts w:cs="Arial"/>
        </w:rPr>
      </w:pPr>
      <w:r w:rsidRPr="00790430">
        <w:rPr>
          <w:rFonts w:cs="Arial"/>
        </w:rPr>
        <w:t>If the 75% threshold is exceeded (that is, if the quantity of methane captured, transferred offsite or flared exceeds 75% of the estimated methane generated at the landfill), then the emissions would be estimated as [1/0.75] multiplied by the quantity of methane captured. This essentially applies a maximum capture rate of 75%.</w:t>
      </w:r>
    </w:p>
    <w:p w14:paraId="289581F9" w14:textId="5C7DBEE5" w:rsidR="005042FA" w:rsidRPr="00FE22DC" w:rsidRDefault="005042FA" w:rsidP="005042FA">
      <w:pPr>
        <w:rPr>
          <w:szCs w:val="22"/>
          <w:lang w:eastAsia="en-AU"/>
        </w:rPr>
      </w:pPr>
      <w:r w:rsidRPr="00FE22DC">
        <w:rPr>
          <w:szCs w:val="22"/>
          <w:lang w:eastAsia="en-AU"/>
        </w:rPr>
        <w:t xml:space="preserve">The intent of the equation in </w:t>
      </w:r>
      <w:r w:rsidR="00DF0C40">
        <w:rPr>
          <w:szCs w:val="22"/>
          <w:lang w:eastAsia="en-AU"/>
        </w:rPr>
        <w:t xml:space="preserve">subsection </w:t>
      </w:r>
      <w:r w:rsidRPr="00FE22DC">
        <w:rPr>
          <w:szCs w:val="22"/>
          <w:lang w:eastAsia="en-AU"/>
        </w:rPr>
        <w:t xml:space="preserve">5.25(5) of the NGER </w:t>
      </w:r>
      <w:r>
        <w:rPr>
          <w:szCs w:val="22"/>
          <w:lang w:eastAsia="en-AU"/>
        </w:rPr>
        <w:t xml:space="preserve">Measurement </w:t>
      </w:r>
      <w:r w:rsidRPr="00FE22DC">
        <w:rPr>
          <w:szCs w:val="22"/>
          <w:lang w:eastAsia="en-AU"/>
        </w:rPr>
        <w:t xml:space="preserve">Determination is to estimate the theoretical quantity of methane generated at the plant, based on a simple COD mass balance. The equation is divided into </w:t>
      </w:r>
      <w:r w:rsidR="00C906E9">
        <w:rPr>
          <w:szCs w:val="22"/>
          <w:lang w:eastAsia="en-AU"/>
        </w:rPr>
        <w:t>2</w:t>
      </w:r>
      <w:r w:rsidRPr="00FE22DC">
        <w:rPr>
          <w:szCs w:val="22"/>
          <w:lang w:eastAsia="en-AU"/>
        </w:rPr>
        <w:t xml:space="preserve"> parts. </w:t>
      </w:r>
    </w:p>
    <w:p w14:paraId="0AA7EF53" w14:textId="77777777" w:rsidR="005042FA" w:rsidRPr="00FE22DC" w:rsidRDefault="005042FA" w:rsidP="005042FA">
      <w:pPr>
        <w:rPr>
          <w:szCs w:val="22"/>
          <w:lang w:eastAsia="en-AU"/>
        </w:rPr>
      </w:pPr>
      <w:r w:rsidRPr="00FE22DC">
        <w:rPr>
          <w:szCs w:val="22"/>
          <w:lang w:eastAsia="en-AU"/>
        </w:rPr>
        <w:t>The first part is a simple COD mass balance over the main wastewater treatment processes</w:t>
      </w:r>
      <w:r>
        <w:rPr>
          <w:szCs w:val="22"/>
          <w:lang w:eastAsia="en-AU"/>
        </w:rPr>
        <w:t>, that is,</w:t>
      </w:r>
      <w:r w:rsidRPr="00FE22DC">
        <w:rPr>
          <w:szCs w:val="22"/>
          <w:lang w:eastAsia="en-AU"/>
        </w:rPr>
        <w:t xml:space="preserve"> </w:t>
      </w:r>
      <w:r>
        <w:rPr>
          <w:szCs w:val="22"/>
          <w:lang w:eastAsia="en-AU"/>
        </w:rPr>
        <w:t>‘</w:t>
      </w:r>
      <w:r w:rsidRPr="00FE22DC">
        <w:rPr>
          <w:szCs w:val="22"/>
          <w:lang w:eastAsia="en-AU"/>
        </w:rPr>
        <w:t>liquid train</w:t>
      </w:r>
      <w:r>
        <w:rPr>
          <w:szCs w:val="22"/>
          <w:lang w:eastAsia="en-AU"/>
        </w:rPr>
        <w:t>’</w:t>
      </w:r>
      <w:r w:rsidRPr="00FE22DC">
        <w:rPr>
          <w:szCs w:val="22"/>
          <w:lang w:eastAsia="en-AU"/>
        </w:rPr>
        <w:t xml:space="preserve"> primary and secondary treatment. The second part is a simple COD mass balance over the sludge treatment processes</w:t>
      </w:r>
      <w:r>
        <w:rPr>
          <w:szCs w:val="22"/>
          <w:lang w:eastAsia="en-AU"/>
        </w:rPr>
        <w:t>, for example,</w:t>
      </w:r>
      <w:r w:rsidRPr="00FE22DC">
        <w:rPr>
          <w:szCs w:val="22"/>
          <w:lang w:eastAsia="en-AU"/>
        </w:rPr>
        <w:t xml:space="preserve"> anaerobic digesters, lagoons</w:t>
      </w:r>
      <w:r>
        <w:rPr>
          <w:szCs w:val="22"/>
          <w:lang w:eastAsia="en-AU"/>
        </w:rPr>
        <w:t xml:space="preserve"> and</w:t>
      </w:r>
      <w:r w:rsidRPr="00FE22DC">
        <w:rPr>
          <w:szCs w:val="22"/>
          <w:lang w:eastAsia="en-AU"/>
        </w:rPr>
        <w:t xml:space="preserve"> dewatering.</w:t>
      </w:r>
    </w:p>
    <w:p w14:paraId="56D50688" w14:textId="18D675BD" w:rsidR="005042FA" w:rsidRDefault="005042FA" w:rsidP="00790430">
      <w:r w:rsidRPr="00FE22DC">
        <w:rPr>
          <w:lang w:eastAsia="en-AU"/>
        </w:rPr>
        <w:t>Each COD mass balance determines how much COD is consumed in the treatment process by converting it to a gas. Multiplying by the maximum</w:t>
      </w:r>
      <w:r w:rsidR="00533468">
        <w:rPr>
          <w:lang w:eastAsia="en-AU"/>
        </w:rPr>
        <w:t xml:space="preserve"> </w:t>
      </w:r>
      <w:r w:rsidRPr="00FE22DC" w:rsidDel="00533468">
        <w:rPr>
          <w:lang w:eastAsia="en-AU"/>
        </w:rPr>
        <w:t>methane</w:t>
      </w:r>
      <w:r w:rsidRPr="00FE22DC">
        <w:rPr>
          <w:lang w:eastAsia="en-AU"/>
        </w:rPr>
        <w:t xml:space="preserve"> generation </w:t>
      </w:r>
      <w:r w:rsidR="004A35DD">
        <w:rPr>
          <w:lang w:eastAsia="en-AU"/>
        </w:rPr>
        <w:t xml:space="preserve">emission </w:t>
      </w:r>
      <w:r w:rsidRPr="00FE22DC">
        <w:rPr>
          <w:lang w:eastAsia="en-AU"/>
        </w:rPr>
        <w:t>factor calculates how much CH</w:t>
      </w:r>
      <w:r w:rsidRPr="00790430">
        <w:rPr>
          <w:vertAlign w:val="subscript"/>
          <w:lang w:eastAsia="en-AU"/>
        </w:rPr>
        <w:t>4</w:t>
      </w:r>
      <w:r w:rsidRPr="00FE22DC">
        <w:rPr>
          <w:lang w:eastAsia="en-AU"/>
        </w:rPr>
        <w:t xml:space="preserve"> would be generated if all the COD consumed is converted to CH</w:t>
      </w:r>
      <w:r w:rsidRPr="00790430">
        <w:rPr>
          <w:vertAlign w:val="subscript"/>
          <w:lang w:eastAsia="en-AU"/>
        </w:rPr>
        <w:t>4</w:t>
      </w:r>
      <w:r w:rsidRPr="00FE22DC">
        <w:rPr>
          <w:lang w:eastAsia="en-AU"/>
        </w:rPr>
        <w:t xml:space="preserve">. Then, multiplying by the process-specific </w:t>
      </w:r>
      <w:r>
        <w:rPr>
          <w:lang w:eastAsia="en-AU"/>
        </w:rPr>
        <w:t>methane correction</w:t>
      </w:r>
      <w:r w:rsidRPr="00FE22DC">
        <w:rPr>
          <w:lang w:eastAsia="en-AU"/>
        </w:rPr>
        <w:t xml:space="preserve"> </w:t>
      </w:r>
      <w:r>
        <w:rPr>
          <w:lang w:eastAsia="en-AU"/>
        </w:rPr>
        <w:t>factor</w:t>
      </w:r>
      <w:r w:rsidRPr="00FE22DC">
        <w:rPr>
          <w:lang w:eastAsia="en-AU"/>
        </w:rPr>
        <w:t xml:space="preserve"> (</w:t>
      </w:r>
      <w:proofErr w:type="spellStart"/>
      <w:r w:rsidRPr="00FE22DC">
        <w:rPr>
          <w:lang w:eastAsia="en-AU"/>
        </w:rPr>
        <w:t>MCF</w:t>
      </w:r>
      <w:r w:rsidRPr="00790430">
        <w:rPr>
          <w:vertAlign w:val="subscript"/>
          <w:lang w:eastAsia="en-AU"/>
        </w:rPr>
        <w:t>ww</w:t>
      </w:r>
      <w:proofErr w:type="spellEnd"/>
      <w:r w:rsidRPr="00FE22DC">
        <w:rPr>
          <w:lang w:eastAsia="en-AU"/>
        </w:rPr>
        <w:t xml:space="preserve"> or </w:t>
      </w:r>
      <w:proofErr w:type="spellStart"/>
      <w:r w:rsidRPr="00FE22DC">
        <w:rPr>
          <w:lang w:eastAsia="en-AU"/>
        </w:rPr>
        <w:t>MCF</w:t>
      </w:r>
      <w:r w:rsidRPr="00790430">
        <w:rPr>
          <w:vertAlign w:val="subscript"/>
          <w:lang w:eastAsia="en-AU"/>
        </w:rPr>
        <w:t>sl</w:t>
      </w:r>
      <w:proofErr w:type="spellEnd"/>
      <w:r w:rsidRPr="00FE22DC">
        <w:rPr>
          <w:lang w:eastAsia="en-AU"/>
        </w:rPr>
        <w:t>) calculates the expected fraction of</w:t>
      </w:r>
      <w:r w:rsidR="00533468">
        <w:rPr>
          <w:lang w:eastAsia="en-AU"/>
        </w:rPr>
        <w:t xml:space="preserve"> </w:t>
      </w:r>
      <w:r w:rsidRPr="00FE22DC" w:rsidDel="00533468">
        <w:rPr>
          <w:lang w:eastAsia="en-AU"/>
        </w:rPr>
        <w:t>methane</w:t>
      </w:r>
      <w:r w:rsidRPr="00FE22DC">
        <w:rPr>
          <w:lang w:eastAsia="en-AU"/>
        </w:rPr>
        <w:t xml:space="preserve"> emissions for that process.</w:t>
      </w:r>
      <w:r w:rsidRPr="001D31C6">
        <w:t xml:space="preserve"> </w:t>
      </w:r>
      <w:r w:rsidRPr="00FE22DC">
        <w:t>The</w:t>
      </w:r>
      <w:r w:rsidRPr="00FE22DC" w:rsidDel="00533468">
        <w:t xml:space="preserve"> methane</w:t>
      </w:r>
      <w:r w:rsidRPr="00FE22DC">
        <w:t xml:space="preserve"> correction factors are the fractions of COD anaerobically treated by the plant. Methane</w:t>
      </w:r>
      <w:r>
        <w:t xml:space="preserve"> is </w:t>
      </w:r>
      <w:r w:rsidRPr="00FE22DC">
        <w:t>only generated through anaerobic treatment of the COD and emissions estimates</w:t>
      </w:r>
      <w:r>
        <w:t xml:space="preserve"> are </w:t>
      </w:r>
      <w:r w:rsidRPr="00FE22DC">
        <w:t>corrected to eliminate any COD that is not anaerobically treated.</w:t>
      </w:r>
    </w:p>
    <w:p w14:paraId="45687F33" w14:textId="2A728327" w:rsidR="005042FA" w:rsidRPr="00FE22DC" w:rsidRDefault="005042FA" w:rsidP="005042FA">
      <w:pPr>
        <w:pStyle w:val="Caption"/>
      </w:pPr>
      <w:r>
        <w:t xml:space="preserve">Figure </w:t>
      </w:r>
      <w:bookmarkStart w:id="48" w:name="_Hlk42679795"/>
      <w:r>
        <w:fldChar w:fldCharType="begin"/>
      </w:r>
      <w:r>
        <w:instrText xml:space="preserve"> SEQ Figure \* ARABIC </w:instrText>
      </w:r>
      <w:r>
        <w:fldChar w:fldCharType="separate"/>
      </w:r>
      <w:r w:rsidR="00AB56A9">
        <w:rPr>
          <w:noProof/>
        </w:rPr>
        <w:t>1</w:t>
      </w:r>
      <w:r>
        <w:rPr>
          <w:noProof/>
        </w:rPr>
        <w:fldChar w:fldCharType="end"/>
      </w:r>
      <w:r>
        <w:t xml:space="preserve"> Wastewater treatment plant</w:t>
      </w:r>
      <w:r w:rsidR="002E7F11">
        <w:t>.</w:t>
      </w:r>
    </w:p>
    <w:p w14:paraId="54E4A1AA" w14:textId="4533E750" w:rsidR="005042FA" w:rsidRPr="00FE22DC" w:rsidRDefault="005042FA" w:rsidP="00790430">
      <w:pPr>
        <w:jc w:val="center"/>
        <w:rPr>
          <w:szCs w:val="22"/>
          <w:lang w:eastAsia="en-AU"/>
        </w:rPr>
      </w:pPr>
      <w:r>
        <w:rPr>
          <w:noProof/>
        </w:rPr>
        <w:lastRenderedPageBreak/>
        <w:drawing>
          <wp:inline distT="0" distB="0" distL="0" distR="0" wp14:anchorId="047AFB4A" wp14:editId="7543A108">
            <wp:extent cx="6188710" cy="3371850"/>
            <wp:effectExtent l="0" t="0" r="2540" b="0"/>
            <wp:docPr id="250" name="Picture 250" descr="A diagram of a wastewater treatment plant illustrating three main processes: Primary Wastewater Treatment, Secondary Wastewater Treatment, and Sludge Treatment. Chemical Oxygen Demand (COD) is tracked at multiple stages, including COD_w (influent), COD_eff (effluent), COD_psl, COD_wasl, and COD_sl. Methane Correction Factors (MCF) are shown for both wastewater (MCF_ww) and sludge (MCF_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Picture 250" descr="A diagram of a wastewater treatment plant illustrating three main processes: Primary Wastewater Treatment, Secondary Wastewater Treatment, and Sludge Treatment. Chemical Oxygen Demand (COD) is tracked at multiple stages, including COD_w (influent), COD_eff (effluent), COD_psl, COD_wasl, and COD_sl. Methane Correction Factors (MCF) are shown for both wastewater (MCF_ww) and sludge (MCF_sl)."/>
                    <pic:cNvPicPr>
                      <a:picLocks noChangeAspect="1" noChangeArrowheads="1"/>
                    </pic:cNvPicPr>
                  </pic:nvPicPr>
                  <pic:blipFill rotWithShape="1">
                    <a:blip r:embed="rId32">
                      <a:extLst>
                        <a:ext uri="{28A0092B-C50C-407E-A947-70E740481C1C}">
                          <a14:useLocalDpi xmlns:a14="http://schemas.microsoft.com/office/drawing/2010/main" val="0"/>
                        </a:ext>
                      </a:extLst>
                    </a:blip>
                    <a:srcRect/>
                    <a:stretch/>
                  </pic:blipFill>
                  <pic:spPr bwMode="auto">
                    <a:xfrm>
                      <a:off x="0" y="0"/>
                      <a:ext cx="6188710" cy="3371850"/>
                    </a:xfrm>
                    <a:prstGeom prst="rect">
                      <a:avLst/>
                    </a:prstGeom>
                    <a:noFill/>
                    <a:ln>
                      <a:noFill/>
                    </a:ln>
                    <a:extLst>
                      <a:ext uri="{53640926-AAD7-44D8-BBD7-CCE9431645EC}">
                        <a14:shadowObscured xmlns:a14="http://schemas.microsoft.com/office/drawing/2010/main"/>
                      </a:ext>
                    </a:extLst>
                  </pic:spPr>
                </pic:pic>
              </a:graphicData>
            </a:graphic>
          </wp:inline>
        </w:drawing>
      </w:r>
    </w:p>
    <w:p w14:paraId="621AE44D" w14:textId="766F803D" w:rsidR="005042FA" w:rsidRPr="00FE22DC" w:rsidRDefault="005042FA" w:rsidP="005042FA">
      <w:pPr>
        <w:pStyle w:val="Text"/>
        <w:spacing w:before="0" w:after="200" w:line="240" w:lineRule="auto"/>
        <w:rPr>
          <w:rFonts w:asciiTheme="minorHAnsi" w:hAnsiTheme="minorHAnsi" w:cstheme="minorBidi"/>
          <w:sz w:val="22"/>
          <w:szCs w:val="22"/>
        </w:rPr>
      </w:pPr>
      <w:r w:rsidRPr="65607FD3">
        <w:rPr>
          <w:rFonts w:asciiTheme="minorHAnsi" w:hAnsiTheme="minorHAnsi" w:cstheme="minorBidi"/>
          <w:sz w:val="22"/>
          <w:szCs w:val="22"/>
        </w:rPr>
        <w:t xml:space="preserve">Division 5.3.3 of the NGER Measurement Determination sets out </w:t>
      </w:r>
      <w:r w:rsidR="02446540" w:rsidRPr="65607FD3">
        <w:rPr>
          <w:rFonts w:asciiTheme="minorHAnsi" w:hAnsiTheme="minorHAnsi" w:cstheme="minorBidi"/>
          <w:sz w:val="22"/>
          <w:szCs w:val="22"/>
        </w:rPr>
        <w:t>M</w:t>
      </w:r>
      <w:r w:rsidRPr="65607FD3">
        <w:rPr>
          <w:rFonts w:asciiTheme="minorHAnsi" w:hAnsiTheme="minorHAnsi" w:cstheme="minorBidi"/>
          <w:sz w:val="22"/>
          <w:szCs w:val="22"/>
        </w:rPr>
        <w:t>ethod 2 for the estimation of</w:t>
      </w:r>
      <w:r w:rsidR="00C07032" w:rsidRPr="65607FD3">
        <w:rPr>
          <w:rFonts w:asciiTheme="minorHAnsi" w:hAnsiTheme="minorHAnsi" w:cstheme="minorBidi"/>
          <w:sz w:val="22"/>
          <w:szCs w:val="22"/>
        </w:rPr>
        <w:t xml:space="preserve"> </w:t>
      </w:r>
      <w:r w:rsidRPr="65607FD3" w:rsidDel="00C07032">
        <w:rPr>
          <w:rFonts w:asciiTheme="minorHAnsi" w:hAnsiTheme="minorHAnsi" w:cstheme="minorBidi"/>
          <w:sz w:val="22"/>
          <w:szCs w:val="22"/>
        </w:rPr>
        <w:t>methane</w:t>
      </w:r>
      <w:r w:rsidRPr="65607FD3" w:rsidDel="009637A2">
        <w:rPr>
          <w:rFonts w:asciiTheme="minorHAnsi" w:hAnsiTheme="minorHAnsi" w:cstheme="minorBidi"/>
          <w:sz w:val="22"/>
          <w:szCs w:val="22"/>
        </w:rPr>
        <w:t xml:space="preserve"> </w:t>
      </w:r>
      <w:r w:rsidRPr="65607FD3">
        <w:rPr>
          <w:rFonts w:asciiTheme="minorHAnsi" w:hAnsiTheme="minorHAnsi" w:cstheme="minorBidi"/>
          <w:sz w:val="22"/>
          <w:szCs w:val="22"/>
        </w:rPr>
        <w:t>emissions from wastewater handling, which requires estimates of COD concentrations in wastewater estimated using sampling undertaking in accordance with section 5.27 and analysis conducted in accordance with section 5.28, which allows the use of certain listed Australian or international standards or an equivalent standard. It is likely that many facilities collect this data routinely for existing regulatory reasons.</w:t>
      </w:r>
    </w:p>
    <w:p w14:paraId="3CB54D3E" w14:textId="0AF97091" w:rsidR="005042FA" w:rsidRPr="00FE22DC" w:rsidRDefault="005042FA" w:rsidP="005042FA">
      <w:pPr>
        <w:pStyle w:val="Text"/>
        <w:spacing w:before="0" w:after="200" w:line="240" w:lineRule="auto"/>
        <w:rPr>
          <w:rStyle w:val="CharSectno"/>
          <w:rFonts w:asciiTheme="minorHAnsi" w:hAnsiTheme="minorHAnsi" w:cstheme="minorBidi"/>
          <w:sz w:val="22"/>
          <w:szCs w:val="22"/>
        </w:rPr>
      </w:pPr>
      <w:r w:rsidRPr="65607FD3">
        <w:rPr>
          <w:rFonts w:asciiTheme="minorHAnsi" w:hAnsiTheme="minorHAnsi" w:cstheme="minorBidi"/>
          <w:sz w:val="22"/>
          <w:szCs w:val="22"/>
        </w:rPr>
        <w:t xml:space="preserve">Section 5.30 of the NGER Measurement Determination sets out </w:t>
      </w:r>
      <w:r w:rsidR="45AC7EF6" w:rsidRPr="65607FD3">
        <w:rPr>
          <w:rFonts w:asciiTheme="minorHAnsi" w:hAnsiTheme="minorHAnsi" w:cstheme="minorBidi"/>
          <w:sz w:val="22"/>
          <w:szCs w:val="22"/>
        </w:rPr>
        <w:t>M</w:t>
      </w:r>
      <w:r w:rsidRPr="65607FD3">
        <w:rPr>
          <w:rFonts w:asciiTheme="minorHAnsi" w:hAnsiTheme="minorHAnsi" w:cstheme="minorBidi"/>
          <w:sz w:val="22"/>
          <w:szCs w:val="22"/>
        </w:rPr>
        <w:t>ethod 3 for the estimation of</w:t>
      </w:r>
      <w:r w:rsidR="009637A2" w:rsidRPr="65607FD3">
        <w:rPr>
          <w:rFonts w:asciiTheme="minorHAnsi" w:hAnsiTheme="minorHAnsi" w:cstheme="minorBidi"/>
          <w:sz w:val="22"/>
          <w:szCs w:val="22"/>
        </w:rPr>
        <w:t xml:space="preserve"> </w:t>
      </w:r>
      <w:r w:rsidRPr="65607FD3" w:rsidDel="009637A2">
        <w:rPr>
          <w:rFonts w:asciiTheme="minorHAnsi" w:hAnsiTheme="minorHAnsi" w:cstheme="minorBidi"/>
          <w:sz w:val="22"/>
          <w:szCs w:val="22"/>
        </w:rPr>
        <w:t xml:space="preserve">methane </w:t>
      </w:r>
      <w:r w:rsidRPr="65607FD3">
        <w:rPr>
          <w:rFonts w:asciiTheme="minorHAnsi" w:hAnsiTheme="minorHAnsi" w:cstheme="minorBidi"/>
          <w:sz w:val="22"/>
          <w:szCs w:val="22"/>
        </w:rPr>
        <w:t xml:space="preserve">emissions from wastewater handling, which is the same as </w:t>
      </w:r>
      <w:r w:rsidR="4795A9D7" w:rsidRPr="65607FD3">
        <w:rPr>
          <w:rFonts w:asciiTheme="minorHAnsi" w:hAnsiTheme="minorHAnsi" w:cstheme="minorBidi"/>
          <w:sz w:val="22"/>
          <w:szCs w:val="22"/>
        </w:rPr>
        <w:t>M</w:t>
      </w:r>
      <w:r w:rsidRPr="65607FD3">
        <w:rPr>
          <w:rFonts w:asciiTheme="minorHAnsi" w:hAnsiTheme="minorHAnsi" w:cstheme="minorBidi"/>
          <w:sz w:val="22"/>
          <w:szCs w:val="22"/>
        </w:rPr>
        <w:t>ethod 2, except that the wastewater must be sampled in accordance with AS/NZS 5667.10:1998 or an equivalent Australian or international standard.</w:t>
      </w:r>
    </w:p>
    <w:p w14:paraId="12611340" w14:textId="77777777" w:rsidR="005042FA" w:rsidRPr="00CE5DFC" w:rsidRDefault="005042FA" w:rsidP="000910BB">
      <w:pPr>
        <w:pStyle w:val="Heading2"/>
        <w:numPr>
          <w:ilvl w:val="1"/>
          <w:numId w:val="3"/>
        </w:numPr>
        <w:tabs>
          <w:tab w:val="num" w:pos="567"/>
        </w:tabs>
        <w:spacing w:line="276" w:lineRule="auto"/>
        <w:ind w:left="567" w:hanging="567"/>
      </w:pPr>
      <w:bookmarkStart w:id="49" w:name="_Toc43871043"/>
      <w:bookmarkStart w:id="50" w:name="_Toc76041541"/>
      <w:bookmarkStart w:id="51" w:name="_Toc235611542"/>
      <w:r w:rsidRPr="00CE5DFC">
        <w:rPr>
          <w:bCs w:val="0"/>
        </w:rPr>
        <w:t xml:space="preserve">Nitrous oxide </w:t>
      </w:r>
      <w:r>
        <w:rPr>
          <w:bCs w:val="0"/>
        </w:rPr>
        <w:t xml:space="preserve">emissions </w:t>
      </w:r>
      <w:r w:rsidRPr="00CE5DFC">
        <w:rPr>
          <w:bCs w:val="0"/>
        </w:rPr>
        <w:t>from wastewater handling (domestic and commercial)</w:t>
      </w:r>
      <w:bookmarkStart w:id="52" w:name="_Hlk42689849"/>
      <w:bookmarkEnd w:id="49"/>
      <w:bookmarkEnd w:id="50"/>
      <w:bookmarkEnd w:id="51"/>
    </w:p>
    <w:p w14:paraId="312C3BEB" w14:textId="1E60245F" w:rsidR="005042FA" w:rsidRDefault="005042FA" w:rsidP="0072212A">
      <w:pPr>
        <w:spacing w:before="240"/>
      </w:pPr>
      <w:r w:rsidRPr="65607FD3">
        <w:t xml:space="preserve">Section 5.31 of the NGER Measurement Determination sets out </w:t>
      </w:r>
      <w:r w:rsidR="3884BC6E" w:rsidRPr="65607FD3">
        <w:t>M</w:t>
      </w:r>
      <w:r w:rsidRPr="65607FD3">
        <w:t>ethod 1 for the estimation of nitrous</w:t>
      </w:r>
      <w:r w:rsidRPr="0030215C" w:rsidDel="00CD5C33">
        <w:rPr>
          <w:szCs w:val="22"/>
        </w:rPr>
        <w:t xml:space="preserve"> </w:t>
      </w:r>
      <w:r w:rsidRPr="65607FD3">
        <w:t>oxide emissions.</w:t>
      </w:r>
      <w:bookmarkStart w:id="53" w:name="_Toc423517210"/>
      <w:bookmarkStart w:id="54" w:name="_Toc495653154"/>
      <w:bookmarkStart w:id="55" w:name="_Hlk42690203"/>
      <w:bookmarkEnd w:id="52"/>
      <w:r w:rsidRPr="0030215C">
        <w:rPr>
          <w:spacing w:val="-2"/>
        </w:rPr>
        <w:t xml:space="preserve"> </w:t>
      </w:r>
    </w:p>
    <w:p w14:paraId="09036CA8" w14:textId="6960251B" w:rsidR="005042FA" w:rsidRDefault="005042FA" w:rsidP="005042FA">
      <w:r w:rsidRPr="0030215C">
        <w:rPr>
          <w:spacing w:val="-2"/>
        </w:rPr>
        <w:t>Section</w:t>
      </w:r>
      <w:r>
        <w:rPr>
          <w:spacing w:val="-2"/>
        </w:rPr>
        <w:t>s</w:t>
      </w:r>
      <w:r w:rsidRPr="0030215C">
        <w:rPr>
          <w:spacing w:val="-2"/>
        </w:rPr>
        <w:t xml:space="preserve"> 5.32 to 5.35 of the NGER </w:t>
      </w:r>
      <w:r>
        <w:rPr>
          <w:spacing w:val="-2"/>
        </w:rPr>
        <w:t xml:space="preserve">Measurement </w:t>
      </w:r>
      <w:r w:rsidRPr="0030215C">
        <w:rPr>
          <w:spacing w:val="-2"/>
        </w:rPr>
        <w:t xml:space="preserve">Determination set out </w:t>
      </w:r>
      <w:r w:rsidR="03126912" w:rsidRPr="0030215C">
        <w:rPr>
          <w:spacing w:val="-2"/>
        </w:rPr>
        <w:t>M</w:t>
      </w:r>
      <w:r>
        <w:rPr>
          <w:spacing w:val="-2"/>
        </w:rPr>
        <w:t>ethod</w:t>
      </w:r>
      <w:r w:rsidRPr="0030215C">
        <w:rPr>
          <w:spacing w:val="-2"/>
        </w:rPr>
        <w:t xml:space="preserve"> 2 for the estimation of</w:t>
      </w:r>
      <w:r w:rsidR="00CD5C33">
        <w:rPr>
          <w:spacing w:val="-2"/>
        </w:rPr>
        <w:t xml:space="preserve"> </w:t>
      </w:r>
      <w:r w:rsidDel="00CD5C33">
        <w:rPr>
          <w:spacing w:val="-2"/>
        </w:rPr>
        <w:t>n</w:t>
      </w:r>
      <w:r w:rsidRPr="0030215C" w:rsidDel="00CD5C33">
        <w:rPr>
          <w:spacing w:val="-2"/>
        </w:rPr>
        <w:t>itrous oxide</w:t>
      </w:r>
      <w:r w:rsidRPr="0030215C">
        <w:rPr>
          <w:spacing w:val="-2"/>
        </w:rPr>
        <w:t xml:space="preserve"> emissions from wastewater handling. </w:t>
      </w:r>
      <w:r>
        <w:rPr>
          <w:spacing w:val="-2"/>
        </w:rPr>
        <w:t>Method 2</w:t>
      </w:r>
      <w:r w:rsidRPr="0030215C">
        <w:rPr>
          <w:spacing w:val="-2"/>
        </w:rPr>
        <w:t xml:space="preserve"> requires the sampling and analysis of nitrogen quantities in the wastewater and sludge in accordance with</w:t>
      </w:r>
      <w:r>
        <w:rPr>
          <w:spacing w:val="-2"/>
        </w:rPr>
        <w:t xml:space="preserve"> sections 5.33 to 5.35 and in accordance with the</w:t>
      </w:r>
      <w:r w:rsidRPr="0030215C">
        <w:rPr>
          <w:spacing w:val="-2"/>
        </w:rPr>
        <w:t xml:space="preserve"> listed Australian or international standards </w:t>
      </w:r>
      <w:r>
        <w:rPr>
          <w:spacing w:val="-2"/>
        </w:rPr>
        <w:t xml:space="preserve">in section 5.34 </w:t>
      </w:r>
      <w:r w:rsidRPr="0030215C">
        <w:rPr>
          <w:spacing w:val="-2"/>
        </w:rPr>
        <w:t>or an equivalent standard. It is likely that many facilities collect this data routinely for regulatory reasons.</w:t>
      </w:r>
    </w:p>
    <w:p w14:paraId="636C2B0B" w14:textId="457F4B31" w:rsidR="005042FA" w:rsidRDefault="005042FA" w:rsidP="005042FA">
      <w:r w:rsidRPr="00746F7E">
        <w:rPr>
          <w:spacing w:val="-2"/>
        </w:rPr>
        <w:t xml:space="preserve">Section 5.36 </w:t>
      </w:r>
      <w:r w:rsidRPr="0030215C">
        <w:rPr>
          <w:spacing w:val="-2"/>
        </w:rPr>
        <w:t xml:space="preserve">of the NGER Determination </w:t>
      </w:r>
      <w:r w:rsidRPr="00746F7E">
        <w:rPr>
          <w:spacing w:val="-2"/>
        </w:rPr>
        <w:t xml:space="preserve">sets out </w:t>
      </w:r>
      <w:r w:rsidR="19CAACDB" w:rsidRPr="00746F7E">
        <w:rPr>
          <w:spacing w:val="-2"/>
        </w:rPr>
        <w:t>M</w:t>
      </w:r>
      <w:r>
        <w:rPr>
          <w:spacing w:val="-2"/>
        </w:rPr>
        <w:t>ethod</w:t>
      </w:r>
      <w:r w:rsidRPr="00746F7E">
        <w:rPr>
          <w:spacing w:val="-2"/>
        </w:rPr>
        <w:t xml:space="preserve"> 3 for the estimation of</w:t>
      </w:r>
      <w:r w:rsidR="009D6D38">
        <w:rPr>
          <w:spacing w:val="-2"/>
        </w:rPr>
        <w:t xml:space="preserve"> </w:t>
      </w:r>
      <w:r w:rsidDel="009D6D38">
        <w:rPr>
          <w:spacing w:val="-2"/>
        </w:rPr>
        <w:t>n</w:t>
      </w:r>
      <w:r w:rsidRPr="00746F7E" w:rsidDel="009D6D38">
        <w:rPr>
          <w:spacing w:val="-2"/>
        </w:rPr>
        <w:t>itrous oxide</w:t>
      </w:r>
      <w:r w:rsidRPr="00746F7E">
        <w:rPr>
          <w:spacing w:val="-2"/>
        </w:rPr>
        <w:t xml:space="preserve"> emissions from wastewater handling.  Method 3 is very similar to </w:t>
      </w:r>
      <w:r w:rsidR="7A86FCBD" w:rsidRPr="00746F7E">
        <w:rPr>
          <w:spacing w:val="-2"/>
        </w:rPr>
        <w:t>M</w:t>
      </w:r>
      <w:r>
        <w:rPr>
          <w:spacing w:val="-2"/>
        </w:rPr>
        <w:t>ethod</w:t>
      </w:r>
      <w:r w:rsidRPr="00746F7E">
        <w:rPr>
          <w:spacing w:val="-2"/>
        </w:rPr>
        <w:t xml:space="preserve"> 2, except that</w:t>
      </w:r>
      <w:r>
        <w:rPr>
          <w:spacing w:val="-2"/>
        </w:rPr>
        <w:t>:</w:t>
      </w:r>
    </w:p>
    <w:p w14:paraId="47BC1FCF" w14:textId="77777777" w:rsidR="005042FA" w:rsidRDefault="005042FA" w:rsidP="005042FA">
      <w:pPr>
        <w:pStyle w:val="CERbullets"/>
        <w:ind w:left="360" w:hanging="360"/>
      </w:pPr>
      <w:r w:rsidRPr="00342E37">
        <w:t xml:space="preserve">the sampling of the wastewater </w:t>
      </w:r>
      <w:r>
        <w:t xml:space="preserve">must be undertaken in accordance with </w:t>
      </w:r>
      <w:proofErr w:type="gramStart"/>
      <w:r w:rsidRPr="004C5A01">
        <w:t>AS:NZS</w:t>
      </w:r>
      <w:proofErr w:type="gramEnd"/>
      <w:r w:rsidRPr="004C5A01">
        <w:t xml:space="preserve"> 5667.10:1998 or an equivalent Australian or international standard</w:t>
      </w:r>
    </w:p>
    <w:p w14:paraId="171D27BC" w14:textId="77777777" w:rsidR="005042FA" w:rsidRPr="00342E37" w:rsidRDefault="005042FA" w:rsidP="005042FA">
      <w:pPr>
        <w:pStyle w:val="CERbullets"/>
        <w:ind w:left="360" w:hanging="360"/>
      </w:pPr>
      <w:r w:rsidRPr="00342E37">
        <w:t>the sampling of the sludge must be undertaken in accordance</w:t>
      </w:r>
      <w:r>
        <w:t xml:space="preserve"> with </w:t>
      </w:r>
      <w:r w:rsidRPr="00342E37">
        <w:t>ISO 5667-13:1997 or an equivalent Australian or international standard.</w:t>
      </w:r>
    </w:p>
    <w:p w14:paraId="548A217A" w14:textId="77777777" w:rsidR="005042FA" w:rsidRPr="00CE5DFC" w:rsidRDefault="005042FA" w:rsidP="000910BB">
      <w:pPr>
        <w:pStyle w:val="Heading2"/>
        <w:numPr>
          <w:ilvl w:val="1"/>
          <w:numId w:val="3"/>
        </w:numPr>
        <w:tabs>
          <w:tab w:val="num" w:pos="567"/>
        </w:tabs>
        <w:spacing w:line="276" w:lineRule="auto"/>
        <w:ind w:left="1440" w:hanging="1440"/>
      </w:pPr>
      <w:bookmarkStart w:id="56" w:name="_Toc43871044"/>
      <w:bookmarkStart w:id="57" w:name="_Toc76041542"/>
      <w:bookmarkStart w:id="58" w:name="_Toc235611543"/>
      <w:r w:rsidRPr="00CE5DFC">
        <w:rPr>
          <w:bCs w:val="0"/>
        </w:rPr>
        <w:lastRenderedPageBreak/>
        <w:t>Wastewater handling (domestic and commercial) - Flaring</w:t>
      </w:r>
      <w:bookmarkEnd w:id="56"/>
      <w:bookmarkEnd w:id="57"/>
      <w:bookmarkEnd w:id="58"/>
    </w:p>
    <w:p w14:paraId="5233186A" w14:textId="3F74712A" w:rsidR="005042FA" w:rsidRDefault="005042FA" w:rsidP="0072212A">
      <w:pPr>
        <w:spacing w:before="240"/>
      </w:pPr>
      <w:bookmarkStart w:id="59" w:name="_Hlk42690805"/>
      <w:bookmarkStart w:id="60" w:name="_Toc423517211"/>
      <w:bookmarkEnd w:id="53"/>
      <w:bookmarkEnd w:id="54"/>
      <w:bookmarkEnd w:id="55"/>
      <w:r>
        <w:t>Sect</w:t>
      </w:r>
      <w:bookmarkEnd w:id="59"/>
      <w:r>
        <w:t xml:space="preserve">ions 5.37 to 5.39 of the NGER Measurement Determination set out </w:t>
      </w:r>
      <w:r w:rsidR="283147FE">
        <w:t>M</w:t>
      </w:r>
      <w:r>
        <w:t>ethods 1, 2 and 3 for the flaring of gas. Method 1 is derived from the methods used for Australia's National Greenhouse Accounts. Methods 2 and 3 rely on the sampling and analysis of the gas to estimate its composition to more accurately estimate the quantity of methane flared.</w:t>
      </w:r>
      <w:bookmarkEnd w:id="60"/>
      <w:r>
        <w:t xml:space="preserve"> </w:t>
      </w:r>
    </w:p>
    <w:p w14:paraId="1C670756" w14:textId="1002FE58" w:rsidR="00B126D5" w:rsidRDefault="005042FA" w:rsidP="00FE3B54">
      <w:pPr>
        <w:rPr>
          <w:rFonts w:ascii="Calibri" w:eastAsia="Times New Roman" w:hAnsi="Calibri" w:cs="Calibri"/>
          <w:b/>
          <w:bCs/>
          <w:kern w:val="32"/>
          <w:sz w:val="40"/>
        </w:rPr>
      </w:pPr>
      <w:r>
        <w:t xml:space="preserve">Method 2 requires that the sludge biogas be sampled and analysed in accordance with Subdivision 2.3.3.2 of the NGER Measurement Determination, and </w:t>
      </w:r>
      <w:r w:rsidR="511077BA">
        <w:t>M</w:t>
      </w:r>
      <w:r>
        <w:t xml:space="preserve">ethod 3 requires that the sludge biogas be sampled and analysed in accordance with Division 2.3.4 of the NGER Measurement Determination. Both </w:t>
      </w:r>
      <w:r w:rsidR="2C9EBB3D">
        <w:t>M</w:t>
      </w:r>
      <w:r>
        <w:t>ethods 2 and 3 require compliance with the measuring requirements in Division 2.3.6 of the NGER Measurement Determination.</w:t>
      </w:r>
      <w:bookmarkStart w:id="61" w:name="_Toc43871045"/>
      <w:bookmarkStart w:id="62" w:name="_Toc76041543"/>
      <w:bookmarkStart w:id="63" w:name="_Toc329350827"/>
      <w:bookmarkEnd w:id="48"/>
    </w:p>
    <w:p w14:paraId="65CF0EE7" w14:textId="64B55ABE" w:rsidR="005042FA" w:rsidRPr="0030215C" w:rsidRDefault="005042FA" w:rsidP="000910BB">
      <w:pPr>
        <w:pStyle w:val="Heading1"/>
        <w:numPr>
          <w:ilvl w:val="0"/>
          <w:numId w:val="3"/>
        </w:numPr>
        <w:spacing w:line="276" w:lineRule="auto"/>
        <w:ind w:left="567" w:hanging="567"/>
      </w:pPr>
      <w:bookmarkStart w:id="64" w:name="_Toc235611544"/>
      <w:r w:rsidRPr="0030215C">
        <w:t xml:space="preserve">Estimating emissions from wastewater handling </w:t>
      </w:r>
      <w:bookmarkStart w:id="65" w:name="_Hlk42684633"/>
      <w:r w:rsidRPr="0030215C">
        <w:t>(industrial)</w:t>
      </w:r>
      <w:bookmarkEnd w:id="61"/>
      <w:bookmarkEnd w:id="62"/>
      <w:bookmarkEnd w:id="64"/>
    </w:p>
    <w:p w14:paraId="537BAD27" w14:textId="77777777" w:rsidR="005042FA" w:rsidRPr="0030215C" w:rsidRDefault="005042FA" w:rsidP="000910BB">
      <w:pPr>
        <w:pStyle w:val="Heading2"/>
        <w:numPr>
          <w:ilvl w:val="1"/>
          <w:numId w:val="3"/>
        </w:numPr>
        <w:tabs>
          <w:tab w:val="num" w:pos="1440"/>
        </w:tabs>
        <w:spacing w:line="276" w:lineRule="auto"/>
        <w:ind w:left="720" w:hanging="720"/>
      </w:pPr>
      <w:bookmarkStart w:id="66" w:name="_Toc43871046"/>
      <w:bookmarkStart w:id="67" w:name="_Toc76041544"/>
      <w:bookmarkStart w:id="68" w:name="_Toc235611545"/>
      <w:r w:rsidRPr="0030215C">
        <w:t>Sources of emissions</w:t>
      </w:r>
      <w:bookmarkEnd w:id="66"/>
      <w:bookmarkEnd w:id="67"/>
      <w:bookmarkEnd w:id="68"/>
    </w:p>
    <w:p w14:paraId="4AAE86F6" w14:textId="77777777" w:rsidR="005042FA" w:rsidRDefault="005042FA" w:rsidP="0072212A">
      <w:pPr>
        <w:widowControl w:val="0"/>
        <w:spacing w:before="240"/>
        <w:rPr>
          <w:rFonts w:eastAsia="Arial"/>
          <w:color w:val="auto"/>
          <w:szCs w:val="22"/>
          <w:lang w:val="en-GB"/>
        </w:rPr>
      </w:pPr>
      <w:r w:rsidRPr="0030215C">
        <w:rPr>
          <w:rFonts w:eastAsia="Arial"/>
          <w:color w:val="auto"/>
          <w:szCs w:val="22"/>
          <w:lang w:val="en-GB"/>
        </w:rPr>
        <w:t xml:space="preserve">Industrial wastewater refers to liquid wastes and sludge resulting from </w:t>
      </w:r>
      <w:bookmarkEnd w:id="65"/>
      <w:r>
        <w:rPr>
          <w:rFonts w:eastAsia="Arial"/>
          <w:color w:val="auto"/>
          <w:szCs w:val="22"/>
          <w:lang w:val="en-GB"/>
        </w:rPr>
        <w:t xml:space="preserve">the production of industrial commodities, listed in column 1 of an item of the table in subsection 5.42(8) of the NGER </w:t>
      </w:r>
      <w:r>
        <w:rPr>
          <w:szCs w:val="22"/>
        </w:rPr>
        <w:t xml:space="preserve">Measurement </w:t>
      </w:r>
      <w:r>
        <w:rPr>
          <w:rFonts w:eastAsia="Arial"/>
          <w:color w:val="auto"/>
          <w:szCs w:val="22"/>
          <w:lang w:val="en-GB"/>
        </w:rPr>
        <w:t xml:space="preserve">Determination, and listed below in </w:t>
      </w:r>
      <w:hyperlink w:anchor="_Emissions_of_Methane" w:history="1">
        <w:r w:rsidRPr="009F1076">
          <w:rPr>
            <w:rStyle w:val="Hyperlink"/>
            <w:rFonts w:asciiTheme="minorHAnsi" w:eastAsia="Arial" w:hAnsiTheme="minorHAnsi"/>
            <w:szCs w:val="22"/>
            <w:lang w:val="en-GB"/>
          </w:rPr>
          <w:t>section 4.3</w:t>
        </w:r>
      </w:hyperlink>
      <w:r>
        <w:rPr>
          <w:rFonts w:eastAsia="Arial"/>
          <w:color w:val="auto"/>
          <w:szCs w:val="22"/>
          <w:lang w:val="en-GB"/>
        </w:rPr>
        <w:t xml:space="preserve"> of this document.</w:t>
      </w:r>
    </w:p>
    <w:p w14:paraId="247C6462" w14:textId="77777777" w:rsidR="005042FA" w:rsidRPr="00C05057" w:rsidRDefault="005042FA" w:rsidP="005042FA">
      <w:pPr>
        <w:widowControl w:val="0"/>
        <w:rPr>
          <w:rFonts w:eastAsia="Arial"/>
          <w:color w:val="auto"/>
          <w:szCs w:val="22"/>
          <w:lang w:val="en-GB"/>
        </w:rPr>
      </w:pPr>
      <w:r>
        <w:rPr>
          <w:rFonts w:eastAsia="Arial"/>
          <w:color w:val="auto"/>
          <w:szCs w:val="22"/>
          <w:lang w:val="en-GB"/>
        </w:rPr>
        <w:t>Emissions from wastewater handling (industrial) result from the decomposition of organic material and the flaring of sludge biogas, resulting from the handling of industrial wastewater through treatment in wastewater collection and treatment systems.</w:t>
      </w:r>
    </w:p>
    <w:p w14:paraId="5323D559" w14:textId="77777777" w:rsidR="005042FA" w:rsidRDefault="005042FA" w:rsidP="005042FA">
      <w:pPr>
        <w:rPr>
          <w:rFonts w:eastAsia="Arial"/>
        </w:rPr>
      </w:pPr>
      <w:r w:rsidRPr="0030215C">
        <w:rPr>
          <w:rFonts w:eastAsia="Arial"/>
        </w:rPr>
        <w:t xml:space="preserve">A summary of the available methods used to calculate emissions generated by </w:t>
      </w:r>
      <w:r>
        <w:rPr>
          <w:rFonts w:eastAsia="Arial"/>
        </w:rPr>
        <w:t>wastewater</w:t>
      </w:r>
      <w:r w:rsidRPr="0030215C">
        <w:rPr>
          <w:rFonts w:eastAsia="Arial"/>
        </w:rPr>
        <w:t xml:space="preserve"> handling (industrial) for the NGER </w:t>
      </w:r>
      <w:r>
        <w:rPr>
          <w:szCs w:val="22"/>
        </w:rPr>
        <w:t xml:space="preserve">Measurement </w:t>
      </w:r>
      <w:r w:rsidRPr="0030215C">
        <w:rPr>
          <w:rFonts w:eastAsia="Arial"/>
        </w:rPr>
        <w:t>Determination is provided below.</w:t>
      </w:r>
    </w:p>
    <w:p w14:paraId="5989FDC1" w14:textId="4D69E79B" w:rsidR="00790430" w:rsidRPr="00790430" w:rsidRDefault="005042FA" w:rsidP="003706F8">
      <w:pPr>
        <w:pStyle w:val="Caption"/>
      </w:pPr>
      <w:r w:rsidRPr="00790430">
        <w:t xml:space="preserve">Table </w:t>
      </w:r>
      <w:fldSimple w:instr=" SEQ Table \* ARABIC ">
        <w:r w:rsidR="00AB56A9">
          <w:rPr>
            <w:noProof/>
          </w:rPr>
          <w:t>4</w:t>
        </w:r>
      </w:fldSimple>
      <w:r w:rsidR="00790430" w:rsidRPr="00790430">
        <w:t>.</w:t>
      </w:r>
      <w:r w:rsidRPr="00790430">
        <w:t xml:space="preserve"> Summary of available methods, by emissions of gas type</w:t>
      </w:r>
      <w:r w:rsidR="003706F8">
        <w:t xml:space="preserve"> - e</w:t>
      </w:r>
      <w:r w:rsidR="00790430" w:rsidRPr="000F7E30">
        <w:t>missions from wastewater handling (industrial)</w:t>
      </w:r>
      <w:r w:rsidR="002E7F11">
        <w:t>.</w:t>
      </w:r>
    </w:p>
    <w:tbl>
      <w:tblPr>
        <w:tblStyle w:val="CERTable"/>
        <w:tblW w:w="0" w:type="auto"/>
        <w:tblLook w:val="01E0" w:firstRow="1" w:lastRow="1" w:firstColumn="1" w:lastColumn="1" w:noHBand="0" w:noVBand="0"/>
      </w:tblPr>
      <w:tblGrid>
        <w:gridCol w:w="2408"/>
        <w:gridCol w:w="2409"/>
        <w:gridCol w:w="2408"/>
        <w:gridCol w:w="2409"/>
      </w:tblGrid>
      <w:tr w:rsidR="005042FA" w:rsidRPr="0030215C" w14:paraId="1933679A" w14:textId="77777777" w:rsidTr="003706F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08" w:type="dxa"/>
          </w:tcPr>
          <w:p w14:paraId="7E142B67" w14:textId="77777777" w:rsidR="005042FA" w:rsidRPr="004D4668" w:rsidRDefault="005042FA">
            <w:pPr>
              <w:pStyle w:val="Note"/>
              <w:spacing w:line="276" w:lineRule="auto"/>
              <w:ind w:left="0"/>
              <w:rPr>
                <w:rFonts w:asciiTheme="minorHAnsi" w:hAnsiTheme="minorHAnsi" w:cstheme="minorHAnsi"/>
                <w:b w:val="0"/>
                <w:color w:val="000000"/>
                <w:sz w:val="22"/>
                <w:szCs w:val="28"/>
              </w:rPr>
            </w:pPr>
          </w:p>
        </w:tc>
        <w:tc>
          <w:tcPr>
            <w:tcW w:w="2409" w:type="dxa"/>
          </w:tcPr>
          <w:p w14:paraId="66D200E8" w14:textId="77777777" w:rsidR="005042FA" w:rsidRPr="004D4668" w:rsidRDefault="005042FA">
            <w:pPr>
              <w:pStyle w:val="Note"/>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000000"/>
                <w:sz w:val="22"/>
                <w:szCs w:val="28"/>
              </w:rPr>
            </w:pPr>
            <w:r w:rsidRPr="004D4668">
              <w:rPr>
                <w:rFonts w:asciiTheme="minorHAnsi" w:hAnsiTheme="minorHAnsi" w:cstheme="minorHAnsi"/>
                <w:color w:val="000000"/>
                <w:sz w:val="22"/>
                <w:szCs w:val="28"/>
              </w:rPr>
              <w:t>CO</w:t>
            </w:r>
            <w:r w:rsidRPr="004D4668">
              <w:rPr>
                <w:rFonts w:asciiTheme="minorHAnsi" w:hAnsiTheme="minorHAnsi" w:cstheme="minorHAnsi"/>
                <w:color w:val="000000"/>
                <w:sz w:val="22"/>
                <w:szCs w:val="28"/>
                <w:vertAlign w:val="subscript"/>
              </w:rPr>
              <w:t>2</w:t>
            </w:r>
          </w:p>
        </w:tc>
        <w:tc>
          <w:tcPr>
            <w:tcW w:w="2408" w:type="dxa"/>
          </w:tcPr>
          <w:p w14:paraId="2179B31A" w14:textId="77777777" w:rsidR="005042FA" w:rsidRPr="004D4668" w:rsidRDefault="005042FA">
            <w:pPr>
              <w:pStyle w:val="Note"/>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000000"/>
                <w:sz w:val="22"/>
                <w:szCs w:val="28"/>
              </w:rPr>
            </w:pPr>
            <w:r w:rsidRPr="004D4668">
              <w:rPr>
                <w:rFonts w:asciiTheme="minorHAnsi" w:hAnsiTheme="minorHAnsi" w:cstheme="minorHAnsi"/>
                <w:color w:val="000000"/>
                <w:sz w:val="22"/>
                <w:szCs w:val="28"/>
              </w:rPr>
              <w:t>CH</w:t>
            </w:r>
            <w:r w:rsidRPr="004D4668">
              <w:rPr>
                <w:rFonts w:asciiTheme="minorHAnsi" w:hAnsiTheme="minorHAnsi" w:cstheme="minorHAnsi"/>
                <w:color w:val="000000"/>
                <w:sz w:val="22"/>
                <w:szCs w:val="28"/>
                <w:vertAlign w:val="subscript"/>
              </w:rPr>
              <w:t>4</w:t>
            </w:r>
          </w:p>
        </w:tc>
        <w:tc>
          <w:tcPr>
            <w:tcW w:w="2409" w:type="dxa"/>
          </w:tcPr>
          <w:p w14:paraId="54D8B8B9" w14:textId="77777777" w:rsidR="005042FA" w:rsidRPr="004D4668" w:rsidRDefault="005042FA">
            <w:pPr>
              <w:pStyle w:val="Note"/>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000000"/>
                <w:sz w:val="22"/>
                <w:szCs w:val="28"/>
              </w:rPr>
            </w:pPr>
            <w:r w:rsidRPr="004D4668">
              <w:rPr>
                <w:rFonts w:asciiTheme="minorHAnsi" w:hAnsiTheme="minorHAnsi" w:cstheme="minorHAnsi"/>
                <w:color w:val="000000"/>
                <w:sz w:val="22"/>
                <w:szCs w:val="28"/>
              </w:rPr>
              <w:t>N</w:t>
            </w:r>
            <w:r w:rsidRPr="004D4668">
              <w:rPr>
                <w:rFonts w:asciiTheme="minorHAnsi" w:hAnsiTheme="minorHAnsi" w:cstheme="minorHAnsi"/>
                <w:color w:val="000000"/>
                <w:sz w:val="22"/>
                <w:szCs w:val="28"/>
                <w:vertAlign w:val="subscript"/>
              </w:rPr>
              <w:t>2</w:t>
            </w:r>
            <w:r w:rsidRPr="004D4668">
              <w:rPr>
                <w:rFonts w:asciiTheme="minorHAnsi" w:hAnsiTheme="minorHAnsi" w:cstheme="minorHAnsi"/>
                <w:color w:val="000000"/>
                <w:sz w:val="22"/>
                <w:szCs w:val="28"/>
              </w:rPr>
              <w:t>O</w:t>
            </w:r>
          </w:p>
        </w:tc>
      </w:tr>
      <w:tr w:rsidR="005042FA" w:rsidRPr="0030215C" w14:paraId="3E5F96E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8" w:type="dxa"/>
          </w:tcPr>
          <w:p w14:paraId="32FD4982" w14:textId="77777777" w:rsidR="005042FA" w:rsidRPr="004D4668" w:rsidRDefault="005042FA">
            <w:pPr>
              <w:pStyle w:val="Note"/>
              <w:spacing w:line="276" w:lineRule="auto"/>
              <w:ind w:left="0"/>
              <w:rPr>
                <w:rFonts w:asciiTheme="minorHAnsi" w:hAnsiTheme="minorHAnsi" w:cstheme="minorHAnsi"/>
                <w:color w:val="000000"/>
                <w:sz w:val="22"/>
                <w:szCs w:val="28"/>
              </w:rPr>
            </w:pPr>
            <w:r w:rsidRPr="004D4668">
              <w:rPr>
                <w:rFonts w:asciiTheme="minorHAnsi" w:hAnsiTheme="minorHAnsi" w:cstheme="minorHAnsi"/>
                <w:color w:val="000000"/>
                <w:sz w:val="22"/>
                <w:szCs w:val="28"/>
              </w:rPr>
              <w:t>Method 1</w:t>
            </w:r>
          </w:p>
        </w:tc>
        <w:tc>
          <w:tcPr>
            <w:tcW w:w="2409" w:type="dxa"/>
          </w:tcPr>
          <w:p w14:paraId="39F9D486" w14:textId="77777777" w:rsidR="005042FA" w:rsidRPr="004D4668" w:rsidRDefault="005042FA">
            <w:pPr>
              <w:pStyle w:val="Note"/>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8"/>
              </w:rPr>
            </w:pPr>
            <w:r w:rsidRPr="004D4668">
              <w:rPr>
                <w:rFonts w:asciiTheme="minorHAnsi" w:hAnsiTheme="minorHAnsi" w:cstheme="minorHAnsi"/>
                <w:color w:val="000000"/>
                <w:sz w:val="22"/>
                <w:szCs w:val="28"/>
              </w:rPr>
              <w:t>NA</w:t>
            </w:r>
          </w:p>
        </w:tc>
        <w:tc>
          <w:tcPr>
            <w:tcW w:w="2408" w:type="dxa"/>
          </w:tcPr>
          <w:p w14:paraId="405AD96B" w14:textId="77777777" w:rsidR="005042FA" w:rsidRPr="004D4668" w:rsidRDefault="005042FA">
            <w:pPr>
              <w:pStyle w:val="Note"/>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8"/>
              </w:rPr>
            </w:pPr>
            <w:r w:rsidRPr="004D4668">
              <w:rPr>
                <w:rFonts w:asciiTheme="minorHAnsi" w:hAnsiTheme="minorHAnsi" w:cstheme="minorHAnsi"/>
                <w:color w:val="000000"/>
                <w:sz w:val="22"/>
                <w:szCs w:val="28"/>
              </w:rPr>
              <w:t>Section 5.42</w:t>
            </w:r>
          </w:p>
        </w:tc>
        <w:tc>
          <w:tcPr>
            <w:tcW w:w="2409" w:type="dxa"/>
          </w:tcPr>
          <w:p w14:paraId="7853B54F" w14:textId="77777777" w:rsidR="005042FA" w:rsidRPr="004D4668" w:rsidRDefault="005042FA">
            <w:pPr>
              <w:pStyle w:val="Note"/>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8"/>
              </w:rPr>
            </w:pPr>
            <w:r w:rsidRPr="004D4668">
              <w:rPr>
                <w:rFonts w:asciiTheme="minorHAnsi" w:hAnsiTheme="minorHAnsi" w:cstheme="minorHAnsi"/>
                <w:color w:val="000000"/>
                <w:sz w:val="22"/>
                <w:szCs w:val="28"/>
              </w:rPr>
              <w:t>NO</w:t>
            </w:r>
          </w:p>
        </w:tc>
      </w:tr>
      <w:tr w:rsidR="005042FA" w:rsidRPr="0030215C" w14:paraId="720856BE"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8" w:type="dxa"/>
          </w:tcPr>
          <w:p w14:paraId="742DEC6B" w14:textId="77777777" w:rsidR="005042FA" w:rsidRPr="004D4668" w:rsidRDefault="005042FA">
            <w:pPr>
              <w:pStyle w:val="Note"/>
              <w:spacing w:line="276" w:lineRule="auto"/>
              <w:ind w:left="0"/>
              <w:rPr>
                <w:rFonts w:asciiTheme="minorHAnsi" w:hAnsiTheme="minorHAnsi" w:cstheme="minorHAnsi"/>
                <w:color w:val="000000"/>
                <w:sz w:val="22"/>
                <w:szCs w:val="28"/>
              </w:rPr>
            </w:pPr>
            <w:r w:rsidRPr="004D4668">
              <w:rPr>
                <w:rFonts w:asciiTheme="minorHAnsi" w:hAnsiTheme="minorHAnsi" w:cstheme="minorHAnsi"/>
                <w:color w:val="000000"/>
                <w:sz w:val="22"/>
                <w:szCs w:val="28"/>
              </w:rPr>
              <w:t>Method 2</w:t>
            </w:r>
          </w:p>
        </w:tc>
        <w:tc>
          <w:tcPr>
            <w:tcW w:w="2409" w:type="dxa"/>
          </w:tcPr>
          <w:p w14:paraId="20D3BB69" w14:textId="77777777" w:rsidR="005042FA" w:rsidRPr="004D4668" w:rsidRDefault="005042FA">
            <w:pPr>
              <w:pStyle w:val="Note"/>
              <w:spacing w:line="276" w:lineRule="auto"/>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8"/>
              </w:rPr>
            </w:pPr>
            <w:r w:rsidRPr="004D4668">
              <w:rPr>
                <w:rFonts w:asciiTheme="minorHAnsi" w:hAnsiTheme="minorHAnsi" w:cstheme="minorHAnsi"/>
                <w:color w:val="000000"/>
                <w:sz w:val="22"/>
                <w:szCs w:val="28"/>
              </w:rPr>
              <w:t>NA</w:t>
            </w:r>
          </w:p>
        </w:tc>
        <w:tc>
          <w:tcPr>
            <w:tcW w:w="2408" w:type="dxa"/>
          </w:tcPr>
          <w:p w14:paraId="75C96C67" w14:textId="77777777" w:rsidR="005042FA" w:rsidRPr="004D4668" w:rsidRDefault="005042FA">
            <w:pPr>
              <w:pStyle w:val="Note"/>
              <w:spacing w:line="276" w:lineRule="auto"/>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8"/>
              </w:rPr>
            </w:pPr>
            <w:r w:rsidRPr="004D4668">
              <w:rPr>
                <w:rFonts w:asciiTheme="minorHAnsi" w:hAnsiTheme="minorHAnsi" w:cstheme="minorHAnsi"/>
                <w:color w:val="000000"/>
                <w:sz w:val="22"/>
                <w:szCs w:val="28"/>
              </w:rPr>
              <w:t>Section 5.43</w:t>
            </w:r>
          </w:p>
        </w:tc>
        <w:tc>
          <w:tcPr>
            <w:tcW w:w="2409" w:type="dxa"/>
          </w:tcPr>
          <w:p w14:paraId="4B50B3A3" w14:textId="77777777" w:rsidR="005042FA" w:rsidRPr="004D4668" w:rsidRDefault="005042FA">
            <w:pPr>
              <w:pStyle w:val="Note"/>
              <w:spacing w:line="276" w:lineRule="auto"/>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8"/>
              </w:rPr>
            </w:pPr>
            <w:r w:rsidRPr="004D4668">
              <w:rPr>
                <w:rFonts w:asciiTheme="minorHAnsi" w:hAnsiTheme="minorHAnsi" w:cstheme="minorHAnsi"/>
                <w:color w:val="000000"/>
                <w:sz w:val="22"/>
                <w:szCs w:val="28"/>
              </w:rPr>
              <w:t>NO</w:t>
            </w:r>
          </w:p>
        </w:tc>
      </w:tr>
      <w:tr w:rsidR="005042FA" w:rsidRPr="0030215C" w14:paraId="78D7314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8" w:type="dxa"/>
          </w:tcPr>
          <w:p w14:paraId="44F4B1C2" w14:textId="77777777" w:rsidR="005042FA" w:rsidRPr="004D4668" w:rsidRDefault="005042FA">
            <w:pPr>
              <w:pStyle w:val="Note"/>
              <w:spacing w:line="276" w:lineRule="auto"/>
              <w:ind w:left="0"/>
              <w:rPr>
                <w:rFonts w:asciiTheme="minorHAnsi" w:hAnsiTheme="minorHAnsi" w:cstheme="minorHAnsi"/>
                <w:color w:val="000000"/>
                <w:sz w:val="22"/>
                <w:szCs w:val="28"/>
              </w:rPr>
            </w:pPr>
            <w:r w:rsidRPr="004D4668">
              <w:rPr>
                <w:rFonts w:asciiTheme="minorHAnsi" w:hAnsiTheme="minorHAnsi" w:cstheme="minorHAnsi"/>
                <w:color w:val="000000"/>
                <w:sz w:val="22"/>
                <w:szCs w:val="28"/>
              </w:rPr>
              <w:t>Method 3</w:t>
            </w:r>
          </w:p>
        </w:tc>
        <w:tc>
          <w:tcPr>
            <w:tcW w:w="2409" w:type="dxa"/>
          </w:tcPr>
          <w:p w14:paraId="7A542754" w14:textId="77777777" w:rsidR="005042FA" w:rsidRPr="004D4668" w:rsidRDefault="005042FA">
            <w:pPr>
              <w:pStyle w:val="Note"/>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8"/>
              </w:rPr>
            </w:pPr>
            <w:r w:rsidRPr="004D4668">
              <w:rPr>
                <w:rFonts w:asciiTheme="minorHAnsi" w:hAnsiTheme="minorHAnsi" w:cstheme="minorHAnsi"/>
                <w:color w:val="000000"/>
                <w:sz w:val="22"/>
                <w:szCs w:val="28"/>
              </w:rPr>
              <w:t>NA</w:t>
            </w:r>
          </w:p>
        </w:tc>
        <w:tc>
          <w:tcPr>
            <w:tcW w:w="2408" w:type="dxa"/>
          </w:tcPr>
          <w:p w14:paraId="0975C924" w14:textId="77777777" w:rsidR="005042FA" w:rsidRPr="004D4668" w:rsidRDefault="005042FA">
            <w:pPr>
              <w:pStyle w:val="Note"/>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8"/>
              </w:rPr>
            </w:pPr>
            <w:r w:rsidRPr="004D4668">
              <w:rPr>
                <w:rFonts w:asciiTheme="minorHAnsi" w:hAnsiTheme="minorHAnsi" w:cstheme="minorHAnsi"/>
                <w:color w:val="000000"/>
                <w:sz w:val="22"/>
                <w:szCs w:val="28"/>
              </w:rPr>
              <w:t>Section 5.47</w:t>
            </w:r>
          </w:p>
        </w:tc>
        <w:tc>
          <w:tcPr>
            <w:tcW w:w="2409" w:type="dxa"/>
          </w:tcPr>
          <w:p w14:paraId="06B214DE" w14:textId="77777777" w:rsidR="005042FA" w:rsidRPr="004D4668" w:rsidRDefault="005042FA">
            <w:pPr>
              <w:pStyle w:val="Note"/>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8"/>
              </w:rPr>
            </w:pPr>
            <w:r w:rsidRPr="004D4668">
              <w:rPr>
                <w:rFonts w:asciiTheme="minorHAnsi" w:hAnsiTheme="minorHAnsi" w:cstheme="minorHAnsi"/>
                <w:color w:val="000000"/>
                <w:sz w:val="22"/>
                <w:szCs w:val="28"/>
              </w:rPr>
              <w:t>NO</w:t>
            </w:r>
          </w:p>
        </w:tc>
      </w:tr>
      <w:tr w:rsidR="005042FA" w:rsidRPr="0030215C" w14:paraId="3A2CF34A" w14:textId="7777777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8" w:type="dxa"/>
          </w:tcPr>
          <w:p w14:paraId="72899C0C" w14:textId="77777777" w:rsidR="005042FA" w:rsidRPr="004D4668" w:rsidRDefault="005042FA">
            <w:pPr>
              <w:pStyle w:val="Note"/>
              <w:spacing w:line="276" w:lineRule="auto"/>
              <w:ind w:left="0"/>
              <w:rPr>
                <w:rFonts w:asciiTheme="minorHAnsi" w:hAnsiTheme="minorHAnsi" w:cstheme="minorHAnsi"/>
                <w:color w:val="000000"/>
                <w:sz w:val="22"/>
                <w:szCs w:val="28"/>
              </w:rPr>
            </w:pPr>
            <w:r w:rsidRPr="004D4668">
              <w:rPr>
                <w:rFonts w:asciiTheme="minorHAnsi" w:hAnsiTheme="minorHAnsi" w:cstheme="minorHAnsi"/>
                <w:color w:val="000000"/>
                <w:sz w:val="22"/>
                <w:szCs w:val="28"/>
              </w:rPr>
              <w:t>Method 4</w:t>
            </w:r>
          </w:p>
        </w:tc>
        <w:tc>
          <w:tcPr>
            <w:tcW w:w="2409" w:type="dxa"/>
          </w:tcPr>
          <w:p w14:paraId="243467EE" w14:textId="77777777" w:rsidR="005042FA" w:rsidRPr="004D4668" w:rsidRDefault="005042FA">
            <w:pPr>
              <w:pStyle w:val="Note"/>
              <w:spacing w:line="276" w:lineRule="auto"/>
              <w:ind w:left="0"/>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b w:val="0"/>
                <w:color w:val="000000"/>
                <w:sz w:val="22"/>
                <w:szCs w:val="28"/>
              </w:rPr>
            </w:pPr>
            <w:r w:rsidRPr="004D4668">
              <w:rPr>
                <w:rFonts w:asciiTheme="minorHAnsi" w:hAnsiTheme="minorHAnsi" w:cstheme="minorHAnsi"/>
                <w:b w:val="0"/>
                <w:color w:val="000000"/>
                <w:sz w:val="22"/>
                <w:szCs w:val="28"/>
              </w:rPr>
              <w:t>NA</w:t>
            </w:r>
          </w:p>
        </w:tc>
        <w:tc>
          <w:tcPr>
            <w:tcW w:w="2408" w:type="dxa"/>
          </w:tcPr>
          <w:p w14:paraId="0983DAC6" w14:textId="77777777" w:rsidR="005042FA" w:rsidRPr="004D4668" w:rsidRDefault="005042FA">
            <w:pPr>
              <w:pStyle w:val="Note"/>
              <w:spacing w:line="276" w:lineRule="auto"/>
              <w:ind w:left="0"/>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b w:val="0"/>
                <w:color w:val="000000"/>
                <w:sz w:val="22"/>
                <w:szCs w:val="28"/>
              </w:rPr>
            </w:pPr>
            <w:r w:rsidRPr="004D4668">
              <w:rPr>
                <w:rFonts w:asciiTheme="minorHAnsi" w:hAnsiTheme="minorHAnsi" w:cstheme="minorHAnsi"/>
                <w:b w:val="0"/>
                <w:color w:val="000000"/>
                <w:sz w:val="22"/>
                <w:szCs w:val="28"/>
              </w:rPr>
              <w:t>NA</w:t>
            </w:r>
          </w:p>
        </w:tc>
        <w:tc>
          <w:tcPr>
            <w:tcW w:w="2409" w:type="dxa"/>
          </w:tcPr>
          <w:p w14:paraId="226C9215" w14:textId="77777777" w:rsidR="005042FA" w:rsidRPr="004D4668" w:rsidRDefault="005042FA">
            <w:pPr>
              <w:pStyle w:val="Note"/>
              <w:spacing w:line="276" w:lineRule="auto"/>
              <w:ind w:left="0"/>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b w:val="0"/>
                <w:color w:val="000000"/>
                <w:sz w:val="22"/>
                <w:szCs w:val="28"/>
              </w:rPr>
            </w:pPr>
            <w:r w:rsidRPr="004D4668">
              <w:rPr>
                <w:rFonts w:asciiTheme="minorHAnsi" w:hAnsiTheme="minorHAnsi" w:cstheme="minorHAnsi"/>
                <w:b w:val="0"/>
                <w:color w:val="000000"/>
                <w:sz w:val="22"/>
                <w:szCs w:val="28"/>
              </w:rPr>
              <w:t>NO</w:t>
            </w:r>
          </w:p>
        </w:tc>
      </w:tr>
    </w:tbl>
    <w:p w14:paraId="530680EC" w14:textId="1FA0BF66" w:rsidR="003706F8" w:rsidRDefault="005042FA" w:rsidP="005042FA">
      <w:pPr>
        <w:pStyle w:val="Note"/>
        <w:spacing w:line="276" w:lineRule="auto"/>
        <w:ind w:left="0"/>
        <w:rPr>
          <w:rFonts w:asciiTheme="minorHAnsi" w:hAnsiTheme="minorHAnsi" w:cstheme="minorHAnsi"/>
          <w:color w:val="000000"/>
        </w:rPr>
      </w:pPr>
      <w:bookmarkStart w:id="69" w:name="_Hlk42685302"/>
      <w:r w:rsidRPr="0030215C">
        <w:rPr>
          <w:rFonts w:asciiTheme="minorHAnsi" w:hAnsiTheme="minorHAnsi" w:cstheme="minorHAnsi"/>
          <w:color w:val="000000"/>
        </w:rPr>
        <w:t>NA = Not available.  NO = Not occurring.</w:t>
      </w:r>
    </w:p>
    <w:p w14:paraId="18951D3B" w14:textId="5B8A7A1B" w:rsidR="00790430" w:rsidRDefault="00790430" w:rsidP="003706F8">
      <w:pPr>
        <w:pStyle w:val="Caption"/>
      </w:pPr>
      <w:r w:rsidRPr="0050308D">
        <w:lastRenderedPageBreak/>
        <w:t xml:space="preserve">Table </w:t>
      </w:r>
      <w:r w:rsidR="009967D8">
        <w:t>5</w:t>
      </w:r>
      <w:r w:rsidRPr="00C63DC3">
        <w:t xml:space="preserve"> </w:t>
      </w:r>
      <w:r w:rsidRPr="000F7E30">
        <w:t xml:space="preserve">Summary of available methods, by emissions of gas type </w:t>
      </w:r>
      <w:r w:rsidR="003706F8">
        <w:t>- e</w:t>
      </w:r>
      <w:r w:rsidRPr="000F7E30">
        <w:t xml:space="preserve">missions </w:t>
      </w:r>
      <w:proofErr w:type="gramStart"/>
      <w:r w:rsidRPr="000F7E30">
        <w:t>as a result of</w:t>
      </w:r>
      <w:proofErr w:type="gramEnd"/>
      <w:r w:rsidRPr="000F7E30">
        <w:t xml:space="preserve"> methane flared from the operation of the facility (estimated for each gas type)</w:t>
      </w:r>
      <w:r w:rsidRPr="000F7E30">
        <w:rPr>
          <w:rStyle w:val="FootnoteReference"/>
          <w:rFonts w:asciiTheme="minorHAnsi" w:hAnsiTheme="minorHAnsi" w:cstheme="minorHAnsi"/>
          <w:color w:val="000000"/>
        </w:rPr>
        <w:footnoteReference w:id="13"/>
      </w:r>
      <w:r w:rsidR="002E7F11">
        <w:t>.</w:t>
      </w:r>
    </w:p>
    <w:tbl>
      <w:tblPr>
        <w:tblStyle w:val="CERTable"/>
        <w:tblW w:w="0" w:type="auto"/>
        <w:tblLook w:val="01E0" w:firstRow="1" w:lastRow="1" w:firstColumn="1" w:lastColumn="1" w:noHBand="0" w:noVBand="0"/>
      </w:tblPr>
      <w:tblGrid>
        <w:gridCol w:w="2408"/>
        <w:gridCol w:w="2409"/>
        <w:gridCol w:w="2408"/>
        <w:gridCol w:w="2409"/>
      </w:tblGrid>
      <w:tr w:rsidR="00790430" w:rsidRPr="0030215C" w14:paraId="130B83D1" w14:textId="77777777" w:rsidTr="003706F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08" w:type="dxa"/>
          </w:tcPr>
          <w:p w14:paraId="2D5ACEF8" w14:textId="77777777" w:rsidR="00790430" w:rsidRPr="004D4668" w:rsidRDefault="00790430">
            <w:pPr>
              <w:pStyle w:val="Note"/>
              <w:spacing w:line="276" w:lineRule="auto"/>
              <w:ind w:left="0"/>
              <w:rPr>
                <w:rFonts w:asciiTheme="minorHAnsi" w:hAnsiTheme="minorHAnsi" w:cstheme="minorHAnsi"/>
                <w:b w:val="0"/>
                <w:color w:val="000000"/>
                <w:sz w:val="22"/>
                <w:szCs w:val="28"/>
              </w:rPr>
            </w:pPr>
          </w:p>
        </w:tc>
        <w:tc>
          <w:tcPr>
            <w:tcW w:w="2409" w:type="dxa"/>
          </w:tcPr>
          <w:p w14:paraId="0FC2CD93" w14:textId="77777777" w:rsidR="00790430" w:rsidRPr="004D4668" w:rsidRDefault="00790430">
            <w:pPr>
              <w:pStyle w:val="Note"/>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000000"/>
                <w:sz w:val="22"/>
                <w:szCs w:val="28"/>
              </w:rPr>
            </w:pPr>
            <w:r w:rsidRPr="004D4668">
              <w:rPr>
                <w:rFonts w:asciiTheme="minorHAnsi" w:hAnsiTheme="minorHAnsi" w:cstheme="minorHAnsi"/>
                <w:color w:val="000000"/>
                <w:sz w:val="22"/>
                <w:szCs w:val="28"/>
              </w:rPr>
              <w:t>CO</w:t>
            </w:r>
            <w:r w:rsidRPr="004D4668">
              <w:rPr>
                <w:rFonts w:asciiTheme="minorHAnsi" w:hAnsiTheme="minorHAnsi" w:cstheme="minorHAnsi"/>
                <w:color w:val="000000"/>
                <w:sz w:val="22"/>
                <w:szCs w:val="28"/>
                <w:vertAlign w:val="subscript"/>
              </w:rPr>
              <w:t>2</w:t>
            </w:r>
          </w:p>
        </w:tc>
        <w:tc>
          <w:tcPr>
            <w:tcW w:w="2408" w:type="dxa"/>
          </w:tcPr>
          <w:p w14:paraId="3F552CD6" w14:textId="77777777" w:rsidR="00790430" w:rsidRPr="004D4668" w:rsidRDefault="00790430">
            <w:pPr>
              <w:pStyle w:val="Note"/>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000000"/>
                <w:sz w:val="22"/>
                <w:szCs w:val="28"/>
              </w:rPr>
            </w:pPr>
            <w:r w:rsidRPr="004D4668">
              <w:rPr>
                <w:rFonts w:asciiTheme="minorHAnsi" w:hAnsiTheme="minorHAnsi" w:cstheme="minorHAnsi"/>
                <w:color w:val="000000"/>
                <w:sz w:val="22"/>
                <w:szCs w:val="28"/>
              </w:rPr>
              <w:t>CH</w:t>
            </w:r>
            <w:r w:rsidRPr="004D4668">
              <w:rPr>
                <w:rFonts w:asciiTheme="minorHAnsi" w:hAnsiTheme="minorHAnsi" w:cstheme="minorHAnsi"/>
                <w:color w:val="000000"/>
                <w:sz w:val="22"/>
                <w:szCs w:val="28"/>
                <w:vertAlign w:val="subscript"/>
              </w:rPr>
              <w:t>4</w:t>
            </w:r>
          </w:p>
        </w:tc>
        <w:tc>
          <w:tcPr>
            <w:tcW w:w="2409" w:type="dxa"/>
          </w:tcPr>
          <w:p w14:paraId="41A5DC91" w14:textId="77777777" w:rsidR="00790430" w:rsidRPr="004D4668" w:rsidRDefault="00790430">
            <w:pPr>
              <w:pStyle w:val="Note"/>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000000"/>
                <w:sz w:val="22"/>
                <w:szCs w:val="28"/>
              </w:rPr>
            </w:pPr>
            <w:r w:rsidRPr="004D4668">
              <w:rPr>
                <w:rFonts w:asciiTheme="minorHAnsi" w:hAnsiTheme="minorHAnsi" w:cstheme="minorHAnsi"/>
                <w:color w:val="000000"/>
                <w:sz w:val="22"/>
                <w:szCs w:val="28"/>
              </w:rPr>
              <w:t>N</w:t>
            </w:r>
            <w:r w:rsidRPr="004D4668">
              <w:rPr>
                <w:rFonts w:asciiTheme="minorHAnsi" w:hAnsiTheme="minorHAnsi" w:cstheme="minorHAnsi"/>
                <w:color w:val="000000"/>
                <w:sz w:val="22"/>
                <w:szCs w:val="28"/>
                <w:vertAlign w:val="subscript"/>
              </w:rPr>
              <w:t>2</w:t>
            </w:r>
            <w:r w:rsidRPr="004D4668">
              <w:rPr>
                <w:rFonts w:asciiTheme="minorHAnsi" w:hAnsiTheme="minorHAnsi" w:cstheme="minorHAnsi"/>
                <w:color w:val="000000"/>
                <w:sz w:val="22"/>
                <w:szCs w:val="28"/>
              </w:rPr>
              <w:t>O</w:t>
            </w:r>
          </w:p>
        </w:tc>
      </w:tr>
      <w:tr w:rsidR="00790430" w:rsidRPr="0030215C" w14:paraId="5C8C399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8" w:type="dxa"/>
          </w:tcPr>
          <w:p w14:paraId="3144E991" w14:textId="77777777" w:rsidR="00790430" w:rsidRPr="004D4668" w:rsidRDefault="00790430">
            <w:pPr>
              <w:pStyle w:val="Note"/>
              <w:spacing w:line="276" w:lineRule="auto"/>
              <w:ind w:left="0"/>
              <w:rPr>
                <w:rFonts w:asciiTheme="minorHAnsi" w:hAnsiTheme="minorHAnsi" w:cstheme="minorHAnsi"/>
                <w:color w:val="000000"/>
                <w:sz w:val="22"/>
                <w:szCs w:val="28"/>
              </w:rPr>
            </w:pPr>
            <w:r w:rsidRPr="004D4668">
              <w:rPr>
                <w:rFonts w:asciiTheme="minorHAnsi" w:hAnsiTheme="minorHAnsi" w:cstheme="minorHAnsi"/>
                <w:color w:val="000000"/>
                <w:sz w:val="22"/>
                <w:szCs w:val="28"/>
              </w:rPr>
              <w:t>Method 1</w:t>
            </w:r>
          </w:p>
        </w:tc>
        <w:tc>
          <w:tcPr>
            <w:tcW w:w="2409" w:type="dxa"/>
          </w:tcPr>
          <w:p w14:paraId="3BC11B52" w14:textId="77777777" w:rsidR="00790430" w:rsidRPr="004D4668" w:rsidRDefault="00790430">
            <w:pPr>
              <w:pStyle w:val="Note"/>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8"/>
              </w:rPr>
            </w:pPr>
            <w:r w:rsidRPr="004D4668">
              <w:rPr>
                <w:rFonts w:asciiTheme="minorHAnsi" w:hAnsiTheme="minorHAnsi" w:cstheme="minorHAnsi"/>
                <w:color w:val="000000"/>
                <w:sz w:val="22"/>
                <w:szCs w:val="28"/>
              </w:rPr>
              <w:t>NA</w:t>
            </w:r>
          </w:p>
        </w:tc>
        <w:tc>
          <w:tcPr>
            <w:tcW w:w="2408" w:type="dxa"/>
          </w:tcPr>
          <w:p w14:paraId="7A41E2BD" w14:textId="77777777" w:rsidR="00790430" w:rsidRPr="004D4668" w:rsidRDefault="00790430">
            <w:pPr>
              <w:pStyle w:val="Note"/>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8"/>
              </w:rPr>
            </w:pPr>
            <w:r w:rsidRPr="004D4668">
              <w:rPr>
                <w:rFonts w:asciiTheme="minorHAnsi" w:hAnsiTheme="minorHAnsi" w:cstheme="minorHAnsi"/>
                <w:color w:val="000000"/>
                <w:sz w:val="22"/>
                <w:szCs w:val="28"/>
              </w:rPr>
              <w:t>Section 5.48</w:t>
            </w:r>
          </w:p>
        </w:tc>
        <w:tc>
          <w:tcPr>
            <w:tcW w:w="2409" w:type="dxa"/>
          </w:tcPr>
          <w:p w14:paraId="4CA47794" w14:textId="77777777" w:rsidR="00790430" w:rsidRPr="004D4668" w:rsidRDefault="00790430">
            <w:pPr>
              <w:pStyle w:val="Note"/>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8"/>
              </w:rPr>
            </w:pPr>
            <w:r w:rsidRPr="004D4668">
              <w:rPr>
                <w:rFonts w:asciiTheme="minorHAnsi" w:hAnsiTheme="minorHAnsi" w:cstheme="minorHAnsi"/>
                <w:color w:val="000000"/>
                <w:sz w:val="22"/>
                <w:szCs w:val="28"/>
              </w:rPr>
              <w:t>Section 5.48</w:t>
            </w:r>
          </w:p>
        </w:tc>
      </w:tr>
      <w:tr w:rsidR="00790430" w:rsidRPr="0030215C" w14:paraId="3C8A15BA"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8" w:type="dxa"/>
          </w:tcPr>
          <w:p w14:paraId="0A8B1581" w14:textId="77777777" w:rsidR="00790430" w:rsidRPr="004D4668" w:rsidRDefault="00790430">
            <w:pPr>
              <w:pStyle w:val="Note"/>
              <w:spacing w:line="276" w:lineRule="auto"/>
              <w:ind w:left="0"/>
              <w:rPr>
                <w:rFonts w:asciiTheme="minorHAnsi" w:hAnsiTheme="minorHAnsi" w:cstheme="minorHAnsi"/>
                <w:color w:val="000000"/>
                <w:sz w:val="22"/>
                <w:szCs w:val="28"/>
              </w:rPr>
            </w:pPr>
            <w:r w:rsidRPr="004D4668">
              <w:rPr>
                <w:rFonts w:asciiTheme="minorHAnsi" w:hAnsiTheme="minorHAnsi" w:cstheme="minorHAnsi"/>
                <w:color w:val="000000"/>
                <w:sz w:val="22"/>
                <w:szCs w:val="28"/>
              </w:rPr>
              <w:t>Method 2</w:t>
            </w:r>
          </w:p>
        </w:tc>
        <w:tc>
          <w:tcPr>
            <w:tcW w:w="2409" w:type="dxa"/>
          </w:tcPr>
          <w:p w14:paraId="14C4A4B2" w14:textId="77777777" w:rsidR="00790430" w:rsidRPr="004D4668" w:rsidRDefault="00790430">
            <w:pPr>
              <w:pStyle w:val="Note"/>
              <w:spacing w:line="276" w:lineRule="auto"/>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8"/>
              </w:rPr>
            </w:pPr>
            <w:r w:rsidRPr="004D4668">
              <w:rPr>
                <w:rFonts w:asciiTheme="minorHAnsi" w:hAnsiTheme="minorHAnsi" w:cstheme="minorHAnsi"/>
                <w:color w:val="000000"/>
                <w:sz w:val="22"/>
                <w:szCs w:val="28"/>
              </w:rPr>
              <w:t>NA</w:t>
            </w:r>
          </w:p>
        </w:tc>
        <w:tc>
          <w:tcPr>
            <w:tcW w:w="2408" w:type="dxa"/>
          </w:tcPr>
          <w:p w14:paraId="56EF084B" w14:textId="77777777" w:rsidR="00790430" w:rsidRPr="004D4668" w:rsidRDefault="00790430">
            <w:pPr>
              <w:pStyle w:val="Note"/>
              <w:spacing w:line="276" w:lineRule="auto"/>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8"/>
              </w:rPr>
            </w:pPr>
            <w:r w:rsidRPr="004D4668">
              <w:rPr>
                <w:rFonts w:asciiTheme="minorHAnsi" w:hAnsiTheme="minorHAnsi" w:cstheme="minorHAnsi"/>
                <w:color w:val="000000"/>
                <w:sz w:val="22"/>
                <w:szCs w:val="28"/>
              </w:rPr>
              <w:t>Section 5.49</w:t>
            </w:r>
          </w:p>
        </w:tc>
        <w:tc>
          <w:tcPr>
            <w:tcW w:w="2409" w:type="dxa"/>
          </w:tcPr>
          <w:p w14:paraId="2B1E17F7" w14:textId="77777777" w:rsidR="00790430" w:rsidRPr="004D4668" w:rsidRDefault="00790430">
            <w:pPr>
              <w:pStyle w:val="Note"/>
              <w:spacing w:line="276" w:lineRule="auto"/>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8"/>
              </w:rPr>
            </w:pPr>
            <w:r w:rsidRPr="004D4668">
              <w:rPr>
                <w:rFonts w:asciiTheme="minorHAnsi" w:hAnsiTheme="minorHAnsi" w:cstheme="minorHAnsi"/>
                <w:color w:val="000000"/>
                <w:sz w:val="22"/>
                <w:szCs w:val="28"/>
              </w:rPr>
              <w:t>Section 5.49</w:t>
            </w:r>
          </w:p>
        </w:tc>
      </w:tr>
      <w:tr w:rsidR="00790430" w:rsidRPr="0030215C" w14:paraId="6E5A04D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8" w:type="dxa"/>
          </w:tcPr>
          <w:p w14:paraId="187066DA" w14:textId="77777777" w:rsidR="00790430" w:rsidRPr="004D4668" w:rsidRDefault="00790430">
            <w:pPr>
              <w:pStyle w:val="Note"/>
              <w:spacing w:line="276" w:lineRule="auto"/>
              <w:ind w:left="0"/>
              <w:rPr>
                <w:rFonts w:asciiTheme="minorHAnsi" w:hAnsiTheme="minorHAnsi" w:cstheme="minorHAnsi"/>
                <w:color w:val="000000"/>
                <w:sz w:val="22"/>
                <w:szCs w:val="28"/>
              </w:rPr>
            </w:pPr>
            <w:r w:rsidRPr="004D4668">
              <w:rPr>
                <w:rFonts w:asciiTheme="minorHAnsi" w:hAnsiTheme="minorHAnsi" w:cstheme="minorHAnsi"/>
                <w:color w:val="000000"/>
                <w:sz w:val="22"/>
                <w:szCs w:val="28"/>
              </w:rPr>
              <w:t>Method 3</w:t>
            </w:r>
          </w:p>
        </w:tc>
        <w:tc>
          <w:tcPr>
            <w:tcW w:w="2409" w:type="dxa"/>
          </w:tcPr>
          <w:p w14:paraId="2B266A5A" w14:textId="77777777" w:rsidR="00790430" w:rsidRPr="004D4668" w:rsidRDefault="00790430">
            <w:pPr>
              <w:pStyle w:val="Note"/>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8"/>
              </w:rPr>
            </w:pPr>
            <w:r w:rsidRPr="004D4668">
              <w:rPr>
                <w:rFonts w:asciiTheme="minorHAnsi" w:hAnsiTheme="minorHAnsi" w:cstheme="minorHAnsi"/>
                <w:color w:val="000000"/>
                <w:sz w:val="22"/>
                <w:szCs w:val="28"/>
              </w:rPr>
              <w:t>NA</w:t>
            </w:r>
          </w:p>
        </w:tc>
        <w:tc>
          <w:tcPr>
            <w:tcW w:w="2408" w:type="dxa"/>
          </w:tcPr>
          <w:p w14:paraId="7BCAB829" w14:textId="77777777" w:rsidR="00790430" w:rsidRPr="004D4668" w:rsidRDefault="00790430">
            <w:pPr>
              <w:pStyle w:val="Note"/>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8"/>
              </w:rPr>
            </w:pPr>
            <w:r w:rsidRPr="004D4668">
              <w:rPr>
                <w:rFonts w:asciiTheme="minorHAnsi" w:hAnsiTheme="minorHAnsi" w:cstheme="minorHAnsi"/>
                <w:color w:val="000000"/>
                <w:sz w:val="22"/>
                <w:szCs w:val="28"/>
              </w:rPr>
              <w:t>Section 5.50</w:t>
            </w:r>
          </w:p>
        </w:tc>
        <w:tc>
          <w:tcPr>
            <w:tcW w:w="2409" w:type="dxa"/>
          </w:tcPr>
          <w:p w14:paraId="2B080950" w14:textId="77777777" w:rsidR="00790430" w:rsidRPr="004D4668" w:rsidRDefault="00790430">
            <w:pPr>
              <w:pStyle w:val="Note"/>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8"/>
              </w:rPr>
            </w:pPr>
            <w:r w:rsidRPr="004D4668">
              <w:rPr>
                <w:rFonts w:asciiTheme="minorHAnsi" w:hAnsiTheme="minorHAnsi" w:cstheme="minorHAnsi"/>
                <w:color w:val="000000"/>
                <w:sz w:val="22"/>
                <w:szCs w:val="28"/>
              </w:rPr>
              <w:t>Section 5.50</w:t>
            </w:r>
          </w:p>
        </w:tc>
      </w:tr>
      <w:tr w:rsidR="00790430" w:rsidRPr="0030215C" w14:paraId="3CD78F15" w14:textId="7777777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8" w:type="dxa"/>
          </w:tcPr>
          <w:p w14:paraId="0E77E66D" w14:textId="77777777" w:rsidR="00790430" w:rsidRPr="004D4668" w:rsidRDefault="00790430">
            <w:pPr>
              <w:pStyle w:val="Note"/>
              <w:spacing w:line="276" w:lineRule="auto"/>
              <w:ind w:left="0"/>
              <w:rPr>
                <w:rFonts w:asciiTheme="minorHAnsi" w:hAnsiTheme="minorHAnsi" w:cstheme="minorHAnsi"/>
                <w:color w:val="000000"/>
                <w:sz w:val="22"/>
                <w:szCs w:val="28"/>
              </w:rPr>
            </w:pPr>
            <w:r w:rsidRPr="004D4668">
              <w:rPr>
                <w:rFonts w:asciiTheme="minorHAnsi" w:hAnsiTheme="minorHAnsi" w:cstheme="minorHAnsi"/>
                <w:color w:val="000000"/>
                <w:sz w:val="22"/>
                <w:szCs w:val="28"/>
              </w:rPr>
              <w:t>Method 4</w:t>
            </w:r>
          </w:p>
        </w:tc>
        <w:tc>
          <w:tcPr>
            <w:tcW w:w="2409" w:type="dxa"/>
          </w:tcPr>
          <w:p w14:paraId="28CF9A13" w14:textId="77777777" w:rsidR="00790430" w:rsidRPr="004D4668" w:rsidRDefault="00790430">
            <w:pPr>
              <w:pStyle w:val="Note"/>
              <w:spacing w:line="276" w:lineRule="auto"/>
              <w:ind w:left="0"/>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b w:val="0"/>
                <w:bCs/>
                <w:color w:val="000000"/>
                <w:sz w:val="22"/>
                <w:szCs w:val="28"/>
              </w:rPr>
            </w:pPr>
            <w:r w:rsidRPr="004D4668">
              <w:rPr>
                <w:rFonts w:asciiTheme="minorHAnsi" w:hAnsiTheme="minorHAnsi" w:cstheme="minorHAnsi"/>
                <w:b w:val="0"/>
                <w:bCs/>
                <w:color w:val="000000"/>
                <w:sz w:val="22"/>
                <w:szCs w:val="28"/>
              </w:rPr>
              <w:t>NA</w:t>
            </w:r>
          </w:p>
        </w:tc>
        <w:tc>
          <w:tcPr>
            <w:tcW w:w="2408" w:type="dxa"/>
          </w:tcPr>
          <w:p w14:paraId="3F568067" w14:textId="77777777" w:rsidR="00790430" w:rsidRPr="004D4668" w:rsidRDefault="00790430">
            <w:pPr>
              <w:pStyle w:val="Note"/>
              <w:spacing w:line="276" w:lineRule="auto"/>
              <w:ind w:left="0"/>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b w:val="0"/>
                <w:bCs/>
                <w:color w:val="000000"/>
                <w:sz w:val="22"/>
                <w:szCs w:val="28"/>
              </w:rPr>
            </w:pPr>
            <w:r w:rsidRPr="004D4668">
              <w:rPr>
                <w:rFonts w:asciiTheme="minorHAnsi" w:hAnsiTheme="minorHAnsi" w:cstheme="minorHAnsi"/>
                <w:b w:val="0"/>
                <w:bCs/>
                <w:color w:val="000000"/>
                <w:sz w:val="22"/>
                <w:szCs w:val="28"/>
              </w:rPr>
              <w:t>NA</w:t>
            </w:r>
          </w:p>
        </w:tc>
        <w:tc>
          <w:tcPr>
            <w:tcW w:w="2409" w:type="dxa"/>
          </w:tcPr>
          <w:p w14:paraId="7488BD6A" w14:textId="77777777" w:rsidR="00790430" w:rsidRPr="004D4668" w:rsidRDefault="00790430">
            <w:pPr>
              <w:pStyle w:val="Note"/>
              <w:spacing w:line="276" w:lineRule="auto"/>
              <w:ind w:left="0"/>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b w:val="0"/>
                <w:bCs/>
                <w:color w:val="000000"/>
                <w:sz w:val="22"/>
                <w:szCs w:val="28"/>
              </w:rPr>
            </w:pPr>
            <w:r w:rsidRPr="004D4668">
              <w:rPr>
                <w:rFonts w:asciiTheme="minorHAnsi" w:hAnsiTheme="minorHAnsi" w:cstheme="minorHAnsi"/>
                <w:b w:val="0"/>
                <w:bCs/>
                <w:color w:val="000000"/>
                <w:sz w:val="22"/>
                <w:szCs w:val="28"/>
              </w:rPr>
              <w:t>NA</w:t>
            </w:r>
          </w:p>
        </w:tc>
      </w:tr>
    </w:tbl>
    <w:p w14:paraId="3546AC3C" w14:textId="73E3D677" w:rsidR="00790430" w:rsidRPr="0030215C" w:rsidRDefault="00790430" w:rsidP="005042FA">
      <w:pPr>
        <w:pStyle w:val="Note"/>
        <w:spacing w:line="276" w:lineRule="auto"/>
        <w:ind w:left="0"/>
        <w:rPr>
          <w:rFonts w:asciiTheme="minorHAnsi" w:hAnsiTheme="minorHAnsi" w:cstheme="minorHAnsi"/>
        </w:rPr>
      </w:pPr>
      <w:r w:rsidRPr="0030215C">
        <w:rPr>
          <w:rFonts w:asciiTheme="minorHAnsi" w:hAnsiTheme="minorHAnsi" w:cstheme="minorHAnsi"/>
          <w:color w:val="000000"/>
        </w:rPr>
        <w:t xml:space="preserve">NA = Not available.  </w:t>
      </w:r>
    </w:p>
    <w:p w14:paraId="48158E40" w14:textId="77777777" w:rsidR="005042FA" w:rsidRPr="00CE5DFC" w:rsidRDefault="005042FA" w:rsidP="000910BB">
      <w:pPr>
        <w:pStyle w:val="Heading2"/>
        <w:numPr>
          <w:ilvl w:val="1"/>
          <w:numId w:val="3"/>
        </w:numPr>
        <w:tabs>
          <w:tab w:val="num" w:pos="1440"/>
        </w:tabs>
        <w:spacing w:line="276" w:lineRule="auto"/>
        <w:ind w:left="567" w:hanging="567"/>
      </w:pPr>
      <w:bookmarkStart w:id="70" w:name="_Wastewater_(Industrial)_Calculator"/>
      <w:bookmarkStart w:id="71" w:name="_Toc43871047"/>
      <w:bookmarkStart w:id="72" w:name="_Toc76041545"/>
      <w:bookmarkStart w:id="73" w:name="_Toc235611546"/>
      <w:bookmarkEnd w:id="70"/>
      <w:r w:rsidRPr="00CE5DFC">
        <w:rPr>
          <w:bCs w:val="0"/>
        </w:rPr>
        <w:t>Wastewater (Industrial) Calculator</w:t>
      </w:r>
      <w:bookmarkEnd w:id="71"/>
      <w:bookmarkEnd w:id="72"/>
      <w:bookmarkEnd w:id="73"/>
    </w:p>
    <w:p w14:paraId="7DFF12A0" w14:textId="36B21855" w:rsidR="005042FA" w:rsidRPr="0030215C" w:rsidRDefault="505AA8A3" w:rsidP="005042FA">
      <w:r>
        <w:t>CER</w:t>
      </w:r>
      <w:r w:rsidR="005042FA" w:rsidRPr="0030215C">
        <w:t xml:space="preserve"> has developed a Microsoft Excel based </w:t>
      </w:r>
      <w:hyperlink r:id="rId33" w:tooltip="A link to the Wastewater (industrial) calculator on the Clean Energy Regulator website" w:history="1">
        <w:r w:rsidR="005042FA" w:rsidRPr="004D2FB9">
          <w:rPr>
            <w:rStyle w:val="Hyperlink"/>
            <w:rFonts w:asciiTheme="minorHAnsi" w:hAnsiTheme="minorHAnsi"/>
            <w:spacing w:val="1"/>
            <w:lang w:val="en-GB"/>
          </w:rPr>
          <w:t>Wastewater (Industrial) Calculator</w:t>
        </w:r>
      </w:hyperlink>
      <w:r w:rsidR="005042FA">
        <w:rPr>
          <w:rStyle w:val="FootnoteReference"/>
          <w:color w:val="auto"/>
          <w:spacing w:val="1"/>
          <w:lang w:val="en-GB"/>
        </w:rPr>
        <w:footnoteReference w:id="14"/>
      </w:r>
      <w:r w:rsidR="005042FA">
        <w:rPr>
          <w:lang w:val="en-GB"/>
        </w:rPr>
        <w:t xml:space="preserve"> </w:t>
      </w:r>
      <w:r w:rsidR="005042FA" w:rsidRPr="0030215C">
        <w:t xml:space="preserve">to </w:t>
      </w:r>
      <w:bookmarkEnd w:id="69"/>
      <w:r w:rsidR="005042FA" w:rsidRPr="0030215C">
        <w:t xml:space="preserve">assist wastewater handlers to report emissions data relating to </w:t>
      </w:r>
      <w:r w:rsidR="005042FA">
        <w:t xml:space="preserve">industrial </w:t>
      </w:r>
      <w:r w:rsidR="005042FA" w:rsidRPr="0030215C">
        <w:t xml:space="preserve">wastewater activities. </w:t>
      </w:r>
      <w:r w:rsidR="005042FA" w:rsidRPr="4FB54A55">
        <w:rPr>
          <w:spacing w:val="2"/>
        </w:rPr>
        <w:t>T</w:t>
      </w:r>
      <w:r w:rsidR="005042FA" w:rsidRPr="4FB54A55">
        <w:rPr>
          <w:spacing w:val="-2"/>
        </w:rPr>
        <w:t>h</w:t>
      </w:r>
      <w:r w:rsidR="005042FA" w:rsidRPr="4FB54A55">
        <w:t>e</w:t>
      </w:r>
      <w:r w:rsidR="005042FA" w:rsidRPr="0030215C">
        <w:rPr>
          <w:spacing w:val="1"/>
          <w:szCs w:val="22"/>
        </w:rPr>
        <w:t xml:space="preserve"> </w:t>
      </w:r>
      <w:r w:rsidR="005042FA" w:rsidRPr="4FB54A55">
        <w:rPr>
          <w:spacing w:val="-1"/>
        </w:rPr>
        <w:t>Wastewater</w:t>
      </w:r>
      <w:r w:rsidR="005042FA" w:rsidRPr="0030215C">
        <w:rPr>
          <w:color w:val="auto"/>
          <w:spacing w:val="1"/>
          <w:lang w:val="en-GB"/>
        </w:rPr>
        <w:t xml:space="preserve"> (Industrial) Calculator</w:t>
      </w:r>
      <w:r w:rsidR="005042FA" w:rsidRPr="4FB54A55">
        <w:t xml:space="preserve"> ca</w:t>
      </w:r>
      <w:r w:rsidR="005042FA" w:rsidRPr="4FB54A55">
        <w:rPr>
          <w:spacing w:val="-1"/>
        </w:rPr>
        <w:t>l</w:t>
      </w:r>
      <w:r w:rsidR="005042FA" w:rsidRPr="4FB54A55">
        <w:t>cu</w:t>
      </w:r>
      <w:r w:rsidR="005042FA" w:rsidRPr="4FB54A55">
        <w:rPr>
          <w:spacing w:val="-1"/>
        </w:rPr>
        <w:t>l</w:t>
      </w:r>
      <w:r w:rsidR="005042FA" w:rsidRPr="4FB54A55">
        <w:t>ates</w:t>
      </w:r>
      <w:r w:rsidR="005042FA" w:rsidRPr="0030215C">
        <w:rPr>
          <w:spacing w:val="-1"/>
          <w:szCs w:val="22"/>
        </w:rPr>
        <w:t xml:space="preserve"> </w:t>
      </w:r>
      <w:r w:rsidR="005042FA" w:rsidRPr="4FB54A55">
        <w:t>the</w:t>
      </w:r>
      <w:r w:rsidR="005042FA" w:rsidRPr="0030215C">
        <w:rPr>
          <w:spacing w:val="-1"/>
          <w:szCs w:val="22"/>
        </w:rPr>
        <w:t xml:space="preserve"> </w:t>
      </w:r>
      <w:r w:rsidR="005042FA" w:rsidRPr="4FB54A55">
        <w:t>t</w:t>
      </w:r>
      <w:r w:rsidR="005042FA" w:rsidRPr="4FB54A55">
        <w:rPr>
          <w:spacing w:val="-2"/>
        </w:rPr>
        <w:t>o</w:t>
      </w:r>
      <w:r w:rsidR="005042FA" w:rsidRPr="4FB54A55">
        <w:t xml:space="preserve">tal </w:t>
      </w:r>
      <w:r w:rsidR="005042FA" w:rsidRPr="4FB54A55">
        <w:rPr>
          <w:spacing w:val="-2"/>
        </w:rPr>
        <w:t>emissions</w:t>
      </w:r>
      <w:r w:rsidR="005042FA" w:rsidRPr="4FB54A55">
        <w:rPr>
          <w:spacing w:val="2"/>
        </w:rPr>
        <w:t xml:space="preserve"> from Wastewater Handling Facilities based on COD or BOD for CH</w:t>
      </w:r>
      <w:r w:rsidR="005042FA" w:rsidRPr="4FB54A55">
        <w:rPr>
          <w:spacing w:val="2"/>
          <w:vertAlign w:val="subscript"/>
        </w:rPr>
        <w:t>4</w:t>
      </w:r>
      <w:r w:rsidR="005042FA" w:rsidRPr="4FB54A55">
        <w:rPr>
          <w:spacing w:val="2"/>
        </w:rPr>
        <w:t xml:space="preserve"> and Nitrogen Content of materials entering and leaving a facility.</w:t>
      </w:r>
      <w:r w:rsidR="005042FA" w:rsidRPr="4FB54A55">
        <w:t xml:space="preserve"> The emissions calculations are in</w:t>
      </w:r>
      <w:r w:rsidR="005042FA" w:rsidRPr="0030215C">
        <w:rPr>
          <w:spacing w:val="-1"/>
          <w:szCs w:val="22"/>
        </w:rPr>
        <w:t xml:space="preserve"> </w:t>
      </w:r>
      <w:r w:rsidR="005042FA" w:rsidRPr="4FB54A55">
        <w:t>acco</w:t>
      </w:r>
      <w:r w:rsidR="005042FA" w:rsidRPr="4FB54A55">
        <w:rPr>
          <w:spacing w:val="-1"/>
        </w:rPr>
        <w:t>r</w:t>
      </w:r>
      <w:r w:rsidR="005042FA" w:rsidRPr="4FB54A55">
        <w:rPr>
          <w:spacing w:val="-2"/>
        </w:rPr>
        <w:t>d</w:t>
      </w:r>
      <w:r w:rsidR="005042FA" w:rsidRPr="4FB54A55">
        <w:t>a</w:t>
      </w:r>
      <w:r w:rsidR="005042FA" w:rsidRPr="4FB54A55">
        <w:rPr>
          <w:spacing w:val="-2"/>
        </w:rPr>
        <w:t>n</w:t>
      </w:r>
      <w:r w:rsidR="005042FA" w:rsidRPr="4FB54A55">
        <w:t>ce</w:t>
      </w:r>
      <w:r w:rsidR="005042FA" w:rsidRPr="0030215C">
        <w:rPr>
          <w:spacing w:val="1"/>
          <w:szCs w:val="22"/>
        </w:rPr>
        <w:t xml:space="preserve"> </w:t>
      </w:r>
      <w:r w:rsidR="005042FA" w:rsidRPr="4FB54A55">
        <w:rPr>
          <w:spacing w:val="-3"/>
        </w:rPr>
        <w:t>w</w:t>
      </w:r>
      <w:r w:rsidR="005042FA" w:rsidRPr="4FB54A55">
        <w:rPr>
          <w:spacing w:val="-1"/>
        </w:rPr>
        <w:t>i</w:t>
      </w:r>
      <w:r w:rsidR="005042FA" w:rsidRPr="4FB54A55">
        <w:t>th</w:t>
      </w:r>
      <w:r w:rsidR="005042FA" w:rsidRPr="0030215C">
        <w:rPr>
          <w:spacing w:val="1"/>
          <w:szCs w:val="22"/>
        </w:rPr>
        <w:t xml:space="preserve"> </w:t>
      </w:r>
      <w:r w:rsidR="005042FA" w:rsidRPr="4FB54A55">
        <w:t>the</w:t>
      </w:r>
      <w:r w:rsidR="005042FA" w:rsidRPr="0030215C">
        <w:rPr>
          <w:spacing w:val="1"/>
          <w:szCs w:val="22"/>
        </w:rPr>
        <w:t xml:space="preserve"> </w:t>
      </w:r>
      <w:r w:rsidR="005042FA" w:rsidRPr="4FB54A55">
        <w:rPr>
          <w:spacing w:val="-1"/>
        </w:rPr>
        <w:t>r</w:t>
      </w:r>
      <w:r w:rsidR="005042FA" w:rsidRPr="4FB54A55">
        <w:t>e</w:t>
      </w:r>
      <w:r w:rsidR="005042FA" w:rsidRPr="4FB54A55">
        <w:rPr>
          <w:spacing w:val="-1"/>
        </w:rPr>
        <w:t>l</w:t>
      </w:r>
      <w:r w:rsidR="005042FA" w:rsidRPr="4FB54A55">
        <w:t>e</w:t>
      </w:r>
      <w:r w:rsidR="005042FA" w:rsidRPr="4FB54A55">
        <w:rPr>
          <w:spacing w:val="-3"/>
        </w:rPr>
        <w:t>v</w:t>
      </w:r>
      <w:r w:rsidR="005042FA" w:rsidRPr="4FB54A55">
        <w:t>ant e</w:t>
      </w:r>
      <w:r w:rsidR="005042FA" w:rsidRPr="4FB54A55">
        <w:rPr>
          <w:spacing w:val="-2"/>
        </w:rPr>
        <w:t>q</w:t>
      </w:r>
      <w:r w:rsidR="005042FA" w:rsidRPr="4FB54A55">
        <w:t>uat</w:t>
      </w:r>
      <w:r w:rsidR="005042FA" w:rsidRPr="4FB54A55">
        <w:rPr>
          <w:spacing w:val="-1"/>
        </w:rPr>
        <w:t>i</w:t>
      </w:r>
      <w:r w:rsidR="005042FA" w:rsidRPr="4FB54A55">
        <w:t xml:space="preserve">ons and factors </w:t>
      </w:r>
      <w:r w:rsidR="005042FA" w:rsidRPr="4FB54A55">
        <w:rPr>
          <w:spacing w:val="-3"/>
        </w:rPr>
        <w:t>s</w:t>
      </w:r>
      <w:r w:rsidR="005042FA" w:rsidRPr="4FB54A55">
        <w:t>et</w:t>
      </w:r>
      <w:r w:rsidR="005042FA" w:rsidRPr="0030215C">
        <w:rPr>
          <w:spacing w:val="-2"/>
          <w:szCs w:val="22"/>
        </w:rPr>
        <w:t xml:space="preserve"> </w:t>
      </w:r>
      <w:r w:rsidR="005042FA" w:rsidRPr="4FB54A55">
        <w:t xml:space="preserve">out </w:t>
      </w:r>
      <w:r w:rsidR="005042FA" w:rsidRPr="4FB54A55">
        <w:rPr>
          <w:spacing w:val="-3"/>
        </w:rPr>
        <w:t>i</w:t>
      </w:r>
      <w:r w:rsidR="005042FA" w:rsidRPr="4FB54A55">
        <w:t>n</w:t>
      </w:r>
      <w:r w:rsidR="005042FA" w:rsidRPr="0030215C">
        <w:rPr>
          <w:spacing w:val="1"/>
          <w:szCs w:val="22"/>
        </w:rPr>
        <w:t xml:space="preserve"> </w:t>
      </w:r>
      <w:r w:rsidR="005042FA" w:rsidRPr="4FB54A55">
        <w:rPr>
          <w:spacing w:val="-1"/>
        </w:rPr>
        <w:t xml:space="preserve">Part 5.4 </w:t>
      </w:r>
      <w:r w:rsidR="005042FA" w:rsidRPr="4FB54A55">
        <w:rPr>
          <w:spacing w:val="-2"/>
        </w:rPr>
        <w:t>o</w:t>
      </w:r>
      <w:r w:rsidR="005042FA" w:rsidRPr="4FB54A55">
        <w:t>f</w:t>
      </w:r>
      <w:r w:rsidR="005042FA" w:rsidRPr="0030215C">
        <w:rPr>
          <w:spacing w:val="3"/>
          <w:szCs w:val="22"/>
        </w:rPr>
        <w:t xml:space="preserve"> </w:t>
      </w:r>
      <w:r w:rsidR="005042FA" w:rsidRPr="4FB54A55">
        <w:rPr>
          <w:spacing w:val="-2"/>
        </w:rPr>
        <w:t xml:space="preserve">the NGER </w:t>
      </w:r>
      <w:r w:rsidR="005042FA" w:rsidRPr="4FB54A55">
        <w:t xml:space="preserve">Measurement </w:t>
      </w:r>
      <w:r w:rsidR="005042FA" w:rsidRPr="4FB54A55">
        <w:rPr>
          <w:spacing w:val="-2"/>
        </w:rPr>
        <w:t>Determination.</w:t>
      </w:r>
      <w:r w:rsidR="005042FA" w:rsidRPr="0030215C">
        <w:rPr>
          <w:szCs w:val="22"/>
        </w:rPr>
        <w:t xml:space="preserve"> </w:t>
      </w:r>
    </w:p>
    <w:p w14:paraId="1ED1CC19" w14:textId="2EF0D79E" w:rsidR="005042FA" w:rsidRPr="0030215C" w:rsidRDefault="005042FA" w:rsidP="005042FA">
      <w:pPr>
        <w:rPr>
          <w:spacing w:val="-2"/>
        </w:rPr>
      </w:pPr>
      <w:r w:rsidRPr="0030215C">
        <w:rPr>
          <w:color w:val="000000"/>
          <w:lang w:val="en-GB"/>
        </w:rPr>
        <w:t xml:space="preserve">The </w:t>
      </w:r>
      <w:r>
        <w:rPr>
          <w:color w:val="000000"/>
          <w:lang w:val="en-GB"/>
        </w:rPr>
        <w:t xml:space="preserve">calculator </w:t>
      </w:r>
      <w:r w:rsidRPr="0030215C">
        <w:rPr>
          <w:color w:val="000000"/>
          <w:lang w:val="en-GB"/>
        </w:rPr>
        <w:t xml:space="preserve">allows users to input activity data in editable fields and does not allow users to edit equations and factors that are required by the NGER </w:t>
      </w:r>
      <w:r>
        <w:rPr>
          <w:szCs w:val="22"/>
        </w:rPr>
        <w:t xml:space="preserve">Measurement </w:t>
      </w:r>
      <w:r w:rsidRPr="0030215C">
        <w:rPr>
          <w:color w:val="000000"/>
          <w:lang w:val="en-GB"/>
        </w:rPr>
        <w:t>Determination.</w:t>
      </w:r>
      <w:r w:rsidRPr="0030215C">
        <w:rPr>
          <w:color w:val="000000"/>
          <w:spacing w:val="-1"/>
          <w:lang w:val="en-GB"/>
        </w:rPr>
        <w:t xml:space="preserve"> </w:t>
      </w:r>
      <w:r>
        <w:rPr>
          <w:color w:val="000000"/>
          <w:spacing w:val="-1"/>
          <w:lang w:val="en-GB"/>
        </w:rPr>
        <w:t>It</w:t>
      </w:r>
      <w:r w:rsidRPr="0030215C">
        <w:rPr>
          <w:color w:val="000000"/>
          <w:spacing w:val="-1"/>
          <w:lang w:val="en-GB"/>
        </w:rPr>
        <w:t xml:space="preserve"> assists </w:t>
      </w:r>
      <w:r>
        <w:rPr>
          <w:color w:val="000000"/>
          <w:spacing w:val="-1"/>
          <w:lang w:val="en-GB"/>
        </w:rPr>
        <w:t>wastewater</w:t>
      </w:r>
      <w:r w:rsidRPr="0030215C">
        <w:rPr>
          <w:color w:val="000000"/>
          <w:spacing w:val="-1"/>
          <w:lang w:val="en-GB"/>
        </w:rPr>
        <w:t xml:space="preserve"> handlers</w:t>
      </w:r>
      <w:r w:rsidRPr="0030215C">
        <w:rPr>
          <w:color w:val="000000"/>
          <w:lang w:val="en-GB"/>
        </w:rPr>
        <w:t xml:space="preserve"> to</w:t>
      </w:r>
      <w:r w:rsidRPr="0030215C">
        <w:rPr>
          <w:color w:val="000000"/>
          <w:spacing w:val="-1"/>
          <w:lang w:val="en-GB"/>
        </w:rPr>
        <w:t xml:space="preserve"> </w:t>
      </w:r>
      <w:r w:rsidRPr="0030215C">
        <w:rPr>
          <w:color w:val="000000"/>
          <w:lang w:val="en-GB"/>
        </w:rPr>
        <w:t>calculate and report current</w:t>
      </w:r>
      <w:r w:rsidRPr="0030215C">
        <w:rPr>
          <w:color w:val="000000"/>
          <w:spacing w:val="-1"/>
          <w:lang w:val="en-GB"/>
        </w:rPr>
        <w:t xml:space="preserve"> </w:t>
      </w:r>
      <w:r w:rsidRPr="0030215C">
        <w:rPr>
          <w:color w:val="000000"/>
          <w:lang w:val="en-GB"/>
        </w:rPr>
        <w:t>e</w:t>
      </w:r>
      <w:r w:rsidRPr="0030215C">
        <w:rPr>
          <w:color w:val="000000"/>
          <w:spacing w:val="1"/>
          <w:lang w:val="en-GB"/>
        </w:rPr>
        <w:t>m</w:t>
      </w:r>
      <w:r w:rsidRPr="0030215C">
        <w:rPr>
          <w:color w:val="000000"/>
          <w:spacing w:val="-1"/>
          <w:lang w:val="en-GB"/>
        </w:rPr>
        <w:t>i</w:t>
      </w:r>
      <w:r w:rsidRPr="0030215C">
        <w:rPr>
          <w:color w:val="000000"/>
          <w:lang w:val="en-GB"/>
        </w:rPr>
        <w:t>ss</w:t>
      </w:r>
      <w:r w:rsidRPr="0030215C">
        <w:rPr>
          <w:color w:val="000000"/>
          <w:spacing w:val="-1"/>
          <w:lang w:val="en-GB"/>
        </w:rPr>
        <w:t>i</w:t>
      </w:r>
      <w:r w:rsidRPr="0030215C">
        <w:rPr>
          <w:color w:val="000000"/>
          <w:spacing w:val="-2"/>
          <w:lang w:val="en-GB"/>
        </w:rPr>
        <w:t>o</w:t>
      </w:r>
      <w:r w:rsidRPr="0030215C">
        <w:rPr>
          <w:color w:val="000000"/>
          <w:lang w:val="en-GB"/>
        </w:rPr>
        <w:t xml:space="preserve">ns. </w:t>
      </w:r>
      <w:r w:rsidRPr="0030215C">
        <w:t xml:space="preserve">The calculator tabulates all the information provided, and results from calculations undertaken, in a form that can be manually entered into </w:t>
      </w:r>
      <w:r w:rsidRPr="0030215C">
        <w:rPr>
          <w:szCs w:val="22"/>
        </w:rPr>
        <w:t>EERS.</w:t>
      </w:r>
      <w:r w:rsidR="00542619">
        <w:rPr>
          <w:szCs w:val="22"/>
        </w:rPr>
        <w:t xml:space="preserve"> </w:t>
      </w:r>
      <w:r w:rsidR="00542619">
        <w:br/>
      </w:r>
      <w:r w:rsidR="00542619">
        <w:br/>
      </w:r>
      <w:r w:rsidRPr="0030215C">
        <w:t xml:space="preserve">The </w:t>
      </w:r>
      <w:r w:rsidRPr="0030215C">
        <w:rPr>
          <w:color w:val="auto"/>
          <w:spacing w:val="1"/>
          <w:lang w:val="en-GB"/>
        </w:rPr>
        <w:t>Wastewater (Industrial) Calculator</w:t>
      </w:r>
      <w:r w:rsidRPr="0030215C">
        <w:t xml:space="preserve"> is reviewed and updated as necessary to remain consistent with the NGER </w:t>
      </w:r>
      <w:bookmarkStart w:id="74" w:name="_Hlk43813346"/>
      <w:r>
        <w:rPr>
          <w:szCs w:val="22"/>
        </w:rPr>
        <w:t xml:space="preserve">Measurement </w:t>
      </w:r>
      <w:bookmarkEnd w:id="74"/>
      <w:r w:rsidRPr="0030215C">
        <w:t>Determination. It is important to ensu</w:t>
      </w:r>
      <w:r w:rsidRPr="0030215C">
        <w:rPr>
          <w:spacing w:val="-4"/>
        </w:rPr>
        <w:t>r</w:t>
      </w:r>
      <w:r w:rsidRPr="0030215C">
        <w:t>e</w:t>
      </w:r>
      <w:r w:rsidRPr="0030215C">
        <w:rPr>
          <w:spacing w:val="-1"/>
        </w:rPr>
        <w:t xml:space="preserve"> </w:t>
      </w:r>
      <w:r w:rsidRPr="0030215C">
        <w:rPr>
          <w:spacing w:val="-3"/>
        </w:rPr>
        <w:t>c</w:t>
      </w:r>
      <w:r w:rsidRPr="0030215C">
        <w:t>o</w:t>
      </w:r>
      <w:r w:rsidRPr="0030215C">
        <w:rPr>
          <w:spacing w:val="-1"/>
        </w:rPr>
        <w:t>rr</w:t>
      </w:r>
      <w:r w:rsidRPr="0030215C">
        <w:t xml:space="preserve">ect </w:t>
      </w:r>
      <w:r w:rsidRPr="0030215C">
        <w:rPr>
          <w:spacing w:val="-3"/>
        </w:rPr>
        <w:t>v</w:t>
      </w:r>
      <w:r w:rsidRPr="0030215C">
        <w:t>e</w:t>
      </w:r>
      <w:r w:rsidRPr="0030215C">
        <w:rPr>
          <w:spacing w:val="-1"/>
        </w:rPr>
        <w:t>r</w:t>
      </w:r>
      <w:r w:rsidRPr="0030215C">
        <w:t>s</w:t>
      </w:r>
      <w:r w:rsidRPr="0030215C">
        <w:rPr>
          <w:spacing w:val="-1"/>
        </w:rPr>
        <w:t>i</w:t>
      </w:r>
      <w:r w:rsidRPr="0030215C">
        <w:t xml:space="preserve">ons of the NGER </w:t>
      </w:r>
      <w:r>
        <w:rPr>
          <w:szCs w:val="22"/>
        </w:rPr>
        <w:t xml:space="preserve">Measurement </w:t>
      </w:r>
      <w:r w:rsidR="00701194" w:rsidRPr="0030215C">
        <w:t>Determination,</w:t>
      </w:r>
      <w:r w:rsidRPr="0030215C">
        <w:rPr>
          <w:spacing w:val="-1"/>
        </w:rPr>
        <w:t xml:space="preserve"> and the latest version of the </w:t>
      </w:r>
      <w:r>
        <w:rPr>
          <w:color w:val="auto"/>
          <w:spacing w:val="1"/>
          <w:lang w:val="en-GB"/>
        </w:rPr>
        <w:t>c</w:t>
      </w:r>
      <w:r w:rsidRPr="0030215C">
        <w:rPr>
          <w:color w:val="auto"/>
          <w:spacing w:val="1"/>
          <w:lang w:val="en-GB"/>
        </w:rPr>
        <w:t>alculator</w:t>
      </w:r>
      <w:r w:rsidRPr="0030215C">
        <w:rPr>
          <w:spacing w:val="-1"/>
        </w:rPr>
        <w:t xml:space="preserve"> are used </w:t>
      </w:r>
      <w:r w:rsidRPr="0030215C">
        <w:rPr>
          <w:spacing w:val="2"/>
        </w:rPr>
        <w:t>f</w:t>
      </w:r>
      <w:r w:rsidRPr="0030215C">
        <w:t>or each</w:t>
      </w:r>
      <w:r w:rsidRPr="0030215C">
        <w:rPr>
          <w:spacing w:val="1"/>
        </w:rPr>
        <w:t xml:space="preserve"> </w:t>
      </w:r>
      <w:r w:rsidRPr="0030215C">
        <w:rPr>
          <w:spacing w:val="-1"/>
        </w:rPr>
        <w:t>r</w:t>
      </w:r>
      <w:r w:rsidRPr="0030215C">
        <w:rPr>
          <w:spacing w:val="-2"/>
        </w:rPr>
        <w:t>e</w:t>
      </w:r>
      <w:r w:rsidRPr="0030215C">
        <w:t>po</w:t>
      </w:r>
      <w:r w:rsidRPr="0030215C">
        <w:rPr>
          <w:spacing w:val="-1"/>
        </w:rPr>
        <w:t>r</w:t>
      </w:r>
      <w:r w:rsidRPr="0030215C">
        <w:t>t</w:t>
      </w:r>
      <w:r w:rsidRPr="0030215C">
        <w:rPr>
          <w:spacing w:val="-1"/>
        </w:rPr>
        <w:t>i</w:t>
      </w:r>
      <w:r w:rsidRPr="0030215C">
        <w:t>ng</w:t>
      </w:r>
      <w:r w:rsidRPr="0030215C">
        <w:rPr>
          <w:spacing w:val="-1"/>
        </w:rPr>
        <w:t xml:space="preserve"> </w:t>
      </w:r>
      <w:r w:rsidRPr="0030215C">
        <w:rPr>
          <w:spacing w:val="-3"/>
        </w:rPr>
        <w:t>y</w:t>
      </w:r>
      <w:r w:rsidRPr="0030215C">
        <w:t>ear.</w:t>
      </w:r>
      <w:r w:rsidRPr="0030215C">
        <w:rPr>
          <w:spacing w:val="-2"/>
        </w:rPr>
        <w:t xml:space="preserve"> </w:t>
      </w:r>
    </w:p>
    <w:p w14:paraId="718F9646" w14:textId="77777777" w:rsidR="005042FA" w:rsidRPr="00CE5DFC" w:rsidRDefault="005042FA" w:rsidP="003706F8">
      <w:pPr>
        <w:pStyle w:val="Heading2"/>
        <w:numPr>
          <w:ilvl w:val="1"/>
          <w:numId w:val="3"/>
        </w:numPr>
        <w:tabs>
          <w:tab w:val="num" w:pos="567"/>
        </w:tabs>
        <w:spacing w:line="276" w:lineRule="auto"/>
        <w:ind w:left="567" w:hanging="567"/>
      </w:pPr>
      <w:bookmarkStart w:id="75" w:name="_Emissions_of_Methane"/>
      <w:bookmarkStart w:id="76" w:name="_Toc43871048"/>
      <w:bookmarkStart w:id="77" w:name="_Toc76041546"/>
      <w:bookmarkStart w:id="78" w:name="_Toc235611547"/>
      <w:bookmarkStart w:id="79" w:name="_Hlk42685961"/>
      <w:bookmarkEnd w:id="75"/>
      <w:r w:rsidRPr="00CE5DFC">
        <w:rPr>
          <w:bCs w:val="0"/>
        </w:rPr>
        <w:t>Emissions of Methane released from wastewater handling (industrial)</w:t>
      </w:r>
      <w:bookmarkEnd w:id="76"/>
      <w:bookmarkEnd w:id="77"/>
      <w:bookmarkEnd w:id="78"/>
      <w:r w:rsidRPr="00CE5DFC">
        <w:rPr>
          <w:bCs w:val="0"/>
        </w:rPr>
        <w:t xml:space="preserve"> </w:t>
      </w:r>
    </w:p>
    <w:bookmarkEnd w:id="79"/>
    <w:p w14:paraId="2C84E84D" w14:textId="7C65AA80" w:rsidR="005042FA" w:rsidRDefault="005042FA" w:rsidP="0072212A">
      <w:pPr>
        <w:pStyle w:val="Text"/>
        <w:tabs>
          <w:tab w:val="left" w:pos="8400"/>
        </w:tabs>
        <w:spacing w:after="200" w:line="240" w:lineRule="auto"/>
        <w:rPr>
          <w:rFonts w:asciiTheme="minorHAnsi" w:hAnsiTheme="minorHAnsi" w:cstheme="minorHAnsi"/>
          <w:sz w:val="22"/>
          <w:szCs w:val="22"/>
        </w:rPr>
      </w:pPr>
      <w:r w:rsidRPr="0030215C">
        <w:rPr>
          <w:rFonts w:asciiTheme="minorHAnsi" w:hAnsiTheme="minorHAnsi" w:cstheme="minorHAnsi"/>
          <w:sz w:val="22"/>
          <w:szCs w:val="22"/>
        </w:rPr>
        <w:t xml:space="preserve">Section 5.42 of the NGER </w:t>
      </w:r>
      <w:r w:rsidRPr="002D2E66">
        <w:rPr>
          <w:rFonts w:asciiTheme="minorHAnsi" w:hAnsiTheme="minorHAnsi" w:cstheme="minorHAnsi"/>
          <w:sz w:val="22"/>
          <w:szCs w:val="22"/>
        </w:rPr>
        <w:t xml:space="preserve">Measurement </w:t>
      </w:r>
      <w:r w:rsidRPr="0030215C">
        <w:rPr>
          <w:rFonts w:asciiTheme="minorHAnsi" w:hAnsiTheme="minorHAnsi" w:cstheme="minorHAnsi"/>
          <w:sz w:val="22"/>
          <w:szCs w:val="22"/>
        </w:rPr>
        <w:t>Determination sets out Method 1 for</w:t>
      </w:r>
      <w:r w:rsidR="003F5EF6">
        <w:rPr>
          <w:rFonts w:asciiTheme="minorHAnsi" w:hAnsiTheme="minorHAnsi" w:cstheme="minorHAnsi"/>
          <w:sz w:val="22"/>
          <w:szCs w:val="22"/>
        </w:rPr>
        <w:t xml:space="preserve"> </w:t>
      </w:r>
      <w:r w:rsidRPr="0030215C" w:rsidDel="003F5EF6">
        <w:rPr>
          <w:rFonts w:asciiTheme="minorHAnsi" w:hAnsiTheme="minorHAnsi" w:cstheme="minorHAnsi"/>
          <w:sz w:val="22"/>
          <w:szCs w:val="22"/>
        </w:rPr>
        <w:t xml:space="preserve">methane </w:t>
      </w:r>
      <w:r w:rsidRPr="0030215C">
        <w:rPr>
          <w:rFonts w:asciiTheme="minorHAnsi" w:hAnsiTheme="minorHAnsi" w:cstheme="minorHAnsi"/>
          <w:sz w:val="22"/>
          <w:szCs w:val="22"/>
        </w:rPr>
        <w:t xml:space="preserve">emissions from </w:t>
      </w:r>
      <w:r>
        <w:rPr>
          <w:rFonts w:asciiTheme="minorHAnsi" w:hAnsiTheme="minorHAnsi" w:cstheme="minorHAnsi"/>
          <w:sz w:val="22"/>
          <w:szCs w:val="22"/>
        </w:rPr>
        <w:t xml:space="preserve">industrial </w:t>
      </w:r>
      <w:r w:rsidRPr="0030215C">
        <w:rPr>
          <w:rFonts w:asciiTheme="minorHAnsi" w:hAnsiTheme="minorHAnsi" w:cstheme="minorHAnsi"/>
          <w:sz w:val="22"/>
          <w:szCs w:val="22"/>
        </w:rPr>
        <w:t>wastewater handling. It is intended that this method applies to industries producing the following commodities under the applicable ANZSIC codes:</w:t>
      </w:r>
    </w:p>
    <w:p w14:paraId="01D0A8F8" w14:textId="77777777" w:rsidR="005042FA" w:rsidRDefault="005042FA" w:rsidP="005042FA">
      <w:pPr>
        <w:pStyle w:val="CERbullets"/>
        <w:ind w:left="360" w:hanging="360"/>
      </w:pPr>
      <w:r>
        <w:t>d</w:t>
      </w:r>
      <w:r w:rsidRPr="009C6A48">
        <w:t>airy products (ANZSIC code 113)</w:t>
      </w:r>
      <w:r w:rsidRPr="00A07290">
        <w:t xml:space="preserve"> </w:t>
      </w:r>
    </w:p>
    <w:p w14:paraId="3CEEE126" w14:textId="07B38568" w:rsidR="005042FA" w:rsidRDefault="005042FA" w:rsidP="005042FA">
      <w:pPr>
        <w:pStyle w:val="CERbullets"/>
        <w:ind w:left="360" w:hanging="360"/>
      </w:pPr>
      <w:r>
        <w:t>p</w:t>
      </w:r>
      <w:r w:rsidRPr="00882E34">
        <w:t>ulp, paper</w:t>
      </w:r>
      <w:r w:rsidR="00743A2A">
        <w:t>,</w:t>
      </w:r>
      <w:r w:rsidRPr="00882E34">
        <w:t xml:space="preserve"> and paperboard (ANZSIC code 1510)</w:t>
      </w:r>
    </w:p>
    <w:p w14:paraId="33404B58" w14:textId="77777777" w:rsidR="005042FA" w:rsidRDefault="005042FA" w:rsidP="005042FA">
      <w:pPr>
        <w:pStyle w:val="CERbullets"/>
        <w:ind w:left="360" w:hanging="360"/>
      </w:pPr>
      <w:r>
        <w:t>m</w:t>
      </w:r>
      <w:r w:rsidRPr="00710A20">
        <w:t>eat and poultry (ANZSIC codes 1111 and 1112)</w:t>
      </w:r>
    </w:p>
    <w:p w14:paraId="449745F6" w14:textId="77777777" w:rsidR="005042FA" w:rsidRDefault="005042FA" w:rsidP="005042FA">
      <w:pPr>
        <w:pStyle w:val="CERbullets"/>
        <w:ind w:left="360" w:hanging="360"/>
      </w:pPr>
      <w:r>
        <w:lastRenderedPageBreak/>
        <w:t>o</w:t>
      </w:r>
      <w:r w:rsidRPr="00E230BD">
        <w:t>rganic chemicals (ANZSIC codes 18 and 19)</w:t>
      </w:r>
    </w:p>
    <w:p w14:paraId="7A63C3C8" w14:textId="77777777" w:rsidR="005042FA" w:rsidRDefault="005042FA" w:rsidP="005042FA">
      <w:pPr>
        <w:pStyle w:val="CERbullets"/>
        <w:ind w:left="360" w:hanging="360"/>
      </w:pPr>
      <w:r>
        <w:t>r</w:t>
      </w:r>
      <w:r w:rsidRPr="00A84664">
        <w:t>aw sugar</w:t>
      </w:r>
      <w:r w:rsidRPr="00E12340">
        <w:rPr>
          <w:sz w:val="18"/>
          <w:szCs w:val="18"/>
          <w:vertAlign w:val="superscript"/>
        </w:rPr>
        <w:footnoteReference w:id="15"/>
      </w:r>
      <w:r w:rsidRPr="00A84664">
        <w:t xml:space="preserve"> (ANZSIC code 1181)</w:t>
      </w:r>
    </w:p>
    <w:p w14:paraId="605AD28E" w14:textId="77777777" w:rsidR="005042FA" w:rsidRDefault="005042FA" w:rsidP="005042FA">
      <w:pPr>
        <w:pStyle w:val="CERbullets"/>
        <w:ind w:left="360" w:hanging="360"/>
      </w:pPr>
      <w:r>
        <w:t>b</w:t>
      </w:r>
      <w:r w:rsidRPr="002440D3">
        <w:t>eer (ANZSIC code 1212)</w:t>
      </w:r>
      <w:r w:rsidRPr="00A07290">
        <w:t xml:space="preserve"> </w:t>
      </w:r>
    </w:p>
    <w:p w14:paraId="174C7804" w14:textId="77777777" w:rsidR="005042FA" w:rsidRDefault="005042FA" w:rsidP="005042FA">
      <w:pPr>
        <w:pStyle w:val="CERbullets"/>
        <w:ind w:left="360" w:hanging="360"/>
      </w:pPr>
      <w:r>
        <w:t>w</w:t>
      </w:r>
      <w:r w:rsidRPr="00B355CD">
        <w:t>ine and Other Alcoholic Beverages (ANZSIC code 1214)</w:t>
      </w:r>
    </w:p>
    <w:p w14:paraId="6BA4F08A" w14:textId="77777777" w:rsidR="005042FA" w:rsidRPr="0030215C" w:rsidRDefault="005042FA" w:rsidP="005042FA">
      <w:pPr>
        <w:pStyle w:val="CERbullets"/>
        <w:ind w:left="360" w:hanging="360"/>
        <w:rPr>
          <w:szCs w:val="22"/>
        </w:rPr>
      </w:pPr>
      <w:r>
        <w:t>f</w:t>
      </w:r>
      <w:r w:rsidRPr="00C27E51">
        <w:t>ruit and vegetables (ANZSIC code 1140)</w:t>
      </w:r>
      <w:r>
        <w:t>.</w:t>
      </w:r>
    </w:p>
    <w:p w14:paraId="31ACDC17" w14:textId="3599B6FF" w:rsidR="005042FA" w:rsidRPr="009D44E8" w:rsidRDefault="00F6150E" w:rsidP="0072212A">
      <w:pPr>
        <w:pStyle w:val="TableParagraph"/>
      </w:pPr>
      <w:r w:rsidRPr="009D44E8">
        <w:t xml:space="preserve">The </w:t>
      </w:r>
      <w:r w:rsidRPr="00C72D96">
        <w:t>Australian Bureau of Statistics</w:t>
      </w:r>
      <w:r w:rsidRPr="009D44E8">
        <w:t xml:space="preserve"> website lists </w:t>
      </w:r>
      <w:hyperlink r:id="rId34" w:tooltip="A link to the ANZIC codes page on the Australian Bureau of Statistics website" w:history="1">
        <w:r w:rsidR="005042FA" w:rsidRPr="0072212A">
          <w:rPr>
            <w:rStyle w:val="Hyperlink"/>
            <w:rFonts w:asciiTheme="minorHAnsi" w:hAnsiTheme="minorHAnsi" w:cstheme="minorHAnsi"/>
            <w:sz w:val="24"/>
            <w:szCs w:val="24"/>
          </w:rPr>
          <w:t>ANZSIC codes and descriptions of the activities included under each code</w:t>
        </w:r>
      </w:hyperlink>
      <w:r w:rsidR="00883379" w:rsidRPr="0072212A">
        <w:rPr>
          <w:rStyle w:val="FootnoteReference"/>
          <w:rFonts w:cstheme="minorHAnsi"/>
          <w:sz w:val="24"/>
          <w:szCs w:val="24"/>
        </w:rPr>
        <w:footnoteReference w:id="16"/>
      </w:r>
      <w:r w:rsidR="005042FA" w:rsidRPr="009D44E8">
        <w:t>.</w:t>
      </w:r>
    </w:p>
    <w:p w14:paraId="4F841EDE" w14:textId="6A6CDEEB" w:rsidR="005042FA" w:rsidRPr="00C05057" w:rsidRDefault="005042FA" w:rsidP="005042FA">
      <w:pPr>
        <w:pStyle w:val="Text"/>
        <w:tabs>
          <w:tab w:val="left" w:pos="8400"/>
        </w:tabs>
        <w:spacing w:before="0" w:after="200" w:line="240" w:lineRule="auto"/>
        <w:rPr>
          <w:rFonts w:asciiTheme="minorHAnsi" w:hAnsiTheme="minorHAnsi" w:cstheme="minorBidi"/>
          <w:sz w:val="22"/>
          <w:szCs w:val="22"/>
        </w:rPr>
      </w:pPr>
      <w:r w:rsidRPr="65607FD3">
        <w:rPr>
          <w:rFonts w:asciiTheme="minorHAnsi" w:hAnsiTheme="minorHAnsi" w:cstheme="minorBidi"/>
          <w:sz w:val="22"/>
          <w:szCs w:val="22"/>
        </w:rPr>
        <w:t xml:space="preserve">As for domestic and commercial wastewater handling facilities, </w:t>
      </w:r>
      <w:r w:rsidR="59A91720" w:rsidRPr="65607FD3">
        <w:rPr>
          <w:rFonts w:asciiTheme="minorHAnsi" w:hAnsiTheme="minorHAnsi" w:cstheme="minorBidi"/>
          <w:sz w:val="22"/>
          <w:szCs w:val="22"/>
        </w:rPr>
        <w:t>M</w:t>
      </w:r>
      <w:r w:rsidRPr="65607FD3">
        <w:rPr>
          <w:rFonts w:asciiTheme="minorHAnsi" w:hAnsiTheme="minorHAnsi" w:cstheme="minorBidi"/>
          <w:sz w:val="22"/>
          <w:szCs w:val="22"/>
        </w:rPr>
        <w:t xml:space="preserve">ethod 1 for industrial wastewater handling is based on Australia's </w:t>
      </w:r>
      <w:hyperlink r:id="rId35" w:tooltip="A link to the National Greenhouse Accounts Factors page of the Department of Climate Change, Energy, the Environment and Water's website" w:history="1">
        <w:r w:rsidRPr="65607FD3">
          <w:rPr>
            <w:rStyle w:val="Hyperlink"/>
            <w:rFonts w:asciiTheme="minorHAnsi" w:hAnsiTheme="minorHAnsi" w:cstheme="minorBidi"/>
          </w:rPr>
          <w:t>National Greenhouse Accounts</w:t>
        </w:r>
      </w:hyperlink>
      <w:r w:rsidR="008457DF">
        <w:rPr>
          <w:rStyle w:val="FootnoteReference"/>
          <w:rFonts w:asciiTheme="minorHAnsi" w:hAnsiTheme="minorHAnsi" w:cstheme="minorBidi"/>
          <w:sz w:val="22"/>
          <w:szCs w:val="22"/>
        </w:rPr>
        <w:footnoteReference w:id="17"/>
      </w:r>
      <w:r w:rsidRPr="65607FD3">
        <w:rPr>
          <w:rFonts w:asciiTheme="minorHAnsi" w:hAnsiTheme="minorHAnsi" w:cstheme="minorBidi"/>
          <w:sz w:val="22"/>
          <w:szCs w:val="22"/>
        </w:rPr>
        <w:t xml:space="preserve"> methods, except in </w:t>
      </w:r>
      <w:r w:rsidR="00360123" w:rsidRPr="65607FD3">
        <w:rPr>
          <w:rFonts w:asciiTheme="minorHAnsi" w:hAnsiTheme="minorHAnsi" w:cstheme="minorBidi"/>
          <w:sz w:val="22"/>
          <w:szCs w:val="22"/>
        </w:rPr>
        <w:t xml:space="preserve">specific </w:t>
      </w:r>
      <w:r w:rsidRPr="65607FD3">
        <w:rPr>
          <w:rFonts w:asciiTheme="minorHAnsi" w:hAnsiTheme="minorHAnsi" w:cstheme="minorBidi"/>
          <w:sz w:val="22"/>
          <w:szCs w:val="22"/>
        </w:rPr>
        <w:t xml:space="preserve">circumstances.  </w:t>
      </w:r>
    </w:p>
    <w:p w14:paraId="1AA1138D" w14:textId="73DDA2CF" w:rsidR="005042FA" w:rsidRPr="00FE22DC" w:rsidRDefault="005042FA" w:rsidP="005042FA">
      <w:pPr>
        <w:pStyle w:val="ZR1"/>
        <w:keepNext w:val="0"/>
        <w:keepLines w:val="0"/>
        <w:tabs>
          <w:tab w:val="left" w:pos="8400"/>
        </w:tabs>
        <w:spacing w:before="0" w:after="200" w:line="240" w:lineRule="auto"/>
        <w:ind w:left="0" w:firstLine="0"/>
        <w:jc w:val="left"/>
        <w:rPr>
          <w:rFonts w:asciiTheme="minorHAnsi" w:hAnsiTheme="minorHAnsi" w:cstheme="minorBidi"/>
          <w:sz w:val="20"/>
          <w:szCs w:val="20"/>
        </w:rPr>
      </w:pPr>
      <w:r w:rsidRPr="00C05057">
        <w:rPr>
          <w:rFonts w:asciiTheme="minorHAnsi" w:hAnsiTheme="minorHAnsi" w:cstheme="minorHAnsi"/>
          <w:sz w:val="22"/>
          <w:szCs w:val="22"/>
        </w:rPr>
        <w:tab/>
      </w:r>
      <w:r w:rsidRPr="65607FD3">
        <w:rPr>
          <w:rFonts w:asciiTheme="minorHAnsi" w:hAnsiTheme="minorHAnsi" w:cstheme="minorBidi"/>
          <w:sz w:val="22"/>
          <w:szCs w:val="22"/>
        </w:rPr>
        <w:t xml:space="preserve">While default MCF values are provided under </w:t>
      </w:r>
      <w:r w:rsidR="527E33CD" w:rsidRPr="65607FD3">
        <w:rPr>
          <w:rFonts w:asciiTheme="minorHAnsi" w:hAnsiTheme="minorHAnsi" w:cstheme="minorBidi"/>
          <w:sz w:val="22"/>
          <w:szCs w:val="22"/>
        </w:rPr>
        <w:t>M</w:t>
      </w:r>
      <w:r w:rsidRPr="65607FD3">
        <w:rPr>
          <w:rFonts w:asciiTheme="minorHAnsi" w:hAnsiTheme="minorHAnsi" w:cstheme="minorBidi"/>
          <w:sz w:val="22"/>
          <w:szCs w:val="22"/>
        </w:rPr>
        <w:t xml:space="preserve">ethod 1, it is also possible to use a site-specific MCF value based on the type of wastewater treatment system employed in the industrial plant. To assist in the MCF selection process, a table provided in </w:t>
      </w:r>
      <w:r w:rsidR="009D44E8">
        <w:rPr>
          <w:rFonts w:asciiTheme="minorHAnsi" w:hAnsiTheme="minorHAnsi" w:cstheme="minorBidi"/>
          <w:sz w:val="22"/>
          <w:szCs w:val="22"/>
        </w:rPr>
        <w:t>subs</w:t>
      </w:r>
      <w:r w:rsidRPr="65607FD3">
        <w:rPr>
          <w:rFonts w:asciiTheme="minorHAnsi" w:hAnsiTheme="minorHAnsi" w:cstheme="minorBidi"/>
          <w:sz w:val="22"/>
          <w:szCs w:val="22"/>
        </w:rPr>
        <w:t>ection 5.42(8) of the NGER Measurement Determination provides default values of COD for several commodities and industries. The</w:t>
      </w:r>
      <w:r w:rsidRPr="00B830BF">
        <w:t xml:space="preserve"> </w:t>
      </w:r>
      <w:r w:rsidRPr="65607FD3">
        <w:rPr>
          <w:rFonts w:asciiTheme="minorHAnsi" w:hAnsiTheme="minorHAnsi" w:cstheme="minorBidi"/>
          <w:sz w:val="22"/>
          <w:szCs w:val="22"/>
        </w:rPr>
        <w:t>NGER Wastewater (Industrial) Calculator contains these default values for use in calculations and allows inputting of site-specific values.</w:t>
      </w:r>
    </w:p>
    <w:p w14:paraId="3077C717" w14:textId="1DE94C16" w:rsidR="005042FA" w:rsidRPr="0030215C" w:rsidRDefault="005042FA" w:rsidP="005042FA">
      <w:pPr>
        <w:rPr>
          <w:rFonts w:eastAsia="Times New Roman"/>
          <w:color w:val="auto"/>
        </w:rPr>
      </w:pPr>
      <w:r w:rsidRPr="65607FD3">
        <w:rPr>
          <w:rFonts w:eastAsia="Times New Roman"/>
          <w:color w:val="auto"/>
        </w:rPr>
        <w:t xml:space="preserve">Sections 5.43 to 5.46 of the NGER </w:t>
      </w:r>
      <w:r>
        <w:t xml:space="preserve">Measurement </w:t>
      </w:r>
      <w:r w:rsidRPr="65607FD3">
        <w:rPr>
          <w:rFonts w:eastAsia="Times New Roman"/>
          <w:color w:val="auto"/>
        </w:rPr>
        <w:t xml:space="preserve">Determination set out the requirements for </w:t>
      </w:r>
      <w:r w:rsidR="4B344D78" w:rsidRPr="65607FD3">
        <w:rPr>
          <w:rFonts w:eastAsia="Times New Roman"/>
          <w:color w:val="auto"/>
        </w:rPr>
        <w:t>M</w:t>
      </w:r>
      <w:r w:rsidRPr="65607FD3">
        <w:rPr>
          <w:rFonts w:eastAsia="Times New Roman"/>
          <w:color w:val="auto"/>
        </w:rPr>
        <w:t>ethod 2 for estimating</w:t>
      </w:r>
      <w:r w:rsidR="009F55C6" w:rsidRPr="65607FD3">
        <w:rPr>
          <w:rFonts w:eastAsia="Times New Roman"/>
          <w:color w:val="auto"/>
        </w:rPr>
        <w:t xml:space="preserve"> </w:t>
      </w:r>
      <w:r w:rsidRPr="65607FD3" w:rsidDel="009F55C6">
        <w:rPr>
          <w:rFonts w:eastAsia="Times New Roman"/>
          <w:color w:val="auto"/>
        </w:rPr>
        <w:t>methane</w:t>
      </w:r>
      <w:r w:rsidRPr="65607FD3">
        <w:rPr>
          <w:rFonts w:eastAsia="Times New Roman"/>
          <w:color w:val="auto"/>
        </w:rPr>
        <w:t xml:space="preserve"> released from industrial wastewater handling. Method 2 requires that wastewater be sampled in accordance with the general sampling requirements set out in section 5.44 of the NGER </w:t>
      </w:r>
      <w:r>
        <w:t xml:space="preserve">Measurement </w:t>
      </w:r>
      <w:proofErr w:type="gramStart"/>
      <w:r w:rsidRPr="65607FD3">
        <w:rPr>
          <w:rFonts w:eastAsia="Times New Roman"/>
          <w:color w:val="auto"/>
        </w:rPr>
        <w:t>Determination, and</w:t>
      </w:r>
      <w:proofErr w:type="gramEnd"/>
      <w:r w:rsidRPr="65607FD3">
        <w:rPr>
          <w:rFonts w:eastAsia="Times New Roman"/>
          <w:color w:val="auto"/>
        </w:rPr>
        <w:t xml:space="preserve"> analysed for COD and BOD in accordance with the standards listed in subsections 5.45(1) and (2) respectively, or an equivalent Australian or international standard, with this sampling and analysis to take place on at least a monthly basis.</w:t>
      </w:r>
    </w:p>
    <w:p w14:paraId="7E1D800A" w14:textId="3CB80046" w:rsidR="005042FA" w:rsidRPr="0030215C" w:rsidRDefault="005042FA" w:rsidP="005042FA">
      <w:pPr>
        <w:rPr>
          <w:rFonts w:eastAsia="Times New Roman"/>
          <w:color w:val="auto"/>
        </w:rPr>
      </w:pPr>
      <w:r w:rsidRPr="65607FD3">
        <w:rPr>
          <w:rFonts w:eastAsia="Times New Roman"/>
          <w:color w:val="auto"/>
        </w:rPr>
        <w:t xml:space="preserve">Section 5.47 of the NGER </w:t>
      </w:r>
      <w:r>
        <w:t xml:space="preserve">Measurement </w:t>
      </w:r>
      <w:r w:rsidRPr="65607FD3">
        <w:rPr>
          <w:rFonts w:eastAsia="Times New Roman"/>
          <w:color w:val="auto"/>
        </w:rPr>
        <w:t xml:space="preserve">Determination sets out </w:t>
      </w:r>
      <w:r w:rsidR="03A3DDC5" w:rsidRPr="65607FD3">
        <w:rPr>
          <w:rFonts w:eastAsia="Times New Roman"/>
          <w:color w:val="auto"/>
        </w:rPr>
        <w:t>M</w:t>
      </w:r>
      <w:r w:rsidRPr="65607FD3">
        <w:rPr>
          <w:rFonts w:eastAsia="Times New Roman"/>
          <w:color w:val="auto"/>
        </w:rPr>
        <w:t>ethod 3 for estimating</w:t>
      </w:r>
      <w:r w:rsidR="002B234A" w:rsidRPr="65607FD3">
        <w:rPr>
          <w:rFonts w:eastAsia="Times New Roman"/>
          <w:color w:val="auto"/>
        </w:rPr>
        <w:t xml:space="preserve"> </w:t>
      </w:r>
      <w:r w:rsidRPr="65607FD3">
        <w:rPr>
          <w:rFonts w:eastAsia="Times New Roman"/>
          <w:color w:val="auto"/>
        </w:rPr>
        <w:t xml:space="preserve">methane released from industrial wastewater handling. Method 3 is the same as </w:t>
      </w:r>
      <w:r w:rsidR="0F681F15" w:rsidRPr="65607FD3">
        <w:rPr>
          <w:rFonts w:eastAsia="Times New Roman"/>
          <w:color w:val="auto"/>
        </w:rPr>
        <w:t>M</w:t>
      </w:r>
      <w:r w:rsidRPr="65607FD3">
        <w:rPr>
          <w:rFonts w:eastAsia="Times New Roman"/>
          <w:color w:val="auto"/>
        </w:rPr>
        <w:t>ethod 2, save that wastewater must be sampled in accordance with AS/NZS 5667.10:1998 or an equivalent Australian or international standard.</w:t>
      </w:r>
    </w:p>
    <w:p w14:paraId="4CC5F2CC" w14:textId="77777777" w:rsidR="005042FA" w:rsidRPr="00CE5DFC" w:rsidRDefault="005042FA" w:rsidP="000910BB">
      <w:pPr>
        <w:pStyle w:val="Heading2"/>
        <w:numPr>
          <w:ilvl w:val="1"/>
          <w:numId w:val="3"/>
        </w:numPr>
        <w:tabs>
          <w:tab w:val="num" w:pos="567"/>
        </w:tabs>
        <w:spacing w:line="276" w:lineRule="auto"/>
        <w:ind w:left="1440" w:hanging="1440"/>
      </w:pPr>
      <w:bookmarkStart w:id="80" w:name="_Toc43871049"/>
      <w:bookmarkStart w:id="81" w:name="_Toc76041547"/>
      <w:bookmarkStart w:id="82" w:name="_Toc235611548"/>
      <w:r w:rsidRPr="00CE5DFC">
        <w:rPr>
          <w:bCs w:val="0"/>
        </w:rPr>
        <w:t>Wastewater handling (industrial)</w:t>
      </w:r>
      <w:r>
        <w:rPr>
          <w:bCs w:val="0"/>
        </w:rPr>
        <w:t xml:space="preserve"> </w:t>
      </w:r>
      <w:r w:rsidRPr="00CE5DFC">
        <w:rPr>
          <w:bCs w:val="0"/>
        </w:rPr>
        <w:t>-</w:t>
      </w:r>
      <w:r>
        <w:rPr>
          <w:bCs w:val="0"/>
        </w:rPr>
        <w:t xml:space="preserve"> </w:t>
      </w:r>
      <w:r w:rsidRPr="00CE5DFC">
        <w:rPr>
          <w:bCs w:val="0"/>
        </w:rPr>
        <w:t>Flaring</w:t>
      </w:r>
      <w:bookmarkEnd w:id="80"/>
      <w:bookmarkEnd w:id="81"/>
      <w:bookmarkEnd w:id="82"/>
      <w:r w:rsidRPr="00CE5DFC">
        <w:rPr>
          <w:bCs w:val="0"/>
        </w:rPr>
        <w:t xml:space="preserve"> </w:t>
      </w:r>
    </w:p>
    <w:p w14:paraId="61005CFD" w14:textId="6FC84EA8" w:rsidR="005042FA" w:rsidRDefault="005042FA" w:rsidP="0072212A">
      <w:pPr>
        <w:pStyle w:val="Text"/>
        <w:spacing w:after="200" w:line="240" w:lineRule="auto"/>
        <w:rPr>
          <w:rFonts w:asciiTheme="minorHAnsi" w:hAnsiTheme="minorHAnsi" w:cstheme="minorBidi"/>
          <w:sz w:val="22"/>
          <w:szCs w:val="22"/>
        </w:rPr>
      </w:pPr>
      <w:bookmarkStart w:id="83" w:name="_Toc423517228"/>
      <w:r w:rsidRPr="65607FD3">
        <w:rPr>
          <w:rFonts w:asciiTheme="minorHAnsi" w:hAnsiTheme="minorHAnsi" w:cstheme="minorBidi"/>
          <w:sz w:val="22"/>
          <w:szCs w:val="22"/>
        </w:rPr>
        <w:t xml:space="preserve">Sections 5.48 to 5.50 of the NGER Measurement Determination set out </w:t>
      </w:r>
      <w:r w:rsidR="145E155D" w:rsidRPr="65607FD3">
        <w:rPr>
          <w:rFonts w:asciiTheme="minorHAnsi" w:hAnsiTheme="minorHAnsi" w:cstheme="minorBidi"/>
          <w:sz w:val="22"/>
          <w:szCs w:val="22"/>
        </w:rPr>
        <w:t>M</w:t>
      </w:r>
      <w:r w:rsidRPr="65607FD3">
        <w:rPr>
          <w:rFonts w:asciiTheme="minorHAnsi" w:hAnsiTheme="minorHAnsi" w:cstheme="minorBidi"/>
          <w:sz w:val="22"/>
          <w:szCs w:val="22"/>
        </w:rPr>
        <w:t xml:space="preserve">ethods 1, 2 and 3 for the flaring of </w:t>
      </w:r>
      <w:r w:rsidRPr="65607FD3" w:rsidDel="002B234A">
        <w:rPr>
          <w:rFonts w:asciiTheme="minorHAnsi" w:hAnsiTheme="minorHAnsi" w:cstheme="minorBidi"/>
          <w:sz w:val="22"/>
          <w:szCs w:val="22"/>
        </w:rPr>
        <w:t>methane</w:t>
      </w:r>
      <w:r w:rsidRPr="65607FD3">
        <w:rPr>
          <w:rFonts w:asciiTheme="minorHAnsi" w:hAnsiTheme="minorHAnsi" w:cstheme="minorBidi"/>
          <w:sz w:val="22"/>
          <w:szCs w:val="22"/>
        </w:rPr>
        <w:t xml:space="preserve"> in sludge biogas. Method 1 is derived from the methods used for Australia's National Greenhouse Accounts. Methods 2 and 3 rely on the sampling and analysis of the fuel to estimate the gas composition of the fuel </w:t>
      </w:r>
      <w:proofErr w:type="gramStart"/>
      <w:r w:rsidRPr="65607FD3">
        <w:rPr>
          <w:rFonts w:asciiTheme="minorHAnsi" w:hAnsiTheme="minorHAnsi" w:cstheme="minorBidi"/>
          <w:sz w:val="22"/>
          <w:szCs w:val="22"/>
        </w:rPr>
        <w:t>in order to</w:t>
      </w:r>
      <w:proofErr w:type="gramEnd"/>
      <w:r w:rsidRPr="65607FD3">
        <w:rPr>
          <w:rFonts w:asciiTheme="minorHAnsi" w:hAnsiTheme="minorHAnsi" w:cstheme="minorBidi"/>
          <w:sz w:val="22"/>
          <w:szCs w:val="22"/>
        </w:rPr>
        <w:t xml:space="preserve"> estimate the quantity of methane flared more accurately.</w:t>
      </w:r>
    </w:p>
    <w:p w14:paraId="1BB45164" w14:textId="6C949725" w:rsidR="005042FA" w:rsidRPr="004D4668" w:rsidRDefault="005042FA" w:rsidP="005042FA">
      <w:pPr>
        <w:spacing w:after="0"/>
        <w:rPr>
          <w:rFonts w:eastAsia="Times New Roman"/>
          <w:b/>
          <w:color w:val="005874"/>
          <w:kern w:val="32"/>
          <w:sz w:val="40"/>
          <w:szCs w:val="40"/>
        </w:rPr>
      </w:pPr>
      <w:r>
        <w:t xml:space="preserve">Method 2 requires that the sludge biogas be sampled and analysed in accordance with Subdivision 2.3.3.2 of the NGER Measurement Determination, and </w:t>
      </w:r>
      <w:r w:rsidR="2AD8B4C6">
        <w:t>M</w:t>
      </w:r>
      <w:r>
        <w:t xml:space="preserve">ethod 3 requires that the sludge biogas be sampled and analysed in accordance with Division 2.3.4 of the NGER Measurement Determination. Both </w:t>
      </w:r>
      <w:r w:rsidR="4F9FF574">
        <w:t>M</w:t>
      </w:r>
      <w:r>
        <w:t>ethods 2 and 3 require compliance with the measuring requirements in Division 2.3.6 of the NGER Measurement Determination.</w:t>
      </w:r>
      <w:bookmarkStart w:id="84" w:name="_Toc43362135"/>
      <w:bookmarkStart w:id="85" w:name="_Toc43871050"/>
      <w:bookmarkEnd w:id="83"/>
    </w:p>
    <w:p w14:paraId="6FA33467" w14:textId="77777777" w:rsidR="005042FA" w:rsidRPr="007648BD" w:rsidRDefault="005042FA" w:rsidP="005042FA">
      <w:pPr>
        <w:pStyle w:val="Heading1"/>
      </w:pPr>
      <w:bookmarkStart w:id="86" w:name="_Toc76041548"/>
      <w:bookmarkStart w:id="87" w:name="_Toc235611549"/>
      <w:r>
        <w:lastRenderedPageBreak/>
        <w:t>More</w:t>
      </w:r>
      <w:r w:rsidRPr="007648BD">
        <w:t xml:space="preserve"> </w:t>
      </w:r>
      <w:r>
        <w:t>i</w:t>
      </w:r>
      <w:r w:rsidRPr="007648BD">
        <w:t xml:space="preserve">nformation </w:t>
      </w:r>
      <w:r>
        <w:t>and references</w:t>
      </w:r>
      <w:bookmarkEnd w:id="84"/>
      <w:bookmarkEnd w:id="85"/>
      <w:bookmarkEnd w:id="86"/>
      <w:bookmarkEnd w:id="87"/>
    </w:p>
    <w:p w14:paraId="631E53C5" w14:textId="3460687F" w:rsidR="005042FA" w:rsidRDefault="005042FA" w:rsidP="0072212A">
      <w:pPr>
        <w:spacing w:before="240"/>
      </w:pPr>
      <w:r>
        <w:t xml:space="preserve">This </w:t>
      </w:r>
      <w:r w:rsidRPr="00BB4259">
        <w:t>guideline</w:t>
      </w:r>
      <w:r>
        <w:t xml:space="preserve"> has been developed by </w:t>
      </w:r>
      <w:r w:rsidR="4EF73558">
        <w:t>CER</w:t>
      </w:r>
      <w:r>
        <w:t xml:space="preserve"> for use by wastewater facility handlers and wastewater biogas managers, to assist in the consistent accounting and reporting of greenhouse gas emissions, energy consumption and energy production using the NGER legislation.</w:t>
      </w:r>
    </w:p>
    <w:p w14:paraId="1D808C41" w14:textId="77777777" w:rsidR="005042FA" w:rsidRDefault="005042FA" w:rsidP="005042FA">
      <w:pPr>
        <w:pStyle w:val="Heading3"/>
      </w:pPr>
      <w:bookmarkStart w:id="88" w:name="_Toc43362136"/>
      <w:bookmarkStart w:id="89" w:name="_Toc43871051"/>
      <w:bookmarkStart w:id="90" w:name="_Toc108024312"/>
      <w:bookmarkStart w:id="91" w:name="_Toc235611550"/>
      <w:r>
        <w:t>More information</w:t>
      </w:r>
      <w:bookmarkEnd w:id="88"/>
      <w:bookmarkEnd w:id="89"/>
      <w:bookmarkEnd w:id="90"/>
      <w:bookmarkEnd w:id="91"/>
    </w:p>
    <w:p w14:paraId="67914B5D" w14:textId="71958FE6" w:rsidR="005042FA" w:rsidRDefault="005042FA" w:rsidP="005042FA">
      <w:r>
        <w:t xml:space="preserve">For more information, please contact </w:t>
      </w:r>
      <w:r w:rsidR="0720D3BC">
        <w:t>CER</w:t>
      </w:r>
      <w:r>
        <w:t>.</w:t>
      </w:r>
    </w:p>
    <w:p w14:paraId="4C052000" w14:textId="37DF9E32" w:rsidR="005042FA" w:rsidRDefault="005042FA" w:rsidP="005042FA">
      <w:r>
        <w:t>Email:</w:t>
      </w:r>
      <w:r>
        <w:tab/>
      </w:r>
      <w:hyperlink r:id="rId36" w:history="1">
        <w:r>
          <w:rPr>
            <w:rStyle w:val="Hyperlink"/>
          </w:rPr>
          <w:t>mailto:</w:t>
        </w:r>
      </w:hyperlink>
      <w:hyperlink r:id="rId37" w:history="1">
        <w:r w:rsidR="004F565A" w:rsidRPr="008349F0">
          <w:rPr>
            <w:rStyle w:val="Hyperlink"/>
            <w:rFonts w:asciiTheme="minorHAnsi" w:hAnsiTheme="minorHAnsi"/>
          </w:rPr>
          <w:t>cer-nger-reporting@cer.gov.au</w:t>
        </w:r>
      </w:hyperlink>
      <w:r w:rsidR="004F565A">
        <w:t xml:space="preserve"> </w:t>
      </w:r>
    </w:p>
    <w:p w14:paraId="7BA98B72" w14:textId="77777777" w:rsidR="005042FA" w:rsidRDefault="005042FA" w:rsidP="005042FA">
      <w:r>
        <w:t>Phone</w:t>
      </w:r>
      <w:r w:rsidRPr="00A07290">
        <w:t>:</w:t>
      </w:r>
      <w:r w:rsidRPr="00A07290">
        <w:tab/>
      </w:r>
      <w:r w:rsidRPr="000F7E30">
        <w:t>1300 553 542</w:t>
      </w:r>
      <w:r w:rsidRPr="0081076F">
        <w:rPr>
          <w:b/>
        </w:rPr>
        <w:t xml:space="preserve"> </w:t>
      </w:r>
      <w:r>
        <w:t xml:space="preserve">within Australia </w:t>
      </w:r>
    </w:p>
    <w:p w14:paraId="32578063" w14:textId="0CA0D427" w:rsidR="005042FA" w:rsidRPr="009D01EB" w:rsidRDefault="005042FA" w:rsidP="005042FA">
      <w:r>
        <w:t>Web:</w:t>
      </w:r>
      <w:r>
        <w:tab/>
      </w:r>
      <w:hyperlink r:id="rId38" w:history="1">
        <w:r w:rsidR="00EF30D4" w:rsidRPr="00EF30D4">
          <w:rPr>
            <w:rStyle w:val="Hyperlink"/>
            <w:rFonts w:asciiTheme="minorHAnsi" w:hAnsiTheme="minorHAnsi"/>
          </w:rPr>
          <w:t>www.cer.gov.au</w:t>
        </w:r>
      </w:hyperlink>
    </w:p>
    <w:p w14:paraId="15BED9E9" w14:textId="77787E36" w:rsidR="005042FA" w:rsidRDefault="005042FA" w:rsidP="00E04329">
      <w:r>
        <w:t xml:space="preserve">See </w:t>
      </w:r>
      <w:hyperlink r:id="rId39" w:tooltip="A link to the NGER reporting guides page of the Clean Energy Regulator's website" w:history="1">
        <w:r w:rsidR="00F767D4">
          <w:rPr>
            <w:rStyle w:val="Hyperlink"/>
            <w:rFonts w:asciiTheme="minorHAnsi" w:hAnsiTheme="minorHAnsi"/>
          </w:rPr>
          <w:t>NGER Reporting Guides</w:t>
        </w:r>
      </w:hyperlink>
      <w:r>
        <w:rPr>
          <w:rStyle w:val="FootnoteReference"/>
          <w:color w:val="005874"/>
          <w:u w:val="single"/>
        </w:rPr>
        <w:footnoteReference w:id="18"/>
      </w:r>
      <w:r>
        <w:t xml:space="preserve"> for more </w:t>
      </w:r>
      <w:r w:rsidR="00037D94">
        <w:t>information</w:t>
      </w:r>
      <w:r>
        <w:t xml:space="preserve"> on:</w:t>
      </w:r>
    </w:p>
    <w:p w14:paraId="55BA84E1" w14:textId="77777777" w:rsidR="005042FA" w:rsidRDefault="005042FA" w:rsidP="00DA67F2">
      <w:pPr>
        <w:numPr>
          <w:ilvl w:val="0"/>
          <w:numId w:val="4"/>
        </w:numPr>
        <w:spacing w:before="120" w:after="120"/>
      </w:pPr>
      <w:r>
        <w:t>defining a facility</w:t>
      </w:r>
    </w:p>
    <w:p w14:paraId="6F887F48" w14:textId="77777777" w:rsidR="005042FA" w:rsidRDefault="005042FA" w:rsidP="00DA67F2">
      <w:pPr>
        <w:numPr>
          <w:ilvl w:val="0"/>
          <w:numId w:val="4"/>
        </w:numPr>
        <w:spacing w:before="120" w:after="120"/>
      </w:pPr>
      <w:r>
        <w:t>operational control</w:t>
      </w:r>
    </w:p>
    <w:p w14:paraId="6287DB4D" w14:textId="77777777" w:rsidR="005042FA" w:rsidRDefault="005042FA" w:rsidP="00DA67F2">
      <w:pPr>
        <w:numPr>
          <w:ilvl w:val="0"/>
          <w:numId w:val="4"/>
        </w:numPr>
        <w:spacing w:before="120" w:after="120"/>
      </w:pPr>
      <w:r>
        <w:t>measurement criteria</w:t>
      </w:r>
    </w:p>
    <w:p w14:paraId="10F4F36A" w14:textId="77777777" w:rsidR="005042FA" w:rsidRDefault="005042FA" w:rsidP="00DA67F2">
      <w:pPr>
        <w:numPr>
          <w:ilvl w:val="0"/>
          <w:numId w:val="4"/>
        </w:numPr>
        <w:spacing w:before="120" w:after="120"/>
      </w:pPr>
      <w:r>
        <w:t>reporting energy production and consumption</w:t>
      </w:r>
    </w:p>
    <w:p w14:paraId="202AE634" w14:textId="77777777" w:rsidR="005042FA" w:rsidRPr="00746F7E" w:rsidRDefault="005042FA" w:rsidP="00DA67F2">
      <w:pPr>
        <w:numPr>
          <w:ilvl w:val="0"/>
          <w:numId w:val="4"/>
        </w:numPr>
        <w:spacing w:before="120" w:after="120"/>
        <w:rPr>
          <w:spacing w:val="-2"/>
        </w:rPr>
      </w:pPr>
      <w:r>
        <w:t>reporting uncertainty.</w:t>
      </w:r>
      <w:bookmarkEnd w:id="63"/>
    </w:p>
    <w:p w14:paraId="40B874F5" w14:textId="28CE1150" w:rsidR="00235142" w:rsidRDefault="00235142" w:rsidP="00235142">
      <w:pPr>
        <w:spacing w:after="0"/>
      </w:pPr>
    </w:p>
    <w:sectPr w:rsidR="00235142" w:rsidSect="00300F2F">
      <w:headerReference w:type="default" r:id="rId40"/>
      <w:footerReference w:type="even" r:id="rId41"/>
      <w:footerReference w:type="default" r:id="rId42"/>
      <w:headerReference w:type="first" r:id="rId43"/>
      <w:footerReference w:type="first" r:id="rId44"/>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C94EF" w14:textId="77777777" w:rsidR="005629F0" w:rsidRDefault="005629F0" w:rsidP="00176C28">
      <w:r>
        <w:separator/>
      </w:r>
    </w:p>
    <w:p w14:paraId="17EA9FD2" w14:textId="77777777" w:rsidR="005629F0" w:rsidRDefault="005629F0"/>
  </w:endnote>
  <w:endnote w:type="continuationSeparator" w:id="0">
    <w:p w14:paraId="27E12A7F" w14:textId="77777777" w:rsidR="005629F0" w:rsidRDefault="005629F0" w:rsidP="00176C28">
      <w:r>
        <w:continuationSeparator/>
      </w:r>
    </w:p>
    <w:p w14:paraId="042823D4" w14:textId="77777777" w:rsidR="005629F0" w:rsidRDefault="005629F0"/>
  </w:endnote>
  <w:endnote w:type="continuationNotice" w:id="1">
    <w:p w14:paraId="18E18A62" w14:textId="77777777" w:rsidR="005629F0" w:rsidRDefault="005629F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A1920" w14:textId="040D060B"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02A7BEB" w14:textId="105A5E38" w:rsidR="00977234" w:rsidRDefault="00977234" w:rsidP="009633DE">
    <w:pPr>
      <w:pStyle w:val="Footer"/>
      <w:ind w:right="360"/>
      <w:rPr>
        <w:rStyle w:val="PageNumber"/>
      </w:rPr>
    </w:pPr>
  </w:p>
  <w:p w14:paraId="302821B3" w14:textId="77777777" w:rsidR="00977234" w:rsidRDefault="00977234" w:rsidP="009633DE">
    <w:pPr>
      <w:pStyle w:val="Footer"/>
    </w:pPr>
  </w:p>
  <w:p w14:paraId="4C431A8C"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BD5E4" w14:textId="76A022CC" w:rsidR="007D373D" w:rsidRPr="00E613C9" w:rsidRDefault="007D373D" w:rsidP="007D373D">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www.</w:t>
    </w:r>
    <w:r w:rsidR="00B96C92">
      <w:t>cer</w:t>
    </w:r>
    <w:r w:rsidRPr="002D18F3">
      <w:t>.gov.au</w:t>
    </w:r>
    <w:r w:rsidRPr="002D18F3">
      <w:rPr>
        <w:rStyle w:val="PageNumber"/>
      </w:rPr>
      <w:t xml:space="preserve"> | </w:t>
    </w:r>
    <w:r w:rsidRPr="002D18F3">
      <w:rPr>
        <w:rStyle w:val="PageNumber"/>
        <w:b/>
        <w:bCs/>
      </w:rPr>
      <w:t>T:</w:t>
    </w:r>
    <w:r w:rsidRPr="002D18F3">
      <w:rPr>
        <w:rStyle w:val="PageNumber"/>
      </w:rPr>
      <w:t xml:space="preserve"> 1300 553 542 | </w:t>
    </w:r>
    <w:r w:rsidRPr="002D18F3">
      <w:rPr>
        <w:rStyle w:val="PageNumber"/>
        <w:b/>
        <w:bCs/>
      </w:rPr>
      <w:t>E:</w:t>
    </w:r>
    <w:r w:rsidRPr="002D18F3">
      <w:rPr>
        <w:rStyle w:val="PageNumber"/>
      </w:rPr>
      <w:t xml:space="preserve"> </w:t>
    </w:r>
    <w:r w:rsidR="00B42922" w:rsidRPr="007617D1">
      <w:t>enquiries@cer.gov.au</w:t>
    </w:r>
    <w:r w:rsidR="00B42922">
      <w:rPr>
        <w:rStyle w:val="PageNumber"/>
      </w:rPr>
      <w:t xml:space="preserve"> </w:t>
    </w:r>
    <w:r>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Pr="00E349EF">
          <w:rPr>
            <w:rStyle w:val="PageNumber"/>
            <w:sz w:val="20"/>
            <w:szCs w:val="20"/>
          </w:rPr>
          <w:fldChar w:fldCharType="begin"/>
        </w:r>
        <w:r w:rsidRPr="00E349EF">
          <w:rPr>
            <w:rStyle w:val="PageNumber"/>
            <w:sz w:val="20"/>
            <w:szCs w:val="20"/>
          </w:rPr>
          <w:instrText xml:space="preserve"> PAGE </w:instrText>
        </w:r>
        <w:r w:rsidRPr="00E349EF">
          <w:rPr>
            <w:rStyle w:val="PageNumber"/>
            <w:sz w:val="20"/>
            <w:szCs w:val="20"/>
          </w:rPr>
          <w:fldChar w:fldCharType="separate"/>
        </w:r>
        <w:r>
          <w:rPr>
            <w:rStyle w:val="PageNumber"/>
            <w:sz w:val="20"/>
            <w:szCs w:val="20"/>
          </w:rPr>
          <w:t>2</w:t>
        </w:r>
        <w:r w:rsidRPr="00E349EF">
          <w:rPr>
            <w:rStyle w:val="PageNumber"/>
            <w:sz w:val="20"/>
            <w:szCs w:val="20"/>
          </w:rPr>
          <w:fldChar w:fldCharType="end"/>
        </w:r>
      </w:sdtContent>
    </w:sdt>
  </w:p>
  <w:p w14:paraId="788087B7" w14:textId="692C6DC9" w:rsidR="00F76419" w:rsidRPr="007D373D" w:rsidRDefault="00F76419" w:rsidP="007D373D">
    <w:pPr>
      <w:pStyle w:val="Footer"/>
      <w:spacing w:before="60"/>
      <w:jc w:val="center"/>
      <w:rPr>
        <w:rStyle w:val="Protectivemark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D8CCF" w14:textId="7839AB4F" w:rsidR="0065750A" w:rsidRPr="009C30B4" w:rsidRDefault="00862D08" w:rsidP="00AA2792">
    <w:pPr>
      <w:tabs>
        <w:tab w:val="left" w:pos="2694"/>
        <w:tab w:val="left" w:pos="3969"/>
        <w:tab w:val="left" w:pos="6946"/>
        <w:tab w:val="right" w:pos="9498"/>
      </w:tabs>
      <w:spacing w:after="720"/>
      <w:ind w:right="242"/>
      <w:rPr>
        <w:color w:val="005874"/>
        <w:sz w:val="16"/>
        <w:szCs w:val="16"/>
      </w:rPr>
    </w:pPr>
    <w:r w:rsidRPr="00862D08">
      <w:t xml:space="preserve"> </w:t>
    </w:r>
    <w:r>
      <w:rPr>
        <w:noProof/>
      </w:rPr>
      <w:drawing>
        <wp:inline distT="0" distB="0" distL="0" distR="0" wp14:anchorId="24F8CBCA" wp14:editId="1428B1CC">
          <wp:extent cx="2097679" cy="63813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8425" cy="653571"/>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5D937" w14:textId="77777777" w:rsidR="005629F0" w:rsidRDefault="005629F0" w:rsidP="00176C28">
      <w:r>
        <w:separator/>
      </w:r>
    </w:p>
    <w:p w14:paraId="2C8AE8A0" w14:textId="77777777" w:rsidR="005629F0" w:rsidRDefault="005629F0"/>
  </w:footnote>
  <w:footnote w:type="continuationSeparator" w:id="0">
    <w:p w14:paraId="0B065DE2" w14:textId="77777777" w:rsidR="005629F0" w:rsidRDefault="005629F0" w:rsidP="00176C28">
      <w:r>
        <w:continuationSeparator/>
      </w:r>
    </w:p>
    <w:p w14:paraId="0E4C605A" w14:textId="77777777" w:rsidR="005629F0" w:rsidRDefault="005629F0"/>
  </w:footnote>
  <w:footnote w:type="continuationNotice" w:id="1">
    <w:p w14:paraId="1240C8A9" w14:textId="77777777" w:rsidR="005629F0" w:rsidRDefault="005629F0">
      <w:pPr>
        <w:spacing w:after="0"/>
      </w:pPr>
    </w:p>
  </w:footnote>
  <w:footnote w:id="2">
    <w:p w14:paraId="126C2F79" w14:textId="681D899E" w:rsidR="00AC404A" w:rsidRPr="00D058FF" w:rsidRDefault="00AC404A">
      <w:pPr>
        <w:pStyle w:val="FootnoteText"/>
        <w:rPr>
          <w:lang w:val="en-AU"/>
        </w:rPr>
      </w:pPr>
      <w:r>
        <w:rPr>
          <w:rStyle w:val="FootnoteReference"/>
        </w:rPr>
        <w:footnoteRef/>
      </w:r>
      <w:r>
        <w:t xml:space="preserve"> </w:t>
      </w:r>
      <w:r w:rsidR="000A0032" w:rsidRPr="00C72D96">
        <w:t>https://cer.gov.au/schemes/national-greenhouse-and-energy-reporting-scheme/assess-your-obligations#what-is-an-nger-facility</w:t>
      </w:r>
      <w:r>
        <w:t xml:space="preserve"> </w:t>
      </w:r>
    </w:p>
  </w:footnote>
  <w:footnote w:id="3">
    <w:p w14:paraId="3F022BA5" w14:textId="4BB06CAD" w:rsidR="005B15E0" w:rsidRPr="00D058FF" w:rsidRDefault="005B15E0">
      <w:pPr>
        <w:pStyle w:val="FootnoteText"/>
        <w:rPr>
          <w:lang w:val="en-AU"/>
        </w:rPr>
      </w:pPr>
      <w:r>
        <w:rPr>
          <w:rStyle w:val="FootnoteReference"/>
        </w:rPr>
        <w:footnoteRef/>
      </w:r>
      <w:r>
        <w:t xml:space="preserve"> </w:t>
      </w:r>
      <w:r w:rsidR="000A0032" w:rsidRPr="00C72D96">
        <w:t>https://cer.gov.au/schemes/safeguard-mechanism</w:t>
      </w:r>
      <w:r>
        <w:t xml:space="preserve"> </w:t>
      </w:r>
    </w:p>
  </w:footnote>
  <w:footnote w:id="4">
    <w:p w14:paraId="5BDADD04" w14:textId="650A0CA8" w:rsidR="004F565A" w:rsidRPr="008F212C" w:rsidRDefault="004F565A" w:rsidP="004F565A">
      <w:pPr>
        <w:pStyle w:val="FootnoteText"/>
        <w:rPr>
          <w:lang w:val="en-AU"/>
        </w:rPr>
      </w:pPr>
      <w:r>
        <w:rPr>
          <w:rStyle w:val="FootnoteReference"/>
        </w:rPr>
        <w:footnoteRef/>
      </w:r>
      <w:r>
        <w:t xml:space="preserve"> </w:t>
      </w:r>
      <w:r w:rsidR="000A0032" w:rsidRPr="00C72D96">
        <w:t>https://www.legislation.gov.au/help-and-resources/understanding-legislation/reading-legislation</w:t>
      </w:r>
      <w:r>
        <w:t xml:space="preserve"> </w:t>
      </w:r>
    </w:p>
  </w:footnote>
  <w:footnote w:id="5">
    <w:p w14:paraId="64084789" w14:textId="31BEC42F" w:rsidR="005042FA" w:rsidRPr="00570390" w:rsidRDefault="005042FA" w:rsidP="005042FA">
      <w:pPr>
        <w:pStyle w:val="FootnoteText"/>
        <w:rPr>
          <w:lang w:val="en-AU"/>
        </w:rPr>
      </w:pPr>
      <w:r>
        <w:rPr>
          <w:rStyle w:val="FootnoteReference"/>
        </w:rPr>
        <w:footnoteRef/>
      </w:r>
      <w:r>
        <w:t xml:space="preserve"> </w:t>
      </w:r>
      <w:r w:rsidR="00FD7DC1" w:rsidRPr="00FD7DC1">
        <w:t>https://www.legislation.gov.au/C2007A00175/latest/versions</w:t>
      </w:r>
    </w:p>
  </w:footnote>
  <w:footnote w:id="6">
    <w:p w14:paraId="2CAD5080" w14:textId="5F3DE2FF" w:rsidR="005042FA" w:rsidRPr="00570390" w:rsidRDefault="005042FA" w:rsidP="005042FA">
      <w:pPr>
        <w:pStyle w:val="FootnoteText"/>
        <w:rPr>
          <w:lang w:val="en-AU"/>
        </w:rPr>
      </w:pPr>
      <w:r w:rsidRPr="00570390">
        <w:rPr>
          <w:rStyle w:val="FootnoteReference"/>
        </w:rPr>
        <w:footnoteRef/>
      </w:r>
      <w:r w:rsidRPr="00570390">
        <w:t xml:space="preserve"> </w:t>
      </w:r>
      <w:r w:rsidR="00BB06EC" w:rsidRPr="00BB06EC">
        <w:t>https://www.legislation.gov.au/F2008L02230/latest/versions</w:t>
      </w:r>
    </w:p>
  </w:footnote>
  <w:footnote w:id="7">
    <w:p w14:paraId="0FF61066" w14:textId="4537614C" w:rsidR="005042FA" w:rsidRPr="00570390" w:rsidRDefault="005042FA" w:rsidP="005042FA">
      <w:pPr>
        <w:pStyle w:val="FootnoteText"/>
        <w:rPr>
          <w:lang w:val="en-AU"/>
        </w:rPr>
      </w:pPr>
      <w:r w:rsidRPr="00570390">
        <w:rPr>
          <w:rStyle w:val="FootnoteReference"/>
        </w:rPr>
        <w:footnoteRef/>
      </w:r>
      <w:r w:rsidRPr="00570390">
        <w:t xml:space="preserve"> </w:t>
      </w:r>
      <w:r w:rsidR="00854A98" w:rsidRPr="00854A98">
        <w:t>https://www.legislation.gov.au/F2008L02309/latest/versions</w:t>
      </w:r>
    </w:p>
  </w:footnote>
  <w:footnote w:id="8">
    <w:p w14:paraId="6DDFE0FC" w14:textId="50980EBD" w:rsidR="005042FA" w:rsidRPr="00740092" w:rsidRDefault="005042FA" w:rsidP="005042FA">
      <w:pPr>
        <w:pStyle w:val="FootnoteText"/>
        <w:rPr>
          <w:lang w:val="en-AU"/>
        </w:rPr>
      </w:pPr>
      <w:r w:rsidRPr="00570390">
        <w:rPr>
          <w:rStyle w:val="FootnoteReference"/>
        </w:rPr>
        <w:footnoteRef/>
      </w:r>
      <w:r w:rsidRPr="00570390">
        <w:t xml:space="preserve"> </w:t>
      </w:r>
      <w:r w:rsidR="00480E78" w:rsidRPr="00C72D96">
        <w:t>https://cer.gov.au/schemes/national-greenhouse-and-energy-reporting-scheme</w:t>
      </w:r>
    </w:p>
  </w:footnote>
  <w:footnote w:id="9">
    <w:p w14:paraId="2A80462B" w14:textId="0E94C3E9" w:rsidR="00A445B6" w:rsidRPr="00B82A8D" w:rsidRDefault="00A445B6">
      <w:pPr>
        <w:pStyle w:val="FootnoteText"/>
        <w:rPr>
          <w:lang w:val="en-AU"/>
        </w:rPr>
      </w:pPr>
      <w:r>
        <w:rPr>
          <w:rStyle w:val="FootnoteReference"/>
        </w:rPr>
        <w:footnoteRef/>
      </w:r>
      <w:r>
        <w:t xml:space="preserve"> </w:t>
      </w:r>
      <w:r w:rsidR="00CF4F9F" w:rsidRPr="00C72D96">
        <w:t>https://cer.gov.au/schemes/national-greenhouse-and-energy-reporting-scheme/report-emissions-and-energy/amendments</w:t>
      </w:r>
      <w:r w:rsidR="00A07536" w:rsidRPr="00A07536">
        <w:t>-to-national-greenhouse-and-energy-reporting-legislation</w:t>
      </w:r>
    </w:p>
  </w:footnote>
  <w:footnote w:id="10">
    <w:p w14:paraId="3489D893" w14:textId="3AEB268C" w:rsidR="005042FA" w:rsidRPr="000F7E30" w:rsidRDefault="005042FA" w:rsidP="005042FA">
      <w:pPr>
        <w:pStyle w:val="FootnoteText"/>
        <w:rPr>
          <w:lang w:val="en-AU"/>
        </w:rPr>
      </w:pPr>
      <w:r>
        <w:rPr>
          <w:rStyle w:val="FootnoteReference"/>
        </w:rPr>
        <w:footnoteRef/>
      </w:r>
      <w:r>
        <w:t xml:space="preserve"> </w:t>
      </w:r>
      <w:r w:rsidR="00930F15" w:rsidRPr="00C72D96">
        <w:t>https://cer.gov.au/document_page/defining-facility-national-greenhouse-and-energy-reporting</w:t>
      </w:r>
      <w:r>
        <w:t xml:space="preserve"> </w:t>
      </w:r>
    </w:p>
  </w:footnote>
  <w:footnote w:id="11">
    <w:p w14:paraId="27464310" w14:textId="55146732" w:rsidR="005042FA" w:rsidRPr="000F7E30" w:rsidRDefault="005042FA" w:rsidP="005042FA">
      <w:pPr>
        <w:pStyle w:val="FootnoteText"/>
        <w:rPr>
          <w:lang w:val="en-AU"/>
        </w:rPr>
      </w:pPr>
      <w:r>
        <w:rPr>
          <w:rStyle w:val="FootnoteReference"/>
        </w:rPr>
        <w:footnoteRef/>
      </w:r>
      <w:r>
        <w:t xml:space="preserve"> </w:t>
      </w:r>
      <w:r w:rsidR="00930F15" w:rsidRPr="00C72D96">
        <w:t>https://cer.gov.au/document_page/operational-control-supplementary-guideline</w:t>
      </w:r>
      <w:r>
        <w:t xml:space="preserve"> </w:t>
      </w:r>
    </w:p>
  </w:footnote>
  <w:footnote w:id="12">
    <w:p w14:paraId="65CAF4EA" w14:textId="6ECB558E" w:rsidR="005042FA" w:rsidRPr="006A5770" w:rsidRDefault="005042FA" w:rsidP="005042FA">
      <w:pPr>
        <w:pStyle w:val="FootnoteText"/>
        <w:rPr>
          <w:lang w:val="en-AU"/>
        </w:rPr>
      </w:pPr>
      <w:r w:rsidRPr="006A5770">
        <w:rPr>
          <w:rStyle w:val="FootnoteReference"/>
        </w:rPr>
        <w:footnoteRef/>
      </w:r>
      <w:r w:rsidRPr="006A5770">
        <w:t xml:space="preserve"> </w:t>
      </w:r>
      <w:r w:rsidR="00930F15" w:rsidRPr="00C72D96">
        <w:t>https://cer.gov.au/schemes/national-greenhouse-and-energy-reporting-scheme/report-emissions-and-energy/nger-calculators</w:t>
      </w:r>
    </w:p>
  </w:footnote>
  <w:footnote w:id="13">
    <w:p w14:paraId="2D124B43" w14:textId="77777777" w:rsidR="00790430" w:rsidRPr="004E1273" w:rsidRDefault="00790430" w:rsidP="00790430">
      <w:pPr>
        <w:pStyle w:val="FootnoteText"/>
        <w:rPr>
          <w:lang w:val="en-AU"/>
        </w:rPr>
      </w:pPr>
      <w:r w:rsidRPr="004E1273">
        <w:rPr>
          <w:rStyle w:val="FootnoteReference"/>
        </w:rPr>
        <w:footnoteRef/>
      </w:r>
      <w:r w:rsidRPr="004E1273">
        <w:t xml:space="preserve"> </w:t>
      </w:r>
      <w:r w:rsidRPr="004E1273">
        <w:rPr>
          <w:lang w:val="en-AU"/>
        </w:rPr>
        <w:t>Note: the same method must be used for each gas type.</w:t>
      </w:r>
    </w:p>
  </w:footnote>
  <w:footnote w:id="14">
    <w:p w14:paraId="6B721717" w14:textId="52597EAA" w:rsidR="005042FA" w:rsidRPr="00A614CD" w:rsidRDefault="005042FA" w:rsidP="005042FA">
      <w:pPr>
        <w:pStyle w:val="FootnoteText"/>
        <w:rPr>
          <w:lang w:val="en-AU"/>
        </w:rPr>
      </w:pPr>
      <w:r w:rsidRPr="004E1273">
        <w:rPr>
          <w:rStyle w:val="FootnoteReference"/>
        </w:rPr>
        <w:footnoteRef/>
      </w:r>
      <w:r w:rsidRPr="004E1273">
        <w:t xml:space="preserve"> </w:t>
      </w:r>
      <w:r w:rsidR="00796BB2" w:rsidRPr="0044247E">
        <w:t>https://cer.gov.au/schemes/national-greenhouse-and-energy-reporting-scheme/report-emissions-and-energy/nger-calculators</w:t>
      </w:r>
    </w:p>
  </w:footnote>
  <w:footnote w:id="15">
    <w:p w14:paraId="12ECBF1A" w14:textId="77777777" w:rsidR="005042FA" w:rsidRPr="006B26FD" w:rsidRDefault="005042FA" w:rsidP="005042FA">
      <w:pPr>
        <w:pStyle w:val="FootnoteText"/>
        <w:rPr>
          <w:lang w:val="en-AU"/>
        </w:rPr>
      </w:pPr>
      <w:r>
        <w:rPr>
          <w:rStyle w:val="FootnoteReference"/>
        </w:rPr>
        <w:footnoteRef/>
      </w:r>
      <w:r>
        <w:t xml:space="preserve"> </w:t>
      </w:r>
      <w:r w:rsidRPr="006B26FD">
        <w:rPr>
          <w:lang w:val="en-AU"/>
        </w:rPr>
        <w:t>Note the definition of raw sugar is as follows:</w:t>
      </w:r>
    </w:p>
    <w:p w14:paraId="1F6BF1BC" w14:textId="77777777" w:rsidR="005042FA" w:rsidRPr="006B26FD" w:rsidRDefault="005042FA" w:rsidP="005042FA">
      <w:pPr>
        <w:pStyle w:val="FootnoteText"/>
        <w:rPr>
          <w:i/>
          <w:iCs/>
          <w:lang w:val="en-AU"/>
        </w:rPr>
      </w:pPr>
      <w:r>
        <w:rPr>
          <w:bCs/>
          <w:iCs/>
          <w:lang w:val="en-AU"/>
        </w:rPr>
        <w:t>‘R</w:t>
      </w:r>
      <w:r w:rsidRPr="00F27306">
        <w:rPr>
          <w:bCs/>
          <w:iCs/>
          <w:lang w:val="en-AU"/>
        </w:rPr>
        <w:t>aw sugar</w:t>
      </w:r>
      <w:r>
        <w:rPr>
          <w:bCs/>
          <w:iCs/>
          <w:lang w:val="en-AU"/>
        </w:rPr>
        <w:t>’</w:t>
      </w:r>
      <w:r w:rsidRPr="006B26FD">
        <w:rPr>
          <w:b/>
          <w:i/>
          <w:lang w:val="en-AU"/>
        </w:rPr>
        <w:t xml:space="preserve"> </w:t>
      </w:r>
      <w:r w:rsidRPr="006B26FD">
        <w:rPr>
          <w:lang w:val="en-AU"/>
        </w:rPr>
        <w:t xml:space="preserve">has the meaning given by Chapter 17, Section IV, Schedule 3 of the </w:t>
      </w:r>
      <w:r w:rsidRPr="006B26FD">
        <w:rPr>
          <w:i/>
          <w:iCs/>
          <w:lang w:val="en-AU"/>
        </w:rPr>
        <w:t>Customs Tariff Act 1995</w:t>
      </w:r>
    </w:p>
    <w:p w14:paraId="3646540B" w14:textId="3F721558" w:rsidR="005042FA" w:rsidRPr="00837556" w:rsidRDefault="005042FA" w:rsidP="005042FA">
      <w:pPr>
        <w:pStyle w:val="FootnoteText"/>
        <w:rPr>
          <w:lang w:val="en-AU"/>
        </w:rPr>
      </w:pPr>
      <w:r w:rsidRPr="006B26FD">
        <w:rPr>
          <w:iCs/>
          <w:lang w:val="en-AU"/>
        </w:rPr>
        <w:t xml:space="preserve">The following is an excerpt from </w:t>
      </w:r>
      <w:r w:rsidRPr="006B26FD">
        <w:rPr>
          <w:lang w:val="en-AU"/>
        </w:rPr>
        <w:t xml:space="preserve">Chapter 17, Section IV, Schedule 3 of the </w:t>
      </w:r>
      <w:r w:rsidRPr="006B26FD">
        <w:rPr>
          <w:i/>
          <w:iCs/>
          <w:lang w:val="en-AU"/>
        </w:rPr>
        <w:t>Customs Tariff Act 1995</w:t>
      </w:r>
      <w:r>
        <w:rPr>
          <w:i/>
          <w:iCs/>
          <w:lang w:val="en-AU"/>
        </w:rPr>
        <w:t>: “</w:t>
      </w:r>
      <w:r w:rsidRPr="006B26FD">
        <w:rPr>
          <w:lang w:val="en-AU"/>
        </w:rPr>
        <w:t>‘raw sugar’ means sugar whose content of sucrose by weight, in the dry state, corresponds to a polarimeter reading of less than 99.55.”</w:t>
      </w:r>
    </w:p>
  </w:footnote>
  <w:footnote w:id="16">
    <w:p w14:paraId="11F0AE21" w14:textId="7AEE87E4" w:rsidR="00883379" w:rsidRPr="00C72D96" w:rsidRDefault="00883379">
      <w:pPr>
        <w:pStyle w:val="FootnoteText"/>
        <w:rPr>
          <w:lang w:val="en-AU"/>
        </w:rPr>
      </w:pPr>
      <w:r>
        <w:rPr>
          <w:rStyle w:val="FootnoteReference"/>
        </w:rPr>
        <w:footnoteRef/>
      </w:r>
      <w:r>
        <w:t xml:space="preserve"> </w:t>
      </w:r>
      <w:r w:rsidR="001530C8" w:rsidRPr="0044247E">
        <w:t>https://www.abs.gov.au/statistics/classifications/australian-and-new-zealand-standard-industrial-classification-anzsic</w:t>
      </w:r>
      <w:r>
        <w:t xml:space="preserve"> </w:t>
      </w:r>
    </w:p>
  </w:footnote>
  <w:footnote w:id="17">
    <w:p w14:paraId="696C255A" w14:textId="3D0F6EA9" w:rsidR="008457DF" w:rsidRPr="00D058FF" w:rsidRDefault="008457DF">
      <w:pPr>
        <w:pStyle w:val="FootnoteText"/>
        <w:rPr>
          <w:lang w:val="en-AU"/>
        </w:rPr>
      </w:pPr>
      <w:r>
        <w:rPr>
          <w:rStyle w:val="FootnoteReference"/>
        </w:rPr>
        <w:footnoteRef/>
      </w:r>
      <w:r>
        <w:t xml:space="preserve"> </w:t>
      </w:r>
      <w:r w:rsidR="00DB06C3" w:rsidRPr="00DB06C3">
        <w:t>https://www.dcceew.gov.au/climate-change/publications/national-greenhouse-accounts-factors-2025</w:t>
      </w:r>
    </w:p>
  </w:footnote>
  <w:footnote w:id="18">
    <w:p w14:paraId="47E68430" w14:textId="24A59D1C" w:rsidR="005042FA" w:rsidRPr="00D5548E" w:rsidRDefault="005042FA" w:rsidP="005042FA">
      <w:pPr>
        <w:pStyle w:val="FootnoteText"/>
        <w:rPr>
          <w:lang w:val="en-AU"/>
        </w:rPr>
      </w:pPr>
      <w:r w:rsidRPr="00D5548E">
        <w:rPr>
          <w:rStyle w:val="FootnoteReference"/>
        </w:rPr>
        <w:footnoteRef/>
      </w:r>
      <w:r w:rsidRPr="00D5548E">
        <w:t xml:space="preserve"> </w:t>
      </w:r>
      <w:r w:rsidR="00F33445" w:rsidRPr="0044247E">
        <w:t>https://cer.gov.au/schemes/national-greenhouse-and-energy-reporting-scheme/report-emissions-and-energy/nger-reporting-guides</w:t>
      </w:r>
      <w:r w:rsidR="004D4668">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7C533" w14:textId="6E119B7D" w:rsidR="00D81782" w:rsidRPr="007D373D" w:rsidRDefault="007D373D" w:rsidP="007D373D">
    <w:pPr>
      <w:pStyle w:val="LegislativesecrecyACT"/>
    </w:pPr>
    <w:r>
      <w:rPr>
        <w:noProof/>
      </w:rPr>
      <w:drawing>
        <wp:anchor distT="0" distB="0" distL="114300" distR="114300" simplePos="0" relativeHeight="251658240" behindDoc="0" locked="0" layoutInCell="1" allowOverlap="1" wp14:anchorId="0F8F3A70" wp14:editId="04C18879">
          <wp:simplePos x="0" y="0"/>
          <wp:positionH relativeFrom="column">
            <wp:posOffset>4721420</wp:posOffset>
          </wp:positionH>
          <wp:positionV relativeFrom="paragraph">
            <wp:posOffset>-190500</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3326" w14:textId="33E264B4" w:rsidR="00CA2954" w:rsidRDefault="008352D1" w:rsidP="00E349EF">
    <w:pPr>
      <w:pStyle w:val="Header"/>
      <w:spacing w:before="600"/>
    </w:pPr>
    <w:r>
      <w:rPr>
        <w:noProof/>
      </w:rPr>
      <w:t xml:space="preserve">  </w:t>
    </w:r>
    <w:r w:rsidR="00CA2954">
      <w:rPr>
        <w:noProof/>
      </w:rPr>
      <w:drawing>
        <wp:inline distT="0" distB="0" distL="0" distR="0" wp14:anchorId="5D91E6F5" wp14:editId="0F3E109B">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61286"/>
    <w:multiLevelType w:val="hybridMultilevel"/>
    <w:tmpl w:val="A6C07EA0"/>
    <w:lvl w:ilvl="0" w:tplc="4DCA9E44">
      <w:start w:val="1"/>
      <w:numFmt w:val="bullet"/>
      <w:lvlText w:val=""/>
      <w:lvlJc w:val="left"/>
      <w:pPr>
        <w:ind w:left="720" w:hanging="360"/>
      </w:pPr>
      <w:rPr>
        <w:rFonts w:ascii="Symbol" w:hAnsi="Symbol"/>
      </w:rPr>
    </w:lvl>
    <w:lvl w:ilvl="1" w:tplc="33CA22F4">
      <w:start w:val="1"/>
      <w:numFmt w:val="bullet"/>
      <w:lvlText w:val=""/>
      <w:lvlJc w:val="left"/>
      <w:pPr>
        <w:ind w:left="720" w:hanging="360"/>
      </w:pPr>
      <w:rPr>
        <w:rFonts w:ascii="Symbol" w:hAnsi="Symbol"/>
      </w:rPr>
    </w:lvl>
    <w:lvl w:ilvl="2" w:tplc="2F1A58FE">
      <w:start w:val="1"/>
      <w:numFmt w:val="bullet"/>
      <w:lvlText w:val=""/>
      <w:lvlJc w:val="left"/>
      <w:pPr>
        <w:ind w:left="720" w:hanging="360"/>
      </w:pPr>
      <w:rPr>
        <w:rFonts w:ascii="Symbol" w:hAnsi="Symbol"/>
      </w:rPr>
    </w:lvl>
    <w:lvl w:ilvl="3" w:tplc="5D56224E">
      <w:start w:val="1"/>
      <w:numFmt w:val="bullet"/>
      <w:lvlText w:val=""/>
      <w:lvlJc w:val="left"/>
      <w:pPr>
        <w:ind w:left="720" w:hanging="360"/>
      </w:pPr>
      <w:rPr>
        <w:rFonts w:ascii="Symbol" w:hAnsi="Symbol"/>
      </w:rPr>
    </w:lvl>
    <w:lvl w:ilvl="4" w:tplc="87BE1CB6">
      <w:start w:val="1"/>
      <w:numFmt w:val="bullet"/>
      <w:lvlText w:val=""/>
      <w:lvlJc w:val="left"/>
      <w:pPr>
        <w:ind w:left="720" w:hanging="360"/>
      </w:pPr>
      <w:rPr>
        <w:rFonts w:ascii="Symbol" w:hAnsi="Symbol"/>
      </w:rPr>
    </w:lvl>
    <w:lvl w:ilvl="5" w:tplc="EA4045AE">
      <w:start w:val="1"/>
      <w:numFmt w:val="bullet"/>
      <w:lvlText w:val=""/>
      <w:lvlJc w:val="left"/>
      <w:pPr>
        <w:ind w:left="720" w:hanging="360"/>
      </w:pPr>
      <w:rPr>
        <w:rFonts w:ascii="Symbol" w:hAnsi="Symbol"/>
      </w:rPr>
    </w:lvl>
    <w:lvl w:ilvl="6" w:tplc="B7689ACC">
      <w:start w:val="1"/>
      <w:numFmt w:val="bullet"/>
      <w:lvlText w:val=""/>
      <w:lvlJc w:val="left"/>
      <w:pPr>
        <w:ind w:left="720" w:hanging="360"/>
      </w:pPr>
      <w:rPr>
        <w:rFonts w:ascii="Symbol" w:hAnsi="Symbol"/>
      </w:rPr>
    </w:lvl>
    <w:lvl w:ilvl="7" w:tplc="F4E451CE">
      <w:start w:val="1"/>
      <w:numFmt w:val="bullet"/>
      <w:lvlText w:val=""/>
      <w:lvlJc w:val="left"/>
      <w:pPr>
        <w:ind w:left="720" w:hanging="360"/>
      </w:pPr>
      <w:rPr>
        <w:rFonts w:ascii="Symbol" w:hAnsi="Symbol"/>
      </w:rPr>
    </w:lvl>
    <w:lvl w:ilvl="8" w:tplc="B64E525E">
      <w:start w:val="1"/>
      <w:numFmt w:val="bullet"/>
      <w:lvlText w:val=""/>
      <w:lvlJc w:val="left"/>
      <w:pPr>
        <w:ind w:left="720" w:hanging="360"/>
      </w:pPr>
      <w:rPr>
        <w:rFonts w:ascii="Symbol" w:hAnsi="Symbol"/>
      </w:rPr>
    </w:lvl>
  </w:abstractNum>
  <w:abstractNum w:abstractNumId="1" w15:restartNumberingAfterBreak="0">
    <w:nsid w:val="1D061B89"/>
    <w:multiLevelType w:val="multilevel"/>
    <w:tmpl w:val="B8286712"/>
    <w:lvl w:ilvl="0">
      <w:start w:val="1"/>
      <w:numFmt w:val="decimal"/>
      <w:lvlText w:val="%1."/>
      <w:lvlJc w:val="left"/>
      <w:pPr>
        <w:ind w:left="680" w:hanging="680"/>
      </w:pPr>
      <w:rPr>
        <w:rFonts w:ascii="Calibri" w:hAnsi="Calibri" w:hint="default"/>
        <w:i w:val="0"/>
        <w:iCs w:val="0"/>
        <w:caps w:val="0"/>
        <w:smallCaps w:val="0"/>
        <w:strike w:val="0"/>
        <w:dstrike w:val="0"/>
        <w:noProof w:val="0"/>
        <w:vanish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680" w:hanging="680"/>
      </w:pPr>
      <w:rPr>
        <w:rFonts w:ascii="Calibri" w:hAnsi="Calibri" w:hint="default"/>
      </w:rPr>
    </w:lvl>
    <w:lvl w:ilvl="2">
      <w:start w:val="1"/>
      <w:numFmt w:val="decimal"/>
      <w:isLgl/>
      <w:lvlText w:val="%1.%2.%3"/>
      <w:lvlJc w:val="left"/>
      <w:pPr>
        <w:ind w:left="1248" w:hanging="680"/>
      </w:pPr>
      <w:rPr>
        <w:rFonts w:ascii="Calibri" w:hAnsi="Calibri" w:hint="default"/>
        <w:sz w:val="25"/>
        <w:szCs w:val="25"/>
      </w:rPr>
    </w:lvl>
    <w:lvl w:ilvl="3">
      <w:start w:val="1"/>
      <w:numFmt w:val="decimal"/>
      <w:isLgl/>
      <w:lvlText w:val="%1.%2.%3.%4"/>
      <w:lvlJc w:val="left"/>
      <w:pPr>
        <w:ind w:left="1532" w:hanging="680"/>
      </w:pPr>
      <w:rPr>
        <w:rFonts w:ascii="Calibri" w:hAnsi="Calibri" w:hint="default"/>
      </w:rPr>
    </w:lvl>
    <w:lvl w:ilvl="4">
      <w:start w:val="1"/>
      <w:numFmt w:val="decimal"/>
      <w:isLgl/>
      <w:lvlText w:val="%1.%2.%3.%4.%5"/>
      <w:lvlJc w:val="left"/>
      <w:pPr>
        <w:ind w:left="1816" w:hanging="680"/>
      </w:pPr>
      <w:rPr>
        <w:rFonts w:hint="default"/>
      </w:rPr>
    </w:lvl>
    <w:lvl w:ilvl="5">
      <w:start w:val="1"/>
      <w:numFmt w:val="decimal"/>
      <w:isLgl/>
      <w:lvlText w:val="%1.%2.%3.%4.%5.%6"/>
      <w:lvlJc w:val="left"/>
      <w:pPr>
        <w:ind w:left="2100" w:hanging="680"/>
      </w:pPr>
      <w:rPr>
        <w:rFonts w:hint="default"/>
      </w:rPr>
    </w:lvl>
    <w:lvl w:ilvl="6">
      <w:start w:val="1"/>
      <w:numFmt w:val="decimal"/>
      <w:isLgl/>
      <w:lvlText w:val="%1.%2.%3.%4.%5.%6.%7"/>
      <w:lvlJc w:val="left"/>
      <w:pPr>
        <w:ind w:left="2384" w:hanging="680"/>
      </w:pPr>
      <w:rPr>
        <w:rFonts w:hint="default"/>
      </w:rPr>
    </w:lvl>
    <w:lvl w:ilvl="7">
      <w:start w:val="1"/>
      <w:numFmt w:val="decimal"/>
      <w:isLgl/>
      <w:lvlText w:val="%1.%2.%3.%4.%5.%6.%7.%8"/>
      <w:lvlJc w:val="left"/>
      <w:pPr>
        <w:ind w:left="2668" w:hanging="680"/>
      </w:pPr>
      <w:rPr>
        <w:rFonts w:hint="default"/>
      </w:rPr>
    </w:lvl>
    <w:lvl w:ilvl="8">
      <w:start w:val="1"/>
      <w:numFmt w:val="decimal"/>
      <w:isLgl/>
      <w:lvlText w:val="%1.%2.%3.%4.%5.%6.%7.%8.%9"/>
      <w:lvlJc w:val="left"/>
      <w:pPr>
        <w:ind w:left="2952" w:hanging="680"/>
      </w:pPr>
      <w:rPr>
        <w:rFonts w:hint="default"/>
      </w:rPr>
    </w:lvl>
  </w:abstractNum>
  <w:abstractNum w:abstractNumId="2"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39A1D29"/>
    <w:multiLevelType w:val="multilevel"/>
    <w:tmpl w:val="1020F504"/>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A8E77AD"/>
    <w:multiLevelType w:val="multilevel"/>
    <w:tmpl w:val="D9DA3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93217088">
    <w:abstractNumId w:val="5"/>
  </w:num>
  <w:num w:numId="2" w16cid:durableId="1671324841">
    <w:abstractNumId w:val="3"/>
  </w:num>
  <w:num w:numId="3" w16cid:durableId="624041307">
    <w:abstractNumId w:val="1"/>
  </w:num>
  <w:num w:numId="4" w16cid:durableId="1856923566">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38621464">
    <w:abstractNumId w:val="0"/>
  </w:num>
  <w:num w:numId="6" w16cid:durableId="156506544">
    <w:abstractNumId w:val="4"/>
  </w:num>
  <w:num w:numId="7" w16cid:durableId="1006590231">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trackedChanges"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0B2"/>
    <w:rsid w:val="00004729"/>
    <w:rsid w:val="00006FDD"/>
    <w:rsid w:val="00010D72"/>
    <w:rsid w:val="00021980"/>
    <w:rsid w:val="0002468B"/>
    <w:rsid w:val="000275DB"/>
    <w:rsid w:val="00030325"/>
    <w:rsid w:val="000306C2"/>
    <w:rsid w:val="00031090"/>
    <w:rsid w:val="000340F9"/>
    <w:rsid w:val="00035321"/>
    <w:rsid w:val="0003582F"/>
    <w:rsid w:val="000378B6"/>
    <w:rsid w:val="00037D94"/>
    <w:rsid w:val="000442F7"/>
    <w:rsid w:val="0004600A"/>
    <w:rsid w:val="00050B12"/>
    <w:rsid w:val="00053D7D"/>
    <w:rsid w:val="000540F3"/>
    <w:rsid w:val="00056FF0"/>
    <w:rsid w:val="00064F36"/>
    <w:rsid w:val="000678AA"/>
    <w:rsid w:val="00075EA6"/>
    <w:rsid w:val="00083FFC"/>
    <w:rsid w:val="00084F51"/>
    <w:rsid w:val="000872DA"/>
    <w:rsid w:val="000873E6"/>
    <w:rsid w:val="000906DE"/>
    <w:rsid w:val="000910BB"/>
    <w:rsid w:val="00091856"/>
    <w:rsid w:val="00092F86"/>
    <w:rsid w:val="00093609"/>
    <w:rsid w:val="000948D5"/>
    <w:rsid w:val="00095400"/>
    <w:rsid w:val="00096878"/>
    <w:rsid w:val="000A0032"/>
    <w:rsid w:val="000A0DD5"/>
    <w:rsid w:val="000B2225"/>
    <w:rsid w:val="000B5479"/>
    <w:rsid w:val="000B54EE"/>
    <w:rsid w:val="000B6F1E"/>
    <w:rsid w:val="000B798C"/>
    <w:rsid w:val="000C15F2"/>
    <w:rsid w:val="000C2383"/>
    <w:rsid w:val="000C7DB2"/>
    <w:rsid w:val="000E0435"/>
    <w:rsid w:val="000E17F0"/>
    <w:rsid w:val="000E58E3"/>
    <w:rsid w:val="000E5A13"/>
    <w:rsid w:val="000F6B44"/>
    <w:rsid w:val="001015BC"/>
    <w:rsid w:val="001061AD"/>
    <w:rsid w:val="00107D74"/>
    <w:rsid w:val="001115C2"/>
    <w:rsid w:val="00112E29"/>
    <w:rsid w:val="001276AA"/>
    <w:rsid w:val="00127C88"/>
    <w:rsid w:val="00136241"/>
    <w:rsid w:val="00140939"/>
    <w:rsid w:val="00146FC8"/>
    <w:rsid w:val="001512C0"/>
    <w:rsid w:val="00151893"/>
    <w:rsid w:val="001530C8"/>
    <w:rsid w:val="00157175"/>
    <w:rsid w:val="00160F34"/>
    <w:rsid w:val="00161B01"/>
    <w:rsid w:val="00162C60"/>
    <w:rsid w:val="00164F1C"/>
    <w:rsid w:val="00164F40"/>
    <w:rsid w:val="001651F7"/>
    <w:rsid w:val="00166FC1"/>
    <w:rsid w:val="00172F37"/>
    <w:rsid w:val="001750F3"/>
    <w:rsid w:val="00176871"/>
    <w:rsid w:val="00176C28"/>
    <w:rsid w:val="001813DE"/>
    <w:rsid w:val="00186BF1"/>
    <w:rsid w:val="00193053"/>
    <w:rsid w:val="00193A6C"/>
    <w:rsid w:val="00193DC6"/>
    <w:rsid w:val="00197F43"/>
    <w:rsid w:val="001B66AA"/>
    <w:rsid w:val="001B7750"/>
    <w:rsid w:val="001C191F"/>
    <w:rsid w:val="001D2DB3"/>
    <w:rsid w:val="001D5E01"/>
    <w:rsid w:val="001E4AF0"/>
    <w:rsid w:val="001E616C"/>
    <w:rsid w:val="001F1B02"/>
    <w:rsid w:val="001F41A3"/>
    <w:rsid w:val="001F7A6D"/>
    <w:rsid w:val="002027F1"/>
    <w:rsid w:val="002055DF"/>
    <w:rsid w:val="002056CD"/>
    <w:rsid w:val="002058FD"/>
    <w:rsid w:val="0021021F"/>
    <w:rsid w:val="002118E5"/>
    <w:rsid w:val="00211B3F"/>
    <w:rsid w:val="00216E5D"/>
    <w:rsid w:val="0021782A"/>
    <w:rsid w:val="00223676"/>
    <w:rsid w:val="00223C2C"/>
    <w:rsid w:val="002279A5"/>
    <w:rsid w:val="002339AD"/>
    <w:rsid w:val="00234D8C"/>
    <w:rsid w:val="00235142"/>
    <w:rsid w:val="0023523E"/>
    <w:rsid w:val="0023575D"/>
    <w:rsid w:val="00235B98"/>
    <w:rsid w:val="00237D3D"/>
    <w:rsid w:val="00242E98"/>
    <w:rsid w:val="0024369F"/>
    <w:rsid w:val="002450C7"/>
    <w:rsid w:val="00251DFA"/>
    <w:rsid w:val="00252CF6"/>
    <w:rsid w:val="002537CF"/>
    <w:rsid w:val="00253FFC"/>
    <w:rsid w:val="00257330"/>
    <w:rsid w:val="002622E9"/>
    <w:rsid w:val="00266E2D"/>
    <w:rsid w:val="00267E32"/>
    <w:rsid w:val="00270902"/>
    <w:rsid w:val="00275727"/>
    <w:rsid w:val="00277877"/>
    <w:rsid w:val="002826DA"/>
    <w:rsid w:val="0028372C"/>
    <w:rsid w:val="00283ECB"/>
    <w:rsid w:val="00287642"/>
    <w:rsid w:val="00290E3D"/>
    <w:rsid w:val="0029262D"/>
    <w:rsid w:val="0029413C"/>
    <w:rsid w:val="002A34F2"/>
    <w:rsid w:val="002A6FE0"/>
    <w:rsid w:val="002A71D5"/>
    <w:rsid w:val="002A7EA6"/>
    <w:rsid w:val="002B1426"/>
    <w:rsid w:val="002B234A"/>
    <w:rsid w:val="002B2C79"/>
    <w:rsid w:val="002C19F9"/>
    <w:rsid w:val="002C29DB"/>
    <w:rsid w:val="002C427B"/>
    <w:rsid w:val="002C702A"/>
    <w:rsid w:val="002D0698"/>
    <w:rsid w:val="002D18F3"/>
    <w:rsid w:val="002D1D3B"/>
    <w:rsid w:val="002D30B2"/>
    <w:rsid w:val="002D42B1"/>
    <w:rsid w:val="002E131F"/>
    <w:rsid w:val="002E41DA"/>
    <w:rsid w:val="002E6952"/>
    <w:rsid w:val="002E7F11"/>
    <w:rsid w:val="002F1986"/>
    <w:rsid w:val="002F1D23"/>
    <w:rsid w:val="002F2136"/>
    <w:rsid w:val="002F3295"/>
    <w:rsid w:val="00300F2F"/>
    <w:rsid w:val="00303251"/>
    <w:rsid w:val="00306811"/>
    <w:rsid w:val="003072FC"/>
    <w:rsid w:val="00310DC7"/>
    <w:rsid w:val="00312AD3"/>
    <w:rsid w:val="00317695"/>
    <w:rsid w:val="00321943"/>
    <w:rsid w:val="00331AFB"/>
    <w:rsid w:val="003338CE"/>
    <w:rsid w:val="00337CCB"/>
    <w:rsid w:val="00340B14"/>
    <w:rsid w:val="003456B2"/>
    <w:rsid w:val="00346AEF"/>
    <w:rsid w:val="00352FBE"/>
    <w:rsid w:val="0035659A"/>
    <w:rsid w:val="00357423"/>
    <w:rsid w:val="00360123"/>
    <w:rsid w:val="00361378"/>
    <w:rsid w:val="00365CD3"/>
    <w:rsid w:val="00367C5E"/>
    <w:rsid w:val="003706F8"/>
    <w:rsid w:val="00370CE8"/>
    <w:rsid w:val="00371059"/>
    <w:rsid w:val="00375320"/>
    <w:rsid w:val="003860B9"/>
    <w:rsid w:val="0038740E"/>
    <w:rsid w:val="00390D62"/>
    <w:rsid w:val="00396C43"/>
    <w:rsid w:val="00396CEE"/>
    <w:rsid w:val="00397217"/>
    <w:rsid w:val="003A0D22"/>
    <w:rsid w:val="003A5739"/>
    <w:rsid w:val="003A760B"/>
    <w:rsid w:val="003B3ACE"/>
    <w:rsid w:val="003B6769"/>
    <w:rsid w:val="003D44E1"/>
    <w:rsid w:val="003D5C96"/>
    <w:rsid w:val="003D6716"/>
    <w:rsid w:val="003E3333"/>
    <w:rsid w:val="003E4363"/>
    <w:rsid w:val="003E5A3D"/>
    <w:rsid w:val="003F0CF1"/>
    <w:rsid w:val="003F5EF6"/>
    <w:rsid w:val="003F7B9E"/>
    <w:rsid w:val="00400AD3"/>
    <w:rsid w:val="00400BA0"/>
    <w:rsid w:val="00400D4D"/>
    <w:rsid w:val="004020F1"/>
    <w:rsid w:val="004045DB"/>
    <w:rsid w:val="00404940"/>
    <w:rsid w:val="00406A27"/>
    <w:rsid w:val="00407A97"/>
    <w:rsid w:val="00411DD2"/>
    <w:rsid w:val="00417F53"/>
    <w:rsid w:val="00420BF6"/>
    <w:rsid w:val="00421D0F"/>
    <w:rsid w:val="00424CC6"/>
    <w:rsid w:val="00426275"/>
    <w:rsid w:val="00426531"/>
    <w:rsid w:val="00433E1B"/>
    <w:rsid w:val="004360AB"/>
    <w:rsid w:val="004418F8"/>
    <w:rsid w:val="004423FE"/>
    <w:rsid w:val="0044247E"/>
    <w:rsid w:val="004444AF"/>
    <w:rsid w:val="004447CF"/>
    <w:rsid w:val="004458B4"/>
    <w:rsid w:val="00446FF5"/>
    <w:rsid w:val="00455455"/>
    <w:rsid w:val="00455978"/>
    <w:rsid w:val="004559EF"/>
    <w:rsid w:val="00460060"/>
    <w:rsid w:val="00461FD5"/>
    <w:rsid w:val="0046491B"/>
    <w:rsid w:val="00464A93"/>
    <w:rsid w:val="00465287"/>
    <w:rsid w:val="00466EBA"/>
    <w:rsid w:val="00467EA1"/>
    <w:rsid w:val="004701B5"/>
    <w:rsid w:val="00471682"/>
    <w:rsid w:val="00480154"/>
    <w:rsid w:val="0048085B"/>
    <w:rsid w:val="00480E78"/>
    <w:rsid w:val="004909C5"/>
    <w:rsid w:val="00494F07"/>
    <w:rsid w:val="004A35DD"/>
    <w:rsid w:val="004A581F"/>
    <w:rsid w:val="004A5F95"/>
    <w:rsid w:val="004B2873"/>
    <w:rsid w:val="004B2F98"/>
    <w:rsid w:val="004B6AF5"/>
    <w:rsid w:val="004C0460"/>
    <w:rsid w:val="004C6DF4"/>
    <w:rsid w:val="004D0162"/>
    <w:rsid w:val="004D3BDD"/>
    <w:rsid w:val="004D3F8B"/>
    <w:rsid w:val="004D4668"/>
    <w:rsid w:val="004D70CF"/>
    <w:rsid w:val="004E557E"/>
    <w:rsid w:val="004F12C3"/>
    <w:rsid w:val="004F27EF"/>
    <w:rsid w:val="004F565A"/>
    <w:rsid w:val="004F5D65"/>
    <w:rsid w:val="004F6FA5"/>
    <w:rsid w:val="005042FA"/>
    <w:rsid w:val="005110A6"/>
    <w:rsid w:val="00516089"/>
    <w:rsid w:val="0052099E"/>
    <w:rsid w:val="00521016"/>
    <w:rsid w:val="0052307B"/>
    <w:rsid w:val="005230BD"/>
    <w:rsid w:val="0052457E"/>
    <w:rsid w:val="00531F3B"/>
    <w:rsid w:val="00533313"/>
    <w:rsid w:val="00533468"/>
    <w:rsid w:val="005354C9"/>
    <w:rsid w:val="005362D9"/>
    <w:rsid w:val="0054199F"/>
    <w:rsid w:val="00542619"/>
    <w:rsid w:val="005430A4"/>
    <w:rsid w:val="00546C9C"/>
    <w:rsid w:val="00546E4A"/>
    <w:rsid w:val="005513F6"/>
    <w:rsid w:val="00551F8C"/>
    <w:rsid w:val="00557BFF"/>
    <w:rsid w:val="00560669"/>
    <w:rsid w:val="0056217B"/>
    <w:rsid w:val="005629F0"/>
    <w:rsid w:val="00565531"/>
    <w:rsid w:val="00570E62"/>
    <w:rsid w:val="005800E5"/>
    <w:rsid w:val="00580D22"/>
    <w:rsid w:val="005817C0"/>
    <w:rsid w:val="00581FC3"/>
    <w:rsid w:val="005851B3"/>
    <w:rsid w:val="00585D42"/>
    <w:rsid w:val="00587B81"/>
    <w:rsid w:val="00590115"/>
    <w:rsid w:val="00591820"/>
    <w:rsid w:val="005A113A"/>
    <w:rsid w:val="005A266D"/>
    <w:rsid w:val="005A354E"/>
    <w:rsid w:val="005B15E0"/>
    <w:rsid w:val="005B2609"/>
    <w:rsid w:val="005B3065"/>
    <w:rsid w:val="005B5271"/>
    <w:rsid w:val="005B5A79"/>
    <w:rsid w:val="005C0A94"/>
    <w:rsid w:val="005D3E8E"/>
    <w:rsid w:val="005D4458"/>
    <w:rsid w:val="005D4D95"/>
    <w:rsid w:val="005D709C"/>
    <w:rsid w:val="005D7F2E"/>
    <w:rsid w:val="005E2793"/>
    <w:rsid w:val="005E410E"/>
    <w:rsid w:val="005E4321"/>
    <w:rsid w:val="005E4CC5"/>
    <w:rsid w:val="005E71FF"/>
    <w:rsid w:val="005E7435"/>
    <w:rsid w:val="005F1D9C"/>
    <w:rsid w:val="005F4BE4"/>
    <w:rsid w:val="005F5D9F"/>
    <w:rsid w:val="006007B0"/>
    <w:rsid w:val="00601BBB"/>
    <w:rsid w:val="00602E93"/>
    <w:rsid w:val="00603B3D"/>
    <w:rsid w:val="00605F76"/>
    <w:rsid w:val="0061010A"/>
    <w:rsid w:val="006177C1"/>
    <w:rsid w:val="0062080A"/>
    <w:rsid w:val="00622DA5"/>
    <w:rsid w:val="0062372E"/>
    <w:rsid w:val="00623F86"/>
    <w:rsid w:val="006245CB"/>
    <w:rsid w:val="00626EF6"/>
    <w:rsid w:val="00632E89"/>
    <w:rsid w:val="00635047"/>
    <w:rsid w:val="00635DB5"/>
    <w:rsid w:val="0063740E"/>
    <w:rsid w:val="00640DB2"/>
    <w:rsid w:val="006423DF"/>
    <w:rsid w:val="00643E10"/>
    <w:rsid w:val="00644B28"/>
    <w:rsid w:val="006452D4"/>
    <w:rsid w:val="006530B0"/>
    <w:rsid w:val="0065750A"/>
    <w:rsid w:val="006624AD"/>
    <w:rsid w:val="00662ED8"/>
    <w:rsid w:val="00663BC3"/>
    <w:rsid w:val="00671A6D"/>
    <w:rsid w:val="00673196"/>
    <w:rsid w:val="006731D4"/>
    <w:rsid w:val="00674932"/>
    <w:rsid w:val="00675CBD"/>
    <w:rsid w:val="0068069F"/>
    <w:rsid w:val="00680B5A"/>
    <w:rsid w:val="006814EB"/>
    <w:rsid w:val="0068486A"/>
    <w:rsid w:val="006906E5"/>
    <w:rsid w:val="006912A8"/>
    <w:rsid w:val="00691D68"/>
    <w:rsid w:val="006936CB"/>
    <w:rsid w:val="00694A21"/>
    <w:rsid w:val="00694CAD"/>
    <w:rsid w:val="0069593A"/>
    <w:rsid w:val="006A1906"/>
    <w:rsid w:val="006A37D7"/>
    <w:rsid w:val="006A6448"/>
    <w:rsid w:val="006A7A4E"/>
    <w:rsid w:val="006B4FB6"/>
    <w:rsid w:val="006C121A"/>
    <w:rsid w:val="006C58B9"/>
    <w:rsid w:val="006C673D"/>
    <w:rsid w:val="006C6BF5"/>
    <w:rsid w:val="006D691C"/>
    <w:rsid w:val="006D7BCF"/>
    <w:rsid w:val="006E20EA"/>
    <w:rsid w:val="006E3CA9"/>
    <w:rsid w:val="006E5D0E"/>
    <w:rsid w:val="006E674D"/>
    <w:rsid w:val="00701194"/>
    <w:rsid w:val="00702D68"/>
    <w:rsid w:val="0070385D"/>
    <w:rsid w:val="00705C5F"/>
    <w:rsid w:val="007112C8"/>
    <w:rsid w:val="0071272C"/>
    <w:rsid w:val="0071536C"/>
    <w:rsid w:val="00721894"/>
    <w:rsid w:val="0072212A"/>
    <w:rsid w:val="00724B10"/>
    <w:rsid w:val="007253D6"/>
    <w:rsid w:val="00725ED0"/>
    <w:rsid w:val="00726764"/>
    <w:rsid w:val="007270A5"/>
    <w:rsid w:val="0073030C"/>
    <w:rsid w:val="00732EC5"/>
    <w:rsid w:val="00733C45"/>
    <w:rsid w:val="00741179"/>
    <w:rsid w:val="00741DB3"/>
    <w:rsid w:val="00743A2A"/>
    <w:rsid w:val="00747786"/>
    <w:rsid w:val="0075267F"/>
    <w:rsid w:val="00757A6E"/>
    <w:rsid w:val="007617D1"/>
    <w:rsid w:val="0076397A"/>
    <w:rsid w:val="00764086"/>
    <w:rsid w:val="00766594"/>
    <w:rsid w:val="00767FAB"/>
    <w:rsid w:val="0077452F"/>
    <w:rsid w:val="007773D1"/>
    <w:rsid w:val="007813EC"/>
    <w:rsid w:val="00782D1D"/>
    <w:rsid w:val="00784149"/>
    <w:rsid w:val="00786E16"/>
    <w:rsid w:val="00790430"/>
    <w:rsid w:val="00790E79"/>
    <w:rsid w:val="00792789"/>
    <w:rsid w:val="0079394A"/>
    <w:rsid w:val="00796BB2"/>
    <w:rsid w:val="007A101B"/>
    <w:rsid w:val="007A5CF8"/>
    <w:rsid w:val="007A6F3C"/>
    <w:rsid w:val="007B009A"/>
    <w:rsid w:val="007B2652"/>
    <w:rsid w:val="007B31E7"/>
    <w:rsid w:val="007B3912"/>
    <w:rsid w:val="007B40F2"/>
    <w:rsid w:val="007B6EED"/>
    <w:rsid w:val="007C310C"/>
    <w:rsid w:val="007C7046"/>
    <w:rsid w:val="007D0FF3"/>
    <w:rsid w:val="007D373D"/>
    <w:rsid w:val="007D40F4"/>
    <w:rsid w:val="007E3B9F"/>
    <w:rsid w:val="007E5B96"/>
    <w:rsid w:val="007E72E5"/>
    <w:rsid w:val="007F2DF5"/>
    <w:rsid w:val="007F3549"/>
    <w:rsid w:val="007F3928"/>
    <w:rsid w:val="007F685B"/>
    <w:rsid w:val="00801EDE"/>
    <w:rsid w:val="008058D3"/>
    <w:rsid w:val="00805956"/>
    <w:rsid w:val="00807700"/>
    <w:rsid w:val="00811AF9"/>
    <w:rsid w:val="00815E46"/>
    <w:rsid w:val="0081682F"/>
    <w:rsid w:val="00816D8B"/>
    <w:rsid w:val="00817934"/>
    <w:rsid w:val="008215C6"/>
    <w:rsid w:val="00826A84"/>
    <w:rsid w:val="00826C21"/>
    <w:rsid w:val="00827B83"/>
    <w:rsid w:val="00827FEE"/>
    <w:rsid w:val="0083471E"/>
    <w:rsid w:val="008352D1"/>
    <w:rsid w:val="0083796D"/>
    <w:rsid w:val="008444A8"/>
    <w:rsid w:val="008457DF"/>
    <w:rsid w:val="008471E1"/>
    <w:rsid w:val="0085272C"/>
    <w:rsid w:val="00854A98"/>
    <w:rsid w:val="008554CE"/>
    <w:rsid w:val="00855F9D"/>
    <w:rsid w:val="008578AB"/>
    <w:rsid w:val="00862D08"/>
    <w:rsid w:val="0086345F"/>
    <w:rsid w:val="00864150"/>
    <w:rsid w:val="008641D9"/>
    <w:rsid w:val="008649E7"/>
    <w:rsid w:val="008669FB"/>
    <w:rsid w:val="00867B0C"/>
    <w:rsid w:val="00872F19"/>
    <w:rsid w:val="00877758"/>
    <w:rsid w:val="00880C7D"/>
    <w:rsid w:val="00882AF4"/>
    <w:rsid w:val="00883379"/>
    <w:rsid w:val="00885AB6"/>
    <w:rsid w:val="00890472"/>
    <w:rsid w:val="00896813"/>
    <w:rsid w:val="00897191"/>
    <w:rsid w:val="008A4F2A"/>
    <w:rsid w:val="008A54D7"/>
    <w:rsid w:val="008B0D79"/>
    <w:rsid w:val="008B14BB"/>
    <w:rsid w:val="008B1FB0"/>
    <w:rsid w:val="008B434A"/>
    <w:rsid w:val="008B6348"/>
    <w:rsid w:val="008C0D56"/>
    <w:rsid w:val="008C63A1"/>
    <w:rsid w:val="008D18BE"/>
    <w:rsid w:val="008D704F"/>
    <w:rsid w:val="008E0D67"/>
    <w:rsid w:val="008E15DF"/>
    <w:rsid w:val="008E2174"/>
    <w:rsid w:val="008E552E"/>
    <w:rsid w:val="008E5DA1"/>
    <w:rsid w:val="008E6CE0"/>
    <w:rsid w:val="008F548E"/>
    <w:rsid w:val="008F6BA7"/>
    <w:rsid w:val="00903B09"/>
    <w:rsid w:val="00906DED"/>
    <w:rsid w:val="009077F5"/>
    <w:rsid w:val="009078CA"/>
    <w:rsid w:val="0091115F"/>
    <w:rsid w:val="00911FDC"/>
    <w:rsid w:val="00913298"/>
    <w:rsid w:val="00916121"/>
    <w:rsid w:val="00916E2B"/>
    <w:rsid w:val="00921B0E"/>
    <w:rsid w:val="009244D2"/>
    <w:rsid w:val="0092568B"/>
    <w:rsid w:val="009263BD"/>
    <w:rsid w:val="009263C9"/>
    <w:rsid w:val="00930D2E"/>
    <w:rsid w:val="00930F15"/>
    <w:rsid w:val="00931509"/>
    <w:rsid w:val="0093226C"/>
    <w:rsid w:val="00932F74"/>
    <w:rsid w:val="00935709"/>
    <w:rsid w:val="00940FDE"/>
    <w:rsid w:val="00941F9A"/>
    <w:rsid w:val="00946C27"/>
    <w:rsid w:val="00951F73"/>
    <w:rsid w:val="00955075"/>
    <w:rsid w:val="00956B1A"/>
    <w:rsid w:val="0096177D"/>
    <w:rsid w:val="009633DE"/>
    <w:rsid w:val="009637A2"/>
    <w:rsid w:val="00970F9C"/>
    <w:rsid w:val="009757EB"/>
    <w:rsid w:val="00977234"/>
    <w:rsid w:val="009801E4"/>
    <w:rsid w:val="00990C52"/>
    <w:rsid w:val="00991D3B"/>
    <w:rsid w:val="00992EC1"/>
    <w:rsid w:val="009967D8"/>
    <w:rsid w:val="009A2199"/>
    <w:rsid w:val="009A2E7F"/>
    <w:rsid w:val="009A7FD8"/>
    <w:rsid w:val="009B2401"/>
    <w:rsid w:val="009B4561"/>
    <w:rsid w:val="009C094A"/>
    <w:rsid w:val="009C30B4"/>
    <w:rsid w:val="009D01EB"/>
    <w:rsid w:val="009D255C"/>
    <w:rsid w:val="009D3413"/>
    <w:rsid w:val="009D44E8"/>
    <w:rsid w:val="009D4D75"/>
    <w:rsid w:val="009D6D38"/>
    <w:rsid w:val="009E3CD2"/>
    <w:rsid w:val="009E47F6"/>
    <w:rsid w:val="009E4F02"/>
    <w:rsid w:val="009F2E95"/>
    <w:rsid w:val="009F2F40"/>
    <w:rsid w:val="009F3595"/>
    <w:rsid w:val="009F4AB1"/>
    <w:rsid w:val="009F55C6"/>
    <w:rsid w:val="00A07536"/>
    <w:rsid w:val="00A10770"/>
    <w:rsid w:val="00A114F2"/>
    <w:rsid w:val="00A11B9C"/>
    <w:rsid w:val="00A12D16"/>
    <w:rsid w:val="00A217F8"/>
    <w:rsid w:val="00A218E2"/>
    <w:rsid w:val="00A23C1D"/>
    <w:rsid w:val="00A23D19"/>
    <w:rsid w:val="00A23E2E"/>
    <w:rsid w:val="00A31CDD"/>
    <w:rsid w:val="00A3433A"/>
    <w:rsid w:val="00A364EC"/>
    <w:rsid w:val="00A37AC1"/>
    <w:rsid w:val="00A41129"/>
    <w:rsid w:val="00A41A11"/>
    <w:rsid w:val="00A4261F"/>
    <w:rsid w:val="00A445B6"/>
    <w:rsid w:val="00A44C0C"/>
    <w:rsid w:val="00A50A9D"/>
    <w:rsid w:val="00A56270"/>
    <w:rsid w:val="00A708E0"/>
    <w:rsid w:val="00A73BFE"/>
    <w:rsid w:val="00A77D4E"/>
    <w:rsid w:val="00A81EA8"/>
    <w:rsid w:val="00A863C9"/>
    <w:rsid w:val="00A86B51"/>
    <w:rsid w:val="00A871E1"/>
    <w:rsid w:val="00A911D9"/>
    <w:rsid w:val="00AA2792"/>
    <w:rsid w:val="00AA574B"/>
    <w:rsid w:val="00AA705A"/>
    <w:rsid w:val="00AB04A4"/>
    <w:rsid w:val="00AB1D66"/>
    <w:rsid w:val="00AB4B37"/>
    <w:rsid w:val="00AB56A9"/>
    <w:rsid w:val="00AC06D2"/>
    <w:rsid w:val="00AC2F10"/>
    <w:rsid w:val="00AC404A"/>
    <w:rsid w:val="00AC5159"/>
    <w:rsid w:val="00AC5D1D"/>
    <w:rsid w:val="00AD0B71"/>
    <w:rsid w:val="00AD0FA3"/>
    <w:rsid w:val="00AD1541"/>
    <w:rsid w:val="00AD32DC"/>
    <w:rsid w:val="00AD3999"/>
    <w:rsid w:val="00AD649E"/>
    <w:rsid w:val="00AE31AB"/>
    <w:rsid w:val="00AF4312"/>
    <w:rsid w:val="00AF5F77"/>
    <w:rsid w:val="00B00B93"/>
    <w:rsid w:val="00B04B07"/>
    <w:rsid w:val="00B126D5"/>
    <w:rsid w:val="00B16D30"/>
    <w:rsid w:val="00B17BE4"/>
    <w:rsid w:val="00B21864"/>
    <w:rsid w:val="00B34584"/>
    <w:rsid w:val="00B372F7"/>
    <w:rsid w:val="00B4052B"/>
    <w:rsid w:val="00B40E4B"/>
    <w:rsid w:val="00B420AE"/>
    <w:rsid w:val="00B421FF"/>
    <w:rsid w:val="00B42777"/>
    <w:rsid w:val="00B42922"/>
    <w:rsid w:val="00B44479"/>
    <w:rsid w:val="00B45921"/>
    <w:rsid w:val="00B46C72"/>
    <w:rsid w:val="00B51808"/>
    <w:rsid w:val="00B531D4"/>
    <w:rsid w:val="00B55E70"/>
    <w:rsid w:val="00B57EB0"/>
    <w:rsid w:val="00B62022"/>
    <w:rsid w:val="00B64719"/>
    <w:rsid w:val="00B70738"/>
    <w:rsid w:val="00B712D3"/>
    <w:rsid w:val="00B71A11"/>
    <w:rsid w:val="00B72A77"/>
    <w:rsid w:val="00B75924"/>
    <w:rsid w:val="00B762C6"/>
    <w:rsid w:val="00B81728"/>
    <w:rsid w:val="00B82A8D"/>
    <w:rsid w:val="00B82F73"/>
    <w:rsid w:val="00B82F8E"/>
    <w:rsid w:val="00B832A4"/>
    <w:rsid w:val="00B8354C"/>
    <w:rsid w:val="00B83E32"/>
    <w:rsid w:val="00B87C39"/>
    <w:rsid w:val="00B9468A"/>
    <w:rsid w:val="00B96C92"/>
    <w:rsid w:val="00B9770C"/>
    <w:rsid w:val="00B97CF5"/>
    <w:rsid w:val="00BA3D6B"/>
    <w:rsid w:val="00BA6390"/>
    <w:rsid w:val="00BA6704"/>
    <w:rsid w:val="00BA6AB1"/>
    <w:rsid w:val="00BB06EC"/>
    <w:rsid w:val="00BB39BB"/>
    <w:rsid w:val="00BB4F4B"/>
    <w:rsid w:val="00BC7323"/>
    <w:rsid w:val="00BC7C46"/>
    <w:rsid w:val="00BD52C7"/>
    <w:rsid w:val="00BD5ED5"/>
    <w:rsid w:val="00BE3200"/>
    <w:rsid w:val="00BE433A"/>
    <w:rsid w:val="00BE49D8"/>
    <w:rsid w:val="00C033D8"/>
    <w:rsid w:val="00C049A2"/>
    <w:rsid w:val="00C067A3"/>
    <w:rsid w:val="00C06FDE"/>
    <w:rsid w:val="00C07032"/>
    <w:rsid w:val="00C12071"/>
    <w:rsid w:val="00C13A44"/>
    <w:rsid w:val="00C20BDA"/>
    <w:rsid w:val="00C213A5"/>
    <w:rsid w:val="00C27341"/>
    <w:rsid w:val="00C3122E"/>
    <w:rsid w:val="00C33420"/>
    <w:rsid w:val="00C371E3"/>
    <w:rsid w:val="00C40CF0"/>
    <w:rsid w:val="00C41524"/>
    <w:rsid w:val="00C44137"/>
    <w:rsid w:val="00C47609"/>
    <w:rsid w:val="00C6069D"/>
    <w:rsid w:val="00C64BC3"/>
    <w:rsid w:val="00C64CC3"/>
    <w:rsid w:val="00C67A7D"/>
    <w:rsid w:val="00C70D1C"/>
    <w:rsid w:val="00C72D96"/>
    <w:rsid w:val="00C73199"/>
    <w:rsid w:val="00C75083"/>
    <w:rsid w:val="00C820DA"/>
    <w:rsid w:val="00C83254"/>
    <w:rsid w:val="00C83D5F"/>
    <w:rsid w:val="00C84C7A"/>
    <w:rsid w:val="00C86B48"/>
    <w:rsid w:val="00C906E9"/>
    <w:rsid w:val="00C93272"/>
    <w:rsid w:val="00C9790C"/>
    <w:rsid w:val="00CA0DC8"/>
    <w:rsid w:val="00CA2954"/>
    <w:rsid w:val="00CA3DBC"/>
    <w:rsid w:val="00CA5AB6"/>
    <w:rsid w:val="00CA63D2"/>
    <w:rsid w:val="00CA6C8A"/>
    <w:rsid w:val="00CB196F"/>
    <w:rsid w:val="00CB1EDF"/>
    <w:rsid w:val="00CB4753"/>
    <w:rsid w:val="00CB5B50"/>
    <w:rsid w:val="00CB7ED6"/>
    <w:rsid w:val="00CC08B4"/>
    <w:rsid w:val="00CC0A53"/>
    <w:rsid w:val="00CC4A6E"/>
    <w:rsid w:val="00CD014E"/>
    <w:rsid w:val="00CD27F8"/>
    <w:rsid w:val="00CD4040"/>
    <w:rsid w:val="00CD45A7"/>
    <w:rsid w:val="00CD4B4D"/>
    <w:rsid w:val="00CD5C33"/>
    <w:rsid w:val="00CD6D23"/>
    <w:rsid w:val="00CD7899"/>
    <w:rsid w:val="00CE3E30"/>
    <w:rsid w:val="00CE50E5"/>
    <w:rsid w:val="00CE7D0D"/>
    <w:rsid w:val="00CF1747"/>
    <w:rsid w:val="00CF18F4"/>
    <w:rsid w:val="00CF4F9F"/>
    <w:rsid w:val="00CF74F1"/>
    <w:rsid w:val="00D0490B"/>
    <w:rsid w:val="00D058FF"/>
    <w:rsid w:val="00D07937"/>
    <w:rsid w:val="00D102D0"/>
    <w:rsid w:val="00D12244"/>
    <w:rsid w:val="00D124D2"/>
    <w:rsid w:val="00D246B6"/>
    <w:rsid w:val="00D32A01"/>
    <w:rsid w:val="00D35BAC"/>
    <w:rsid w:val="00D402FC"/>
    <w:rsid w:val="00D435BB"/>
    <w:rsid w:val="00D47142"/>
    <w:rsid w:val="00D50BD0"/>
    <w:rsid w:val="00D5130D"/>
    <w:rsid w:val="00D53665"/>
    <w:rsid w:val="00D53AA1"/>
    <w:rsid w:val="00D5494D"/>
    <w:rsid w:val="00D54BFB"/>
    <w:rsid w:val="00D60E9F"/>
    <w:rsid w:val="00D66546"/>
    <w:rsid w:val="00D722FC"/>
    <w:rsid w:val="00D73530"/>
    <w:rsid w:val="00D74FE7"/>
    <w:rsid w:val="00D75496"/>
    <w:rsid w:val="00D81782"/>
    <w:rsid w:val="00D81B9C"/>
    <w:rsid w:val="00D86CE3"/>
    <w:rsid w:val="00DA67F2"/>
    <w:rsid w:val="00DB06C3"/>
    <w:rsid w:val="00DB16FB"/>
    <w:rsid w:val="00DB3A5D"/>
    <w:rsid w:val="00DB6415"/>
    <w:rsid w:val="00DC3A30"/>
    <w:rsid w:val="00DC5449"/>
    <w:rsid w:val="00DD558A"/>
    <w:rsid w:val="00DD61F7"/>
    <w:rsid w:val="00DE5693"/>
    <w:rsid w:val="00DE7E6C"/>
    <w:rsid w:val="00DF0C40"/>
    <w:rsid w:val="00DF0F4C"/>
    <w:rsid w:val="00DF4814"/>
    <w:rsid w:val="00E04329"/>
    <w:rsid w:val="00E108D9"/>
    <w:rsid w:val="00E11AF7"/>
    <w:rsid w:val="00E12286"/>
    <w:rsid w:val="00E17194"/>
    <w:rsid w:val="00E17A35"/>
    <w:rsid w:val="00E22BE8"/>
    <w:rsid w:val="00E24D0D"/>
    <w:rsid w:val="00E25722"/>
    <w:rsid w:val="00E349EF"/>
    <w:rsid w:val="00E41B1C"/>
    <w:rsid w:val="00E4308B"/>
    <w:rsid w:val="00E46026"/>
    <w:rsid w:val="00E5062E"/>
    <w:rsid w:val="00E6113F"/>
    <w:rsid w:val="00E6587E"/>
    <w:rsid w:val="00E71BAE"/>
    <w:rsid w:val="00E73594"/>
    <w:rsid w:val="00E74A9F"/>
    <w:rsid w:val="00E770EC"/>
    <w:rsid w:val="00E82198"/>
    <w:rsid w:val="00E85BF6"/>
    <w:rsid w:val="00E85CB6"/>
    <w:rsid w:val="00E86A7D"/>
    <w:rsid w:val="00E92BC2"/>
    <w:rsid w:val="00E94FFF"/>
    <w:rsid w:val="00E956A9"/>
    <w:rsid w:val="00EA345F"/>
    <w:rsid w:val="00EA7A28"/>
    <w:rsid w:val="00EB0A89"/>
    <w:rsid w:val="00EB674B"/>
    <w:rsid w:val="00EB73C5"/>
    <w:rsid w:val="00EB7F5F"/>
    <w:rsid w:val="00EC0480"/>
    <w:rsid w:val="00EC0A4D"/>
    <w:rsid w:val="00EC400A"/>
    <w:rsid w:val="00EC6F15"/>
    <w:rsid w:val="00ED0D11"/>
    <w:rsid w:val="00ED14F4"/>
    <w:rsid w:val="00ED20ED"/>
    <w:rsid w:val="00EE1211"/>
    <w:rsid w:val="00EF30D4"/>
    <w:rsid w:val="00EF35B0"/>
    <w:rsid w:val="00EF49AB"/>
    <w:rsid w:val="00F1084B"/>
    <w:rsid w:val="00F108DC"/>
    <w:rsid w:val="00F10C61"/>
    <w:rsid w:val="00F11D5E"/>
    <w:rsid w:val="00F127BA"/>
    <w:rsid w:val="00F129E7"/>
    <w:rsid w:val="00F165E5"/>
    <w:rsid w:val="00F16927"/>
    <w:rsid w:val="00F16BFA"/>
    <w:rsid w:val="00F179BE"/>
    <w:rsid w:val="00F220E4"/>
    <w:rsid w:val="00F22FDA"/>
    <w:rsid w:val="00F2767A"/>
    <w:rsid w:val="00F32404"/>
    <w:rsid w:val="00F33445"/>
    <w:rsid w:val="00F3522B"/>
    <w:rsid w:val="00F353EB"/>
    <w:rsid w:val="00F36A6F"/>
    <w:rsid w:val="00F43466"/>
    <w:rsid w:val="00F47CCD"/>
    <w:rsid w:val="00F607A8"/>
    <w:rsid w:val="00F60D6F"/>
    <w:rsid w:val="00F6150E"/>
    <w:rsid w:val="00F62AEE"/>
    <w:rsid w:val="00F65F32"/>
    <w:rsid w:val="00F67F4E"/>
    <w:rsid w:val="00F70B17"/>
    <w:rsid w:val="00F71D97"/>
    <w:rsid w:val="00F71DCD"/>
    <w:rsid w:val="00F73528"/>
    <w:rsid w:val="00F76419"/>
    <w:rsid w:val="00F767D4"/>
    <w:rsid w:val="00F8070C"/>
    <w:rsid w:val="00F82C6B"/>
    <w:rsid w:val="00F831A1"/>
    <w:rsid w:val="00F86CB6"/>
    <w:rsid w:val="00F94571"/>
    <w:rsid w:val="00F9691A"/>
    <w:rsid w:val="00F974AD"/>
    <w:rsid w:val="00FA1BB2"/>
    <w:rsid w:val="00FA7635"/>
    <w:rsid w:val="00FB26CE"/>
    <w:rsid w:val="00FB706F"/>
    <w:rsid w:val="00FC0CE2"/>
    <w:rsid w:val="00FC20CB"/>
    <w:rsid w:val="00FC3CD6"/>
    <w:rsid w:val="00FC5CAA"/>
    <w:rsid w:val="00FD0B07"/>
    <w:rsid w:val="00FD2635"/>
    <w:rsid w:val="00FD4EAB"/>
    <w:rsid w:val="00FD7DC1"/>
    <w:rsid w:val="00FE07BB"/>
    <w:rsid w:val="00FE08CE"/>
    <w:rsid w:val="00FE2F68"/>
    <w:rsid w:val="00FE3B54"/>
    <w:rsid w:val="00FE569D"/>
    <w:rsid w:val="02446540"/>
    <w:rsid w:val="03126912"/>
    <w:rsid w:val="03A3DDC5"/>
    <w:rsid w:val="051E9C35"/>
    <w:rsid w:val="0720D3BC"/>
    <w:rsid w:val="073056F7"/>
    <w:rsid w:val="09342805"/>
    <w:rsid w:val="0F394DD7"/>
    <w:rsid w:val="0F681F15"/>
    <w:rsid w:val="10BE10E0"/>
    <w:rsid w:val="145E155D"/>
    <w:rsid w:val="19CAACDB"/>
    <w:rsid w:val="1B86179A"/>
    <w:rsid w:val="1D2D929B"/>
    <w:rsid w:val="2260C951"/>
    <w:rsid w:val="252664A0"/>
    <w:rsid w:val="283147FE"/>
    <w:rsid w:val="2AD8B4C6"/>
    <w:rsid w:val="2C9EBB3D"/>
    <w:rsid w:val="2D41FCBB"/>
    <w:rsid w:val="356DF741"/>
    <w:rsid w:val="3884BC6E"/>
    <w:rsid w:val="39F50F84"/>
    <w:rsid w:val="3F0C7180"/>
    <w:rsid w:val="404502C3"/>
    <w:rsid w:val="42998A48"/>
    <w:rsid w:val="45AC7EF6"/>
    <w:rsid w:val="4795A9D7"/>
    <w:rsid w:val="4B344D78"/>
    <w:rsid w:val="4B690010"/>
    <w:rsid w:val="4BBE04C4"/>
    <w:rsid w:val="4EF73558"/>
    <w:rsid w:val="4F9FF574"/>
    <w:rsid w:val="4FB54A55"/>
    <w:rsid w:val="505AA8A3"/>
    <w:rsid w:val="511077BA"/>
    <w:rsid w:val="527E33CD"/>
    <w:rsid w:val="53C55772"/>
    <w:rsid w:val="59A91720"/>
    <w:rsid w:val="5BC09A90"/>
    <w:rsid w:val="5D2A9FF4"/>
    <w:rsid w:val="65607FD3"/>
    <w:rsid w:val="6EABDC16"/>
    <w:rsid w:val="75244EB8"/>
    <w:rsid w:val="78B631E5"/>
    <w:rsid w:val="7A86FCBD"/>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D3A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uiPriority="1" w:qFormat="1"/>
    <w:lsdException w:name="heading 4" w:semiHidden="1" w:uiPriority="1" w:unhideWhenUsed="1" w:qFormat="1"/>
    <w:lsdException w:name="heading 5" w:semiHidden="1" w:uiPriority="1"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A7635"/>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1"/>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1"/>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1"/>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1"/>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1"/>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1"/>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1"/>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1"/>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uiPriority w:val="39"/>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CERbullets"/>
    <w:link w:val="CERnumberingChar"/>
    <w:uiPriority w:val="8"/>
    <w:qFormat/>
    <w:rsid w:val="00FE2F68"/>
    <w:pPr>
      <w:numPr>
        <w:numId w:val="0"/>
      </w:numPr>
    </w:pPr>
    <w:rPr>
      <w:lang w:val="en-US"/>
    </w:r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FE2F68"/>
    <w:rPr>
      <w:rFonts w:asciiTheme="minorHAnsi" w:hAnsiTheme="minorHAnsi" w:cstheme="minorHAnsi"/>
      <w:sz w:val="22"/>
      <w:szCs w:val="24"/>
      <w:lang w:val="en-US"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9633DE"/>
    <w:rPr>
      <w:rFonts w:asciiTheme="minorHAnsi" w:hAnsiTheme="minorHAnsi"/>
      <w:b/>
      <w:color w:val="FF0000"/>
      <w:sz w:val="24"/>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qFormat/>
    <w:rsid w:val="00056FF0"/>
    <w:pPr>
      <w:spacing w:after="100"/>
      <w:ind w:left="220"/>
    </w:pPr>
  </w:style>
  <w:style w:type="paragraph" w:styleId="TOC1">
    <w:name w:val="toc 1"/>
    <w:basedOn w:val="Normal"/>
    <w:next w:val="Normal"/>
    <w:autoRedefine/>
    <w:uiPriority w:val="39"/>
    <w:unhideWhenUsed/>
    <w:qFormat/>
    <w:rsid w:val="003B3ACE"/>
    <w:pPr>
      <w:tabs>
        <w:tab w:val="left" w:pos="440"/>
        <w:tab w:val="right" w:leader="dot" w:pos="9730"/>
      </w:tabs>
      <w:spacing w:after="100"/>
    </w:pPr>
    <w:rPr>
      <w:b/>
    </w:rPr>
  </w:style>
  <w:style w:type="paragraph" w:styleId="TOC3">
    <w:name w:val="toc 3"/>
    <w:basedOn w:val="Normal"/>
    <w:next w:val="Normal"/>
    <w:autoRedefine/>
    <w:uiPriority w:val="39"/>
    <w:unhideWhenUsed/>
    <w:qFormat/>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unhideWhenUsed/>
    <w:rsid w:val="00E12286"/>
    <w:rPr>
      <w:rFonts w:cs="Times New Roman"/>
      <w:sz w:val="24"/>
    </w:rPr>
  </w:style>
  <w:style w:type="paragraph" w:styleId="ListParagraph">
    <w:name w:val="List Paragraph"/>
    <w:basedOn w:val="Normal"/>
    <w:uiPriority w:val="34"/>
    <w:qFormat/>
    <w:rsid w:val="00235142"/>
    <w:pPr>
      <w:ind w:left="720"/>
      <w:contextualSpacing/>
    </w:pPr>
    <w:rPr>
      <w:lang w:val="en-GB"/>
    </w:rPr>
  </w:style>
  <w:style w:type="character" w:styleId="CommentReference">
    <w:name w:val="annotation reference"/>
    <w:basedOn w:val="DefaultParagraphFont"/>
    <w:uiPriority w:val="99"/>
    <w:unhideWhenUsed/>
    <w:rsid w:val="00235142"/>
    <w:rPr>
      <w:sz w:val="16"/>
      <w:szCs w:val="16"/>
    </w:rPr>
  </w:style>
  <w:style w:type="paragraph" w:styleId="CommentText">
    <w:name w:val="annotation text"/>
    <w:basedOn w:val="Normal"/>
    <w:link w:val="CommentTextChar"/>
    <w:uiPriority w:val="99"/>
    <w:unhideWhenUsed/>
    <w:rsid w:val="00235142"/>
    <w:rPr>
      <w:sz w:val="20"/>
      <w:szCs w:val="20"/>
      <w:lang w:val="en-GB"/>
    </w:rPr>
  </w:style>
  <w:style w:type="character" w:customStyle="1" w:styleId="CommentTextChar">
    <w:name w:val="Comment Text Char"/>
    <w:basedOn w:val="DefaultParagraphFont"/>
    <w:link w:val="CommentText"/>
    <w:uiPriority w:val="99"/>
    <w:rsid w:val="00235142"/>
    <w:rPr>
      <w:rFonts w:asciiTheme="minorHAnsi" w:hAnsiTheme="minorHAnsi" w:cstheme="minorHAnsi"/>
      <w:color w:val="000000" w:themeColor="text1"/>
      <w:lang w:val="en-GB" w:eastAsia="en-US"/>
    </w:rPr>
  </w:style>
  <w:style w:type="paragraph" w:styleId="FootnoteText">
    <w:name w:val="footnote text"/>
    <w:basedOn w:val="Normal"/>
    <w:link w:val="FootnoteTextChar"/>
    <w:uiPriority w:val="99"/>
    <w:unhideWhenUsed/>
    <w:rsid w:val="00235142"/>
    <w:pPr>
      <w:spacing w:after="0"/>
    </w:pPr>
    <w:rPr>
      <w:sz w:val="20"/>
      <w:szCs w:val="20"/>
      <w:lang w:val="en-GB"/>
    </w:rPr>
  </w:style>
  <w:style w:type="character" w:customStyle="1" w:styleId="FootnoteTextChar">
    <w:name w:val="Footnote Text Char"/>
    <w:basedOn w:val="DefaultParagraphFont"/>
    <w:link w:val="FootnoteText"/>
    <w:uiPriority w:val="99"/>
    <w:rsid w:val="00235142"/>
    <w:rPr>
      <w:rFonts w:asciiTheme="minorHAnsi" w:hAnsiTheme="minorHAnsi" w:cstheme="minorHAnsi"/>
      <w:color w:val="000000" w:themeColor="text1"/>
      <w:lang w:val="en-GB" w:eastAsia="en-US"/>
    </w:rPr>
  </w:style>
  <w:style w:type="character" w:styleId="FootnoteReference">
    <w:name w:val="footnote reference"/>
    <w:basedOn w:val="DefaultParagraphFont"/>
    <w:uiPriority w:val="99"/>
    <w:unhideWhenUsed/>
    <w:rsid w:val="00235142"/>
    <w:rPr>
      <w:vertAlign w:val="superscript"/>
    </w:rPr>
  </w:style>
  <w:style w:type="paragraph" w:styleId="BalloonText">
    <w:name w:val="Balloon Text"/>
    <w:basedOn w:val="Normal"/>
    <w:link w:val="BalloonTextChar"/>
    <w:uiPriority w:val="99"/>
    <w:semiHidden/>
    <w:unhideWhenUsed/>
    <w:rsid w:val="005042F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42FA"/>
    <w:rPr>
      <w:rFonts w:ascii="Segoe UI" w:hAnsi="Segoe UI" w:cs="Segoe UI"/>
      <w:color w:val="000000" w:themeColor="text1"/>
      <w:sz w:val="18"/>
      <w:szCs w:val="18"/>
      <w:lang w:eastAsia="en-US"/>
    </w:rPr>
  </w:style>
  <w:style w:type="paragraph" w:styleId="BodyText">
    <w:name w:val="Body Text"/>
    <w:basedOn w:val="Normal"/>
    <w:link w:val="BodyTextChar"/>
    <w:uiPriority w:val="1"/>
    <w:qFormat/>
    <w:rsid w:val="005042FA"/>
    <w:pPr>
      <w:widowControl w:val="0"/>
      <w:spacing w:after="0"/>
      <w:ind w:left="1077"/>
    </w:pPr>
    <w:rPr>
      <w:rFonts w:ascii="Arial" w:eastAsia="Arial" w:hAnsi="Arial" w:cstheme="minorBidi"/>
      <w:color w:val="auto"/>
      <w:sz w:val="24"/>
      <w:lang w:val="en-GB"/>
    </w:rPr>
  </w:style>
  <w:style w:type="character" w:customStyle="1" w:styleId="BodyTextChar">
    <w:name w:val="Body Text Char"/>
    <w:basedOn w:val="DefaultParagraphFont"/>
    <w:link w:val="BodyText"/>
    <w:uiPriority w:val="1"/>
    <w:rsid w:val="005042FA"/>
    <w:rPr>
      <w:rFonts w:ascii="Arial" w:eastAsia="Arial" w:hAnsi="Arial" w:cstheme="minorBidi"/>
      <w:sz w:val="24"/>
      <w:szCs w:val="24"/>
      <w:lang w:val="en-GB" w:eastAsia="en-US"/>
    </w:rPr>
  </w:style>
  <w:style w:type="paragraph" w:customStyle="1" w:styleId="TableParagraph">
    <w:name w:val="Table Paragraph"/>
    <w:basedOn w:val="Normal"/>
    <w:uiPriority w:val="1"/>
    <w:qFormat/>
    <w:rsid w:val="005042FA"/>
    <w:pPr>
      <w:widowControl w:val="0"/>
      <w:spacing w:after="0"/>
    </w:pPr>
    <w:rPr>
      <w:rFonts w:eastAsiaTheme="minorHAnsi" w:cstheme="minorBidi"/>
      <w:color w:val="auto"/>
      <w:szCs w:val="22"/>
      <w:lang w:val="en-GB"/>
    </w:rPr>
  </w:style>
  <w:style w:type="paragraph" w:styleId="Revision">
    <w:name w:val="Revision"/>
    <w:hidden/>
    <w:uiPriority w:val="99"/>
    <w:semiHidden/>
    <w:rsid w:val="005042FA"/>
    <w:rPr>
      <w:rFonts w:asciiTheme="minorHAnsi" w:eastAsiaTheme="minorHAnsi" w:hAnsiTheme="minorHAnsi" w:cstheme="minorBidi"/>
      <w:sz w:val="22"/>
      <w:szCs w:val="22"/>
      <w:lang w:val="en-GB" w:eastAsia="en-US"/>
    </w:rPr>
  </w:style>
  <w:style w:type="paragraph" w:styleId="CommentSubject">
    <w:name w:val="annotation subject"/>
    <w:basedOn w:val="CommentText"/>
    <w:next w:val="CommentText"/>
    <w:link w:val="CommentSubjectChar"/>
    <w:uiPriority w:val="99"/>
    <w:semiHidden/>
    <w:unhideWhenUsed/>
    <w:rsid w:val="005042FA"/>
    <w:pPr>
      <w:widowControl w:val="0"/>
      <w:spacing w:after="0"/>
    </w:pPr>
    <w:rPr>
      <w:rFonts w:eastAsiaTheme="minorHAnsi" w:cstheme="minorBidi"/>
      <w:b/>
      <w:bCs/>
      <w:color w:val="auto"/>
    </w:rPr>
  </w:style>
  <w:style w:type="character" w:customStyle="1" w:styleId="CommentSubjectChar">
    <w:name w:val="Comment Subject Char"/>
    <w:basedOn w:val="CommentTextChar"/>
    <w:link w:val="CommentSubject"/>
    <w:uiPriority w:val="99"/>
    <w:semiHidden/>
    <w:rsid w:val="005042FA"/>
    <w:rPr>
      <w:rFonts w:asciiTheme="minorHAnsi" w:eastAsiaTheme="minorHAnsi" w:hAnsiTheme="minorHAnsi" w:cstheme="minorBidi"/>
      <w:b/>
      <w:bCs/>
      <w:color w:val="000000" w:themeColor="text1"/>
      <w:lang w:val="en-GB" w:eastAsia="en-US"/>
    </w:rPr>
  </w:style>
  <w:style w:type="paragraph" w:styleId="TOCHeading">
    <w:name w:val="TOC Heading"/>
    <w:basedOn w:val="Heading1"/>
    <w:next w:val="Normal"/>
    <w:uiPriority w:val="39"/>
    <w:unhideWhenUsed/>
    <w:qFormat/>
    <w:rsid w:val="005042FA"/>
    <w:pPr>
      <w:keepNext/>
      <w:keepLines/>
      <w:spacing w:before="240" w:line="259" w:lineRule="auto"/>
      <w:ind w:left="357" w:hanging="357"/>
      <w:outlineLvl w:val="9"/>
    </w:pPr>
    <w:rPr>
      <w:rFonts w:asciiTheme="majorHAnsi" w:eastAsiaTheme="majorEastAsia" w:hAnsiTheme="majorHAnsi" w:cstheme="majorBidi"/>
      <w:b w:val="0"/>
      <w:bCs w:val="0"/>
      <w:color w:val="7A9249" w:themeColor="accent1" w:themeShade="BF"/>
      <w:kern w:val="0"/>
      <w:sz w:val="32"/>
      <w:szCs w:val="32"/>
      <w:lang w:val="en-US"/>
    </w:rPr>
  </w:style>
  <w:style w:type="paragraph" w:styleId="EndnoteText">
    <w:name w:val="endnote text"/>
    <w:basedOn w:val="Normal"/>
    <w:link w:val="EndnoteTextChar"/>
    <w:uiPriority w:val="99"/>
    <w:semiHidden/>
    <w:unhideWhenUsed/>
    <w:rsid w:val="005042FA"/>
    <w:pPr>
      <w:spacing w:after="0"/>
    </w:pPr>
    <w:rPr>
      <w:sz w:val="20"/>
      <w:szCs w:val="20"/>
    </w:rPr>
  </w:style>
  <w:style w:type="character" w:customStyle="1" w:styleId="EndnoteTextChar">
    <w:name w:val="Endnote Text Char"/>
    <w:basedOn w:val="DefaultParagraphFont"/>
    <w:link w:val="EndnoteText"/>
    <w:uiPriority w:val="99"/>
    <w:semiHidden/>
    <w:rsid w:val="005042FA"/>
    <w:rPr>
      <w:rFonts w:asciiTheme="minorHAnsi" w:hAnsiTheme="minorHAnsi" w:cstheme="minorHAnsi"/>
      <w:color w:val="000000" w:themeColor="text1"/>
      <w:lang w:eastAsia="en-US"/>
    </w:rPr>
  </w:style>
  <w:style w:type="character" w:styleId="EndnoteReference">
    <w:name w:val="endnote reference"/>
    <w:basedOn w:val="DefaultParagraphFont"/>
    <w:uiPriority w:val="99"/>
    <w:semiHidden/>
    <w:unhideWhenUsed/>
    <w:rsid w:val="005042FA"/>
    <w:rPr>
      <w:vertAlign w:val="superscript"/>
    </w:rPr>
  </w:style>
  <w:style w:type="paragraph" w:customStyle="1" w:styleId="Default">
    <w:name w:val="Default"/>
    <w:rsid w:val="005042FA"/>
    <w:pPr>
      <w:autoSpaceDE w:val="0"/>
      <w:autoSpaceDN w:val="0"/>
      <w:adjustRightInd w:val="0"/>
    </w:pPr>
    <w:rPr>
      <w:rFonts w:ascii="Times New Roman" w:hAnsi="Times New Roman"/>
      <w:color w:val="000000"/>
      <w:sz w:val="24"/>
      <w:szCs w:val="24"/>
    </w:rPr>
  </w:style>
  <w:style w:type="paragraph" w:customStyle="1" w:styleId="paragraph">
    <w:name w:val="paragraph"/>
    <w:aliases w:val="a"/>
    <w:basedOn w:val="Normal"/>
    <w:link w:val="paragraphChar"/>
    <w:rsid w:val="005042FA"/>
    <w:pPr>
      <w:tabs>
        <w:tab w:val="right" w:pos="1531"/>
      </w:tabs>
      <w:spacing w:before="40" w:after="0"/>
      <w:ind w:left="1644" w:hanging="1644"/>
    </w:pPr>
    <w:rPr>
      <w:rFonts w:ascii="Times New Roman" w:eastAsia="Times New Roman" w:hAnsi="Times New Roman" w:cs="Times New Roman"/>
      <w:color w:val="auto"/>
      <w:szCs w:val="20"/>
      <w:lang w:eastAsia="en-AU"/>
    </w:rPr>
  </w:style>
  <w:style w:type="character" w:customStyle="1" w:styleId="paragraphChar">
    <w:name w:val="paragraph Char"/>
    <w:aliases w:val="a Char"/>
    <w:basedOn w:val="DefaultParagraphFont"/>
    <w:link w:val="paragraph"/>
    <w:locked/>
    <w:rsid w:val="005042FA"/>
    <w:rPr>
      <w:rFonts w:ascii="Times New Roman" w:eastAsia="Times New Roman" w:hAnsi="Times New Roman"/>
      <w:sz w:val="22"/>
    </w:rPr>
  </w:style>
  <w:style w:type="paragraph" w:customStyle="1" w:styleId="CaptionTable">
    <w:name w:val="Caption Table"/>
    <w:basedOn w:val="Caption"/>
    <w:next w:val="Normal"/>
    <w:rsid w:val="005042FA"/>
    <w:pPr>
      <w:keepNext/>
      <w:keepLines/>
      <w:pBdr>
        <w:bottom w:val="single" w:sz="2" w:space="1" w:color="auto"/>
      </w:pBdr>
      <w:tabs>
        <w:tab w:val="left" w:pos="1134"/>
      </w:tabs>
      <w:spacing w:before="240" w:after="120" w:line="280" w:lineRule="atLeast"/>
      <w:ind w:left="1134" w:hanging="1134"/>
    </w:pPr>
    <w:rPr>
      <w:rFonts w:ascii="Arial" w:eastAsia="Times New Roman" w:hAnsi="Arial" w:cs="Arial"/>
      <w:b/>
      <w:bCs/>
      <w:i w:val="0"/>
      <w:iCs w:val="0"/>
      <w:color w:val="auto"/>
      <w:sz w:val="20"/>
      <w:szCs w:val="20"/>
    </w:rPr>
  </w:style>
  <w:style w:type="paragraph" w:customStyle="1" w:styleId="TableBody">
    <w:name w:val="Table Body"/>
    <w:aliases w:val="tb"/>
    <w:basedOn w:val="Normal"/>
    <w:rsid w:val="005042FA"/>
    <w:pPr>
      <w:spacing w:before="120" w:after="60"/>
    </w:pPr>
    <w:rPr>
      <w:rFonts w:ascii="Arial" w:eastAsia="Times New Roman" w:hAnsi="Arial" w:cs="Times New Roman"/>
      <w:color w:val="auto"/>
      <w:sz w:val="20"/>
      <w:szCs w:val="20"/>
    </w:rPr>
  </w:style>
  <w:style w:type="paragraph" w:customStyle="1" w:styleId="TableHead">
    <w:name w:val="Table Head"/>
    <w:aliases w:val="th,TableHeading"/>
    <w:basedOn w:val="Normal"/>
    <w:rsid w:val="005042FA"/>
    <w:pPr>
      <w:keepNext/>
      <w:keepLines/>
      <w:spacing w:before="120" w:after="60"/>
    </w:pPr>
    <w:rPr>
      <w:rFonts w:ascii="Arial" w:eastAsia="Times New Roman" w:hAnsi="Arial" w:cs="Times New Roman"/>
      <w:b/>
      <w:bCs/>
      <w:color w:val="auto"/>
      <w:sz w:val="20"/>
      <w:szCs w:val="20"/>
    </w:rPr>
  </w:style>
  <w:style w:type="character" w:customStyle="1" w:styleId="CharSectno">
    <w:name w:val="CharSectno"/>
    <w:basedOn w:val="DefaultParagraphFont"/>
    <w:qFormat/>
    <w:rsid w:val="005042FA"/>
    <w:rPr>
      <w:rFonts w:cs="Times New Roman"/>
    </w:rPr>
  </w:style>
  <w:style w:type="paragraph" w:customStyle="1" w:styleId="Note">
    <w:name w:val="Note"/>
    <w:basedOn w:val="Normal"/>
    <w:uiPriority w:val="99"/>
    <w:rsid w:val="005042FA"/>
    <w:pPr>
      <w:keepLines/>
      <w:spacing w:before="120" w:after="120" w:line="220" w:lineRule="exact"/>
      <w:ind w:left="964"/>
      <w:jc w:val="both"/>
    </w:pPr>
    <w:rPr>
      <w:rFonts w:ascii="Times New Roman" w:eastAsia="Times New Roman" w:hAnsi="Times New Roman" w:cs="Times New Roman"/>
      <w:color w:val="auto"/>
      <w:sz w:val="20"/>
      <w:lang w:eastAsia="en-AU"/>
    </w:rPr>
  </w:style>
  <w:style w:type="paragraph" w:customStyle="1" w:styleId="R2">
    <w:name w:val="R2"/>
    <w:aliases w:val="(2)"/>
    <w:basedOn w:val="Normal"/>
    <w:uiPriority w:val="99"/>
    <w:rsid w:val="005042FA"/>
    <w:pPr>
      <w:keepLines/>
      <w:tabs>
        <w:tab w:val="right" w:pos="794"/>
      </w:tabs>
      <w:spacing w:before="180" w:after="120" w:line="260" w:lineRule="exact"/>
      <w:ind w:left="964" w:hanging="964"/>
      <w:jc w:val="both"/>
    </w:pPr>
    <w:rPr>
      <w:rFonts w:ascii="Times New Roman" w:eastAsia="Times New Roman" w:hAnsi="Times New Roman" w:cs="Times New Roman"/>
      <w:color w:val="auto"/>
      <w:sz w:val="24"/>
      <w:lang w:eastAsia="en-AU"/>
    </w:rPr>
  </w:style>
  <w:style w:type="paragraph" w:customStyle="1" w:styleId="paragraphsub">
    <w:name w:val="paragraph(sub)"/>
    <w:aliases w:val="aa,t_Subpara"/>
    <w:basedOn w:val="Normal"/>
    <w:rsid w:val="005042FA"/>
    <w:pPr>
      <w:tabs>
        <w:tab w:val="right" w:pos="1985"/>
      </w:tabs>
      <w:spacing w:before="40" w:after="0"/>
      <w:ind w:left="2098" w:hanging="2098"/>
    </w:pPr>
    <w:rPr>
      <w:rFonts w:ascii="Times New Roman" w:eastAsia="Times New Roman" w:hAnsi="Times New Roman" w:cs="Times New Roman"/>
      <w:color w:val="auto"/>
      <w:szCs w:val="20"/>
      <w:lang w:eastAsia="en-AU"/>
    </w:rPr>
  </w:style>
  <w:style w:type="character" w:customStyle="1" w:styleId="CharDivNo">
    <w:name w:val="CharDivNo"/>
    <w:basedOn w:val="DefaultParagraphFont"/>
    <w:qFormat/>
    <w:rsid w:val="005042FA"/>
    <w:rPr>
      <w:rFonts w:cs="Times New Roman"/>
    </w:rPr>
  </w:style>
  <w:style w:type="character" w:customStyle="1" w:styleId="CharDivText">
    <w:name w:val="CharDivText"/>
    <w:basedOn w:val="DefaultParagraphFont"/>
    <w:qFormat/>
    <w:rsid w:val="005042FA"/>
    <w:rPr>
      <w:rFonts w:cs="Times New Roman"/>
    </w:rPr>
  </w:style>
  <w:style w:type="character" w:customStyle="1" w:styleId="Subscript">
    <w:name w:val="Subscript"/>
    <w:rsid w:val="005042FA"/>
    <w:rPr>
      <w:color w:val="auto"/>
      <w:sz w:val="20"/>
      <w:vertAlign w:val="subscript"/>
    </w:rPr>
  </w:style>
  <w:style w:type="paragraph" w:customStyle="1" w:styleId="Text">
    <w:name w:val="Text"/>
    <w:link w:val="TextChar"/>
    <w:rsid w:val="005042FA"/>
    <w:pPr>
      <w:spacing w:before="240" w:after="120" w:line="312" w:lineRule="auto"/>
    </w:pPr>
    <w:rPr>
      <w:rFonts w:ascii="Times New Roman" w:eastAsia="Times New Roman" w:hAnsi="Times New Roman"/>
      <w:lang w:eastAsia="en-US"/>
    </w:rPr>
  </w:style>
  <w:style w:type="character" w:customStyle="1" w:styleId="TextChar">
    <w:name w:val="Text Char"/>
    <w:basedOn w:val="DefaultParagraphFont"/>
    <w:link w:val="Text"/>
    <w:locked/>
    <w:rsid w:val="005042FA"/>
    <w:rPr>
      <w:rFonts w:ascii="Times New Roman" w:eastAsia="Times New Roman" w:hAnsi="Times New Roman"/>
      <w:lang w:eastAsia="en-US"/>
    </w:rPr>
  </w:style>
  <w:style w:type="paragraph" w:customStyle="1" w:styleId="ActHead5">
    <w:name w:val="ActHead 5"/>
    <w:aliases w:val="s"/>
    <w:basedOn w:val="Normal"/>
    <w:next w:val="Normal"/>
    <w:qFormat/>
    <w:rsid w:val="005042FA"/>
    <w:pPr>
      <w:keepNext/>
      <w:keepLines/>
      <w:spacing w:before="280" w:after="0"/>
      <w:ind w:left="1134" w:hanging="1134"/>
      <w:outlineLvl w:val="4"/>
    </w:pPr>
    <w:rPr>
      <w:rFonts w:ascii="Times New Roman" w:eastAsia="Times New Roman" w:hAnsi="Times New Roman" w:cs="Times New Roman"/>
      <w:b/>
      <w:color w:val="auto"/>
      <w:kern w:val="28"/>
      <w:sz w:val="24"/>
      <w:szCs w:val="20"/>
      <w:lang w:eastAsia="en-AU"/>
    </w:rPr>
  </w:style>
  <w:style w:type="paragraph" w:customStyle="1" w:styleId="ActHead3">
    <w:name w:val="ActHead 3"/>
    <w:aliases w:val="d"/>
    <w:basedOn w:val="Normal"/>
    <w:next w:val="Normal"/>
    <w:qFormat/>
    <w:rsid w:val="005042FA"/>
    <w:pPr>
      <w:keepNext/>
      <w:keepLines/>
      <w:spacing w:before="240" w:after="0"/>
      <w:ind w:left="1134" w:hanging="1134"/>
      <w:outlineLvl w:val="2"/>
    </w:pPr>
    <w:rPr>
      <w:rFonts w:ascii="Times New Roman" w:eastAsia="Times New Roman" w:hAnsi="Times New Roman" w:cs="Times New Roman"/>
      <w:b/>
      <w:color w:val="auto"/>
      <w:kern w:val="28"/>
      <w:sz w:val="28"/>
      <w:szCs w:val="20"/>
      <w:lang w:eastAsia="en-AU"/>
    </w:rPr>
  </w:style>
  <w:style w:type="paragraph" w:customStyle="1" w:styleId="subsection">
    <w:name w:val="subsection"/>
    <w:aliases w:val="ss"/>
    <w:basedOn w:val="Normal"/>
    <w:link w:val="subsectionChar"/>
    <w:rsid w:val="005042FA"/>
    <w:pPr>
      <w:tabs>
        <w:tab w:val="right" w:pos="1021"/>
      </w:tabs>
      <w:spacing w:before="180" w:after="0"/>
      <w:ind w:left="1134" w:hanging="1134"/>
    </w:pPr>
    <w:rPr>
      <w:rFonts w:ascii="Times New Roman" w:eastAsia="Times New Roman" w:hAnsi="Times New Roman" w:cs="Times New Roman"/>
      <w:color w:val="auto"/>
      <w:szCs w:val="20"/>
      <w:lang w:eastAsia="en-AU"/>
    </w:rPr>
  </w:style>
  <w:style w:type="paragraph" w:customStyle="1" w:styleId="Definition">
    <w:name w:val="Definition"/>
    <w:aliases w:val="dd"/>
    <w:basedOn w:val="Normal"/>
    <w:rsid w:val="005042FA"/>
    <w:pPr>
      <w:spacing w:before="180" w:after="0"/>
      <w:ind w:left="1134"/>
    </w:pPr>
    <w:rPr>
      <w:rFonts w:ascii="Times New Roman" w:eastAsia="Times New Roman" w:hAnsi="Times New Roman" w:cs="Times New Roman"/>
      <w:color w:val="auto"/>
      <w:szCs w:val="20"/>
      <w:lang w:eastAsia="en-AU"/>
    </w:rPr>
  </w:style>
  <w:style w:type="paragraph" w:customStyle="1" w:styleId="subsection2">
    <w:name w:val="subsection2"/>
    <w:aliases w:val="ss2"/>
    <w:basedOn w:val="Normal"/>
    <w:next w:val="subsection"/>
    <w:rsid w:val="005042FA"/>
    <w:pPr>
      <w:spacing w:before="40" w:after="0"/>
      <w:ind w:left="1134"/>
    </w:pPr>
    <w:rPr>
      <w:rFonts w:ascii="Times New Roman" w:eastAsia="Times New Roman" w:hAnsi="Times New Roman" w:cs="Times New Roman"/>
      <w:color w:val="auto"/>
      <w:szCs w:val="20"/>
      <w:lang w:eastAsia="en-AU"/>
    </w:rPr>
  </w:style>
  <w:style w:type="paragraph" w:customStyle="1" w:styleId="notetext">
    <w:name w:val="note(text)"/>
    <w:aliases w:val="n"/>
    <w:basedOn w:val="Normal"/>
    <w:link w:val="notetextChar"/>
    <w:rsid w:val="005042FA"/>
    <w:pPr>
      <w:spacing w:before="122" w:after="0"/>
      <w:ind w:left="1985" w:hanging="851"/>
    </w:pPr>
    <w:rPr>
      <w:rFonts w:ascii="Times New Roman" w:eastAsia="Times New Roman" w:hAnsi="Times New Roman" w:cs="Times New Roman"/>
      <w:color w:val="auto"/>
      <w:sz w:val="18"/>
      <w:szCs w:val="20"/>
      <w:lang w:eastAsia="en-AU"/>
    </w:rPr>
  </w:style>
  <w:style w:type="character" w:customStyle="1" w:styleId="subsectionChar">
    <w:name w:val="subsection Char"/>
    <w:aliases w:val="ss Char"/>
    <w:link w:val="subsection"/>
    <w:locked/>
    <w:rsid w:val="005042FA"/>
    <w:rPr>
      <w:rFonts w:ascii="Times New Roman" w:eastAsia="Times New Roman" w:hAnsi="Times New Roman"/>
      <w:sz w:val="22"/>
    </w:rPr>
  </w:style>
  <w:style w:type="character" w:customStyle="1" w:styleId="notetextChar">
    <w:name w:val="note(text) Char"/>
    <w:aliases w:val="n Char"/>
    <w:link w:val="notetext"/>
    <w:rsid w:val="005042FA"/>
    <w:rPr>
      <w:rFonts w:ascii="Times New Roman" w:eastAsia="Times New Roman" w:hAnsi="Times New Roman"/>
      <w:sz w:val="18"/>
    </w:rPr>
  </w:style>
  <w:style w:type="paragraph" w:customStyle="1" w:styleId="Tabletext">
    <w:name w:val="Tabletext"/>
    <w:aliases w:val="tt"/>
    <w:basedOn w:val="Normal"/>
    <w:rsid w:val="005042FA"/>
    <w:pPr>
      <w:spacing w:before="60" w:after="0" w:line="240" w:lineRule="atLeast"/>
    </w:pPr>
    <w:rPr>
      <w:rFonts w:ascii="Times New Roman" w:eastAsia="Times New Roman" w:hAnsi="Times New Roman" w:cs="Times New Roman"/>
      <w:color w:val="auto"/>
      <w:sz w:val="20"/>
      <w:szCs w:val="20"/>
      <w:lang w:eastAsia="en-AU"/>
    </w:rPr>
  </w:style>
  <w:style w:type="character" w:customStyle="1" w:styleId="charSubscript">
    <w:name w:val="charSubscript"/>
    <w:rsid w:val="005042FA"/>
    <w:rPr>
      <w:color w:val="auto"/>
      <w:sz w:val="20"/>
      <w:vertAlign w:val="subscript"/>
    </w:rPr>
  </w:style>
  <w:style w:type="paragraph" w:customStyle="1" w:styleId="Tablea">
    <w:name w:val="Table(a)"/>
    <w:aliases w:val="ta"/>
    <w:basedOn w:val="Normal"/>
    <w:rsid w:val="005042FA"/>
    <w:pPr>
      <w:spacing w:before="60" w:after="0"/>
      <w:ind w:left="284" w:hanging="284"/>
    </w:pPr>
    <w:rPr>
      <w:rFonts w:ascii="Times New Roman" w:eastAsia="Times New Roman" w:hAnsi="Times New Roman" w:cs="Times New Roman"/>
      <w:color w:val="auto"/>
      <w:sz w:val="20"/>
      <w:szCs w:val="20"/>
      <w:lang w:eastAsia="en-AU"/>
    </w:rPr>
  </w:style>
  <w:style w:type="paragraph" w:customStyle="1" w:styleId="definition0">
    <w:name w:val="definition"/>
    <w:basedOn w:val="Normal"/>
    <w:rsid w:val="005042FA"/>
    <w:pPr>
      <w:spacing w:before="80" w:after="120" w:line="260" w:lineRule="exact"/>
      <w:ind w:left="964"/>
      <w:jc w:val="both"/>
    </w:pPr>
    <w:rPr>
      <w:rFonts w:ascii="Times New Roman" w:eastAsia="Times New Roman" w:hAnsi="Times New Roman" w:cs="Times New Roman"/>
      <w:color w:val="auto"/>
      <w:sz w:val="24"/>
      <w:lang w:eastAsia="en-AU"/>
    </w:rPr>
  </w:style>
  <w:style w:type="paragraph" w:customStyle="1" w:styleId="ZR1">
    <w:name w:val="ZR1"/>
    <w:basedOn w:val="Normal"/>
    <w:rsid w:val="005042FA"/>
    <w:pPr>
      <w:keepNext/>
      <w:keepLines/>
      <w:tabs>
        <w:tab w:val="right" w:pos="794"/>
      </w:tabs>
      <w:spacing w:before="120" w:after="120" w:line="260" w:lineRule="exact"/>
      <w:ind w:left="964" w:hanging="964"/>
      <w:jc w:val="both"/>
    </w:pPr>
    <w:rPr>
      <w:rFonts w:ascii="Times New Roman" w:eastAsia="Times New Roman" w:hAnsi="Times New Roman" w:cs="Times New Roman"/>
      <w:color w:val="auto"/>
      <w:sz w:val="24"/>
      <w:lang w:eastAsia="en-AU"/>
    </w:rPr>
  </w:style>
  <w:style w:type="paragraph" w:customStyle="1" w:styleId="notepara">
    <w:name w:val="note(para)"/>
    <w:aliases w:val="na"/>
    <w:basedOn w:val="Normal"/>
    <w:rsid w:val="005042FA"/>
    <w:pPr>
      <w:spacing w:before="40" w:after="0" w:line="198" w:lineRule="exact"/>
      <w:ind w:left="2354" w:hanging="369"/>
    </w:pPr>
    <w:rPr>
      <w:rFonts w:ascii="Times New Roman" w:eastAsia="Times New Roman" w:hAnsi="Times New Roman" w:cs="Times New Roman"/>
      <w:color w:val="auto"/>
      <w:sz w:val="18"/>
      <w:szCs w:val="20"/>
      <w:lang w:eastAsia="en-AU"/>
    </w:rPr>
  </w:style>
  <w:style w:type="character" w:styleId="UnresolvedMention">
    <w:name w:val="Unresolved Mention"/>
    <w:basedOn w:val="DefaultParagraphFont"/>
    <w:uiPriority w:val="99"/>
    <w:semiHidden/>
    <w:unhideWhenUsed/>
    <w:rsid w:val="005042FA"/>
    <w:rPr>
      <w:color w:val="605E5C"/>
      <w:shd w:val="clear" w:color="auto" w:fill="E1DFDD"/>
    </w:rPr>
  </w:style>
  <w:style w:type="character" w:customStyle="1" w:styleId="normaltextrun">
    <w:name w:val="normaltextrun"/>
    <w:basedOn w:val="DefaultParagraphFont"/>
    <w:rsid w:val="005042FA"/>
  </w:style>
  <w:style w:type="character" w:customStyle="1" w:styleId="eop">
    <w:name w:val="eop"/>
    <w:basedOn w:val="DefaultParagraphFont"/>
    <w:rsid w:val="005042FA"/>
  </w:style>
  <w:style w:type="character" w:styleId="Mention">
    <w:name w:val="Mention"/>
    <w:basedOn w:val="DefaultParagraphFont"/>
    <w:uiPriority w:val="99"/>
    <w:unhideWhenUsed/>
    <w:rsid w:val="005042FA"/>
    <w:rPr>
      <w:color w:val="2B579A"/>
      <w:shd w:val="clear" w:color="auto" w:fill="E1DFDD"/>
    </w:rPr>
  </w:style>
  <w:style w:type="character" w:customStyle="1" w:styleId="ui-provider">
    <w:name w:val="ui-provider"/>
    <w:basedOn w:val="DefaultParagraphFont"/>
    <w:rsid w:val="002055DF"/>
  </w:style>
  <w:style w:type="character" w:customStyle="1" w:styleId="scxw180115724">
    <w:name w:val="scxw180115724"/>
    <w:basedOn w:val="DefaultParagraphFont"/>
    <w:rsid w:val="00B87C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943470">
      <w:bodyDiv w:val="1"/>
      <w:marLeft w:val="0"/>
      <w:marRight w:val="0"/>
      <w:marTop w:val="0"/>
      <w:marBottom w:val="0"/>
      <w:divBdr>
        <w:top w:val="none" w:sz="0" w:space="0" w:color="auto"/>
        <w:left w:val="none" w:sz="0" w:space="0" w:color="auto"/>
        <w:bottom w:val="none" w:sz="0" w:space="0" w:color="auto"/>
        <w:right w:val="none" w:sz="0" w:space="0" w:color="auto"/>
      </w:divBdr>
    </w:div>
    <w:div w:id="199562397">
      <w:bodyDiv w:val="1"/>
      <w:marLeft w:val="0"/>
      <w:marRight w:val="0"/>
      <w:marTop w:val="0"/>
      <w:marBottom w:val="0"/>
      <w:divBdr>
        <w:top w:val="none" w:sz="0" w:space="0" w:color="auto"/>
        <w:left w:val="none" w:sz="0" w:space="0" w:color="auto"/>
        <w:bottom w:val="none" w:sz="0" w:space="0" w:color="auto"/>
        <w:right w:val="none" w:sz="0" w:space="0" w:color="auto"/>
      </w:divBdr>
    </w:div>
    <w:div w:id="356927075">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068452583">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91963693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svg"/><Relationship Id="rId26" Type="http://schemas.openxmlformats.org/officeDocument/2006/relationships/hyperlink" Target="https://www.legislation.gov.au/F2008L02230/latest/versions" TargetMode="External"/><Relationship Id="rId39" Type="http://schemas.openxmlformats.org/officeDocument/2006/relationships/hyperlink" Target="https://cer.gov.au/schemes/national-greenhouse-and-energy-reporting-scheme/report-emissions-and-energy/nger-reporting-guides" TargetMode="External"/><Relationship Id="rId21" Type="http://schemas.openxmlformats.org/officeDocument/2006/relationships/image" Target="media/image12.png"/><Relationship Id="rId34" Type="http://schemas.openxmlformats.org/officeDocument/2006/relationships/hyperlink" Target="https://www.abs.gov.au/statistics/classifications/australian-and-new-zealand-standard-industrial-classification-anzsic" TargetMode="External"/><Relationship Id="rId42"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svg"/><Relationship Id="rId29" Type="http://schemas.openxmlformats.org/officeDocument/2006/relationships/hyperlink" Target="https://cer.gov.au/schemes/national-greenhouse-and-energy-reporting-scheme/report-emissions-and-energy/amendment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www.legislation.gov.au/help-and-resources/understanding-legislation/reading-legislation" TargetMode="External"/><Relationship Id="rId32" Type="http://schemas.openxmlformats.org/officeDocument/2006/relationships/image" Target="media/image13.png"/><Relationship Id="rId37" Type="http://schemas.openxmlformats.org/officeDocument/2006/relationships/hyperlink" Target="mailto:cer-nger-reporting@cer.gov.au" TargetMode="External"/><Relationship Id="rId40" Type="http://schemas.openxmlformats.org/officeDocument/2006/relationships/header" Target="header1.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s://www.cleanenergyregulator.gov.au/NGER/The-safeguard-mechanism" TargetMode="External"/><Relationship Id="rId28" Type="http://schemas.openxmlformats.org/officeDocument/2006/relationships/hyperlink" Target="https://cer.gov.au/schemes/national-greenhouse-and-energy-reporting-scheme" TargetMode="External"/><Relationship Id="rId36" Type="http://schemas.openxmlformats.org/officeDocument/2006/relationships/hyperlink" Target="mailto:" TargetMode="External"/><Relationship Id="rId10" Type="http://schemas.openxmlformats.org/officeDocument/2006/relationships/image" Target="media/image2.svg"/><Relationship Id="rId19" Type="http://schemas.openxmlformats.org/officeDocument/2006/relationships/image" Target="media/image10.png"/><Relationship Id="rId31" Type="http://schemas.openxmlformats.org/officeDocument/2006/relationships/hyperlink" Target="https://cer.gov.au/document_page/operational-control-supplementary-guideline" TargetMode="External"/><Relationship Id="rId44"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svg"/><Relationship Id="rId22" Type="http://schemas.openxmlformats.org/officeDocument/2006/relationships/hyperlink" Target="https://cer.gov.au/schemes/national-greenhouse-and-energy-reporting-scheme/assess-your-obligations" TargetMode="External"/><Relationship Id="rId27" Type="http://schemas.openxmlformats.org/officeDocument/2006/relationships/hyperlink" Target="https://www.legislation.gov.au/F2008L02309/latest/versions" TargetMode="External"/><Relationship Id="rId30" Type="http://schemas.openxmlformats.org/officeDocument/2006/relationships/hyperlink" Target="https://cer.gov.au/document_page/defining-facility-national-greenhouse-and-energy-reporting" TargetMode="External"/><Relationship Id="rId35" Type="http://schemas.openxmlformats.org/officeDocument/2006/relationships/hyperlink" Target="https://www.dcceew.gov.au/climate-change/publications/national-greenhouse-accounts-factors-2025" TargetMode="External"/><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numbering" Target="numbering.xml"/><Relationship Id="rId12" Type="http://schemas.microsoft.com/office/2007/relationships/hdphoto" Target="media/hdphoto1.wdp"/><Relationship Id="rId17" Type="http://schemas.openxmlformats.org/officeDocument/2006/relationships/image" Target="media/image8.png"/><Relationship Id="rId25" Type="http://schemas.openxmlformats.org/officeDocument/2006/relationships/hyperlink" Target="https://www.legislation.gov.au/C2007A00175/latest/versions" TargetMode="External"/><Relationship Id="rId33" Type="http://schemas.openxmlformats.org/officeDocument/2006/relationships/hyperlink" Target="http://www.cleanenergyregulator.gov.au/NGER/Forms-and-resources/Calculators" TargetMode="External"/><Relationship Id="rId38" Type="http://schemas.openxmlformats.org/officeDocument/2006/relationships/hyperlink" Target="http://www.cer.gov.au" TargetMode="External"/><Relationship Id="rId46" Type="http://schemas.openxmlformats.org/officeDocument/2006/relationships/theme" Target="theme/theme1.xml"/><Relationship Id="rId20" Type="http://schemas.openxmlformats.org/officeDocument/2006/relationships/image" Target="media/image11.svg"/><Relationship Id="rId41"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CER-updated fonts and colours">
  <a:themeElements>
    <a:clrScheme name="CER colour palette">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FA9607"/>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4AEC0DC-7637-40E8-915C-EE907E261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4717</Words>
  <Characters>27127</Characters>
  <Application>Microsoft Office Word</Application>
  <DocSecurity>0</DocSecurity>
  <Lines>577</Lines>
  <Paragraphs>357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Estimating emissions and energy from wastewater handling (domestic and commercial, and industrial) guideline</dc:title>
  <dc:subject/>
  <dc:creator/>
  <cp:keywords/>
  <cp:lastModifiedBy/>
  <cp:revision>1</cp:revision>
  <dcterms:created xsi:type="dcterms:W3CDTF">2026-07-23T04:13:00Z</dcterms:created>
  <dcterms:modified xsi:type="dcterms:W3CDTF">2026-07-23T04:13:00Z</dcterms:modified>
  <cp:contentStatus/>
</cp:coreProperties>
</file>