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902C9" w14:textId="738FD1E1" w:rsidR="00977234" w:rsidRDefault="001A1717" w:rsidP="00146FC8">
      <w:pPr>
        <w:pStyle w:val="CERcovertitle"/>
        <w:tabs>
          <w:tab w:val="left" w:pos="5103"/>
        </w:tabs>
        <w:spacing w:before="2520"/>
        <w:ind w:left="5103" w:right="-41"/>
      </w:pPr>
      <w:r w:rsidRPr="001813DE">
        <w:rPr>
          <w:rFonts w:asciiTheme="minorHAnsi" w:hAnsiTheme="minorHAnsi"/>
        </w:rPr>
        <mc:AlternateContent>
          <mc:Choice Requires="wps">
            <w:drawing>
              <wp:anchor distT="0" distB="0" distL="114300" distR="114300" simplePos="0" relativeHeight="251658240" behindDoc="0" locked="0" layoutInCell="1" allowOverlap="1" wp14:anchorId="41A7BA9F" wp14:editId="2A7F3DDD">
                <wp:simplePos x="0" y="0"/>
                <wp:positionH relativeFrom="column">
                  <wp:posOffset>-47625</wp:posOffset>
                </wp:positionH>
                <wp:positionV relativeFrom="paragraph">
                  <wp:posOffset>969645</wp:posOffset>
                </wp:positionV>
                <wp:extent cx="6192000" cy="6185230"/>
                <wp:effectExtent l="0" t="0" r="0" b="6350"/>
                <wp:wrapNone/>
                <wp:docPr id="15" name="Freeform: Shape 15">
                  <a:extLst xmlns:a="http://schemas.openxmlformats.org/drawingml/2006/main">
                    <a:ext uri="{FF2B5EF4-FFF2-40B4-BE49-F238E27FC236}">
                      <a16:creationId xmlns:a16="http://schemas.microsoft.com/office/drawing/2014/main" id="{833A9379-F33B-6747-102E-56A33714938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2000" cy="6185230"/>
                        </a:xfrm>
                        <a:custGeom>
                          <a:avLst/>
                          <a:gdLst>
                            <a:gd name="connsiteX0" fmla="*/ 5805660 w 7550841"/>
                            <a:gd name="connsiteY0" fmla="*/ 5698644 h 7542959"/>
                            <a:gd name="connsiteX1" fmla="*/ 7449582 w 7550841"/>
                            <a:gd name="connsiteY1" fmla="*/ 5698644 h 7542959"/>
                            <a:gd name="connsiteX2" fmla="*/ 7550841 w 7550841"/>
                            <a:gd name="connsiteY2" fmla="*/ 5788610 h 7542959"/>
                            <a:gd name="connsiteX3" fmla="*/ 7550841 w 7550841"/>
                            <a:gd name="connsiteY3" fmla="*/ 7441836 h 7542959"/>
                            <a:gd name="connsiteX4" fmla="*/ 7449582 w 7550841"/>
                            <a:gd name="connsiteY4" fmla="*/ 7542959 h 7542959"/>
                            <a:gd name="connsiteX5" fmla="*/ 5805660 w 7550841"/>
                            <a:gd name="connsiteY5" fmla="*/ 7542959 h 7542959"/>
                            <a:gd name="connsiteX6" fmla="*/ 5704401 w 7550841"/>
                            <a:gd name="connsiteY6" fmla="*/ 7441836 h 7542959"/>
                            <a:gd name="connsiteX7" fmla="*/ 5704401 w 7550841"/>
                            <a:gd name="connsiteY7" fmla="*/ 5788610 h 7542959"/>
                            <a:gd name="connsiteX8" fmla="*/ 3894784 w 7550841"/>
                            <a:gd name="connsiteY8" fmla="*/ 5698644 h 7542959"/>
                            <a:gd name="connsiteX9" fmla="*/ 5559985 w 7550841"/>
                            <a:gd name="connsiteY9" fmla="*/ 5698644 h 7542959"/>
                            <a:gd name="connsiteX10" fmla="*/ 5650604 w 7550841"/>
                            <a:gd name="connsiteY10" fmla="*/ 5788610 h 7542959"/>
                            <a:gd name="connsiteX11" fmla="*/ 5650604 w 7550841"/>
                            <a:gd name="connsiteY11" fmla="*/ 7441836 h 7542959"/>
                            <a:gd name="connsiteX12" fmla="*/ 5559985 w 7550841"/>
                            <a:gd name="connsiteY12" fmla="*/ 7542959 h 7542959"/>
                            <a:gd name="connsiteX13" fmla="*/ 3894784 w 7550841"/>
                            <a:gd name="connsiteY13" fmla="*/ 7542959 h 7542959"/>
                            <a:gd name="connsiteX14" fmla="*/ 3804166 w 7550841"/>
                            <a:gd name="connsiteY14" fmla="*/ 7441836 h 7542959"/>
                            <a:gd name="connsiteX15" fmla="*/ 3804166 w 7550841"/>
                            <a:gd name="connsiteY15" fmla="*/ 5788610 h 7542959"/>
                            <a:gd name="connsiteX16" fmla="*/ 2001855 w 7550841"/>
                            <a:gd name="connsiteY16" fmla="*/ 5698644 h 7542959"/>
                            <a:gd name="connsiteX17" fmla="*/ 3645777 w 7550841"/>
                            <a:gd name="connsiteY17" fmla="*/ 5698644 h 7542959"/>
                            <a:gd name="connsiteX18" fmla="*/ 3747036 w 7550841"/>
                            <a:gd name="connsiteY18" fmla="*/ 5788610 h 7542959"/>
                            <a:gd name="connsiteX19" fmla="*/ 3747036 w 7550841"/>
                            <a:gd name="connsiteY19" fmla="*/ 7441836 h 7542959"/>
                            <a:gd name="connsiteX20" fmla="*/ 3645777 w 7550841"/>
                            <a:gd name="connsiteY20" fmla="*/ 7542959 h 7542959"/>
                            <a:gd name="connsiteX21" fmla="*/ 2001855 w 7550841"/>
                            <a:gd name="connsiteY21" fmla="*/ 7542959 h 7542959"/>
                            <a:gd name="connsiteX22" fmla="*/ 1900596 w 7550841"/>
                            <a:gd name="connsiteY22" fmla="*/ 7441836 h 7542959"/>
                            <a:gd name="connsiteX23" fmla="*/ 1900596 w 7550841"/>
                            <a:gd name="connsiteY23" fmla="*/ 5788610 h 7542959"/>
                            <a:gd name="connsiteX24" fmla="*/ 3894784 w 7550841"/>
                            <a:gd name="connsiteY24" fmla="*/ 3796819 h 7542959"/>
                            <a:gd name="connsiteX25" fmla="*/ 5115195 w 7550841"/>
                            <a:gd name="connsiteY25" fmla="*/ 3796819 h 7542959"/>
                            <a:gd name="connsiteX26" fmla="*/ 5559985 w 7550841"/>
                            <a:gd name="connsiteY26" fmla="*/ 3796819 h 7542959"/>
                            <a:gd name="connsiteX27" fmla="*/ 5805660 w 7550841"/>
                            <a:gd name="connsiteY27" fmla="*/ 3796819 h 7542959"/>
                            <a:gd name="connsiteX28" fmla="*/ 6759117 w 7550841"/>
                            <a:gd name="connsiteY28" fmla="*/ 3796819 h 7542959"/>
                            <a:gd name="connsiteX29" fmla="*/ 7449582 w 7550841"/>
                            <a:gd name="connsiteY29" fmla="*/ 3796819 h 7542959"/>
                            <a:gd name="connsiteX30" fmla="*/ 7550841 w 7550841"/>
                            <a:gd name="connsiteY30" fmla="*/ 3886786 h 7542959"/>
                            <a:gd name="connsiteX31" fmla="*/ 7550841 w 7550841"/>
                            <a:gd name="connsiteY31" fmla="*/ 5540012 h 7542959"/>
                            <a:gd name="connsiteX32" fmla="*/ 7449582 w 7550841"/>
                            <a:gd name="connsiteY32" fmla="*/ 5641134 h 7542959"/>
                            <a:gd name="connsiteX33" fmla="*/ 6759117 w 7550841"/>
                            <a:gd name="connsiteY33" fmla="*/ 5641134 h 7542959"/>
                            <a:gd name="connsiteX34" fmla="*/ 5805660 w 7550841"/>
                            <a:gd name="connsiteY34" fmla="*/ 5641134 h 7542959"/>
                            <a:gd name="connsiteX35" fmla="*/ 5559985 w 7550841"/>
                            <a:gd name="connsiteY35" fmla="*/ 5641134 h 7542959"/>
                            <a:gd name="connsiteX36" fmla="*/ 5115195 w 7550841"/>
                            <a:gd name="connsiteY36" fmla="*/ 5641134 h 7542959"/>
                            <a:gd name="connsiteX37" fmla="*/ 3894784 w 7550841"/>
                            <a:gd name="connsiteY37" fmla="*/ 5641134 h 7542959"/>
                            <a:gd name="connsiteX38" fmla="*/ 3804166 w 7550841"/>
                            <a:gd name="connsiteY38" fmla="*/ 5551150 h 7542959"/>
                            <a:gd name="connsiteX39" fmla="*/ 3804166 w 7550841"/>
                            <a:gd name="connsiteY39" fmla="*/ 3897961 h 7542959"/>
                            <a:gd name="connsiteX40" fmla="*/ 1991217 w 7550841"/>
                            <a:gd name="connsiteY40" fmla="*/ 3796819 h 7542959"/>
                            <a:gd name="connsiteX41" fmla="*/ 3656417 w 7550841"/>
                            <a:gd name="connsiteY41" fmla="*/ 3796819 h 7542959"/>
                            <a:gd name="connsiteX42" fmla="*/ 3747036 w 7550841"/>
                            <a:gd name="connsiteY42" fmla="*/ 3897961 h 7542959"/>
                            <a:gd name="connsiteX43" fmla="*/ 3747036 w 7550841"/>
                            <a:gd name="connsiteY43" fmla="*/ 5551150 h 7542959"/>
                            <a:gd name="connsiteX44" fmla="*/ 3656417 w 7550841"/>
                            <a:gd name="connsiteY44" fmla="*/ 5641134 h 7542959"/>
                            <a:gd name="connsiteX45" fmla="*/ 1991217 w 7550841"/>
                            <a:gd name="connsiteY45" fmla="*/ 5641134 h 7542959"/>
                            <a:gd name="connsiteX46" fmla="*/ 1900599 w 7550841"/>
                            <a:gd name="connsiteY46" fmla="*/ 5551150 h 7542959"/>
                            <a:gd name="connsiteX47" fmla="*/ 1900599 w 7550841"/>
                            <a:gd name="connsiteY47" fmla="*/ 3897961 h 7542959"/>
                            <a:gd name="connsiteX48" fmla="*/ 90980 w 7550841"/>
                            <a:gd name="connsiteY48" fmla="*/ 3796819 h 7542959"/>
                            <a:gd name="connsiteX49" fmla="*/ 1756180 w 7550841"/>
                            <a:gd name="connsiteY49" fmla="*/ 3796819 h 7542959"/>
                            <a:gd name="connsiteX50" fmla="*/ 1846799 w 7550841"/>
                            <a:gd name="connsiteY50" fmla="*/ 3886785 h 7542959"/>
                            <a:gd name="connsiteX51" fmla="*/ 1846799 w 7550841"/>
                            <a:gd name="connsiteY51" fmla="*/ 5540011 h 7542959"/>
                            <a:gd name="connsiteX52" fmla="*/ 1756180 w 7550841"/>
                            <a:gd name="connsiteY52" fmla="*/ 5641134 h 7542959"/>
                            <a:gd name="connsiteX53" fmla="*/ 90980 w 7550841"/>
                            <a:gd name="connsiteY53" fmla="*/ 5641134 h 7542959"/>
                            <a:gd name="connsiteX54" fmla="*/ 361 w 7550841"/>
                            <a:gd name="connsiteY54" fmla="*/ 5540011 h 7542959"/>
                            <a:gd name="connsiteX55" fmla="*/ 361 w 7550841"/>
                            <a:gd name="connsiteY55" fmla="*/ 3886785 h 7542959"/>
                            <a:gd name="connsiteX56" fmla="*/ 90009 w 7550841"/>
                            <a:gd name="connsiteY56" fmla="*/ 0 h 7542959"/>
                            <a:gd name="connsiteX57" fmla="*/ 3645017 w 7550841"/>
                            <a:gd name="connsiteY57" fmla="*/ 0 h 7542959"/>
                            <a:gd name="connsiteX58" fmla="*/ 3735026 w 7550841"/>
                            <a:gd name="connsiteY58" fmla="*/ 90009 h 7542959"/>
                            <a:gd name="connsiteX59" fmla="*/ 3735026 w 7550841"/>
                            <a:gd name="connsiteY59" fmla="*/ 1226288 h 7542959"/>
                            <a:gd name="connsiteX60" fmla="*/ 3735026 w 7550841"/>
                            <a:gd name="connsiteY60" fmla="*/ 1744021 h 7542959"/>
                            <a:gd name="connsiteX61" fmla="*/ 3735026 w 7550841"/>
                            <a:gd name="connsiteY61" fmla="*/ 1991367 h 7542959"/>
                            <a:gd name="connsiteX62" fmla="*/ 3735026 w 7550841"/>
                            <a:gd name="connsiteY62" fmla="*/ 2879939 h 7542959"/>
                            <a:gd name="connsiteX63" fmla="*/ 3735026 w 7550841"/>
                            <a:gd name="connsiteY63" fmla="*/ 3633858 h 7542959"/>
                            <a:gd name="connsiteX64" fmla="*/ 3645017 w 7550841"/>
                            <a:gd name="connsiteY64" fmla="*/ 3735028 h 7542959"/>
                            <a:gd name="connsiteX65" fmla="*/ 2689118 w 7550841"/>
                            <a:gd name="connsiteY65" fmla="*/ 3735028 h 7542959"/>
                            <a:gd name="connsiteX66" fmla="*/ 1991366 w 7550841"/>
                            <a:gd name="connsiteY66" fmla="*/ 3735028 h 7542959"/>
                            <a:gd name="connsiteX67" fmla="*/ 1744020 w 7550841"/>
                            <a:gd name="connsiteY67" fmla="*/ 3735028 h 7542959"/>
                            <a:gd name="connsiteX68" fmla="*/ 1035107 w 7550841"/>
                            <a:gd name="connsiteY68" fmla="*/ 3735028 h 7542959"/>
                            <a:gd name="connsiteX69" fmla="*/ 90009 w 7550841"/>
                            <a:gd name="connsiteY69" fmla="*/ 3735028 h 7542959"/>
                            <a:gd name="connsiteX70" fmla="*/ 0 w 7550841"/>
                            <a:gd name="connsiteY70" fmla="*/ 3633858 h 7542959"/>
                            <a:gd name="connsiteX71" fmla="*/ 0 w 7550841"/>
                            <a:gd name="connsiteY71" fmla="*/ 2879939 h 7542959"/>
                            <a:gd name="connsiteX72" fmla="*/ 0 w 7550841"/>
                            <a:gd name="connsiteY72" fmla="*/ 1991367 h 7542959"/>
                            <a:gd name="connsiteX73" fmla="*/ 0 w 7550841"/>
                            <a:gd name="connsiteY73" fmla="*/ 1744021 h 7542959"/>
                            <a:gd name="connsiteX74" fmla="*/ 0 w 7550841"/>
                            <a:gd name="connsiteY74" fmla="*/ 1226288 h 7542959"/>
                            <a:gd name="connsiteX75" fmla="*/ 0 w 7550841"/>
                            <a:gd name="connsiteY75" fmla="*/ 90009 h 75429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Lst>
                          <a:rect l="l" t="t" r="r" b="b"/>
                          <a:pathLst>
                            <a:path w="7550841" h="7542959">
                              <a:moveTo>
                                <a:pt x="5805660" y="5698644"/>
                              </a:moveTo>
                              <a:lnTo>
                                <a:pt x="7449582" y="5698644"/>
                              </a:lnTo>
                              <a:lnTo>
                                <a:pt x="7550841" y="5788610"/>
                              </a:lnTo>
                              <a:lnTo>
                                <a:pt x="7550841" y="7441836"/>
                              </a:lnTo>
                              <a:lnTo>
                                <a:pt x="7449582" y="7542959"/>
                              </a:lnTo>
                              <a:lnTo>
                                <a:pt x="5805660" y="7542959"/>
                              </a:lnTo>
                              <a:lnTo>
                                <a:pt x="5704401" y="7441836"/>
                              </a:lnTo>
                              <a:lnTo>
                                <a:pt x="5704401" y="5788610"/>
                              </a:lnTo>
                              <a:close/>
                              <a:moveTo>
                                <a:pt x="3894784" y="5698644"/>
                              </a:moveTo>
                              <a:lnTo>
                                <a:pt x="5559985" y="5698644"/>
                              </a:lnTo>
                              <a:lnTo>
                                <a:pt x="5650604" y="5788610"/>
                              </a:lnTo>
                              <a:lnTo>
                                <a:pt x="5650604" y="7441836"/>
                              </a:lnTo>
                              <a:lnTo>
                                <a:pt x="5559985" y="7542959"/>
                              </a:lnTo>
                              <a:lnTo>
                                <a:pt x="3894784" y="7542959"/>
                              </a:lnTo>
                              <a:lnTo>
                                <a:pt x="3804166" y="7441836"/>
                              </a:lnTo>
                              <a:lnTo>
                                <a:pt x="3804166" y="5788610"/>
                              </a:lnTo>
                              <a:close/>
                              <a:moveTo>
                                <a:pt x="2001855" y="5698644"/>
                              </a:moveTo>
                              <a:lnTo>
                                <a:pt x="3645777" y="5698644"/>
                              </a:lnTo>
                              <a:lnTo>
                                <a:pt x="3747036" y="5788610"/>
                              </a:lnTo>
                              <a:lnTo>
                                <a:pt x="3747036" y="7441836"/>
                              </a:lnTo>
                              <a:lnTo>
                                <a:pt x="3645777" y="7542959"/>
                              </a:lnTo>
                              <a:lnTo>
                                <a:pt x="2001855" y="7542959"/>
                              </a:lnTo>
                              <a:lnTo>
                                <a:pt x="1900596" y="7441836"/>
                              </a:lnTo>
                              <a:lnTo>
                                <a:pt x="1900596" y="5788610"/>
                              </a:lnTo>
                              <a:close/>
                              <a:moveTo>
                                <a:pt x="3894784" y="3796819"/>
                              </a:moveTo>
                              <a:lnTo>
                                <a:pt x="5115195" y="3796819"/>
                              </a:lnTo>
                              <a:lnTo>
                                <a:pt x="5559985" y="3796819"/>
                              </a:lnTo>
                              <a:lnTo>
                                <a:pt x="5805660" y="3796819"/>
                              </a:lnTo>
                              <a:lnTo>
                                <a:pt x="6759117" y="3796819"/>
                              </a:lnTo>
                              <a:lnTo>
                                <a:pt x="7449582" y="3796819"/>
                              </a:lnTo>
                              <a:lnTo>
                                <a:pt x="7550841" y="3886786"/>
                              </a:lnTo>
                              <a:lnTo>
                                <a:pt x="7550841" y="5540012"/>
                              </a:lnTo>
                              <a:lnTo>
                                <a:pt x="7449582" y="5641134"/>
                              </a:lnTo>
                              <a:lnTo>
                                <a:pt x="6759117" y="5641134"/>
                              </a:lnTo>
                              <a:lnTo>
                                <a:pt x="5805660" y="5641134"/>
                              </a:lnTo>
                              <a:lnTo>
                                <a:pt x="5559985" y="5641134"/>
                              </a:lnTo>
                              <a:lnTo>
                                <a:pt x="5115195" y="5641134"/>
                              </a:lnTo>
                              <a:lnTo>
                                <a:pt x="3894784" y="5641134"/>
                              </a:lnTo>
                              <a:lnTo>
                                <a:pt x="3804166" y="5551150"/>
                              </a:lnTo>
                              <a:lnTo>
                                <a:pt x="3804166" y="3897961"/>
                              </a:lnTo>
                              <a:close/>
                              <a:moveTo>
                                <a:pt x="1991217" y="3796819"/>
                              </a:moveTo>
                              <a:lnTo>
                                <a:pt x="3656417" y="3796819"/>
                              </a:lnTo>
                              <a:lnTo>
                                <a:pt x="3747036" y="3897961"/>
                              </a:lnTo>
                              <a:lnTo>
                                <a:pt x="3747036" y="5551150"/>
                              </a:lnTo>
                              <a:lnTo>
                                <a:pt x="3656417" y="5641134"/>
                              </a:lnTo>
                              <a:lnTo>
                                <a:pt x="1991217" y="5641134"/>
                              </a:lnTo>
                              <a:lnTo>
                                <a:pt x="1900599" y="5551150"/>
                              </a:lnTo>
                              <a:lnTo>
                                <a:pt x="1900599" y="3897961"/>
                              </a:lnTo>
                              <a:close/>
                              <a:moveTo>
                                <a:pt x="90980" y="3796819"/>
                              </a:moveTo>
                              <a:lnTo>
                                <a:pt x="1756180" y="3796819"/>
                              </a:lnTo>
                              <a:lnTo>
                                <a:pt x="1846799" y="3886785"/>
                              </a:lnTo>
                              <a:lnTo>
                                <a:pt x="1846799" y="5540011"/>
                              </a:lnTo>
                              <a:lnTo>
                                <a:pt x="1756180" y="5641134"/>
                              </a:lnTo>
                              <a:lnTo>
                                <a:pt x="90980" y="5641134"/>
                              </a:lnTo>
                              <a:lnTo>
                                <a:pt x="361" y="5540011"/>
                              </a:lnTo>
                              <a:lnTo>
                                <a:pt x="361" y="3886785"/>
                              </a:lnTo>
                              <a:close/>
                              <a:moveTo>
                                <a:pt x="90009" y="0"/>
                              </a:moveTo>
                              <a:lnTo>
                                <a:pt x="3645017" y="0"/>
                              </a:lnTo>
                              <a:lnTo>
                                <a:pt x="3735026" y="90009"/>
                              </a:lnTo>
                              <a:lnTo>
                                <a:pt x="3735026" y="1226288"/>
                              </a:lnTo>
                              <a:lnTo>
                                <a:pt x="3735026" y="1744021"/>
                              </a:lnTo>
                              <a:lnTo>
                                <a:pt x="3735026" y="1991367"/>
                              </a:lnTo>
                              <a:lnTo>
                                <a:pt x="3735026" y="2879939"/>
                              </a:lnTo>
                              <a:lnTo>
                                <a:pt x="3735026" y="3633858"/>
                              </a:lnTo>
                              <a:lnTo>
                                <a:pt x="3645017" y="3735028"/>
                              </a:lnTo>
                              <a:lnTo>
                                <a:pt x="2689118" y="3735028"/>
                              </a:lnTo>
                              <a:lnTo>
                                <a:pt x="1991366" y="3735028"/>
                              </a:lnTo>
                              <a:lnTo>
                                <a:pt x="1744020" y="3735028"/>
                              </a:lnTo>
                              <a:lnTo>
                                <a:pt x="1035107" y="3735028"/>
                              </a:lnTo>
                              <a:lnTo>
                                <a:pt x="90009" y="3735028"/>
                              </a:lnTo>
                              <a:lnTo>
                                <a:pt x="0" y="3633858"/>
                              </a:lnTo>
                              <a:lnTo>
                                <a:pt x="0" y="2879939"/>
                              </a:lnTo>
                              <a:lnTo>
                                <a:pt x="0" y="1991367"/>
                              </a:lnTo>
                              <a:lnTo>
                                <a:pt x="0" y="1744021"/>
                              </a:lnTo>
                              <a:lnTo>
                                <a:pt x="0" y="1226288"/>
                              </a:lnTo>
                              <a:lnTo>
                                <a:pt x="0" y="90009"/>
                              </a:lnTo>
                              <a:close/>
                            </a:path>
                          </a:pathLst>
                        </a:custGeom>
                        <a:solidFill>
                          <a:srgbClr val="9FB76F"/>
                        </a:solidFill>
                        <a:ln>
                          <a:noFill/>
                        </a:ln>
                        <a:effectLst/>
                      </wps:spPr>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42DE0A01" id="Freeform: Shape 15" o:spid="_x0000_s1026" alt="&quot;&quot;" style="position:absolute;margin-left:-3.75pt;margin-top:76.35pt;width:487.55pt;height:48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50841,754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" path="m5805660,5698644r1643922,l7550841,5788610r,1653226l7449582,7542959r-1643922,l5704401,7441836r,-1653226l5805660,5698644xm3894784,5698644r1665201,l5650604,5788610r,1653226l5559985,7542959r-1665201,l3804166,7441836r,-1653226l3894784,5698644xm2001855,5698644r1643922,l3747036,5788610r,1653226l3645777,7542959r-1643922,l1900596,7441836r,-1653226l2001855,5698644xm3894784,3796819r1220411,l5559985,3796819r245675,l6759117,3796819r690465,l7550841,3886786r,1653226l7449582,5641134r-690465,l5805660,5641134r-245675,l5115195,5641134r-1220411,l3804166,5551150r,-1653189l3894784,3796819xm1991217,3796819r1665200,l3747036,3897961r,1653189l3656417,5641134r-1665200,l1900599,5551150r,-1653189l1991217,3796819xm90980,3796819r1665200,l1846799,3886785r,1653226l1756180,5641134r-1665200,l361,5540011r,-1653226l90980,3796819xm90009,l3645017,r90009,90009l3735026,1226288r,517733l3735026,1991367r,888572l3735026,3633858r-90009,101170l2689118,3735028r-697752,l1744020,3735028r-708913,l90009,3735028,,3633858,,2879939,,1991367,,1744021,,1226288,,90009,90009,xe" fillcolor="#9fb76f" stroked="f">
                <v:path arrowok="t" o:connecttype="custom" o:connectlocs="4760880,4672891;6108963,4672891;6192000,4746663;6192000,6102309;6108963,6185230;4760880,6185230;4677843,6102309;4677843,4746663;3193883,4672891;4559416,4672891;4633728,4746663;4633728,6102309;4559416,6185230;3193883,6185230;3119572,6102309;3119572,4746663;1641603,4672891;2989687,4672891;3072724,4746663;3072724,6102309;2989687,6185230;1641603,6185230;1558567,6102309;1558567,4746663;3193883,3113393;4194670,3113393;4559416,3113393;4760880,3113393;5542754,3113393;6108963,3113393;6192000,3187166;6192000,4542812;6108963,4625733;5542754,4625733;4760880,4625733;4559416,4625733;4194670,4625733;3193883,4625733;3119572,4551946;3119572,3196330;1632880,3113393;2998412,3113393;3072724,3196330;3072724,4551946;2998412,4625733;1632880,4625733;1558569,4551946;1558569,3196330;74607,3113393;1440140,3113393;1514451,3187166;1514451,4542812;1440140,4625733;74607,4625733;296,4542812;296,3187166;73811,0;2989064,0;3062875,73807;3062875,1005557;3062875,1430098;3062875,1632922;3062875,2361551;3062875,2979765;2989064,3062725;2205187,3062725;1633002,3062725;1430168,3062725;848830,3062725;73811,3062725;0,2979765;0,2361551;0,1632922;0,1430098;0,1005557;0,73807" o:connectangles="0,0,0,0,0,0,0,0,0,0,0,0,0,0,0,0,0,0,0,0,0,0,0,0,0,0,0,0,0,0,0,0,0,0,0,0,0,0,0,0,0,0,0,0,0,0,0,0,0,0,0,0,0,0,0,0,0,0,0,0,0,0,0,0,0,0,0,0,0,0,0,0,0,0,0,0"/>
                <o:lock v:ext="edit" aspectratio="t"/>
              </v:shape>
            </w:pict>
          </mc:Fallback>
        </mc:AlternateContent>
      </w:r>
      <w:r w:rsidR="00B16D30">
        <w:drawing>
          <wp:anchor distT="0" distB="0" distL="114300" distR="114300" simplePos="0" relativeHeight="251658242" behindDoc="0" locked="0" layoutInCell="1" allowOverlap="1" wp14:anchorId="711A514B" wp14:editId="3C874F2E">
            <wp:simplePos x="0" y="0"/>
            <wp:positionH relativeFrom="column">
              <wp:posOffset>180975</wp:posOffset>
            </wp:positionH>
            <wp:positionV relativeFrom="page">
              <wp:posOffset>2381250</wp:posOffset>
            </wp:positionV>
            <wp:extent cx="2664000" cy="2664000"/>
            <wp:effectExtent l="0" t="0" r="0" b="0"/>
            <wp:wrapNone/>
            <wp:docPr id="22" name="Picture 22" descr="Gears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ears outline">
                      <a:extLst>
                        <a:ext uri="{C183D7F6-B498-43B3-948B-1728B52AA6E4}">
                          <adec:decorative xmlns:adec="http://schemas.microsoft.com/office/drawing/2017/decorative" val="1"/>
                        </a:ext>
                      </a:extLst>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2664000" cy="266400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rPr>
        <w:t>Estimating emissions and energy from industrial processes guidance</w:t>
      </w:r>
    </w:p>
    <w:p w14:paraId="3B543F96" w14:textId="0E7D8F85" w:rsidR="003A5739" w:rsidRPr="00531F3B" w:rsidRDefault="002C53FF" w:rsidP="001813DE">
      <w:pPr>
        <w:pStyle w:val="BodyText1"/>
        <w:tabs>
          <w:tab w:val="left" w:pos="3969"/>
        </w:tabs>
        <w:ind w:left="5103" w:right="101"/>
      </w:pPr>
      <w:r>
        <w:rPr>
          <w:noProof/>
        </w:rPr>
        <w:drawing>
          <wp:anchor distT="0" distB="0" distL="114300" distR="114300" simplePos="0" relativeHeight="251658248" behindDoc="0" locked="0" layoutInCell="1" allowOverlap="1" wp14:anchorId="6DC62D76" wp14:editId="66CAEC0B">
            <wp:simplePos x="0" y="0"/>
            <wp:positionH relativeFrom="column">
              <wp:posOffset>3829050</wp:posOffset>
            </wp:positionH>
            <wp:positionV relativeFrom="page">
              <wp:posOffset>5395595</wp:posOffset>
            </wp:positionV>
            <wp:extent cx="1419860" cy="1419860"/>
            <wp:effectExtent l="0" t="0" r="8890" b="0"/>
            <wp:wrapNone/>
            <wp:docPr id="691009578" name="Picture 20" descr="Solar Panels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olar Panels outline">
                      <a:extLst>
                        <a:ext uri="{C183D7F6-B498-43B3-948B-1728B52AA6E4}">
                          <adec:decorative xmlns:adec="http://schemas.microsoft.com/office/drawing/2017/decorative" val="1"/>
                        </a:ext>
                      </a:extLst>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19860" cy="1419860"/>
                    </a:xfrm>
                    <a:prstGeom prst="rect">
                      <a:avLst/>
                    </a:prstGeom>
                  </pic:spPr>
                </pic:pic>
              </a:graphicData>
            </a:graphic>
            <wp14:sizeRelH relativeFrom="page">
              <wp14:pctWidth>0</wp14:pctWidth>
            </wp14:sizeRelH>
            <wp14:sizeRelV relativeFrom="page">
              <wp14:pctHeight>0</wp14:pctHeight>
            </wp14:sizeRelV>
          </wp:anchor>
        </w:drawing>
      </w:r>
      <w:r w:rsidR="00DC6A85">
        <w:rPr>
          <w:noProof/>
        </w:rPr>
        <w:t xml:space="preserve">August </w:t>
      </w:r>
      <w:r w:rsidR="00677D57">
        <w:t>202</w:t>
      </w:r>
      <w:r>
        <w:t>5</w:t>
      </w:r>
    </w:p>
    <w:p w14:paraId="64CBAC9E" w14:textId="2AC20282" w:rsidR="000A42A7" w:rsidRDefault="00346AEF" w:rsidP="0041003F">
      <w:r>
        <w:rPr>
          <w:noProof/>
        </w:rPr>
        <w:drawing>
          <wp:anchor distT="0" distB="0" distL="114300" distR="114300" simplePos="0" relativeHeight="251658243" behindDoc="0" locked="0" layoutInCell="1" allowOverlap="1" wp14:anchorId="68F54FFC" wp14:editId="5A2FA83C">
            <wp:simplePos x="0" y="0"/>
            <wp:positionH relativeFrom="column">
              <wp:posOffset>1619250</wp:posOffset>
            </wp:positionH>
            <wp:positionV relativeFrom="page">
              <wp:posOffset>6944995</wp:posOffset>
            </wp:positionV>
            <wp:extent cx="1327785" cy="1306195"/>
            <wp:effectExtent l="0" t="0" r="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pic:nvPicPr>
                  <pic:blipFill>
                    <a:blip r:embed="rId13">
                      <a:duotone>
                        <a:prstClr val="black"/>
                        <a:schemeClr val="accent1">
                          <a:lumMod val="60000"/>
                          <a:lumOff val="40000"/>
                          <a:tint val="45000"/>
                          <a:satMod val="400000"/>
                        </a:schemeClr>
                      </a:duotone>
                      <a:extLst>
                        <a:ext uri="{BEBA8EAE-BF5A-486C-A8C5-ECC9F3942E4B}">
                          <a14:imgProps xmlns:a14="http://schemas.microsoft.com/office/drawing/2010/main">
                            <a14:imgLayer r:embed="rId14">
                              <a14:imgEffect>
                                <a14:colorTemperature colorTemp="11200"/>
                              </a14:imgEffect>
                              <a14:imgEffect>
                                <a14:saturation sat="400000"/>
                              </a14:imgEffect>
                            </a14:imgLayer>
                          </a14:imgProps>
                        </a:ext>
                      </a:extLst>
                    </a:blip>
                    <a:stretch>
                      <a:fillRect/>
                    </a:stretch>
                  </pic:blipFill>
                  <pic:spPr>
                    <a:xfrm>
                      <a:off x="0" y="0"/>
                      <a:ext cx="1327785" cy="1306195"/>
                    </a:xfrm>
                    <a:prstGeom prst="rect">
                      <a:avLst/>
                    </a:prstGeom>
                  </pic:spPr>
                </pic:pic>
              </a:graphicData>
            </a:graphic>
            <wp14:sizeRelH relativeFrom="page">
              <wp14:pctWidth>0</wp14:pctWidth>
            </wp14:sizeRelH>
            <wp14:sizeRelV relativeFrom="page">
              <wp14:pctHeight>0</wp14:pctHeight>
            </wp14:sizeRelV>
          </wp:anchor>
        </w:drawing>
      </w:r>
      <w:r w:rsidR="00166FC1">
        <w:rPr>
          <w:noProof/>
        </w:rPr>
        <w:drawing>
          <wp:anchor distT="0" distB="0" distL="114300" distR="114300" simplePos="0" relativeHeight="251658246" behindDoc="0" locked="0" layoutInCell="1" allowOverlap="1" wp14:anchorId="1F99CBE1" wp14:editId="299F1EC0">
            <wp:simplePos x="0" y="0"/>
            <wp:positionH relativeFrom="column">
              <wp:posOffset>4772025</wp:posOffset>
            </wp:positionH>
            <wp:positionV relativeFrom="page">
              <wp:posOffset>6929120</wp:posOffset>
            </wp:positionV>
            <wp:extent cx="1328400" cy="1328400"/>
            <wp:effectExtent l="0" t="0" r="5715" b="0"/>
            <wp:wrapNone/>
            <wp:docPr id="27" name="Picture 27" descr="Bulldozer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Bulldozer outline">
                      <a:extLst>
                        <a:ext uri="{C183D7F6-B498-43B3-948B-1728B52AA6E4}">
                          <adec:decorative xmlns:adec="http://schemas.microsoft.com/office/drawing/2017/decorative" val="1"/>
                        </a:ext>
                      </a:extLst>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r w:rsidR="00B45921">
        <w:rPr>
          <w:noProof/>
        </w:rPr>
        <w:drawing>
          <wp:anchor distT="0" distB="0" distL="114300" distR="114300" simplePos="0" relativeHeight="251658245" behindDoc="0" locked="0" layoutInCell="1" allowOverlap="1" wp14:anchorId="51D0E73D" wp14:editId="4687BAD5">
            <wp:simplePos x="0" y="0"/>
            <wp:positionH relativeFrom="column">
              <wp:posOffset>1657350</wp:posOffset>
            </wp:positionH>
            <wp:positionV relativeFrom="page">
              <wp:posOffset>5367020</wp:posOffset>
            </wp:positionV>
            <wp:extent cx="1327785" cy="1327785"/>
            <wp:effectExtent l="0" t="0" r="0" b="0"/>
            <wp:wrapNone/>
            <wp:docPr id="18" name="Picture 18" descr="Factory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actory outline">
                      <a:extLst>
                        <a:ext uri="{C183D7F6-B498-43B3-948B-1728B52AA6E4}">
                          <adec:decorative xmlns:adec="http://schemas.microsoft.com/office/drawing/2017/decorative" val="1"/>
                        </a:ext>
                      </a:extLst>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1327785" cy="1327785"/>
                    </a:xfrm>
                    <a:prstGeom prst="rect">
                      <a:avLst/>
                    </a:prstGeom>
                  </pic:spPr>
                </pic:pic>
              </a:graphicData>
            </a:graphic>
            <wp14:sizeRelH relativeFrom="page">
              <wp14:pctWidth>0</wp14:pctWidth>
            </wp14:sizeRelH>
            <wp14:sizeRelV relativeFrom="page">
              <wp14:pctHeight>0</wp14:pctHeight>
            </wp14:sizeRelV>
          </wp:anchor>
        </w:drawing>
      </w:r>
      <w:r w:rsidR="00B16D30">
        <w:rPr>
          <w:noProof/>
        </w:rPr>
        <w:drawing>
          <wp:anchor distT="0" distB="0" distL="114300" distR="114300" simplePos="0" relativeHeight="251658241" behindDoc="0" locked="0" layoutInCell="1" allowOverlap="1" wp14:anchorId="4B5271F4" wp14:editId="35E4E506">
            <wp:simplePos x="0" y="0"/>
            <wp:positionH relativeFrom="column">
              <wp:posOffset>76200</wp:posOffset>
            </wp:positionH>
            <wp:positionV relativeFrom="page">
              <wp:posOffset>5372100</wp:posOffset>
            </wp:positionV>
            <wp:extent cx="1327785" cy="1327785"/>
            <wp:effectExtent l="0" t="0" r="5715" b="0"/>
            <wp:wrapNone/>
            <wp:docPr id="16" name="Picture 16" descr="Power Plant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Power Plant outline">
                      <a:extLst>
                        <a:ext uri="{C183D7F6-B498-43B3-948B-1728B52AA6E4}">
                          <adec:decorative xmlns:adec="http://schemas.microsoft.com/office/drawing/2017/decorative" val="1"/>
                        </a:ext>
                      </a:extLst>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1327785" cy="1327785"/>
                    </a:xfrm>
                    <a:prstGeom prst="rect">
                      <a:avLst/>
                    </a:prstGeom>
                  </pic:spPr>
                </pic:pic>
              </a:graphicData>
            </a:graphic>
            <wp14:sizeRelH relativeFrom="page">
              <wp14:pctWidth>0</wp14:pctWidth>
            </wp14:sizeRelH>
            <wp14:sizeRelV relativeFrom="page">
              <wp14:pctHeight>0</wp14:pctHeight>
            </wp14:sizeRelV>
          </wp:anchor>
        </w:drawing>
      </w:r>
      <w:r w:rsidR="00B16D30">
        <w:rPr>
          <w:noProof/>
        </w:rPr>
        <w:drawing>
          <wp:anchor distT="0" distB="0" distL="114300" distR="114300" simplePos="0" relativeHeight="251658244" behindDoc="0" locked="0" layoutInCell="1" allowOverlap="1" wp14:anchorId="27AA53C8" wp14:editId="3178DEBE">
            <wp:simplePos x="0" y="0"/>
            <wp:positionH relativeFrom="column">
              <wp:posOffset>3197923</wp:posOffset>
            </wp:positionH>
            <wp:positionV relativeFrom="page">
              <wp:posOffset>6931025</wp:posOffset>
            </wp:positionV>
            <wp:extent cx="1328400" cy="1328400"/>
            <wp:effectExtent l="0" t="0" r="0"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a:blip r:embed="rId21">
                      <a:duotone>
                        <a:prstClr val="black"/>
                        <a:schemeClr val="accent1">
                          <a:lumMod val="40000"/>
                          <a:lumOff val="60000"/>
                          <a:tint val="45000"/>
                          <a:satMod val="400000"/>
                        </a:schemeClr>
                      </a:duotone>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p>
    <w:p w14:paraId="3A1CE364" w14:textId="77777777" w:rsidR="000A42A7" w:rsidRPr="000A42A7" w:rsidRDefault="000A42A7" w:rsidP="000A42A7"/>
    <w:p w14:paraId="6813B276" w14:textId="77777777" w:rsidR="000A42A7" w:rsidRPr="000A42A7" w:rsidRDefault="000A42A7" w:rsidP="000A42A7"/>
    <w:p w14:paraId="120D3051" w14:textId="77777777" w:rsidR="000A42A7" w:rsidRPr="000A42A7" w:rsidRDefault="000A42A7" w:rsidP="000A42A7"/>
    <w:p w14:paraId="5E561FF9" w14:textId="77777777" w:rsidR="000A42A7" w:rsidRPr="000A42A7" w:rsidRDefault="000A42A7" w:rsidP="000A42A7"/>
    <w:p w14:paraId="384AD48C" w14:textId="77777777" w:rsidR="000A42A7" w:rsidRPr="000A42A7" w:rsidRDefault="000A42A7" w:rsidP="000A42A7"/>
    <w:p w14:paraId="16F21670" w14:textId="77777777" w:rsidR="000A42A7" w:rsidRPr="000A42A7" w:rsidRDefault="000A42A7" w:rsidP="000A42A7"/>
    <w:p w14:paraId="7F9BF6BE" w14:textId="77777777" w:rsidR="000A42A7" w:rsidRPr="000A42A7" w:rsidRDefault="000A42A7" w:rsidP="000A42A7"/>
    <w:p w14:paraId="009C0458" w14:textId="77777777" w:rsidR="000A42A7" w:rsidRPr="000A42A7" w:rsidRDefault="000A42A7" w:rsidP="000A42A7"/>
    <w:p w14:paraId="6D99C564" w14:textId="77777777" w:rsidR="000A42A7" w:rsidRPr="000A42A7" w:rsidRDefault="000A42A7" w:rsidP="000A42A7"/>
    <w:p w14:paraId="53F6FE9C" w14:textId="77777777" w:rsidR="000A42A7" w:rsidRDefault="000A42A7" w:rsidP="0041003F"/>
    <w:p w14:paraId="6519C78F" w14:textId="79851F8B" w:rsidR="00235142" w:rsidRPr="00874B8F" w:rsidRDefault="003A5739" w:rsidP="000D7C95">
      <w:pPr>
        <w:pStyle w:val="Contents"/>
      </w:pPr>
      <w:r w:rsidRPr="000A42A7">
        <w:br w:type="page"/>
      </w:r>
      <w:bookmarkStart w:id="0" w:name="_Toc140235477"/>
      <w:bookmarkStart w:id="1" w:name="_Toc447009035"/>
      <w:bookmarkStart w:id="2" w:name="_Toc413749884"/>
      <w:r w:rsidR="00235142" w:rsidRPr="00874B8F">
        <w:lastRenderedPageBreak/>
        <w:t>Contents</w:t>
      </w:r>
      <w:bookmarkEnd w:id="0"/>
    </w:p>
    <w:p w14:paraId="7954C74B" w14:textId="00A88A5B" w:rsidR="000D7C95" w:rsidRDefault="00235142">
      <w:pPr>
        <w:pStyle w:val="TOC1"/>
        <w:rPr>
          <w:rFonts w:eastAsiaTheme="minorEastAsia" w:cstheme="minorBidi"/>
          <w:b w:val="0"/>
          <w:noProof/>
          <w:color w:val="auto"/>
          <w:kern w:val="2"/>
          <w:sz w:val="24"/>
          <w:lang w:eastAsia="en-AU"/>
          <w14:ligatures w14:val="standardContextual"/>
        </w:rPr>
      </w:pPr>
      <w:r>
        <w:fldChar w:fldCharType="begin"/>
      </w:r>
      <w:r>
        <w:instrText xml:space="preserve"> TOC  \* MERGEFORMAT </w:instrText>
      </w:r>
      <w:r>
        <w:fldChar w:fldCharType="separate"/>
      </w:r>
      <w:r w:rsidR="000D7C95">
        <w:rPr>
          <w:noProof/>
        </w:rPr>
        <w:t>Definitions and abbreviations</w:t>
      </w:r>
      <w:r w:rsidR="000D7C95">
        <w:rPr>
          <w:noProof/>
        </w:rPr>
        <w:tab/>
      </w:r>
      <w:r w:rsidR="000D7C95">
        <w:rPr>
          <w:noProof/>
        </w:rPr>
        <w:fldChar w:fldCharType="begin"/>
      </w:r>
      <w:r w:rsidR="000D7C95">
        <w:rPr>
          <w:noProof/>
        </w:rPr>
        <w:instrText xml:space="preserve"> PAGEREF _Toc206589073 \h </w:instrText>
      </w:r>
      <w:r w:rsidR="000D7C95">
        <w:rPr>
          <w:noProof/>
        </w:rPr>
      </w:r>
      <w:r w:rsidR="000D7C95">
        <w:rPr>
          <w:noProof/>
        </w:rPr>
        <w:fldChar w:fldCharType="separate"/>
      </w:r>
      <w:r w:rsidR="00AB0633">
        <w:rPr>
          <w:noProof/>
        </w:rPr>
        <w:t>4</w:t>
      </w:r>
      <w:r w:rsidR="000D7C95">
        <w:rPr>
          <w:noProof/>
        </w:rPr>
        <w:fldChar w:fldCharType="end"/>
      </w:r>
    </w:p>
    <w:p w14:paraId="446E8FDE" w14:textId="47089649" w:rsidR="000D7C95" w:rsidRDefault="000D7C95">
      <w:pPr>
        <w:pStyle w:val="TOC1"/>
        <w:rPr>
          <w:rFonts w:eastAsiaTheme="minorEastAsia" w:cstheme="minorBidi"/>
          <w:b w:val="0"/>
          <w:noProof/>
          <w:color w:val="auto"/>
          <w:kern w:val="2"/>
          <w:sz w:val="24"/>
          <w:lang w:eastAsia="en-AU"/>
          <w14:ligatures w14:val="standardContextual"/>
        </w:rPr>
      </w:pPr>
      <w:r>
        <w:rPr>
          <w:noProof/>
        </w:rPr>
        <w:t>Disclaimer</w:t>
      </w:r>
      <w:r>
        <w:rPr>
          <w:noProof/>
        </w:rPr>
        <w:tab/>
      </w:r>
      <w:r>
        <w:rPr>
          <w:noProof/>
        </w:rPr>
        <w:fldChar w:fldCharType="begin"/>
      </w:r>
      <w:r>
        <w:rPr>
          <w:noProof/>
        </w:rPr>
        <w:instrText xml:space="preserve"> PAGEREF _Toc206589074 \h </w:instrText>
      </w:r>
      <w:r>
        <w:rPr>
          <w:noProof/>
        </w:rPr>
      </w:r>
      <w:r>
        <w:rPr>
          <w:noProof/>
        </w:rPr>
        <w:fldChar w:fldCharType="separate"/>
      </w:r>
      <w:r w:rsidR="00AB0633">
        <w:rPr>
          <w:noProof/>
        </w:rPr>
        <w:t>5</w:t>
      </w:r>
      <w:r>
        <w:rPr>
          <w:noProof/>
        </w:rPr>
        <w:fldChar w:fldCharType="end"/>
      </w:r>
    </w:p>
    <w:p w14:paraId="609208CB" w14:textId="7FA73511" w:rsidR="000D7C95" w:rsidRDefault="000D7C95">
      <w:pPr>
        <w:pStyle w:val="TOC2"/>
        <w:rPr>
          <w:rFonts w:eastAsiaTheme="minorEastAsia" w:cstheme="minorBidi"/>
          <w:noProof/>
          <w:color w:val="auto"/>
          <w:kern w:val="2"/>
          <w:sz w:val="24"/>
          <w:lang w:eastAsia="en-AU"/>
          <w14:ligatures w14:val="standardContextual"/>
        </w:rPr>
      </w:pPr>
      <w:r w:rsidRPr="004B109A">
        <w:rPr>
          <w:rFonts w:eastAsiaTheme="minorEastAsia"/>
          <w:noProof/>
        </w:rPr>
        <w:t>2024–25 updates</w:t>
      </w:r>
      <w:r>
        <w:rPr>
          <w:noProof/>
        </w:rPr>
        <w:tab/>
      </w:r>
      <w:r>
        <w:rPr>
          <w:noProof/>
        </w:rPr>
        <w:fldChar w:fldCharType="begin"/>
      </w:r>
      <w:r>
        <w:rPr>
          <w:noProof/>
        </w:rPr>
        <w:instrText xml:space="preserve"> PAGEREF _Toc206589075 \h </w:instrText>
      </w:r>
      <w:r>
        <w:rPr>
          <w:noProof/>
        </w:rPr>
      </w:r>
      <w:r>
        <w:rPr>
          <w:noProof/>
        </w:rPr>
        <w:fldChar w:fldCharType="separate"/>
      </w:r>
      <w:r w:rsidR="00AB0633">
        <w:rPr>
          <w:noProof/>
        </w:rPr>
        <w:t>6</w:t>
      </w:r>
      <w:r>
        <w:rPr>
          <w:noProof/>
        </w:rPr>
        <w:fldChar w:fldCharType="end"/>
      </w:r>
    </w:p>
    <w:p w14:paraId="5D684915" w14:textId="757CF95C" w:rsidR="000D7C95" w:rsidRDefault="000D7C95">
      <w:pPr>
        <w:pStyle w:val="TOC1"/>
        <w:tabs>
          <w:tab w:val="left" w:pos="440"/>
        </w:tabs>
        <w:rPr>
          <w:rFonts w:eastAsiaTheme="minorEastAsia" w:cstheme="minorBidi"/>
          <w:b w:val="0"/>
          <w:noProof/>
          <w:color w:val="auto"/>
          <w:kern w:val="2"/>
          <w:sz w:val="24"/>
          <w:lang w:eastAsia="en-AU"/>
          <w14:ligatures w14:val="standardContextual"/>
        </w:rPr>
      </w:pPr>
      <w:r>
        <w:rPr>
          <w:noProof/>
        </w:rPr>
        <w:t>1.</w:t>
      </w:r>
      <w:r>
        <w:rPr>
          <w:rFonts w:eastAsiaTheme="minorEastAsia" w:cstheme="minorBidi"/>
          <w:b w:val="0"/>
          <w:noProof/>
          <w:color w:val="auto"/>
          <w:kern w:val="2"/>
          <w:sz w:val="24"/>
          <w:lang w:eastAsia="en-AU"/>
          <w14:ligatures w14:val="standardContextual"/>
        </w:rPr>
        <w:tab/>
      </w:r>
      <w:r>
        <w:rPr>
          <w:noProof/>
        </w:rPr>
        <w:t>Overview</w:t>
      </w:r>
      <w:r>
        <w:rPr>
          <w:noProof/>
        </w:rPr>
        <w:tab/>
      </w:r>
      <w:r>
        <w:rPr>
          <w:noProof/>
        </w:rPr>
        <w:fldChar w:fldCharType="begin"/>
      </w:r>
      <w:r>
        <w:rPr>
          <w:noProof/>
        </w:rPr>
        <w:instrText xml:space="preserve"> PAGEREF _Toc206589076 \h </w:instrText>
      </w:r>
      <w:r>
        <w:rPr>
          <w:noProof/>
        </w:rPr>
      </w:r>
      <w:r>
        <w:rPr>
          <w:noProof/>
        </w:rPr>
        <w:fldChar w:fldCharType="separate"/>
      </w:r>
      <w:r w:rsidR="00AB0633">
        <w:rPr>
          <w:noProof/>
        </w:rPr>
        <w:t>6</w:t>
      </w:r>
      <w:r>
        <w:rPr>
          <w:noProof/>
        </w:rPr>
        <w:fldChar w:fldCharType="end"/>
      </w:r>
    </w:p>
    <w:p w14:paraId="04C895B5" w14:textId="3643021D" w:rsidR="000D7C95" w:rsidRDefault="000D7C95">
      <w:pPr>
        <w:pStyle w:val="TOC1"/>
        <w:tabs>
          <w:tab w:val="left" w:pos="440"/>
        </w:tabs>
        <w:rPr>
          <w:rFonts w:eastAsiaTheme="minorEastAsia" w:cstheme="minorBidi"/>
          <w:b w:val="0"/>
          <w:noProof/>
          <w:color w:val="auto"/>
          <w:kern w:val="2"/>
          <w:sz w:val="24"/>
          <w:lang w:eastAsia="en-AU"/>
          <w14:ligatures w14:val="standardContextual"/>
        </w:rPr>
      </w:pPr>
      <w:r>
        <w:rPr>
          <w:noProof/>
        </w:rPr>
        <w:t>2.</w:t>
      </w:r>
      <w:r>
        <w:rPr>
          <w:rFonts w:eastAsiaTheme="minorEastAsia" w:cstheme="minorBidi"/>
          <w:b w:val="0"/>
          <w:noProof/>
          <w:color w:val="auto"/>
          <w:kern w:val="2"/>
          <w:sz w:val="24"/>
          <w:lang w:eastAsia="en-AU"/>
          <w14:ligatures w14:val="standardContextual"/>
        </w:rPr>
        <w:tab/>
      </w:r>
      <w:r>
        <w:rPr>
          <w:noProof/>
        </w:rPr>
        <w:t>Mineral Products</w:t>
      </w:r>
      <w:r>
        <w:rPr>
          <w:noProof/>
        </w:rPr>
        <w:tab/>
      </w:r>
      <w:r>
        <w:rPr>
          <w:noProof/>
        </w:rPr>
        <w:fldChar w:fldCharType="begin"/>
      </w:r>
      <w:r>
        <w:rPr>
          <w:noProof/>
        </w:rPr>
        <w:instrText xml:space="preserve"> PAGEREF _Toc206589077 \h </w:instrText>
      </w:r>
      <w:r>
        <w:rPr>
          <w:noProof/>
        </w:rPr>
      </w:r>
      <w:r>
        <w:rPr>
          <w:noProof/>
        </w:rPr>
        <w:fldChar w:fldCharType="separate"/>
      </w:r>
      <w:r w:rsidR="00AB0633">
        <w:rPr>
          <w:noProof/>
        </w:rPr>
        <w:t>7</w:t>
      </w:r>
      <w:r>
        <w:rPr>
          <w:noProof/>
        </w:rPr>
        <w:fldChar w:fldCharType="end"/>
      </w:r>
    </w:p>
    <w:p w14:paraId="1E23E386" w14:textId="0D981F2A" w:rsidR="000D7C95" w:rsidRDefault="000D7C95">
      <w:pPr>
        <w:pStyle w:val="TOC2"/>
        <w:rPr>
          <w:rFonts w:eastAsiaTheme="minorEastAsia" w:cstheme="minorBidi"/>
          <w:noProof/>
          <w:color w:val="auto"/>
          <w:kern w:val="2"/>
          <w:sz w:val="24"/>
          <w:lang w:eastAsia="en-AU"/>
          <w14:ligatures w14:val="standardContextual"/>
        </w:rPr>
      </w:pPr>
      <w:r>
        <w:rPr>
          <w:noProof/>
        </w:rPr>
        <w:t>2.1</w:t>
      </w:r>
      <w:r>
        <w:rPr>
          <w:rFonts w:eastAsiaTheme="minorEastAsia" w:cstheme="minorBidi"/>
          <w:noProof/>
          <w:color w:val="auto"/>
          <w:kern w:val="2"/>
          <w:sz w:val="24"/>
          <w:lang w:eastAsia="en-AU"/>
          <w14:ligatures w14:val="standardContextual"/>
        </w:rPr>
        <w:tab/>
      </w:r>
      <w:r>
        <w:rPr>
          <w:noProof/>
        </w:rPr>
        <w:t>Cement clinker production</w:t>
      </w:r>
      <w:r>
        <w:rPr>
          <w:noProof/>
        </w:rPr>
        <w:tab/>
      </w:r>
      <w:r>
        <w:rPr>
          <w:noProof/>
        </w:rPr>
        <w:fldChar w:fldCharType="begin"/>
      </w:r>
      <w:r>
        <w:rPr>
          <w:noProof/>
        </w:rPr>
        <w:instrText xml:space="preserve"> PAGEREF _Toc206589078 \h </w:instrText>
      </w:r>
      <w:r>
        <w:rPr>
          <w:noProof/>
        </w:rPr>
      </w:r>
      <w:r>
        <w:rPr>
          <w:noProof/>
        </w:rPr>
        <w:fldChar w:fldCharType="separate"/>
      </w:r>
      <w:r w:rsidR="00AB0633">
        <w:rPr>
          <w:noProof/>
        </w:rPr>
        <w:t>7</w:t>
      </w:r>
      <w:r>
        <w:rPr>
          <w:noProof/>
        </w:rPr>
        <w:fldChar w:fldCharType="end"/>
      </w:r>
    </w:p>
    <w:p w14:paraId="61DC49F2" w14:textId="5FD17290" w:rsidR="000D7C95" w:rsidRDefault="000D7C95">
      <w:pPr>
        <w:pStyle w:val="TOC3"/>
        <w:tabs>
          <w:tab w:val="left" w:pos="1200"/>
        </w:tabs>
        <w:rPr>
          <w:rFonts w:eastAsiaTheme="minorEastAsia" w:cstheme="minorBidi"/>
          <w:noProof/>
          <w:color w:val="auto"/>
          <w:kern w:val="2"/>
          <w:sz w:val="24"/>
          <w:lang w:eastAsia="en-AU"/>
          <w14:ligatures w14:val="standardContextual"/>
        </w:rPr>
      </w:pPr>
      <w:r>
        <w:rPr>
          <w:noProof/>
        </w:rPr>
        <w:t>2.1.1</w:t>
      </w:r>
      <w:r>
        <w:rPr>
          <w:rFonts w:eastAsiaTheme="minorEastAsia" w:cstheme="minorBidi"/>
          <w:noProof/>
          <w:color w:val="auto"/>
          <w:kern w:val="2"/>
          <w:sz w:val="24"/>
          <w:lang w:eastAsia="en-AU"/>
          <w14:ligatures w14:val="standardContextual"/>
        </w:rPr>
        <w:tab/>
      </w:r>
      <w:r>
        <w:rPr>
          <w:noProof/>
        </w:rPr>
        <w:t>Method 1</w:t>
      </w:r>
      <w:r>
        <w:rPr>
          <w:noProof/>
        </w:rPr>
        <w:tab/>
      </w:r>
      <w:r>
        <w:rPr>
          <w:noProof/>
        </w:rPr>
        <w:fldChar w:fldCharType="begin"/>
      </w:r>
      <w:r>
        <w:rPr>
          <w:noProof/>
        </w:rPr>
        <w:instrText xml:space="preserve"> PAGEREF _Toc206589079 \h </w:instrText>
      </w:r>
      <w:r>
        <w:rPr>
          <w:noProof/>
        </w:rPr>
      </w:r>
      <w:r>
        <w:rPr>
          <w:noProof/>
        </w:rPr>
        <w:fldChar w:fldCharType="separate"/>
      </w:r>
      <w:r w:rsidR="00AB0633">
        <w:rPr>
          <w:noProof/>
        </w:rPr>
        <w:t>8</w:t>
      </w:r>
      <w:r>
        <w:rPr>
          <w:noProof/>
        </w:rPr>
        <w:fldChar w:fldCharType="end"/>
      </w:r>
    </w:p>
    <w:p w14:paraId="5B0DA094" w14:textId="7D8DC173" w:rsidR="000D7C95" w:rsidRDefault="000D7C95">
      <w:pPr>
        <w:pStyle w:val="TOC3"/>
        <w:tabs>
          <w:tab w:val="left" w:pos="1200"/>
        </w:tabs>
        <w:rPr>
          <w:rFonts w:eastAsiaTheme="minorEastAsia" w:cstheme="minorBidi"/>
          <w:noProof/>
          <w:color w:val="auto"/>
          <w:kern w:val="2"/>
          <w:sz w:val="24"/>
          <w:lang w:eastAsia="en-AU"/>
          <w14:ligatures w14:val="standardContextual"/>
        </w:rPr>
      </w:pPr>
      <w:r>
        <w:rPr>
          <w:noProof/>
        </w:rPr>
        <w:t>2.1.2</w:t>
      </w:r>
      <w:r>
        <w:rPr>
          <w:rFonts w:eastAsiaTheme="minorEastAsia" w:cstheme="minorBidi"/>
          <w:noProof/>
          <w:color w:val="auto"/>
          <w:kern w:val="2"/>
          <w:sz w:val="24"/>
          <w:lang w:eastAsia="en-AU"/>
          <w14:ligatures w14:val="standardContextual"/>
        </w:rPr>
        <w:tab/>
      </w:r>
      <w:r>
        <w:rPr>
          <w:noProof/>
        </w:rPr>
        <w:t>Method 2</w:t>
      </w:r>
      <w:r>
        <w:rPr>
          <w:noProof/>
        </w:rPr>
        <w:tab/>
      </w:r>
      <w:r>
        <w:rPr>
          <w:noProof/>
        </w:rPr>
        <w:fldChar w:fldCharType="begin"/>
      </w:r>
      <w:r>
        <w:rPr>
          <w:noProof/>
        </w:rPr>
        <w:instrText xml:space="preserve"> PAGEREF _Toc206589080 \h </w:instrText>
      </w:r>
      <w:r>
        <w:rPr>
          <w:noProof/>
        </w:rPr>
      </w:r>
      <w:r>
        <w:rPr>
          <w:noProof/>
        </w:rPr>
        <w:fldChar w:fldCharType="separate"/>
      </w:r>
      <w:r w:rsidR="00AB0633">
        <w:rPr>
          <w:noProof/>
        </w:rPr>
        <w:t>8</w:t>
      </w:r>
      <w:r>
        <w:rPr>
          <w:noProof/>
        </w:rPr>
        <w:fldChar w:fldCharType="end"/>
      </w:r>
    </w:p>
    <w:p w14:paraId="34D63B89" w14:textId="2ACDE883" w:rsidR="000D7C95" w:rsidRDefault="000D7C95">
      <w:pPr>
        <w:pStyle w:val="TOC3"/>
        <w:tabs>
          <w:tab w:val="left" w:pos="1200"/>
        </w:tabs>
        <w:rPr>
          <w:rFonts w:eastAsiaTheme="minorEastAsia" w:cstheme="minorBidi"/>
          <w:noProof/>
          <w:color w:val="auto"/>
          <w:kern w:val="2"/>
          <w:sz w:val="24"/>
          <w:lang w:eastAsia="en-AU"/>
          <w14:ligatures w14:val="standardContextual"/>
        </w:rPr>
      </w:pPr>
      <w:r>
        <w:rPr>
          <w:noProof/>
        </w:rPr>
        <w:t>2.1.3</w:t>
      </w:r>
      <w:r>
        <w:rPr>
          <w:rFonts w:eastAsiaTheme="minorEastAsia" w:cstheme="minorBidi"/>
          <w:noProof/>
          <w:color w:val="auto"/>
          <w:kern w:val="2"/>
          <w:sz w:val="24"/>
          <w:lang w:eastAsia="en-AU"/>
          <w14:ligatures w14:val="standardContextual"/>
        </w:rPr>
        <w:tab/>
      </w:r>
      <w:r>
        <w:rPr>
          <w:noProof/>
        </w:rPr>
        <w:t>Method 3</w:t>
      </w:r>
      <w:r>
        <w:rPr>
          <w:noProof/>
        </w:rPr>
        <w:tab/>
      </w:r>
      <w:r>
        <w:rPr>
          <w:noProof/>
        </w:rPr>
        <w:fldChar w:fldCharType="begin"/>
      </w:r>
      <w:r>
        <w:rPr>
          <w:noProof/>
        </w:rPr>
        <w:instrText xml:space="preserve"> PAGEREF _Toc206589081 \h </w:instrText>
      </w:r>
      <w:r>
        <w:rPr>
          <w:noProof/>
        </w:rPr>
      </w:r>
      <w:r>
        <w:rPr>
          <w:noProof/>
        </w:rPr>
        <w:fldChar w:fldCharType="separate"/>
      </w:r>
      <w:r w:rsidR="00AB0633">
        <w:rPr>
          <w:noProof/>
        </w:rPr>
        <w:t>8</w:t>
      </w:r>
      <w:r>
        <w:rPr>
          <w:noProof/>
        </w:rPr>
        <w:fldChar w:fldCharType="end"/>
      </w:r>
    </w:p>
    <w:p w14:paraId="19B6D495" w14:textId="7C4530FD" w:rsidR="000D7C95" w:rsidRDefault="000D7C95">
      <w:pPr>
        <w:pStyle w:val="TOC2"/>
        <w:rPr>
          <w:rFonts w:eastAsiaTheme="minorEastAsia" w:cstheme="minorBidi"/>
          <w:noProof/>
          <w:color w:val="auto"/>
          <w:kern w:val="2"/>
          <w:sz w:val="24"/>
          <w:lang w:eastAsia="en-AU"/>
          <w14:ligatures w14:val="standardContextual"/>
        </w:rPr>
      </w:pPr>
      <w:r>
        <w:rPr>
          <w:noProof/>
        </w:rPr>
        <w:t>2.2   Lime Production</w:t>
      </w:r>
      <w:r>
        <w:rPr>
          <w:noProof/>
        </w:rPr>
        <w:tab/>
      </w:r>
      <w:r>
        <w:rPr>
          <w:noProof/>
        </w:rPr>
        <w:fldChar w:fldCharType="begin"/>
      </w:r>
      <w:r>
        <w:rPr>
          <w:noProof/>
        </w:rPr>
        <w:instrText xml:space="preserve"> PAGEREF _Toc206589082 \h </w:instrText>
      </w:r>
      <w:r>
        <w:rPr>
          <w:noProof/>
        </w:rPr>
      </w:r>
      <w:r>
        <w:rPr>
          <w:noProof/>
        </w:rPr>
        <w:fldChar w:fldCharType="separate"/>
      </w:r>
      <w:r w:rsidR="00AB0633">
        <w:rPr>
          <w:noProof/>
        </w:rPr>
        <w:t>8</w:t>
      </w:r>
      <w:r>
        <w:rPr>
          <w:noProof/>
        </w:rPr>
        <w:fldChar w:fldCharType="end"/>
      </w:r>
    </w:p>
    <w:p w14:paraId="16061B7E" w14:textId="011A875B" w:rsidR="000D7C95" w:rsidRDefault="000D7C95">
      <w:pPr>
        <w:pStyle w:val="TOC3"/>
        <w:rPr>
          <w:rFonts w:eastAsiaTheme="minorEastAsia" w:cstheme="minorBidi"/>
          <w:noProof/>
          <w:color w:val="auto"/>
          <w:kern w:val="2"/>
          <w:sz w:val="24"/>
          <w:lang w:eastAsia="en-AU"/>
          <w14:ligatures w14:val="standardContextual"/>
        </w:rPr>
      </w:pPr>
      <w:r>
        <w:rPr>
          <w:noProof/>
        </w:rPr>
        <w:t>2.2.1 Method 1</w:t>
      </w:r>
      <w:r>
        <w:rPr>
          <w:noProof/>
        </w:rPr>
        <w:tab/>
      </w:r>
      <w:r>
        <w:rPr>
          <w:noProof/>
        </w:rPr>
        <w:fldChar w:fldCharType="begin"/>
      </w:r>
      <w:r>
        <w:rPr>
          <w:noProof/>
        </w:rPr>
        <w:instrText xml:space="preserve"> PAGEREF _Toc206589083 \h </w:instrText>
      </w:r>
      <w:r>
        <w:rPr>
          <w:noProof/>
        </w:rPr>
      </w:r>
      <w:r>
        <w:rPr>
          <w:noProof/>
        </w:rPr>
        <w:fldChar w:fldCharType="separate"/>
      </w:r>
      <w:r w:rsidR="00AB0633">
        <w:rPr>
          <w:noProof/>
        </w:rPr>
        <w:t>9</w:t>
      </w:r>
      <w:r>
        <w:rPr>
          <w:noProof/>
        </w:rPr>
        <w:fldChar w:fldCharType="end"/>
      </w:r>
    </w:p>
    <w:p w14:paraId="03596F91" w14:textId="05FBD8B8" w:rsidR="000D7C95" w:rsidRDefault="000D7C95">
      <w:pPr>
        <w:pStyle w:val="TOC3"/>
        <w:rPr>
          <w:rFonts w:eastAsiaTheme="minorEastAsia" w:cstheme="minorBidi"/>
          <w:noProof/>
          <w:color w:val="auto"/>
          <w:kern w:val="2"/>
          <w:sz w:val="24"/>
          <w:lang w:eastAsia="en-AU"/>
          <w14:ligatures w14:val="standardContextual"/>
        </w:rPr>
      </w:pPr>
      <w:r>
        <w:rPr>
          <w:noProof/>
        </w:rPr>
        <w:t>2.2.2 Method 2</w:t>
      </w:r>
      <w:r>
        <w:rPr>
          <w:noProof/>
        </w:rPr>
        <w:tab/>
      </w:r>
      <w:r>
        <w:rPr>
          <w:noProof/>
        </w:rPr>
        <w:fldChar w:fldCharType="begin"/>
      </w:r>
      <w:r>
        <w:rPr>
          <w:noProof/>
        </w:rPr>
        <w:instrText xml:space="preserve"> PAGEREF _Toc206589084 \h </w:instrText>
      </w:r>
      <w:r>
        <w:rPr>
          <w:noProof/>
        </w:rPr>
      </w:r>
      <w:r>
        <w:rPr>
          <w:noProof/>
        </w:rPr>
        <w:fldChar w:fldCharType="separate"/>
      </w:r>
      <w:r w:rsidR="00AB0633">
        <w:rPr>
          <w:noProof/>
        </w:rPr>
        <w:t>9</w:t>
      </w:r>
      <w:r>
        <w:rPr>
          <w:noProof/>
        </w:rPr>
        <w:fldChar w:fldCharType="end"/>
      </w:r>
    </w:p>
    <w:p w14:paraId="1919C965" w14:textId="3AEEB17F" w:rsidR="000D7C95" w:rsidRDefault="000D7C95">
      <w:pPr>
        <w:pStyle w:val="TOC3"/>
        <w:rPr>
          <w:rFonts w:eastAsiaTheme="minorEastAsia" w:cstheme="minorBidi"/>
          <w:noProof/>
          <w:color w:val="auto"/>
          <w:kern w:val="2"/>
          <w:sz w:val="24"/>
          <w:lang w:eastAsia="en-AU"/>
          <w14:ligatures w14:val="standardContextual"/>
        </w:rPr>
      </w:pPr>
      <w:r>
        <w:rPr>
          <w:noProof/>
        </w:rPr>
        <w:t>2.2.3 Method 3</w:t>
      </w:r>
      <w:r>
        <w:rPr>
          <w:noProof/>
        </w:rPr>
        <w:tab/>
      </w:r>
      <w:r>
        <w:rPr>
          <w:noProof/>
        </w:rPr>
        <w:fldChar w:fldCharType="begin"/>
      </w:r>
      <w:r>
        <w:rPr>
          <w:noProof/>
        </w:rPr>
        <w:instrText xml:space="preserve"> PAGEREF _Toc206589085 \h </w:instrText>
      </w:r>
      <w:r>
        <w:rPr>
          <w:noProof/>
        </w:rPr>
      </w:r>
      <w:r>
        <w:rPr>
          <w:noProof/>
        </w:rPr>
        <w:fldChar w:fldCharType="separate"/>
      </w:r>
      <w:r w:rsidR="00AB0633">
        <w:rPr>
          <w:noProof/>
        </w:rPr>
        <w:t>9</w:t>
      </w:r>
      <w:r>
        <w:rPr>
          <w:noProof/>
        </w:rPr>
        <w:fldChar w:fldCharType="end"/>
      </w:r>
    </w:p>
    <w:p w14:paraId="0D4FF89E" w14:textId="40092A0F" w:rsidR="000D7C95" w:rsidRDefault="000D7C95">
      <w:pPr>
        <w:pStyle w:val="TOC2"/>
        <w:rPr>
          <w:rFonts w:eastAsiaTheme="minorEastAsia" w:cstheme="minorBidi"/>
          <w:noProof/>
          <w:color w:val="auto"/>
          <w:kern w:val="2"/>
          <w:sz w:val="24"/>
          <w:lang w:eastAsia="en-AU"/>
          <w14:ligatures w14:val="standardContextual"/>
        </w:rPr>
      </w:pPr>
      <w:r>
        <w:rPr>
          <w:noProof/>
        </w:rPr>
        <w:t>2.3</w:t>
      </w:r>
      <w:r>
        <w:rPr>
          <w:rFonts w:eastAsiaTheme="minorEastAsia" w:cstheme="minorBidi"/>
          <w:noProof/>
          <w:color w:val="auto"/>
          <w:kern w:val="2"/>
          <w:sz w:val="24"/>
          <w:lang w:eastAsia="en-AU"/>
          <w14:ligatures w14:val="standardContextual"/>
        </w:rPr>
        <w:tab/>
      </w:r>
      <w:r>
        <w:rPr>
          <w:noProof/>
        </w:rPr>
        <w:t>Use of carbonates for production of a product other than cement clinker, lime, or soda ash</w:t>
      </w:r>
      <w:r>
        <w:rPr>
          <w:noProof/>
        </w:rPr>
        <w:tab/>
      </w:r>
      <w:r>
        <w:rPr>
          <w:noProof/>
        </w:rPr>
        <w:fldChar w:fldCharType="begin"/>
      </w:r>
      <w:r>
        <w:rPr>
          <w:noProof/>
        </w:rPr>
        <w:instrText xml:space="preserve"> PAGEREF _Toc206589086 \h </w:instrText>
      </w:r>
      <w:r>
        <w:rPr>
          <w:noProof/>
        </w:rPr>
      </w:r>
      <w:r>
        <w:rPr>
          <w:noProof/>
        </w:rPr>
        <w:fldChar w:fldCharType="separate"/>
      </w:r>
      <w:r w:rsidR="00AB0633">
        <w:rPr>
          <w:noProof/>
        </w:rPr>
        <w:t>9</w:t>
      </w:r>
      <w:r>
        <w:rPr>
          <w:noProof/>
        </w:rPr>
        <w:fldChar w:fldCharType="end"/>
      </w:r>
    </w:p>
    <w:p w14:paraId="50017F78" w14:textId="0E94F686" w:rsidR="000D7C95" w:rsidRDefault="000D7C95">
      <w:pPr>
        <w:pStyle w:val="TOC2"/>
        <w:rPr>
          <w:rFonts w:eastAsiaTheme="minorEastAsia" w:cstheme="minorBidi"/>
          <w:noProof/>
          <w:color w:val="auto"/>
          <w:kern w:val="2"/>
          <w:sz w:val="24"/>
          <w:lang w:eastAsia="en-AU"/>
          <w14:ligatures w14:val="standardContextual"/>
        </w:rPr>
      </w:pPr>
      <w:r>
        <w:rPr>
          <w:noProof/>
        </w:rPr>
        <w:t>2.4</w:t>
      </w:r>
      <w:r>
        <w:rPr>
          <w:rFonts w:eastAsiaTheme="minorEastAsia" w:cstheme="minorBidi"/>
          <w:noProof/>
          <w:color w:val="auto"/>
          <w:kern w:val="2"/>
          <w:sz w:val="24"/>
          <w:lang w:eastAsia="en-AU"/>
          <w14:ligatures w14:val="standardContextual"/>
        </w:rPr>
        <w:tab/>
      </w:r>
      <w:r>
        <w:rPr>
          <w:noProof/>
        </w:rPr>
        <w:t>Soda ash use and production</w:t>
      </w:r>
      <w:r>
        <w:rPr>
          <w:noProof/>
        </w:rPr>
        <w:tab/>
      </w:r>
      <w:r>
        <w:rPr>
          <w:noProof/>
        </w:rPr>
        <w:fldChar w:fldCharType="begin"/>
      </w:r>
      <w:r>
        <w:rPr>
          <w:noProof/>
        </w:rPr>
        <w:instrText xml:space="preserve"> PAGEREF _Toc206589087 \h </w:instrText>
      </w:r>
      <w:r>
        <w:rPr>
          <w:noProof/>
        </w:rPr>
      </w:r>
      <w:r>
        <w:rPr>
          <w:noProof/>
        </w:rPr>
        <w:fldChar w:fldCharType="separate"/>
      </w:r>
      <w:r w:rsidR="00AB0633">
        <w:rPr>
          <w:noProof/>
        </w:rPr>
        <w:t>10</w:t>
      </w:r>
      <w:r>
        <w:rPr>
          <w:noProof/>
        </w:rPr>
        <w:fldChar w:fldCharType="end"/>
      </w:r>
    </w:p>
    <w:p w14:paraId="6483EFAA" w14:textId="4AFC55AB" w:rsidR="000D7C95" w:rsidRDefault="000D7C95">
      <w:pPr>
        <w:pStyle w:val="TOC3"/>
        <w:tabs>
          <w:tab w:val="left" w:pos="1200"/>
        </w:tabs>
        <w:rPr>
          <w:rFonts w:eastAsiaTheme="minorEastAsia" w:cstheme="minorBidi"/>
          <w:noProof/>
          <w:color w:val="auto"/>
          <w:kern w:val="2"/>
          <w:sz w:val="24"/>
          <w:lang w:eastAsia="en-AU"/>
          <w14:ligatures w14:val="standardContextual"/>
        </w:rPr>
      </w:pPr>
      <w:r>
        <w:rPr>
          <w:noProof/>
        </w:rPr>
        <w:t xml:space="preserve">2.4.1 </w:t>
      </w:r>
      <w:r>
        <w:rPr>
          <w:rFonts w:eastAsiaTheme="minorEastAsia" w:cstheme="minorBidi"/>
          <w:noProof/>
          <w:color w:val="auto"/>
          <w:kern w:val="2"/>
          <w:sz w:val="24"/>
          <w:lang w:eastAsia="en-AU"/>
          <w14:ligatures w14:val="standardContextual"/>
        </w:rPr>
        <w:tab/>
      </w:r>
      <w:r>
        <w:rPr>
          <w:noProof/>
        </w:rPr>
        <w:t>Soda ash use</w:t>
      </w:r>
      <w:r>
        <w:rPr>
          <w:noProof/>
        </w:rPr>
        <w:tab/>
      </w:r>
      <w:r>
        <w:rPr>
          <w:noProof/>
        </w:rPr>
        <w:fldChar w:fldCharType="begin"/>
      </w:r>
      <w:r>
        <w:rPr>
          <w:noProof/>
        </w:rPr>
        <w:instrText xml:space="preserve"> PAGEREF _Toc206589088 \h </w:instrText>
      </w:r>
      <w:r>
        <w:rPr>
          <w:noProof/>
        </w:rPr>
      </w:r>
      <w:r>
        <w:rPr>
          <w:noProof/>
        </w:rPr>
        <w:fldChar w:fldCharType="separate"/>
      </w:r>
      <w:r w:rsidR="00AB0633">
        <w:rPr>
          <w:noProof/>
        </w:rPr>
        <w:t>10</w:t>
      </w:r>
      <w:r>
        <w:rPr>
          <w:noProof/>
        </w:rPr>
        <w:fldChar w:fldCharType="end"/>
      </w:r>
    </w:p>
    <w:p w14:paraId="348E3B21" w14:textId="436BE7C4" w:rsidR="000D7C95" w:rsidRDefault="000D7C95">
      <w:pPr>
        <w:pStyle w:val="TOC3"/>
        <w:tabs>
          <w:tab w:val="left" w:pos="1200"/>
        </w:tabs>
        <w:rPr>
          <w:rFonts w:eastAsiaTheme="minorEastAsia" w:cstheme="minorBidi"/>
          <w:noProof/>
          <w:color w:val="auto"/>
          <w:kern w:val="2"/>
          <w:sz w:val="24"/>
          <w:lang w:eastAsia="en-AU"/>
          <w14:ligatures w14:val="standardContextual"/>
        </w:rPr>
      </w:pPr>
      <w:r>
        <w:rPr>
          <w:noProof/>
        </w:rPr>
        <w:t xml:space="preserve">2.4.2 </w:t>
      </w:r>
      <w:r>
        <w:rPr>
          <w:rFonts w:eastAsiaTheme="minorEastAsia" w:cstheme="minorBidi"/>
          <w:noProof/>
          <w:color w:val="auto"/>
          <w:kern w:val="2"/>
          <w:sz w:val="24"/>
          <w:lang w:eastAsia="en-AU"/>
          <w14:ligatures w14:val="standardContextual"/>
        </w:rPr>
        <w:tab/>
      </w:r>
      <w:r>
        <w:rPr>
          <w:noProof/>
        </w:rPr>
        <w:t>Soda ash production</w:t>
      </w:r>
      <w:r>
        <w:rPr>
          <w:noProof/>
        </w:rPr>
        <w:tab/>
      </w:r>
      <w:r>
        <w:rPr>
          <w:noProof/>
        </w:rPr>
        <w:fldChar w:fldCharType="begin"/>
      </w:r>
      <w:r>
        <w:rPr>
          <w:noProof/>
        </w:rPr>
        <w:instrText xml:space="preserve"> PAGEREF _Toc206589089 \h </w:instrText>
      </w:r>
      <w:r>
        <w:rPr>
          <w:noProof/>
        </w:rPr>
      </w:r>
      <w:r>
        <w:rPr>
          <w:noProof/>
        </w:rPr>
        <w:fldChar w:fldCharType="separate"/>
      </w:r>
      <w:r w:rsidR="00AB0633">
        <w:rPr>
          <w:noProof/>
        </w:rPr>
        <w:t>10</w:t>
      </w:r>
      <w:r>
        <w:rPr>
          <w:noProof/>
        </w:rPr>
        <w:fldChar w:fldCharType="end"/>
      </w:r>
    </w:p>
    <w:p w14:paraId="4F7F29D1" w14:textId="2DABE7DD" w:rsidR="000D7C95" w:rsidRDefault="000D7C95">
      <w:pPr>
        <w:pStyle w:val="TOC2"/>
        <w:rPr>
          <w:rFonts w:eastAsiaTheme="minorEastAsia" w:cstheme="minorBidi"/>
          <w:noProof/>
          <w:color w:val="auto"/>
          <w:kern w:val="2"/>
          <w:sz w:val="24"/>
          <w:lang w:eastAsia="en-AU"/>
          <w14:ligatures w14:val="standardContextual"/>
        </w:rPr>
      </w:pPr>
      <w:r>
        <w:rPr>
          <w:noProof/>
        </w:rPr>
        <w:t>2.5</w:t>
      </w:r>
      <w:r>
        <w:rPr>
          <w:rFonts w:eastAsiaTheme="minorEastAsia" w:cstheme="minorBidi"/>
          <w:noProof/>
          <w:color w:val="auto"/>
          <w:kern w:val="2"/>
          <w:sz w:val="24"/>
          <w:lang w:eastAsia="en-AU"/>
          <w14:ligatures w14:val="standardContextual"/>
        </w:rPr>
        <w:tab/>
      </w:r>
      <w:r>
        <w:rPr>
          <w:noProof/>
        </w:rPr>
        <w:t>Measurement of quantity of carbonates consumed and products derived from carbonates</w:t>
      </w:r>
      <w:r>
        <w:rPr>
          <w:noProof/>
        </w:rPr>
        <w:tab/>
      </w:r>
      <w:r>
        <w:rPr>
          <w:noProof/>
        </w:rPr>
        <w:fldChar w:fldCharType="begin"/>
      </w:r>
      <w:r>
        <w:rPr>
          <w:noProof/>
        </w:rPr>
        <w:instrText xml:space="preserve"> PAGEREF _Toc206589090 \h </w:instrText>
      </w:r>
      <w:r>
        <w:rPr>
          <w:noProof/>
        </w:rPr>
      </w:r>
      <w:r>
        <w:rPr>
          <w:noProof/>
        </w:rPr>
        <w:fldChar w:fldCharType="separate"/>
      </w:r>
      <w:r w:rsidR="00AB0633">
        <w:rPr>
          <w:noProof/>
        </w:rPr>
        <w:t>11</w:t>
      </w:r>
      <w:r>
        <w:rPr>
          <w:noProof/>
        </w:rPr>
        <w:fldChar w:fldCharType="end"/>
      </w:r>
    </w:p>
    <w:p w14:paraId="5C74260B" w14:textId="68AE3B9C" w:rsidR="000D7C95" w:rsidRDefault="000D7C95">
      <w:pPr>
        <w:pStyle w:val="TOC1"/>
        <w:tabs>
          <w:tab w:val="left" w:pos="440"/>
        </w:tabs>
        <w:rPr>
          <w:rFonts w:eastAsiaTheme="minorEastAsia" w:cstheme="minorBidi"/>
          <w:b w:val="0"/>
          <w:noProof/>
          <w:color w:val="auto"/>
          <w:kern w:val="2"/>
          <w:sz w:val="24"/>
          <w:lang w:eastAsia="en-AU"/>
          <w14:ligatures w14:val="standardContextual"/>
        </w:rPr>
      </w:pPr>
      <w:r>
        <w:rPr>
          <w:noProof/>
        </w:rPr>
        <w:t>3.</w:t>
      </w:r>
      <w:r>
        <w:rPr>
          <w:rFonts w:eastAsiaTheme="minorEastAsia" w:cstheme="minorBidi"/>
          <w:b w:val="0"/>
          <w:noProof/>
          <w:color w:val="auto"/>
          <w:kern w:val="2"/>
          <w:sz w:val="24"/>
          <w:lang w:eastAsia="en-AU"/>
          <w14:ligatures w14:val="standardContextual"/>
        </w:rPr>
        <w:tab/>
      </w:r>
      <w:r>
        <w:rPr>
          <w:noProof/>
        </w:rPr>
        <w:t>Chemical industry</w:t>
      </w:r>
      <w:r>
        <w:rPr>
          <w:noProof/>
        </w:rPr>
        <w:tab/>
      </w:r>
      <w:r>
        <w:rPr>
          <w:noProof/>
        </w:rPr>
        <w:fldChar w:fldCharType="begin"/>
      </w:r>
      <w:r>
        <w:rPr>
          <w:noProof/>
        </w:rPr>
        <w:instrText xml:space="preserve"> PAGEREF _Toc206589091 \h </w:instrText>
      </w:r>
      <w:r>
        <w:rPr>
          <w:noProof/>
        </w:rPr>
      </w:r>
      <w:r>
        <w:rPr>
          <w:noProof/>
        </w:rPr>
        <w:fldChar w:fldCharType="separate"/>
      </w:r>
      <w:r w:rsidR="00AB0633">
        <w:rPr>
          <w:noProof/>
        </w:rPr>
        <w:t>12</w:t>
      </w:r>
      <w:r>
        <w:rPr>
          <w:noProof/>
        </w:rPr>
        <w:fldChar w:fldCharType="end"/>
      </w:r>
    </w:p>
    <w:p w14:paraId="6EE45C25" w14:textId="32F56D96" w:rsidR="000D7C95" w:rsidRDefault="000D7C95">
      <w:pPr>
        <w:pStyle w:val="TOC2"/>
        <w:rPr>
          <w:rFonts w:eastAsiaTheme="minorEastAsia" w:cstheme="minorBidi"/>
          <w:noProof/>
          <w:color w:val="auto"/>
          <w:kern w:val="2"/>
          <w:sz w:val="24"/>
          <w:lang w:eastAsia="en-AU"/>
          <w14:ligatures w14:val="standardContextual"/>
        </w:rPr>
      </w:pPr>
      <w:r>
        <w:rPr>
          <w:noProof/>
        </w:rPr>
        <w:t>3.1</w:t>
      </w:r>
      <w:r>
        <w:rPr>
          <w:rFonts w:eastAsiaTheme="minorEastAsia" w:cstheme="minorBidi"/>
          <w:noProof/>
          <w:color w:val="auto"/>
          <w:kern w:val="2"/>
          <w:sz w:val="24"/>
          <w:lang w:eastAsia="en-AU"/>
          <w14:ligatures w14:val="standardContextual"/>
        </w:rPr>
        <w:tab/>
      </w:r>
      <w:r>
        <w:rPr>
          <w:noProof/>
        </w:rPr>
        <w:t>Ammonia production</w:t>
      </w:r>
      <w:r>
        <w:rPr>
          <w:noProof/>
        </w:rPr>
        <w:tab/>
      </w:r>
      <w:r>
        <w:rPr>
          <w:noProof/>
        </w:rPr>
        <w:fldChar w:fldCharType="begin"/>
      </w:r>
      <w:r>
        <w:rPr>
          <w:noProof/>
        </w:rPr>
        <w:instrText xml:space="preserve"> PAGEREF _Toc206589092 \h </w:instrText>
      </w:r>
      <w:r>
        <w:rPr>
          <w:noProof/>
        </w:rPr>
      </w:r>
      <w:r>
        <w:rPr>
          <w:noProof/>
        </w:rPr>
        <w:fldChar w:fldCharType="separate"/>
      </w:r>
      <w:r w:rsidR="00AB0633">
        <w:rPr>
          <w:noProof/>
        </w:rPr>
        <w:t>12</w:t>
      </w:r>
      <w:r>
        <w:rPr>
          <w:noProof/>
        </w:rPr>
        <w:fldChar w:fldCharType="end"/>
      </w:r>
    </w:p>
    <w:p w14:paraId="49AFE3B6" w14:textId="39EC4613" w:rsidR="000D7C95" w:rsidRDefault="000D7C95">
      <w:pPr>
        <w:pStyle w:val="TOC3"/>
        <w:rPr>
          <w:rFonts w:eastAsiaTheme="minorEastAsia" w:cstheme="minorBidi"/>
          <w:noProof/>
          <w:color w:val="auto"/>
          <w:kern w:val="2"/>
          <w:sz w:val="24"/>
          <w:lang w:eastAsia="en-AU"/>
          <w14:ligatures w14:val="standardContextual"/>
        </w:rPr>
      </w:pPr>
      <w:r w:rsidRPr="004B109A">
        <w:rPr>
          <w:b/>
          <w:noProof/>
        </w:rPr>
        <w:t>Hydrogen production or consumption</w:t>
      </w:r>
      <w:r>
        <w:rPr>
          <w:noProof/>
        </w:rPr>
        <w:tab/>
      </w:r>
      <w:r>
        <w:rPr>
          <w:noProof/>
        </w:rPr>
        <w:fldChar w:fldCharType="begin"/>
      </w:r>
      <w:r>
        <w:rPr>
          <w:noProof/>
        </w:rPr>
        <w:instrText xml:space="preserve"> PAGEREF _Toc206589093 \h </w:instrText>
      </w:r>
      <w:r>
        <w:rPr>
          <w:noProof/>
        </w:rPr>
      </w:r>
      <w:r>
        <w:rPr>
          <w:noProof/>
        </w:rPr>
        <w:fldChar w:fldCharType="separate"/>
      </w:r>
      <w:r w:rsidR="00AB0633">
        <w:rPr>
          <w:noProof/>
        </w:rPr>
        <w:t>13</w:t>
      </w:r>
      <w:r>
        <w:rPr>
          <w:noProof/>
        </w:rPr>
        <w:fldChar w:fldCharType="end"/>
      </w:r>
    </w:p>
    <w:p w14:paraId="7BBFA916" w14:textId="64AE5668" w:rsidR="000D7C95" w:rsidRDefault="000D7C95">
      <w:pPr>
        <w:pStyle w:val="TOC2"/>
        <w:rPr>
          <w:rFonts w:eastAsiaTheme="minorEastAsia" w:cstheme="minorBidi"/>
          <w:noProof/>
          <w:color w:val="auto"/>
          <w:kern w:val="2"/>
          <w:sz w:val="24"/>
          <w:lang w:eastAsia="en-AU"/>
          <w14:ligatures w14:val="standardContextual"/>
        </w:rPr>
      </w:pPr>
      <w:r>
        <w:rPr>
          <w:noProof/>
        </w:rPr>
        <w:t>3.2</w:t>
      </w:r>
      <w:r>
        <w:rPr>
          <w:rFonts w:eastAsiaTheme="minorEastAsia" w:cstheme="minorBidi"/>
          <w:noProof/>
          <w:color w:val="auto"/>
          <w:kern w:val="2"/>
          <w:sz w:val="24"/>
          <w:lang w:eastAsia="en-AU"/>
          <w14:ligatures w14:val="standardContextual"/>
        </w:rPr>
        <w:tab/>
      </w:r>
      <w:r>
        <w:rPr>
          <w:noProof/>
        </w:rPr>
        <w:t>Nitric acid production</w:t>
      </w:r>
      <w:r>
        <w:rPr>
          <w:noProof/>
        </w:rPr>
        <w:tab/>
      </w:r>
      <w:r>
        <w:rPr>
          <w:noProof/>
        </w:rPr>
        <w:fldChar w:fldCharType="begin"/>
      </w:r>
      <w:r>
        <w:rPr>
          <w:noProof/>
        </w:rPr>
        <w:instrText xml:space="preserve"> PAGEREF _Toc206589094 \h </w:instrText>
      </w:r>
      <w:r>
        <w:rPr>
          <w:noProof/>
        </w:rPr>
      </w:r>
      <w:r>
        <w:rPr>
          <w:noProof/>
        </w:rPr>
        <w:fldChar w:fldCharType="separate"/>
      </w:r>
      <w:r w:rsidR="00AB0633">
        <w:rPr>
          <w:noProof/>
        </w:rPr>
        <w:t>13</w:t>
      </w:r>
      <w:r>
        <w:rPr>
          <w:noProof/>
        </w:rPr>
        <w:fldChar w:fldCharType="end"/>
      </w:r>
    </w:p>
    <w:p w14:paraId="02C6A762" w14:textId="1B076AC7" w:rsidR="000D7C95" w:rsidRDefault="000D7C95">
      <w:pPr>
        <w:pStyle w:val="TOC2"/>
        <w:rPr>
          <w:rFonts w:eastAsiaTheme="minorEastAsia" w:cstheme="minorBidi"/>
          <w:noProof/>
          <w:color w:val="auto"/>
          <w:kern w:val="2"/>
          <w:sz w:val="24"/>
          <w:lang w:eastAsia="en-AU"/>
          <w14:ligatures w14:val="standardContextual"/>
        </w:rPr>
      </w:pPr>
      <w:r>
        <w:rPr>
          <w:noProof/>
        </w:rPr>
        <w:t>3.3</w:t>
      </w:r>
      <w:r>
        <w:rPr>
          <w:rFonts w:eastAsiaTheme="minorEastAsia" w:cstheme="minorBidi"/>
          <w:noProof/>
          <w:color w:val="auto"/>
          <w:kern w:val="2"/>
          <w:sz w:val="24"/>
          <w:lang w:eastAsia="en-AU"/>
          <w14:ligatures w14:val="standardContextual"/>
        </w:rPr>
        <w:tab/>
      </w:r>
      <w:r>
        <w:rPr>
          <w:noProof/>
        </w:rPr>
        <w:t>Adipic acid production</w:t>
      </w:r>
      <w:r>
        <w:rPr>
          <w:noProof/>
        </w:rPr>
        <w:tab/>
      </w:r>
      <w:r>
        <w:rPr>
          <w:noProof/>
        </w:rPr>
        <w:fldChar w:fldCharType="begin"/>
      </w:r>
      <w:r>
        <w:rPr>
          <w:noProof/>
        </w:rPr>
        <w:instrText xml:space="preserve"> PAGEREF _Toc206589095 \h </w:instrText>
      </w:r>
      <w:r>
        <w:rPr>
          <w:noProof/>
        </w:rPr>
      </w:r>
      <w:r>
        <w:rPr>
          <w:noProof/>
        </w:rPr>
        <w:fldChar w:fldCharType="separate"/>
      </w:r>
      <w:r w:rsidR="00AB0633">
        <w:rPr>
          <w:noProof/>
        </w:rPr>
        <w:t>13</w:t>
      </w:r>
      <w:r>
        <w:rPr>
          <w:noProof/>
        </w:rPr>
        <w:fldChar w:fldCharType="end"/>
      </w:r>
    </w:p>
    <w:p w14:paraId="1A100DC8" w14:textId="153A7687" w:rsidR="000D7C95" w:rsidRDefault="000D7C95">
      <w:pPr>
        <w:pStyle w:val="TOC2"/>
        <w:rPr>
          <w:rFonts w:eastAsiaTheme="minorEastAsia" w:cstheme="minorBidi"/>
          <w:noProof/>
          <w:color w:val="auto"/>
          <w:kern w:val="2"/>
          <w:sz w:val="24"/>
          <w:lang w:eastAsia="en-AU"/>
          <w14:ligatures w14:val="standardContextual"/>
        </w:rPr>
      </w:pPr>
      <w:r>
        <w:rPr>
          <w:noProof/>
        </w:rPr>
        <w:t>3.4</w:t>
      </w:r>
      <w:r>
        <w:rPr>
          <w:rFonts w:eastAsiaTheme="minorEastAsia" w:cstheme="minorBidi"/>
          <w:noProof/>
          <w:color w:val="auto"/>
          <w:kern w:val="2"/>
          <w:sz w:val="24"/>
          <w:lang w:eastAsia="en-AU"/>
          <w14:ligatures w14:val="standardContextual"/>
        </w:rPr>
        <w:tab/>
      </w:r>
      <w:r>
        <w:rPr>
          <w:noProof/>
        </w:rPr>
        <w:t>Carbide production</w:t>
      </w:r>
      <w:r>
        <w:rPr>
          <w:noProof/>
        </w:rPr>
        <w:tab/>
      </w:r>
      <w:r>
        <w:rPr>
          <w:noProof/>
        </w:rPr>
        <w:fldChar w:fldCharType="begin"/>
      </w:r>
      <w:r>
        <w:rPr>
          <w:noProof/>
        </w:rPr>
        <w:instrText xml:space="preserve"> PAGEREF _Toc206589096 \h </w:instrText>
      </w:r>
      <w:r>
        <w:rPr>
          <w:noProof/>
        </w:rPr>
      </w:r>
      <w:r>
        <w:rPr>
          <w:noProof/>
        </w:rPr>
        <w:fldChar w:fldCharType="separate"/>
      </w:r>
      <w:r w:rsidR="00AB0633">
        <w:rPr>
          <w:noProof/>
        </w:rPr>
        <w:t>13</w:t>
      </w:r>
      <w:r>
        <w:rPr>
          <w:noProof/>
        </w:rPr>
        <w:fldChar w:fldCharType="end"/>
      </w:r>
    </w:p>
    <w:p w14:paraId="74ED6774" w14:textId="3B582EFC" w:rsidR="000D7C95" w:rsidRDefault="000D7C95">
      <w:pPr>
        <w:pStyle w:val="TOC2"/>
        <w:rPr>
          <w:rFonts w:eastAsiaTheme="minorEastAsia" w:cstheme="minorBidi"/>
          <w:noProof/>
          <w:color w:val="auto"/>
          <w:kern w:val="2"/>
          <w:sz w:val="24"/>
          <w:lang w:eastAsia="en-AU"/>
          <w14:ligatures w14:val="standardContextual"/>
        </w:rPr>
      </w:pPr>
      <w:r>
        <w:rPr>
          <w:noProof/>
        </w:rPr>
        <w:t>3.5</w:t>
      </w:r>
      <w:r>
        <w:rPr>
          <w:rFonts w:eastAsiaTheme="minorEastAsia" w:cstheme="minorBidi"/>
          <w:noProof/>
          <w:color w:val="auto"/>
          <w:kern w:val="2"/>
          <w:sz w:val="24"/>
          <w:lang w:eastAsia="en-AU"/>
          <w14:ligatures w14:val="standardContextual"/>
        </w:rPr>
        <w:tab/>
      </w:r>
      <w:r>
        <w:rPr>
          <w:noProof/>
        </w:rPr>
        <w:t>Chemical or mineral production, other than carbide production, using a carbon reductant or carbon anode</w:t>
      </w:r>
      <w:r>
        <w:rPr>
          <w:noProof/>
        </w:rPr>
        <w:tab/>
      </w:r>
      <w:r>
        <w:rPr>
          <w:noProof/>
        </w:rPr>
        <w:fldChar w:fldCharType="begin"/>
      </w:r>
      <w:r>
        <w:rPr>
          <w:noProof/>
        </w:rPr>
        <w:instrText xml:space="preserve"> PAGEREF _Toc206589097 \h </w:instrText>
      </w:r>
      <w:r>
        <w:rPr>
          <w:noProof/>
        </w:rPr>
      </w:r>
      <w:r>
        <w:rPr>
          <w:noProof/>
        </w:rPr>
        <w:fldChar w:fldCharType="separate"/>
      </w:r>
      <w:r w:rsidR="00AB0633">
        <w:rPr>
          <w:noProof/>
        </w:rPr>
        <w:t>13</w:t>
      </w:r>
      <w:r>
        <w:rPr>
          <w:noProof/>
        </w:rPr>
        <w:fldChar w:fldCharType="end"/>
      </w:r>
    </w:p>
    <w:p w14:paraId="52A6CE04" w14:textId="01BFE882" w:rsidR="000D7C95" w:rsidRDefault="000D7C95">
      <w:pPr>
        <w:pStyle w:val="TOC2"/>
        <w:rPr>
          <w:rFonts w:eastAsiaTheme="minorEastAsia" w:cstheme="minorBidi"/>
          <w:noProof/>
          <w:color w:val="auto"/>
          <w:kern w:val="2"/>
          <w:sz w:val="24"/>
          <w:lang w:eastAsia="en-AU"/>
          <w14:ligatures w14:val="standardContextual"/>
        </w:rPr>
      </w:pPr>
      <w:r>
        <w:rPr>
          <w:noProof/>
        </w:rPr>
        <w:t>3.6</w:t>
      </w:r>
      <w:r>
        <w:rPr>
          <w:rFonts w:eastAsiaTheme="minorEastAsia" w:cstheme="minorBidi"/>
          <w:noProof/>
          <w:color w:val="auto"/>
          <w:kern w:val="2"/>
          <w:sz w:val="24"/>
          <w:lang w:eastAsia="en-AU"/>
          <w14:ligatures w14:val="standardContextual"/>
        </w:rPr>
        <w:tab/>
      </w:r>
      <w:r>
        <w:rPr>
          <w:noProof/>
        </w:rPr>
        <w:t>Sodium cyanide production</w:t>
      </w:r>
      <w:r>
        <w:rPr>
          <w:noProof/>
        </w:rPr>
        <w:tab/>
      </w:r>
      <w:r>
        <w:rPr>
          <w:noProof/>
        </w:rPr>
        <w:fldChar w:fldCharType="begin"/>
      </w:r>
      <w:r>
        <w:rPr>
          <w:noProof/>
        </w:rPr>
        <w:instrText xml:space="preserve"> PAGEREF _Toc206589098 \h </w:instrText>
      </w:r>
      <w:r>
        <w:rPr>
          <w:noProof/>
        </w:rPr>
      </w:r>
      <w:r>
        <w:rPr>
          <w:noProof/>
        </w:rPr>
        <w:fldChar w:fldCharType="separate"/>
      </w:r>
      <w:r w:rsidR="00AB0633">
        <w:rPr>
          <w:noProof/>
        </w:rPr>
        <w:t>14</w:t>
      </w:r>
      <w:r>
        <w:rPr>
          <w:noProof/>
        </w:rPr>
        <w:fldChar w:fldCharType="end"/>
      </w:r>
    </w:p>
    <w:p w14:paraId="643A597A" w14:textId="5F998BFB" w:rsidR="000D7C95" w:rsidRDefault="000D7C95">
      <w:pPr>
        <w:pStyle w:val="TOC2"/>
        <w:rPr>
          <w:rFonts w:eastAsiaTheme="minorEastAsia" w:cstheme="minorBidi"/>
          <w:noProof/>
          <w:color w:val="auto"/>
          <w:kern w:val="2"/>
          <w:sz w:val="24"/>
          <w:lang w:eastAsia="en-AU"/>
          <w14:ligatures w14:val="standardContextual"/>
        </w:rPr>
      </w:pPr>
      <w:r>
        <w:rPr>
          <w:noProof/>
        </w:rPr>
        <w:t>3.7</w:t>
      </w:r>
      <w:r>
        <w:rPr>
          <w:rFonts w:eastAsiaTheme="minorEastAsia" w:cstheme="minorBidi"/>
          <w:noProof/>
          <w:color w:val="auto"/>
          <w:kern w:val="2"/>
          <w:sz w:val="24"/>
          <w:lang w:eastAsia="en-AU"/>
          <w14:ligatures w14:val="standardContextual"/>
        </w:rPr>
        <w:tab/>
      </w:r>
      <w:r>
        <w:rPr>
          <w:noProof/>
        </w:rPr>
        <w:t>Hydrogen production</w:t>
      </w:r>
      <w:r>
        <w:rPr>
          <w:noProof/>
        </w:rPr>
        <w:tab/>
      </w:r>
      <w:r>
        <w:rPr>
          <w:noProof/>
        </w:rPr>
        <w:fldChar w:fldCharType="begin"/>
      </w:r>
      <w:r>
        <w:rPr>
          <w:noProof/>
        </w:rPr>
        <w:instrText xml:space="preserve"> PAGEREF _Toc206589099 \h </w:instrText>
      </w:r>
      <w:r>
        <w:rPr>
          <w:noProof/>
        </w:rPr>
      </w:r>
      <w:r>
        <w:rPr>
          <w:noProof/>
        </w:rPr>
        <w:fldChar w:fldCharType="separate"/>
      </w:r>
      <w:r w:rsidR="00AB0633">
        <w:rPr>
          <w:noProof/>
        </w:rPr>
        <w:t>14</w:t>
      </w:r>
      <w:r>
        <w:rPr>
          <w:noProof/>
        </w:rPr>
        <w:fldChar w:fldCharType="end"/>
      </w:r>
    </w:p>
    <w:p w14:paraId="2D8777FC" w14:textId="1DA10EAB" w:rsidR="000D7C95" w:rsidRDefault="000D7C95">
      <w:pPr>
        <w:pStyle w:val="TOC3"/>
        <w:rPr>
          <w:rFonts w:eastAsiaTheme="minorEastAsia" w:cstheme="minorBidi"/>
          <w:noProof/>
          <w:color w:val="auto"/>
          <w:kern w:val="2"/>
          <w:sz w:val="24"/>
          <w:lang w:eastAsia="en-AU"/>
          <w14:ligatures w14:val="standardContextual"/>
        </w:rPr>
      </w:pPr>
      <w:r w:rsidRPr="004B109A">
        <w:rPr>
          <w:b/>
          <w:noProof/>
        </w:rPr>
        <w:t xml:space="preserve">Hydrogen production or consumption </w:t>
      </w:r>
      <w:r>
        <w:rPr>
          <w:noProof/>
        </w:rPr>
        <w:tab/>
      </w:r>
      <w:r>
        <w:rPr>
          <w:noProof/>
        </w:rPr>
        <w:fldChar w:fldCharType="begin"/>
      </w:r>
      <w:r>
        <w:rPr>
          <w:noProof/>
        </w:rPr>
        <w:instrText xml:space="preserve"> PAGEREF _Toc206589100 \h </w:instrText>
      </w:r>
      <w:r>
        <w:rPr>
          <w:noProof/>
        </w:rPr>
      </w:r>
      <w:r>
        <w:rPr>
          <w:noProof/>
        </w:rPr>
        <w:fldChar w:fldCharType="separate"/>
      </w:r>
      <w:r w:rsidR="00AB0633">
        <w:rPr>
          <w:noProof/>
        </w:rPr>
        <w:t>15</w:t>
      </w:r>
      <w:r>
        <w:rPr>
          <w:noProof/>
        </w:rPr>
        <w:fldChar w:fldCharType="end"/>
      </w:r>
    </w:p>
    <w:p w14:paraId="4112D025" w14:textId="47B2A728" w:rsidR="000D7C95" w:rsidRDefault="000D7C95">
      <w:pPr>
        <w:pStyle w:val="TOC1"/>
        <w:tabs>
          <w:tab w:val="left" w:pos="440"/>
        </w:tabs>
        <w:rPr>
          <w:rFonts w:eastAsiaTheme="minorEastAsia" w:cstheme="minorBidi"/>
          <w:b w:val="0"/>
          <w:noProof/>
          <w:color w:val="auto"/>
          <w:kern w:val="2"/>
          <w:sz w:val="24"/>
          <w:lang w:eastAsia="en-AU"/>
          <w14:ligatures w14:val="standardContextual"/>
        </w:rPr>
      </w:pPr>
      <w:r>
        <w:rPr>
          <w:noProof/>
        </w:rPr>
        <w:t>4.</w:t>
      </w:r>
      <w:r>
        <w:rPr>
          <w:rFonts w:eastAsiaTheme="minorEastAsia" w:cstheme="minorBidi"/>
          <w:b w:val="0"/>
          <w:noProof/>
          <w:color w:val="auto"/>
          <w:kern w:val="2"/>
          <w:sz w:val="24"/>
          <w:lang w:eastAsia="en-AU"/>
          <w14:ligatures w14:val="standardContextual"/>
        </w:rPr>
        <w:tab/>
      </w:r>
      <w:r>
        <w:rPr>
          <w:noProof/>
        </w:rPr>
        <w:t>Metal industry</w:t>
      </w:r>
      <w:r>
        <w:rPr>
          <w:noProof/>
        </w:rPr>
        <w:tab/>
      </w:r>
      <w:r>
        <w:rPr>
          <w:noProof/>
        </w:rPr>
        <w:fldChar w:fldCharType="begin"/>
      </w:r>
      <w:r>
        <w:rPr>
          <w:noProof/>
        </w:rPr>
        <w:instrText xml:space="preserve"> PAGEREF _Toc206589101 \h </w:instrText>
      </w:r>
      <w:r>
        <w:rPr>
          <w:noProof/>
        </w:rPr>
      </w:r>
      <w:r>
        <w:rPr>
          <w:noProof/>
        </w:rPr>
        <w:fldChar w:fldCharType="separate"/>
      </w:r>
      <w:r w:rsidR="00AB0633">
        <w:rPr>
          <w:noProof/>
        </w:rPr>
        <w:t>15</w:t>
      </w:r>
      <w:r>
        <w:rPr>
          <w:noProof/>
        </w:rPr>
        <w:fldChar w:fldCharType="end"/>
      </w:r>
    </w:p>
    <w:p w14:paraId="09C7EDDE" w14:textId="05885137" w:rsidR="000D7C95" w:rsidRDefault="000D7C95">
      <w:pPr>
        <w:pStyle w:val="TOC3"/>
        <w:rPr>
          <w:rFonts w:eastAsiaTheme="minorEastAsia" w:cstheme="minorBidi"/>
          <w:noProof/>
          <w:color w:val="auto"/>
          <w:kern w:val="2"/>
          <w:sz w:val="24"/>
          <w:lang w:eastAsia="en-AU"/>
          <w14:ligatures w14:val="standardContextual"/>
        </w:rPr>
      </w:pPr>
      <w:r w:rsidRPr="004B109A">
        <w:rPr>
          <w:b/>
          <w:noProof/>
        </w:rPr>
        <w:t>Carbon mass balance</w:t>
      </w:r>
      <w:r>
        <w:rPr>
          <w:noProof/>
        </w:rPr>
        <w:tab/>
      </w:r>
      <w:r>
        <w:rPr>
          <w:noProof/>
        </w:rPr>
        <w:fldChar w:fldCharType="begin"/>
      </w:r>
      <w:r>
        <w:rPr>
          <w:noProof/>
        </w:rPr>
        <w:instrText xml:space="preserve"> PAGEREF _Toc206589102 \h </w:instrText>
      </w:r>
      <w:r>
        <w:rPr>
          <w:noProof/>
        </w:rPr>
      </w:r>
      <w:r>
        <w:rPr>
          <w:noProof/>
        </w:rPr>
        <w:fldChar w:fldCharType="separate"/>
      </w:r>
      <w:r w:rsidR="00AB0633">
        <w:rPr>
          <w:noProof/>
        </w:rPr>
        <w:t>15</w:t>
      </w:r>
      <w:r>
        <w:rPr>
          <w:noProof/>
        </w:rPr>
        <w:fldChar w:fldCharType="end"/>
      </w:r>
    </w:p>
    <w:p w14:paraId="55FD09A1" w14:textId="7834E198" w:rsidR="000D7C95" w:rsidRDefault="000D7C95">
      <w:pPr>
        <w:pStyle w:val="TOC2"/>
        <w:rPr>
          <w:rFonts w:eastAsiaTheme="minorEastAsia" w:cstheme="minorBidi"/>
          <w:noProof/>
          <w:color w:val="auto"/>
          <w:kern w:val="2"/>
          <w:sz w:val="24"/>
          <w:lang w:eastAsia="en-AU"/>
          <w14:ligatures w14:val="standardContextual"/>
        </w:rPr>
      </w:pPr>
      <w:r>
        <w:rPr>
          <w:noProof/>
        </w:rPr>
        <w:t>4.1</w:t>
      </w:r>
      <w:r>
        <w:rPr>
          <w:rFonts w:eastAsiaTheme="minorEastAsia" w:cstheme="minorBidi"/>
          <w:noProof/>
          <w:color w:val="auto"/>
          <w:kern w:val="2"/>
          <w:sz w:val="24"/>
          <w:lang w:eastAsia="en-AU"/>
          <w14:ligatures w14:val="standardContextual"/>
        </w:rPr>
        <w:tab/>
      </w:r>
      <w:r>
        <w:rPr>
          <w:noProof/>
        </w:rPr>
        <w:t>Iron, steel or other metal production using an integrated metalworks</w:t>
      </w:r>
      <w:r>
        <w:rPr>
          <w:noProof/>
        </w:rPr>
        <w:tab/>
      </w:r>
      <w:r>
        <w:rPr>
          <w:noProof/>
        </w:rPr>
        <w:fldChar w:fldCharType="begin"/>
      </w:r>
      <w:r>
        <w:rPr>
          <w:noProof/>
        </w:rPr>
        <w:instrText xml:space="preserve"> PAGEREF _Toc206589103 \h </w:instrText>
      </w:r>
      <w:r>
        <w:rPr>
          <w:noProof/>
        </w:rPr>
      </w:r>
      <w:r>
        <w:rPr>
          <w:noProof/>
        </w:rPr>
        <w:fldChar w:fldCharType="separate"/>
      </w:r>
      <w:r w:rsidR="00AB0633">
        <w:rPr>
          <w:noProof/>
        </w:rPr>
        <w:t>16</w:t>
      </w:r>
      <w:r>
        <w:rPr>
          <w:noProof/>
        </w:rPr>
        <w:fldChar w:fldCharType="end"/>
      </w:r>
    </w:p>
    <w:p w14:paraId="6767573A" w14:textId="124209CF" w:rsidR="000D7C95" w:rsidRDefault="000D7C95">
      <w:pPr>
        <w:pStyle w:val="TOC3"/>
        <w:tabs>
          <w:tab w:val="left" w:pos="1200"/>
        </w:tabs>
        <w:rPr>
          <w:rFonts w:eastAsiaTheme="minorEastAsia" w:cstheme="minorBidi"/>
          <w:noProof/>
          <w:color w:val="auto"/>
          <w:kern w:val="2"/>
          <w:sz w:val="24"/>
          <w:lang w:eastAsia="en-AU"/>
          <w14:ligatures w14:val="standardContextual"/>
        </w:rPr>
      </w:pPr>
      <w:r>
        <w:rPr>
          <w:noProof/>
        </w:rPr>
        <w:t>4.1.1</w:t>
      </w:r>
      <w:r>
        <w:rPr>
          <w:rFonts w:eastAsiaTheme="minorEastAsia" w:cstheme="minorBidi"/>
          <w:noProof/>
          <w:color w:val="auto"/>
          <w:kern w:val="2"/>
          <w:sz w:val="24"/>
          <w:lang w:eastAsia="en-AU"/>
          <w14:ligatures w14:val="standardContextual"/>
        </w:rPr>
        <w:tab/>
      </w:r>
      <w:r>
        <w:rPr>
          <w:noProof/>
        </w:rPr>
        <w:t>Method 1</w:t>
      </w:r>
      <w:r>
        <w:rPr>
          <w:noProof/>
        </w:rPr>
        <w:tab/>
      </w:r>
      <w:r>
        <w:rPr>
          <w:noProof/>
        </w:rPr>
        <w:fldChar w:fldCharType="begin"/>
      </w:r>
      <w:r>
        <w:rPr>
          <w:noProof/>
        </w:rPr>
        <w:instrText xml:space="preserve"> PAGEREF _Toc206589104 \h </w:instrText>
      </w:r>
      <w:r>
        <w:rPr>
          <w:noProof/>
        </w:rPr>
      </w:r>
      <w:r>
        <w:rPr>
          <w:noProof/>
        </w:rPr>
        <w:fldChar w:fldCharType="separate"/>
      </w:r>
      <w:r w:rsidR="00AB0633">
        <w:rPr>
          <w:noProof/>
        </w:rPr>
        <w:t>16</w:t>
      </w:r>
      <w:r>
        <w:rPr>
          <w:noProof/>
        </w:rPr>
        <w:fldChar w:fldCharType="end"/>
      </w:r>
    </w:p>
    <w:p w14:paraId="028A41F0" w14:textId="44DF4722" w:rsidR="000D7C95" w:rsidRDefault="000D7C95">
      <w:pPr>
        <w:pStyle w:val="TOC3"/>
        <w:tabs>
          <w:tab w:val="left" w:pos="1200"/>
        </w:tabs>
        <w:rPr>
          <w:rFonts w:eastAsiaTheme="minorEastAsia" w:cstheme="minorBidi"/>
          <w:noProof/>
          <w:color w:val="auto"/>
          <w:kern w:val="2"/>
          <w:sz w:val="24"/>
          <w:lang w:eastAsia="en-AU"/>
          <w14:ligatures w14:val="standardContextual"/>
        </w:rPr>
      </w:pPr>
      <w:r>
        <w:rPr>
          <w:noProof/>
        </w:rPr>
        <w:t>4.1.2</w:t>
      </w:r>
      <w:r>
        <w:rPr>
          <w:rFonts w:eastAsiaTheme="minorEastAsia" w:cstheme="minorBidi"/>
          <w:noProof/>
          <w:color w:val="auto"/>
          <w:kern w:val="2"/>
          <w:sz w:val="24"/>
          <w:lang w:eastAsia="en-AU"/>
          <w14:ligatures w14:val="standardContextual"/>
        </w:rPr>
        <w:tab/>
      </w:r>
      <w:r>
        <w:rPr>
          <w:noProof/>
        </w:rPr>
        <w:t>Example – Estimating emissions from iron and steel production using Method 1</w:t>
      </w:r>
      <w:r>
        <w:rPr>
          <w:noProof/>
        </w:rPr>
        <w:tab/>
      </w:r>
      <w:r>
        <w:rPr>
          <w:noProof/>
        </w:rPr>
        <w:fldChar w:fldCharType="begin"/>
      </w:r>
      <w:r>
        <w:rPr>
          <w:noProof/>
        </w:rPr>
        <w:instrText xml:space="preserve"> PAGEREF _Toc206589105 \h </w:instrText>
      </w:r>
      <w:r>
        <w:rPr>
          <w:noProof/>
        </w:rPr>
      </w:r>
      <w:r>
        <w:rPr>
          <w:noProof/>
        </w:rPr>
        <w:fldChar w:fldCharType="separate"/>
      </w:r>
      <w:r w:rsidR="00AB0633">
        <w:rPr>
          <w:noProof/>
        </w:rPr>
        <w:t>17</w:t>
      </w:r>
      <w:r>
        <w:rPr>
          <w:noProof/>
        </w:rPr>
        <w:fldChar w:fldCharType="end"/>
      </w:r>
    </w:p>
    <w:p w14:paraId="0D103CF4" w14:textId="7C534896" w:rsidR="000D7C95" w:rsidRDefault="000D7C95">
      <w:pPr>
        <w:pStyle w:val="TOC5"/>
        <w:tabs>
          <w:tab w:val="right" w:leader="dot" w:pos="9730"/>
        </w:tabs>
        <w:rPr>
          <w:rFonts w:eastAsiaTheme="minorEastAsia" w:cstheme="minorBidi"/>
          <w:noProof/>
          <w:color w:val="auto"/>
          <w:kern w:val="2"/>
          <w:sz w:val="24"/>
          <w:lang w:eastAsia="en-AU"/>
          <w14:ligatures w14:val="standardContextual"/>
        </w:rPr>
      </w:pPr>
      <w:r>
        <w:rPr>
          <w:noProof/>
        </w:rPr>
        <w:lastRenderedPageBreak/>
        <w:t>Step 1</w:t>
      </w:r>
      <w:r>
        <w:rPr>
          <w:noProof/>
        </w:rPr>
        <w:tab/>
      </w:r>
      <w:r>
        <w:rPr>
          <w:noProof/>
        </w:rPr>
        <w:fldChar w:fldCharType="begin"/>
      </w:r>
      <w:r>
        <w:rPr>
          <w:noProof/>
        </w:rPr>
        <w:instrText xml:space="preserve"> PAGEREF _Toc206589106 \h </w:instrText>
      </w:r>
      <w:r>
        <w:rPr>
          <w:noProof/>
        </w:rPr>
      </w:r>
      <w:r>
        <w:rPr>
          <w:noProof/>
        </w:rPr>
        <w:fldChar w:fldCharType="separate"/>
      </w:r>
      <w:r w:rsidR="00AB0633">
        <w:rPr>
          <w:noProof/>
        </w:rPr>
        <w:t>17</w:t>
      </w:r>
      <w:r>
        <w:rPr>
          <w:noProof/>
        </w:rPr>
        <w:fldChar w:fldCharType="end"/>
      </w:r>
    </w:p>
    <w:p w14:paraId="42FF08ED" w14:textId="0900A30A" w:rsidR="000D7C95" w:rsidRDefault="000D7C95">
      <w:pPr>
        <w:pStyle w:val="TOC5"/>
        <w:tabs>
          <w:tab w:val="right" w:leader="dot" w:pos="9730"/>
        </w:tabs>
        <w:rPr>
          <w:rFonts w:eastAsiaTheme="minorEastAsia" w:cstheme="minorBidi"/>
          <w:noProof/>
          <w:color w:val="auto"/>
          <w:kern w:val="2"/>
          <w:sz w:val="24"/>
          <w:lang w:eastAsia="en-AU"/>
          <w14:ligatures w14:val="standardContextual"/>
        </w:rPr>
      </w:pPr>
      <w:r>
        <w:rPr>
          <w:noProof/>
        </w:rPr>
        <w:t>Step 2</w:t>
      </w:r>
      <w:r>
        <w:rPr>
          <w:noProof/>
        </w:rPr>
        <w:tab/>
      </w:r>
      <w:r>
        <w:rPr>
          <w:noProof/>
        </w:rPr>
        <w:fldChar w:fldCharType="begin"/>
      </w:r>
      <w:r>
        <w:rPr>
          <w:noProof/>
        </w:rPr>
        <w:instrText xml:space="preserve"> PAGEREF _Toc206589107 \h </w:instrText>
      </w:r>
      <w:r>
        <w:rPr>
          <w:noProof/>
        </w:rPr>
      </w:r>
      <w:r>
        <w:rPr>
          <w:noProof/>
        </w:rPr>
        <w:fldChar w:fldCharType="separate"/>
      </w:r>
      <w:r w:rsidR="00AB0633">
        <w:rPr>
          <w:noProof/>
        </w:rPr>
        <w:t>18</w:t>
      </w:r>
      <w:r>
        <w:rPr>
          <w:noProof/>
        </w:rPr>
        <w:fldChar w:fldCharType="end"/>
      </w:r>
    </w:p>
    <w:p w14:paraId="4D0643FB" w14:textId="2FDF3A26" w:rsidR="000D7C95" w:rsidRDefault="000D7C95">
      <w:pPr>
        <w:pStyle w:val="TOC5"/>
        <w:tabs>
          <w:tab w:val="right" w:leader="dot" w:pos="9730"/>
        </w:tabs>
        <w:rPr>
          <w:rFonts w:eastAsiaTheme="minorEastAsia" w:cstheme="minorBidi"/>
          <w:noProof/>
          <w:color w:val="auto"/>
          <w:kern w:val="2"/>
          <w:sz w:val="24"/>
          <w:lang w:eastAsia="en-AU"/>
          <w14:ligatures w14:val="standardContextual"/>
        </w:rPr>
      </w:pPr>
      <w:r>
        <w:rPr>
          <w:noProof/>
        </w:rPr>
        <w:t>Step 3</w:t>
      </w:r>
      <w:r>
        <w:rPr>
          <w:noProof/>
        </w:rPr>
        <w:tab/>
      </w:r>
      <w:r>
        <w:rPr>
          <w:noProof/>
        </w:rPr>
        <w:fldChar w:fldCharType="begin"/>
      </w:r>
      <w:r>
        <w:rPr>
          <w:noProof/>
        </w:rPr>
        <w:instrText xml:space="preserve"> PAGEREF _Toc206589108 \h </w:instrText>
      </w:r>
      <w:r>
        <w:rPr>
          <w:noProof/>
        </w:rPr>
      </w:r>
      <w:r>
        <w:rPr>
          <w:noProof/>
        </w:rPr>
        <w:fldChar w:fldCharType="separate"/>
      </w:r>
      <w:r w:rsidR="00AB0633">
        <w:rPr>
          <w:noProof/>
        </w:rPr>
        <w:t>18</w:t>
      </w:r>
      <w:r>
        <w:rPr>
          <w:noProof/>
        </w:rPr>
        <w:fldChar w:fldCharType="end"/>
      </w:r>
    </w:p>
    <w:p w14:paraId="046AC137" w14:textId="5AC5DE2F" w:rsidR="000D7C95" w:rsidRDefault="000D7C95">
      <w:pPr>
        <w:pStyle w:val="TOC5"/>
        <w:tabs>
          <w:tab w:val="right" w:leader="dot" w:pos="9730"/>
        </w:tabs>
        <w:rPr>
          <w:rFonts w:eastAsiaTheme="minorEastAsia" w:cstheme="minorBidi"/>
          <w:noProof/>
          <w:color w:val="auto"/>
          <w:kern w:val="2"/>
          <w:sz w:val="24"/>
          <w:lang w:eastAsia="en-AU"/>
          <w14:ligatures w14:val="standardContextual"/>
        </w:rPr>
      </w:pPr>
      <w:r>
        <w:rPr>
          <w:noProof/>
        </w:rPr>
        <w:t>Step 4</w:t>
      </w:r>
      <w:r>
        <w:rPr>
          <w:noProof/>
        </w:rPr>
        <w:tab/>
      </w:r>
      <w:r>
        <w:rPr>
          <w:noProof/>
        </w:rPr>
        <w:fldChar w:fldCharType="begin"/>
      </w:r>
      <w:r>
        <w:rPr>
          <w:noProof/>
        </w:rPr>
        <w:instrText xml:space="preserve"> PAGEREF _Toc206589109 \h </w:instrText>
      </w:r>
      <w:r>
        <w:rPr>
          <w:noProof/>
        </w:rPr>
      </w:r>
      <w:r>
        <w:rPr>
          <w:noProof/>
        </w:rPr>
        <w:fldChar w:fldCharType="separate"/>
      </w:r>
      <w:r w:rsidR="00AB0633">
        <w:rPr>
          <w:noProof/>
        </w:rPr>
        <w:t>19</w:t>
      </w:r>
      <w:r>
        <w:rPr>
          <w:noProof/>
        </w:rPr>
        <w:fldChar w:fldCharType="end"/>
      </w:r>
    </w:p>
    <w:p w14:paraId="0E8303F8" w14:textId="612708D1" w:rsidR="000D7C95" w:rsidRDefault="000D7C95">
      <w:pPr>
        <w:pStyle w:val="TOC5"/>
        <w:tabs>
          <w:tab w:val="right" w:leader="dot" w:pos="9730"/>
        </w:tabs>
        <w:rPr>
          <w:rFonts w:eastAsiaTheme="minorEastAsia" w:cstheme="minorBidi"/>
          <w:noProof/>
          <w:color w:val="auto"/>
          <w:kern w:val="2"/>
          <w:sz w:val="24"/>
          <w:lang w:eastAsia="en-AU"/>
          <w14:ligatures w14:val="standardContextual"/>
        </w:rPr>
      </w:pPr>
      <w:r>
        <w:rPr>
          <w:noProof/>
        </w:rPr>
        <w:t>Step 5</w:t>
      </w:r>
      <w:r>
        <w:rPr>
          <w:noProof/>
        </w:rPr>
        <w:tab/>
      </w:r>
      <w:r>
        <w:rPr>
          <w:noProof/>
        </w:rPr>
        <w:fldChar w:fldCharType="begin"/>
      </w:r>
      <w:r>
        <w:rPr>
          <w:noProof/>
        </w:rPr>
        <w:instrText xml:space="preserve"> PAGEREF _Toc206589110 \h </w:instrText>
      </w:r>
      <w:r>
        <w:rPr>
          <w:noProof/>
        </w:rPr>
      </w:r>
      <w:r>
        <w:rPr>
          <w:noProof/>
        </w:rPr>
        <w:fldChar w:fldCharType="separate"/>
      </w:r>
      <w:r w:rsidR="00AB0633">
        <w:rPr>
          <w:noProof/>
        </w:rPr>
        <w:t>20</w:t>
      </w:r>
      <w:r>
        <w:rPr>
          <w:noProof/>
        </w:rPr>
        <w:fldChar w:fldCharType="end"/>
      </w:r>
    </w:p>
    <w:p w14:paraId="533C0248" w14:textId="1B9D7B6D" w:rsidR="000D7C95" w:rsidRDefault="000D7C95">
      <w:pPr>
        <w:pStyle w:val="TOC2"/>
        <w:rPr>
          <w:rFonts w:eastAsiaTheme="minorEastAsia" w:cstheme="minorBidi"/>
          <w:noProof/>
          <w:color w:val="auto"/>
          <w:kern w:val="2"/>
          <w:sz w:val="24"/>
          <w:lang w:eastAsia="en-AU"/>
          <w14:ligatures w14:val="standardContextual"/>
        </w:rPr>
      </w:pPr>
      <w:r>
        <w:rPr>
          <w:noProof/>
        </w:rPr>
        <w:t>4.2</w:t>
      </w:r>
      <w:r>
        <w:rPr>
          <w:rFonts w:eastAsiaTheme="minorEastAsia" w:cstheme="minorBidi"/>
          <w:noProof/>
          <w:color w:val="auto"/>
          <w:kern w:val="2"/>
          <w:sz w:val="24"/>
          <w:lang w:eastAsia="en-AU"/>
          <w14:ligatures w14:val="standardContextual"/>
        </w:rPr>
        <w:tab/>
      </w:r>
      <w:r>
        <w:rPr>
          <w:noProof/>
        </w:rPr>
        <w:t>Ferroalloys production</w:t>
      </w:r>
      <w:r>
        <w:rPr>
          <w:noProof/>
        </w:rPr>
        <w:tab/>
      </w:r>
      <w:r>
        <w:rPr>
          <w:noProof/>
        </w:rPr>
        <w:fldChar w:fldCharType="begin"/>
      </w:r>
      <w:r>
        <w:rPr>
          <w:noProof/>
        </w:rPr>
        <w:instrText xml:space="preserve"> PAGEREF _Toc206589111 \h </w:instrText>
      </w:r>
      <w:r>
        <w:rPr>
          <w:noProof/>
        </w:rPr>
      </w:r>
      <w:r>
        <w:rPr>
          <w:noProof/>
        </w:rPr>
        <w:fldChar w:fldCharType="separate"/>
      </w:r>
      <w:r w:rsidR="00AB0633">
        <w:rPr>
          <w:noProof/>
        </w:rPr>
        <w:t>20</w:t>
      </w:r>
      <w:r>
        <w:rPr>
          <w:noProof/>
        </w:rPr>
        <w:fldChar w:fldCharType="end"/>
      </w:r>
    </w:p>
    <w:p w14:paraId="40305F0B" w14:textId="7D71AB09" w:rsidR="000D7C95" w:rsidRDefault="000D7C95">
      <w:pPr>
        <w:pStyle w:val="TOC2"/>
        <w:rPr>
          <w:rFonts w:eastAsiaTheme="minorEastAsia" w:cstheme="minorBidi"/>
          <w:noProof/>
          <w:color w:val="auto"/>
          <w:kern w:val="2"/>
          <w:sz w:val="24"/>
          <w:lang w:eastAsia="en-AU"/>
          <w14:ligatures w14:val="standardContextual"/>
        </w:rPr>
      </w:pPr>
      <w:r>
        <w:rPr>
          <w:noProof/>
        </w:rPr>
        <w:t>4.3</w:t>
      </w:r>
      <w:r>
        <w:rPr>
          <w:rFonts w:eastAsiaTheme="minorEastAsia" w:cstheme="minorBidi"/>
          <w:noProof/>
          <w:color w:val="auto"/>
          <w:kern w:val="2"/>
          <w:sz w:val="24"/>
          <w:lang w:eastAsia="en-AU"/>
          <w14:ligatures w14:val="standardContextual"/>
        </w:rPr>
        <w:tab/>
      </w:r>
      <w:r>
        <w:rPr>
          <w:noProof/>
        </w:rPr>
        <w:t>Aluminium production – Carbon dioxide emissions</w:t>
      </w:r>
      <w:r>
        <w:rPr>
          <w:noProof/>
        </w:rPr>
        <w:tab/>
      </w:r>
      <w:r>
        <w:rPr>
          <w:noProof/>
        </w:rPr>
        <w:fldChar w:fldCharType="begin"/>
      </w:r>
      <w:r>
        <w:rPr>
          <w:noProof/>
        </w:rPr>
        <w:instrText xml:space="preserve"> PAGEREF _Toc206589112 \h </w:instrText>
      </w:r>
      <w:r>
        <w:rPr>
          <w:noProof/>
        </w:rPr>
      </w:r>
      <w:r>
        <w:rPr>
          <w:noProof/>
        </w:rPr>
        <w:fldChar w:fldCharType="separate"/>
      </w:r>
      <w:r w:rsidR="00AB0633">
        <w:rPr>
          <w:noProof/>
        </w:rPr>
        <w:t>20</w:t>
      </w:r>
      <w:r>
        <w:rPr>
          <w:noProof/>
        </w:rPr>
        <w:fldChar w:fldCharType="end"/>
      </w:r>
    </w:p>
    <w:p w14:paraId="1ABB0F80" w14:textId="0BCDB0F4" w:rsidR="000D7C95" w:rsidRDefault="000D7C95">
      <w:pPr>
        <w:pStyle w:val="TOC2"/>
        <w:rPr>
          <w:rFonts w:eastAsiaTheme="minorEastAsia" w:cstheme="minorBidi"/>
          <w:noProof/>
          <w:color w:val="auto"/>
          <w:kern w:val="2"/>
          <w:sz w:val="24"/>
          <w:lang w:eastAsia="en-AU"/>
          <w14:ligatures w14:val="standardContextual"/>
        </w:rPr>
      </w:pPr>
      <w:r>
        <w:rPr>
          <w:noProof/>
        </w:rPr>
        <w:t>4.4</w:t>
      </w:r>
      <w:r>
        <w:rPr>
          <w:rFonts w:eastAsiaTheme="minorEastAsia" w:cstheme="minorBidi"/>
          <w:noProof/>
          <w:color w:val="auto"/>
          <w:kern w:val="2"/>
          <w:sz w:val="24"/>
          <w:lang w:eastAsia="en-AU"/>
          <w14:ligatures w14:val="standardContextual"/>
        </w:rPr>
        <w:tab/>
      </w:r>
      <w:r>
        <w:rPr>
          <w:noProof/>
        </w:rPr>
        <w:t>Aluminium production – Perfluoronated carbon compound emissions</w:t>
      </w:r>
      <w:r>
        <w:rPr>
          <w:noProof/>
        </w:rPr>
        <w:tab/>
      </w:r>
      <w:r>
        <w:rPr>
          <w:noProof/>
        </w:rPr>
        <w:fldChar w:fldCharType="begin"/>
      </w:r>
      <w:r>
        <w:rPr>
          <w:noProof/>
        </w:rPr>
        <w:instrText xml:space="preserve"> PAGEREF _Toc206589113 \h </w:instrText>
      </w:r>
      <w:r>
        <w:rPr>
          <w:noProof/>
        </w:rPr>
      </w:r>
      <w:r>
        <w:rPr>
          <w:noProof/>
        </w:rPr>
        <w:fldChar w:fldCharType="separate"/>
      </w:r>
      <w:r w:rsidR="00AB0633">
        <w:rPr>
          <w:noProof/>
        </w:rPr>
        <w:t>21</w:t>
      </w:r>
      <w:r>
        <w:rPr>
          <w:noProof/>
        </w:rPr>
        <w:fldChar w:fldCharType="end"/>
      </w:r>
    </w:p>
    <w:p w14:paraId="154E6790" w14:textId="3C1C4D75" w:rsidR="000D7C95" w:rsidRDefault="000D7C95">
      <w:pPr>
        <w:pStyle w:val="TOC2"/>
        <w:rPr>
          <w:rFonts w:eastAsiaTheme="minorEastAsia" w:cstheme="minorBidi"/>
          <w:noProof/>
          <w:color w:val="auto"/>
          <w:kern w:val="2"/>
          <w:sz w:val="24"/>
          <w:lang w:eastAsia="en-AU"/>
          <w14:ligatures w14:val="standardContextual"/>
        </w:rPr>
      </w:pPr>
      <w:r>
        <w:rPr>
          <w:noProof/>
        </w:rPr>
        <w:t>4.5</w:t>
      </w:r>
      <w:r>
        <w:rPr>
          <w:rFonts w:eastAsiaTheme="minorEastAsia" w:cstheme="minorBidi"/>
          <w:noProof/>
          <w:color w:val="auto"/>
          <w:kern w:val="2"/>
          <w:sz w:val="24"/>
          <w:lang w:eastAsia="en-AU"/>
          <w14:ligatures w14:val="standardContextual"/>
        </w:rPr>
        <w:tab/>
      </w:r>
      <w:r>
        <w:rPr>
          <w:noProof/>
        </w:rPr>
        <w:t>Other metals production</w:t>
      </w:r>
      <w:r>
        <w:rPr>
          <w:noProof/>
        </w:rPr>
        <w:tab/>
      </w:r>
      <w:r>
        <w:rPr>
          <w:noProof/>
        </w:rPr>
        <w:fldChar w:fldCharType="begin"/>
      </w:r>
      <w:r>
        <w:rPr>
          <w:noProof/>
        </w:rPr>
        <w:instrText xml:space="preserve"> PAGEREF _Toc206589114 \h </w:instrText>
      </w:r>
      <w:r>
        <w:rPr>
          <w:noProof/>
        </w:rPr>
      </w:r>
      <w:r>
        <w:rPr>
          <w:noProof/>
        </w:rPr>
        <w:fldChar w:fldCharType="separate"/>
      </w:r>
      <w:r w:rsidR="00AB0633">
        <w:rPr>
          <w:noProof/>
        </w:rPr>
        <w:t>21</w:t>
      </w:r>
      <w:r>
        <w:rPr>
          <w:noProof/>
        </w:rPr>
        <w:fldChar w:fldCharType="end"/>
      </w:r>
    </w:p>
    <w:p w14:paraId="7BE7AC6A" w14:textId="0239CB37" w:rsidR="000D7C95" w:rsidRDefault="000D7C95">
      <w:pPr>
        <w:pStyle w:val="TOC1"/>
        <w:tabs>
          <w:tab w:val="left" w:pos="440"/>
        </w:tabs>
        <w:rPr>
          <w:rFonts w:eastAsiaTheme="minorEastAsia" w:cstheme="minorBidi"/>
          <w:b w:val="0"/>
          <w:noProof/>
          <w:color w:val="auto"/>
          <w:kern w:val="2"/>
          <w:sz w:val="24"/>
          <w:lang w:eastAsia="en-AU"/>
          <w14:ligatures w14:val="standardContextual"/>
        </w:rPr>
      </w:pPr>
      <w:r>
        <w:rPr>
          <w:noProof/>
        </w:rPr>
        <w:t>5.</w:t>
      </w:r>
      <w:r>
        <w:rPr>
          <w:rFonts w:eastAsiaTheme="minorEastAsia" w:cstheme="minorBidi"/>
          <w:b w:val="0"/>
          <w:noProof/>
          <w:color w:val="auto"/>
          <w:kern w:val="2"/>
          <w:sz w:val="24"/>
          <w:lang w:eastAsia="en-AU"/>
          <w14:ligatures w14:val="standardContextual"/>
        </w:rPr>
        <w:tab/>
      </w:r>
      <w:r>
        <w:rPr>
          <w:noProof/>
        </w:rPr>
        <w:t>Emissions from the use of hydrofluorocarbons and sulphur hexafluoride</w:t>
      </w:r>
      <w:r>
        <w:rPr>
          <w:noProof/>
        </w:rPr>
        <w:tab/>
      </w:r>
      <w:r>
        <w:rPr>
          <w:noProof/>
        </w:rPr>
        <w:fldChar w:fldCharType="begin"/>
      </w:r>
      <w:r>
        <w:rPr>
          <w:noProof/>
        </w:rPr>
        <w:instrText xml:space="preserve"> PAGEREF _Toc206589115 \h </w:instrText>
      </w:r>
      <w:r>
        <w:rPr>
          <w:noProof/>
        </w:rPr>
      </w:r>
      <w:r>
        <w:rPr>
          <w:noProof/>
        </w:rPr>
        <w:fldChar w:fldCharType="separate"/>
      </w:r>
      <w:r w:rsidR="00AB0633">
        <w:rPr>
          <w:noProof/>
        </w:rPr>
        <w:t>21</w:t>
      </w:r>
      <w:r>
        <w:rPr>
          <w:noProof/>
        </w:rPr>
        <w:fldChar w:fldCharType="end"/>
      </w:r>
    </w:p>
    <w:p w14:paraId="01CE6C0D" w14:textId="69BCECD6" w:rsidR="000D7C95" w:rsidRDefault="000D7C95">
      <w:pPr>
        <w:pStyle w:val="TOC1"/>
        <w:rPr>
          <w:rFonts w:eastAsiaTheme="minorEastAsia" w:cstheme="minorBidi"/>
          <w:b w:val="0"/>
          <w:noProof/>
          <w:color w:val="auto"/>
          <w:kern w:val="2"/>
          <w:sz w:val="24"/>
          <w:lang w:eastAsia="en-AU"/>
          <w14:ligatures w14:val="standardContextual"/>
        </w:rPr>
      </w:pPr>
      <w:r>
        <w:rPr>
          <w:noProof/>
        </w:rPr>
        <w:t>More information</w:t>
      </w:r>
      <w:r>
        <w:rPr>
          <w:noProof/>
        </w:rPr>
        <w:tab/>
      </w:r>
      <w:r>
        <w:rPr>
          <w:noProof/>
        </w:rPr>
        <w:fldChar w:fldCharType="begin"/>
      </w:r>
      <w:r>
        <w:rPr>
          <w:noProof/>
        </w:rPr>
        <w:instrText xml:space="preserve"> PAGEREF _Toc206589116 \h </w:instrText>
      </w:r>
      <w:r>
        <w:rPr>
          <w:noProof/>
        </w:rPr>
      </w:r>
      <w:r>
        <w:rPr>
          <w:noProof/>
        </w:rPr>
        <w:fldChar w:fldCharType="separate"/>
      </w:r>
      <w:r w:rsidR="00AB0633">
        <w:rPr>
          <w:noProof/>
        </w:rPr>
        <w:t>22</w:t>
      </w:r>
      <w:r>
        <w:rPr>
          <w:noProof/>
        </w:rPr>
        <w:fldChar w:fldCharType="end"/>
      </w:r>
    </w:p>
    <w:p w14:paraId="6A75B548" w14:textId="6713E6D8" w:rsidR="00235142" w:rsidRDefault="00235142" w:rsidP="00235142">
      <w:r>
        <w:fldChar w:fldCharType="end"/>
      </w:r>
    </w:p>
    <w:p w14:paraId="0EEC7218" w14:textId="4516723C" w:rsidR="003D527E" w:rsidRDefault="00235142" w:rsidP="003D527E">
      <w:pPr>
        <w:pStyle w:val="Heading1"/>
      </w:pPr>
      <w:r>
        <w:br w:type="page"/>
      </w:r>
      <w:bookmarkStart w:id="3" w:name="_Toc105410909"/>
      <w:bookmarkStart w:id="4" w:name="_Toc106193890"/>
      <w:bookmarkStart w:id="5" w:name="_Toc206589073"/>
      <w:bookmarkEnd w:id="1"/>
      <w:bookmarkEnd w:id="2"/>
      <w:r w:rsidR="003D527E" w:rsidRPr="00922316">
        <w:lastRenderedPageBreak/>
        <w:t>Definitions</w:t>
      </w:r>
      <w:r w:rsidR="003D527E">
        <w:t xml:space="preserve"> and abbreviations</w:t>
      </w:r>
      <w:bookmarkEnd w:id="3"/>
      <w:bookmarkEnd w:id="4"/>
      <w:bookmarkEnd w:id="5"/>
    </w:p>
    <w:tbl>
      <w:tblPr>
        <w:tblStyle w:val="CERTable"/>
        <w:tblW w:w="0" w:type="auto"/>
        <w:tblLook w:val="06A0" w:firstRow="1" w:lastRow="0" w:firstColumn="1" w:lastColumn="0" w:noHBand="1" w:noVBand="1"/>
      </w:tblPr>
      <w:tblGrid>
        <w:gridCol w:w="2486"/>
        <w:gridCol w:w="7244"/>
      </w:tblGrid>
      <w:tr w:rsidR="003D527E" w:rsidRPr="00BF392D" w14:paraId="6C69185D" w14:textId="77777777" w:rsidTr="00152AC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86" w:type="dxa"/>
          </w:tcPr>
          <w:p w14:paraId="1FE1B380" w14:textId="77777777" w:rsidR="003D527E" w:rsidRPr="00BF392D" w:rsidRDefault="003D527E">
            <w:pPr>
              <w:spacing w:before="60"/>
            </w:pPr>
            <w:r w:rsidRPr="00BF392D">
              <w:t>Term</w:t>
            </w:r>
          </w:p>
        </w:tc>
        <w:tc>
          <w:tcPr>
            <w:tcW w:w="7244" w:type="dxa"/>
          </w:tcPr>
          <w:p w14:paraId="30B0097F" w14:textId="77777777" w:rsidR="003D527E" w:rsidRPr="00BF392D" w:rsidRDefault="003D527E">
            <w:pPr>
              <w:spacing w:before="60"/>
              <w:cnfStyle w:val="100000000000" w:firstRow="1" w:lastRow="0" w:firstColumn="0" w:lastColumn="0" w:oddVBand="0" w:evenVBand="0" w:oddHBand="0" w:evenHBand="0" w:firstRowFirstColumn="0" w:firstRowLastColumn="0" w:lastRowFirstColumn="0" w:lastRowLastColumn="0"/>
            </w:pPr>
            <w:r w:rsidRPr="00BF392D">
              <w:t>Meaning</w:t>
            </w:r>
          </w:p>
        </w:tc>
      </w:tr>
      <w:tr w:rsidR="003D527E" w:rsidRPr="00BF392D" w14:paraId="6F9E16D0" w14:textId="77777777">
        <w:tc>
          <w:tcPr>
            <w:cnfStyle w:val="001000000000" w:firstRow="0" w:lastRow="0" w:firstColumn="1" w:lastColumn="0" w:oddVBand="0" w:evenVBand="0" w:oddHBand="0" w:evenHBand="0" w:firstRowFirstColumn="0" w:firstRowLastColumn="0" w:lastRowFirstColumn="0" w:lastRowLastColumn="0"/>
            <w:tcW w:w="2486" w:type="dxa"/>
          </w:tcPr>
          <w:p w14:paraId="16D88FB7" w14:textId="77777777" w:rsidR="003D527E" w:rsidRPr="00BF392D" w:rsidRDefault="003D527E">
            <w:pPr>
              <w:spacing w:before="60"/>
            </w:pPr>
            <w:r>
              <w:t>CO</w:t>
            </w:r>
            <w:r w:rsidRPr="000E4107">
              <w:rPr>
                <w:vertAlign w:val="subscript"/>
              </w:rPr>
              <w:t>2</w:t>
            </w:r>
          </w:p>
        </w:tc>
        <w:tc>
          <w:tcPr>
            <w:tcW w:w="7244" w:type="dxa"/>
          </w:tcPr>
          <w:p w14:paraId="0D0E1090" w14:textId="77777777" w:rsidR="003D527E" w:rsidRPr="00BF392D" w:rsidRDefault="003D527E">
            <w:pPr>
              <w:spacing w:before="60"/>
              <w:cnfStyle w:val="000000000000" w:firstRow="0" w:lastRow="0" w:firstColumn="0" w:lastColumn="0" w:oddVBand="0" w:evenVBand="0" w:oddHBand="0" w:evenHBand="0" w:firstRowFirstColumn="0" w:firstRowLastColumn="0" w:lastRowFirstColumn="0" w:lastRowLastColumn="0"/>
            </w:pPr>
            <w:r>
              <w:t>Carbon dioxide</w:t>
            </w:r>
          </w:p>
        </w:tc>
      </w:tr>
      <w:tr w:rsidR="00593A65" w:rsidRPr="00BF392D" w14:paraId="0985AD13" w14:textId="77777777">
        <w:tc>
          <w:tcPr>
            <w:cnfStyle w:val="001000000000" w:firstRow="0" w:lastRow="0" w:firstColumn="1" w:lastColumn="0" w:oddVBand="0" w:evenVBand="0" w:oddHBand="0" w:evenHBand="0" w:firstRowFirstColumn="0" w:firstRowLastColumn="0" w:lastRowFirstColumn="0" w:lastRowLastColumn="0"/>
            <w:tcW w:w="2486" w:type="dxa"/>
          </w:tcPr>
          <w:p w14:paraId="686BCE82" w14:textId="55C15A7D" w:rsidR="00593A65" w:rsidRDefault="00593A65">
            <w:pPr>
              <w:spacing w:before="60"/>
            </w:pPr>
            <w:r>
              <w:t>DCCEEW</w:t>
            </w:r>
          </w:p>
        </w:tc>
        <w:tc>
          <w:tcPr>
            <w:tcW w:w="7244" w:type="dxa"/>
          </w:tcPr>
          <w:p w14:paraId="0ADE3436" w14:textId="36B2B09D" w:rsidR="00593A65" w:rsidRDefault="00593A65">
            <w:pPr>
              <w:spacing w:before="60"/>
              <w:cnfStyle w:val="000000000000" w:firstRow="0" w:lastRow="0" w:firstColumn="0" w:lastColumn="0" w:oddVBand="0" w:evenVBand="0" w:oddHBand="0" w:evenHBand="0" w:firstRowFirstColumn="0" w:firstRowLastColumn="0" w:lastRowFirstColumn="0" w:lastRowLastColumn="0"/>
            </w:pPr>
            <w:r>
              <w:t xml:space="preserve">Department of Climate Change, Energy, the Environment and Water </w:t>
            </w:r>
          </w:p>
        </w:tc>
      </w:tr>
      <w:tr w:rsidR="00B53B2D" w:rsidRPr="00BF392D" w14:paraId="2751E386" w14:textId="77777777">
        <w:tc>
          <w:tcPr>
            <w:cnfStyle w:val="001000000000" w:firstRow="0" w:lastRow="0" w:firstColumn="1" w:lastColumn="0" w:oddVBand="0" w:evenVBand="0" w:oddHBand="0" w:evenHBand="0" w:firstRowFirstColumn="0" w:firstRowLastColumn="0" w:lastRowFirstColumn="0" w:lastRowLastColumn="0"/>
            <w:tcW w:w="2486" w:type="dxa"/>
          </w:tcPr>
          <w:p w14:paraId="2A4202DB" w14:textId="0F001068" w:rsidR="00B53B2D" w:rsidRDefault="00B53B2D" w:rsidP="00B53B2D">
            <w:pPr>
              <w:spacing w:before="60"/>
            </w:pPr>
            <w:r>
              <w:rPr>
                <w:iCs/>
              </w:rPr>
              <w:t>EERS</w:t>
            </w:r>
          </w:p>
        </w:tc>
        <w:tc>
          <w:tcPr>
            <w:tcW w:w="7244" w:type="dxa"/>
          </w:tcPr>
          <w:p w14:paraId="4174579C" w14:textId="108226E6" w:rsidR="00B53B2D" w:rsidRDefault="00B53B2D" w:rsidP="00B53B2D">
            <w:pPr>
              <w:spacing w:before="60"/>
              <w:cnfStyle w:val="000000000000" w:firstRow="0" w:lastRow="0" w:firstColumn="0" w:lastColumn="0" w:oddVBand="0" w:evenVBand="0" w:oddHBand="0" w:evenHBand="0" w:firstRowFirstColumn="0" w:firstRowLastColumn="0" w:lastRowFirstColumn="0" w:lastRowLastColumn="0"/>
            </w:pPr>
            <w:r>
              <w:t>The Clean Energy Regulator’s Energy and Emissions Reporting System</w:t>
            </w:r>
          </w:p>
        </w:tc>
      </w:tr>
      <w:tr w:rsidR="003D527E" w:rsidRPr="00BF392D" w14:paraId="6F7A4FC7" w14:textId="77777777">
        <w:tc>
          <w:tcPr>
            <w:cnfStyle w:val="001000000000" w:firstRow="0" w:lastRow="0" w:firstColumn="1" w:lastColumn="0" w:oddVBand="0" w:evenVBand="0" w:oddHBand="0" w:evenHBand="0" w:firstRowFirstColumn="0" w:firstRowLastColumn="0" w:lastRowFirstColumn="0" w:lastRowLastColumn="0"/>
            <w:tcW w:w="2486" w:type="dxa"/>
          </w:tcPr>
          <w:p w14:paraId="1EDE13BD" w14:textId="77777777" w:rsidR="003D527E" w:rsidRPr="00D939B3" w:rsidRDefault="003D527E">
            <w:pPr>
              <w:spacing w:before="60"/>
            </w:pPr>
            <w:r w:rsidRPr="00D939B3">
              <w:rPr>
                <w:i/>
              </w:rPr>
              <w:t>F</w:t>
            </w:r>
            <w:r w:rsidRPr="00D939B3">
              <w:rPr>
                <w:i/>
                <w:vertAlign w:val="subscript"/>
              </w:rPr>
              <w:t>cal</w:t>
            </w:r>
          </w:p>
        </w:tc>
        <w:tc>
          <w:tcPr>
            <w:tcW w:w="7244" w:type="dxa"/>
          </w:tcPr>
          <w:p w14:paraId="48A7FBF9" w14:textId="77777777" w:rsidR="003D527E" w:rsidRDefault="003D527E">
            <w:pPr>
              <w:spacing w:before="60"/>
              <w:cnfStyle w:val="000000000000" w:firstRow="0" w:lastRow="0" w:firstColumn="0" w:lastColumn="0" w:oddVBand="0" w:evenVBand="0" w:oddHBand="0" w:evenHBand="0" w:firstRowFirstColumn="0" w:firstRowLastColumn="0" w:lastRowFirstColumn="0" w:lastRowLastColumn="0"/>
            </w:pPr>
            <w:r>
              <w:t>Amount of carbonate calcined in the production of cement clinker during the year, expressed as a decimal fraction</w:t>
            </w:r>
          </w:p>
        </w:tc>
      </w:tr>
      <w:tr w:rsidR="003D527E" w:rsidRPr="00BF392D" w14:paraId="201F7035" w14:textId="77777777">
        <w:tc>
          <w:tcPr>
            <w:cnfStyle w:val="001000000000" w:firstRow="0" w:lastRow="0" w:firstColumn="1" w:lastColumn="0" w:oddVBand="0" w:evenVBand="0" w:oddHBand="0" w:evenHBand="0" w:firstRowFirstColumn="0" w:firstRowLastColumn="0" w:lastRowFirstColumn="0" w:lastRowLastColumn="0"/>
            <w:tcW w:w="2486" w:type="dxa"/>
          </w:tcPr>
          <w:p w14:paraId="42537AB5" w14:textId="77777777" w:rsidR="003D527E" w:rsidRPr="00C60FCD" w:rsidRDefault="003D527E">
            <w:pPr>
              <w:spacing w:before="60"/>
              <w:rPr>
                <w:i/>
              </w:rPr>
            </w:pPr>
            <w:r w:rsidRPr="00D939B3">
              <w:rPr>
                <w:i/>
              </w:rPr>
              <w:t>F</w:t>
            </w:r>
            <w:r w:rsidRPr="00D939B3">
              <w:rPr>
                <w:i/>
                <w:vertAlign w:val="subscript"/>
              </w:rPr>
              <w:t>ckd</w:t>
            </w:r>
            <w:r w:rsidRPr="00D939B3">
              <w:t xml:space="preserve"> </w:t>
            </w:r>
          </w:p>
        </w:tc>
        <w:tc>
          <w:tcPr>
            <w:tcW w:w="7244" w:type="dxa"/>
          </w:tcPr>
          <w:p w14:paraId="17973D82" w14:textId="77777777" w:rsidR="003D527E" w:rsidRDefault="003D527E">
            <w:pPr>
              <w:spacing w:before="60"/>
              <w:cnfStyle w:val="000000000000" w:firstRow="0" w:lastRow="0" w:firstColumn="0" w:lastColumn="0" w:oddVBand="0" w:evenVBand="0" w:oddHBand="0" w:evenHBand="0" w:firstRowFirstColumn="0" w:firstRowLastColumn="0" w:lastRowFirstColumn="0" w:lastRowLastColumn="0"/>
            </w:pPr>
            <w:r>
              <w:t>Fraction of calcination achieved for cement kiln dust lost from the kiln in the production of cement clinker during the year</w:t>
            </w:r>
          </w:p>
        </w:tc>
      </w:tr>
      <w:tr w:rsidR="00015F40" w:rsidRPr="00BF392D" w14:paraId="59349163" w14:textId="77777777">
        <w:tc>
          <w:tcPr>
            <w:cnfStyle w:val="001000000000" w:firstRow="0" w:lastRow="0" w:firstColumn="1" w:lastColumn="0" w:oddVBand="0" w:evenVBand="0" w:oddHBand="0" w:evenHBand="0" w:firstRowFirstColumn="0" w:firstRowLastColumn="0" w:lastRowFirstColumn="0" w:lastRowLastColumn="0"/>
            <w:tcW w:w="2486" w:type="dxa"/>
          </w:tcPr>
          <w:p w14:paraId="5CBBACEC" w14:textId="6AEA9E60" w:rsidR="00015F40" w:rsidRPr="006F6A94" w:rsidRDefault="00015F40">
            <w:pPr>
              <w:spacing w:before="60"/>
              <w:rPr>
                <w:iCs/>
              </w:rPr>
            </w:pPr>
            <w:r w:rsidRPr="006F6A94">
              <w:rPr>
                <w:iCs/>
              </w:rPr>
              <w:t xml:space="preserve">Facility </w:t>
            </w:r>
          </w:p>
        </w:tc>
        <w:tc>
          <w:tcPr>
            <w:tcW w:w="7244" w:type="dxa"/>
          </w:tcPr>
          <w:p w14:paraId="26E5CEA0" w14:textId="7CD535B3" w:rsidR="00015F40" w:rsidRDefault="000B00A1">
            <w:pPr>
              <w:spacing w:before="60"/>
              <w:cnfStyle w:val="000000000000" w:firstRow="0" w:lastRow="0" w:firstColumn="0" w:lastColumn="0" w:oddVBand="0" w:evenVBand="0" w:oddHBand="0" w:evenHBand="0" w:firstRowFirstColumn="0" w:firstRowLastColumn="0" w:lastRowFirstColumn="0" w:lastRowLastColumn="0"/>
            </w:pPr>
            <w:r>
              <w:rPr>
                <w:color w:val="000000"/>
                <w:szCs w:val="22"/>
                <w:shd w:val="clear" w:color="auto" w:fill="FFFFFF"/>
              </w:rPr>
              <w:t>H</w:t>
            </w:r>
            <w:r w:rsidRPr="00E81E90">
              <w:rPr>
                <w:color w:val="000000"/>
                <w:szCs w:val="22"/>
                <w:shd w:val="clear" w:color="auto" w:fill="FFFFFF"/>
              </w:rPr>
              <w:t xml:space="preserve">as the meaning given by section 9 of the NGER Act. For more information on defining a facility under the NGER scheme, see </w:t>
            </w:r>
            <w:hyperlink r:id="rId22" w:anchor="what-is-an-nger-facility" w:tooltip="A link to the Assess your obligations page of the Clean Energy Regulator website" w:history="1">
              <w:r w:rsidRPr="00E81E90">
                <w:rPr>
                  <w:rStyle w:val="Hyperlink"/>
                  <w:szCs w:val="22"/>
                  <w:shd w:val="clear" w:color="auto" w:fill="FFFFFF"/>
                </w:rPr>
                <w:t>What is a Facility</w:t>
              </w:r>
            </w:hyperlink>
            <w:r w:rsidR="00ED0167">
              <w:rPr>
                <w:rStyle w:val="FootnoteReference"/>
                <w:color w:val="000000"/>
                <w:szCs w:val="22"/>
                <w:shd w:val="clear" w:color="auto" w:fill="FFFFFF"/>
              </w:rPr>
              <w:footnoteReference w:id="2"/>
            </w:r>
            <w:r w:rsidRPr="00E81E90">
              <w:rPr>
                <w:color w:val="000000"/>
                <w:szCs w:val="22"/>
                <w:shd w:val="clear" w:color="auto" w:fill="FFFFFF"/>
              </w:rPr>
              <w:t xml:space="preserve">.  </w:t>
            </w:r>
          </w:p>
        </w:tc>
      </w:tr>
      <w:tr w:rsidR="00B53B2D" w:rsidRPr="00BF392D" w14:paraId="2E2FF5C3" w14:textId="77777777">
        <w:tc>
          <w:tcPr>
            <w:cnfStyle w:val="001000000000" w:firstRow="0" w:lastRow="0" w:firstColumn="1" w:lastColumn="0" w:oddVBand="0" w:evenVBand="0" w:oddHBand="0" w:evenHBand="0" w:firstRowFirstColumn="0" w:firstRowLastColumn="0" w:lastRowFirstColumn="0" w:lastRowLastColumn="0"/>
            <w:tcW w:w="2486" w:type="dxa"/>
          </w:tcPr>
          <w:p w14:paraId="1C90C503" w14:textId="71FA76A1" w:rsidR="00B53B2D" w:rsidRPr="005F08FC" w:rsidRDefault="00B53B2D" w:rsidP="00B53B2D">
            <w:pPr>
              <w:spacing w:before="60"/>
              <w:rPr>
                <w:iCs/>
              </w:rPr>
            </w:pPr>
            <w:r>
              <w:rPr>
                <w:iCs/>
              </w:rPr>
              <w:t>kL</w:t>
            </w:r>
          </w:p>
        </w:tc>
        <w:tc>
          <w:tcPr>
            <w:tcW w:w="7244" w:type="dxa"/>
          </w:tcPr>
          <w:p w14:paraId="78E2C1C1" w14:textId="7350724E" w:rsidR="00B53B2D" w:rsidRDefault="00B53B2D" w:rsidP="00B53B2D">
            <w:pPr>
              <w:spacing w:before="60"/>
              <w:cnfStyle w:val="000000000000" w:firstRow="0" w:lastRow="0" w:firstColumn="0" w:lastColumn="0" w:oddVBand="0" w:evenVBand="0" w:oddHBand="0" w:evenHBand="0" w:firstRowFirstColumn="0" w:firstRowLastColumn="0" w:lastRowFirstColumn="0" w:lastRowLastColumn="0"/>
              <w:rPr>
                <w:color w:val="000000"/>
                <w:szCs w:val="22"/>
                <w:shd w:val="clear" w:color="auto" w:fill="FFFFFF"/>
              </w:rPr>
            </w:pPr>
            <w:r>
              <w:rPr>
                <w:color w:val="000000"/>
                <w:szCs w:val="22"/>
                <w:shd w:val="clear" w:color="auto" w:fill="FFFFFF"/>
              </w:rPr>
              <w:t>Kilolitres</w:t>
            </w:r>
          </w:p>
        </w:tc>
      </w:tr>
      <w:tr w:rsidR="003D527E" w:rsidRPr="00AA1BB1" w14:paraId="6325046B" w14:textId="77777777">
        <w:tc>
          <w:tcPr>
            <w:cnfStyle w:val="001000000000" w:firstRow="0" w:lastRow="0" w:firstColumn="1" w:lastColumn="0" w:oddVBand="0" w:evenVBand="0" w:oddHBand="0" w:evenHBand="0" w:firstRowFirstColumn="0" w:firstRowLastColumn="0" w:lastRowFirstColumn="0" w:lastRowLastColumn="0"/>
            <w:tcW w:w="2486" w:type="dxa"/>
          </w:tcPr>
          <w:p w14:paraId="71205BC5" w14:textId="77777777" w:rsidR="003D527E" w:rsidRPr="00AA1BB1" w:rsidRDefault="003D527E">
            <w:pPr>
              <w:spacing w:before="60"/>
            </w:pPr>
            <w:r w:rsidRPr="00AA1BB1">
              <w:t>NGER</w:t>
            </w:r>
          </w:p>
        </w:tc>
        <w:tc>
          <w:tcPr>
            <w:tcW w:w="7244" w:type="dxa"/>
          </w:tcPr>
          <w:p w14:paraId="016D8F74" w14:textId="77777777" w:rsidR="003D527E" w:rsidRPr="00AA1BB1" w:rsidRDefault="003D527E">
            <w:pPr>
              <w:spacing w:before="60"/>
              <w:cnfStyle w:val="000000000000" w:firstRow="0" w:lastRow="0" w:firstColumn="0" w:lastColumn="0" w:oddVBand="0" w:evenVBand="0" w:oddHBand="0" w:evenHBand="0" w:firstRowFirstColumn="0" w:firstRowLastColumn="0" w:lastRowFirstColumn="0" w:lastRowLastColumn="0"/>
            </w:pPr>
            <w:r w:rsidRPr="00AA1BB1">
              <w:t>National Greenhouse and Energy Reporting</w:t>
            </w:r>
          </w:p>
        </w:tc>
      </w:tr>
      <w:tr w:rsidR="003D527E" w:rsidRPr="009047C3" w14:paraId="7FE2178A" w14:textId="77777777">
        <w:tc>
          <w:tcPr>
            <w:cnfStyle w:val="001000000000" w:firstRow="0" w:lastRow="0" w:firstColumn="1" w:lastColumn="0" w:oddVBand="0" w:evenVBand="0" w:oddHBand="0" w:evenHBand="0" w:firstRowFirstColumn="0" w:firstRowLastColumn="0" w:lastRowFirstColumn="0" w:lastRowLastColumn="0"/>
            <w:tcW w:w="2486" w:type="dxa"/>
          </w:tcPr>
          <w:p w14:paraId="1E276E51" w14:textId="77777777" w:rsidR="003D527E" w:rsidRPr="00AA1BB1" w:rsidRDefault="003D527E">
            <w:pPr>
              <w:spacing w:before="60"/>
            </w:pPr>
            <w:r w:rsidRPr="00AA1BB1">
              <w:t>NGER Act</w:t>
            </w:r>
          </w:p>
        </w:tc>
        <w:tc>
          <w:tcPr>
            <w:tcW w:w="7244" w:type="dxa"/>
          </w:tcPr>
          <w:p w14:paraId="69BFD883" w14:textId="77777777" w:rsidR="003D527E" w:rsidRPr="00411A29" w:rsidRDefault="003D527E">
            <w:pPr>
              <w:spacing w:before="60"/>
              <w:cnfStyle w:val="000000000000" w:firstRow="0" w:lastRow="0" w:firstColumn="0" w:lastColumn="0" w:oddVBand="0" w:evenVBand="0" w:oddHBand="0" w:evenHBand="0" w:firstRowFirstColumn="0" w:firstRowLastColumn="0" w:lastRowFirstColumn="0" w:lastRowLastColumn="0"/>
              <w:rPr>
                <w:i/>
              </w:rPr>
            </w:pPr>
            <w:r w:rsidRPr="00411A29">
              <w:rPr>
                <w:i/>
              </w:rPr>
              <w:t xml:space="preserve">National Greenhouse and Energy Reporting Act 2007 </w:t>
            </w:r>
          </w:p>
        </w:tc>
      </w:tr>
      <w:tr w:rsidR="003D527E" w:rsidRPr="009047C3" w14:paraId="5D1DEE7B" w14:textId="77777777">
        <w:tc>
          <w:tcPr>
            <w:cnfStyle w:val="001000000000" w:firstRow="0" w:lastRow="0" w:firstColumn="1" w:lastColumn="0" w:oddVBand="0" w:evenVBand="0" w:oddHBand="0" w:evenHBand="0" w:firstRowFirstColumn="0" w:firstRowLastColumn="0" w:lastRowFirstColumn="0" w:lastRowLastColumn="0"/>
            <w:tcW w:w="2486" w:type="dxa"/>
          </w:tcPr>
          <w:p w14:paraId="1FAE164D" w14:textId="77777777" w:rsidR="003D527E" w:rsidRPr="00AA1BB1" w:rsidRDefault="003D527E">
            <w:pPr>
              <w:spacing w:before="60"/>
            </w:pPr>
            <w:r>
              <w:t>NGER Legislation</w:t>
            </w:r>
          </w:p>
        </w:tc>
        <w:tc>
          <w:tcPr>
            <w:tcW w:w="7244" w:type="dxa"/>
          </w:tcPr>
          <w:p w14:paraId="749A438A" w14:textId="77777777" w:rsidR="003D527E" w:rsidRPr="00E10EB8" w:rsidRDefault="003D527E">
            <w:pPr>
              <w:spacing w:before="60"/>
              <w:cnfStyle w:val="000000000000" w:firstRow="0" w:lastRow="0" w:firstColumn="0" w:lastColumn="0" w:oddVBand="0" w:evenVBand="0" w:oddHBand="0" w:evenHBand="0" w:firstRowFirstColumn="0" w:firstRowLastColumn="0" w:lastRowFirstColumn="0" w:lastRowLastColumn="0"/>
            </w:pPr>
            <w:r w:rsidRPr="00E10EB8">
              <w:t>NGER Act, NGER Regulations, and NGER Measurement Determination</w:t>
            </w:r>
          </w:p>
        </w:tc>
      </w:tr>
      <w:tr w:rsidR="003D527E" w:rsidRPr="009047C3" w14:paraId="7871CC37" w14:textId="77777777">
        <w:tc>
          <w:tcPr>
            <w:cnfStyle w:val="001000000000" w:firstRow="0" w:lastRow="0" w:firstColumn="1" w:lastColumn="0" w:oddVBand="0" w:evenVBand="0" w:oddHBand="0" w:evenHBand="0" w:firstRowFirstColumn="0" w:firstRowLastColumn="0" w:lastRowFirstColumn="0" w:lastRowLastColumn="0"/>
            <w:tcW w:w="2486" w:type="dxa"/>
          </w:tcPr>
          <w:p w14:paraId="6052CD82" w14:textId="77777777" w:rsidR="003D527E" w:rsidRPr="00AA1BB1" w:rsidRDefault="003D527E">
            <w:pPr>
              <w:spacing w:before="60"/>
            </w:pPr>
            <w:r w:rsidRPr="00AA1BB1">
              <w:t>NGER</w:t>
            </w:r>
            <w:r>
              <w:t xml:space="preserve"> Measurement</w:t>
            </w:r>
            <w:r w:rsidRPr="00AA1BB1">
              <w:t xml:space="preserve"> Determination</w:t>
            </w:r>
          </w:p>
        </w:tc>
        <w:tc>
          <w:tcPr>
            <w:tcW w:w="7244" w:type="dxa"/>
          </w:tcPr>
          <w:p w14:paraId="63A2D27C" w14:textId="77777777" w:rsidR="003D527E" w:rsidRPr="005C68D8" w:rsidRDefault="003D527E">
            <w:pPr>
              <w:spacing w:before="60"/>
              <w:cnfStyle w:val="000000000000" w:firstRow="0" w:lastRow="0" w:firstColumn="0" w:lastColumn="0" w:oddVBand="0" w:evenVBand="0" w:oddHBand="0" w:evenHBand="0" w:firstRowFirstColumn="0" w:firstRowLastColumn="0" w:lastRowFirstColumn="0" w:lastRowLastColumn="0"/>
            </w:pPr>
            <w:r w:rsidRPr="005C68D8">
              <w:t>National Greenhouse and Energy Reporting (Measurement) Determination 2008</w:t>
            </w:r>
          </w:p>
        </w:tc>
      </w:tr>
      <w:tr w:rsidR="003D527E" w:rsidRPr="009047C3" w14:paraId="62D90458" w14:textId="77777777">
        <w:tc>
          <w:tcPr>
            <w:cnfStyle w:val="001000000000" w:firstRow="0" w:lastRow="0" w:firstColumn="1" w:lastColumn="0" w:oddVBand="0" w:evenVBand="0" w:oddHBand="0" w:evenHBand="0" w:firstRowFirstColumn="0" w:firstRowLastColumn="0" w:lastRowFirstColumn="0" w:lastRowLastColumn="0"/>
            <w:tcW w:w="2486" w:type="dxa"/>
          </w:tcPr>
          <w:p w14:paraId="40B44CC5" w14:textId="77777777" w:rsidR="003D527E" w:rsidRPr="00AA1BB1" w:rsidRDefault="003D527E">
            <w:pPr>
              <w:spacing w:before="60"/>
            </w:pPr>
            <w:r w:rsidRPr="00AA1BB1">
              <w:t>NGER Regulations</w:t>
            </w:r>
          </w:p>
        </w:tc>
        <w:tc>
          <w:tcPr>
            <w:tcW w:w="7244" w:type="dxa"/>
          </w:tcPr>
          <w:p w14:paraId="5FF205E5" w14:textId="77777777" w:rsidR="003D527E" w:rsidRPr="005C68D8" w:rsidRDefault="003D527E">
            <w:pPr>
              <w:spacing w:before="60"/>
              <w:cnfStyle w:val="000000000000" w:firstRow="0" w:lastRow="0" w:firstColumn="0" w:lastColumn="0" w:oddVBand="0" w:evenVBand="0" w:oddHBand="0" w:evenHBand="0" w:firstRowFirstColumn="0" w:firstRowLastColumn="0" w:lastRowFirstColumn="0" w:lastRowLastColumn="0"/>
            </w:pPr>
            <w:r w:rsidRPr="005C68D8">
              <w:t>National Greenhouse and Energy Reporting Regulations 2008</w:t>
            </w:r>
          </w:p>
        </w:tc>
      </w:tr>
      <w:tr w:rsidR="003D527E" w:rsidRPr="009047C3" w14:paraId="51FF2E43" w14:textId="77777777">
        <w:tc>
          <w:tcPr>
            <w:cnfStyle w:val="001000000000" w:firstRow="0" w:lastRow="0" w:firstColumn="1" w:lastColumn="0" w:oddVBand="0" w:evenVBand="0" w:oddHBand="0" w:evenHBand="0" w:firstRowFirstColumn="0" w:firstRowLastColumn="0" w:lastRowFirstColumn="0" w:lastRowLastColumn="0"/>
            <w:tcW w:w="2486" w:type="dxa"/>
          </w:tcPr>
          <w:p w14:paraId="3A88A239" w14:textId="77777777" w:rsidR="003D527E" w:rsidRPr="00AA1BB1" w:rsidRDefault="003D527E">
            <w:pPr>
              <w:spacing w:before="60"/>
            </w:pPr>
            <w:r>
              <w:t>Reporter</w:t>
            </w:r>
          </w:p>
        </w:tc>
        <w:tc>
          <w:tcPr>
            <w:tcW w:w="7244" w:type="dxa"/>
          </w:tcPr>
          <w:p w14:paraId="26C44105" w14:textId="77777777" w:rsidR="003D527E" w:rsidRPr="005C68D8" w:rsidRDefault="003D527E">
            <w:pPr>
              <w:spacing w:before="60"/>
              <w:cnfStyle w:val="000000000000" w:firstRow="0" w:lastRow="0" w:firstColumn="0" w:lastColumn="0" w:oddVBand="0" w:evenVBand="0" w:oddHBand="0" w:evenHBand="0" w:firstRowFirstColumn="0" w:firstRowLastColumn="0" w:lastRowFirstColumn="0" w:lastRowLastColumn="0"/>
            </w:pPr>
            <w:r>
              <w:t xml:space="preserve">An entity required to report emissions and energy production and consumption to the </w:t>
            </w:r>
            <w:r w:rsidRPr="007A5A6C">
              <w:t>Clean Energy Regulator</w:t>
            </w:r>
            <w:r>
              <w:t xml:space="preserve"> under section 19, 22G, or 22X of the NGER Act</w:t>
            </w:r>
          </w:p>
        </w:tc>
      </w:tr>
      <w:tr w:rsidR="00B53B2D" w:rsidRPr="009047C3" w14:paraId="177C7C4C" w14:textId="77777777">
        <w:tc>
          <w:tcPr>
            <w:cnfStyle w:val="001000000000" w:firstRow="0" w:lastRow="0" w:firstColumn="1" w:lastColumn="0" w:oddVBand="0" w:evenVBand="0" w:oddHBand="0" w:evenHBand="0" w:firstRowFirstColumn="0" w:firstRowLastColumn="0" w:lastRowFirstColumn="0" w:lastRowLastColumn="0"/>
            <w:tcW w:w="2486" w:type="dxa"/>
          </w:tcPr>
          <w:p w14:paraId="15029CC6" w14:textId="75C12350" w:rsidR="00B53B2D" w:rsidRDefault="00B53B2D" w:rsidP="00B53B2D">
            <w:pPr>
              <w:spacing w:before="60"/>
            </w:pPr>
            <w:r>
              <w:t>t</w:t>
            </w:r>
          </w:p>
        </w:tc>
        <w:tc>
          <w:tcPr>
            <w:tcW w:w="7244" w:type="dxa"/>
          </w:tcPr>
          <w:p w14:paraId="204523D6" w14:textId="0AFE370F" w:rsidR="00B53B2D" w:rsidRDefault="00B53B2D" w:rsidP="00B53B2D">
            <w:pPr>
              <w:spacing w:before="60"/>
              <w:cnfStyle w:val="000000000000" w:firstRow="0" w:lastRow="0" w:firstColumn="0" w:lastColumn="0" w:oddVBand="0" w:evenVBand="0" w:oddHBand="0" w:evenHBand="0" w:firstRowFirstColumn="0" w:firstRowLastColumn="0" w:lastRowFirstColumn="0" w:lastRowLastColumn="0"/>
            </w:pPr>
            <w:r>
              <w:t>Tonnes</w:t>
            </w:r>
          </w:p>
        </w:tc>
      </w:tr>
      <w:tr w:rsidR="003D527E" w:rsidRPr="00AA1BB1" w14:paraId="4DF1762C" w14:textId="77777777">
        <w:tc>
          <w:tcPr>
            <w:cnfStyle w:val="001000000000" w:firstRow="0" w:lastRow="0" w:firstColumn="1" w:lastColumn="0" w:oddVBand="0" w:evenVBand="0" w:oddHBand="0" w:evenHBand="0" w:firstRowFirstColumn="0" w:firstRowLastColumn="0" w:lastRowFirstColumn="0" w:lastRowLastColumn="0"/>
            <w:tcW w:w="2486" w:type="dxa"/>
          </w:tcPr>
          <w:p w14:paraId="459EAB30" w14:textId="77777777" w:rsidR="003D527E" w:rsidRPr="00AA1BB1" w:rsidRDefault="003D527E">
            <w:pPr>
              <w:spacing w:before="60"/>
            </w:pPr>
            <w:r w:rsidRPr="00AA1BB1">
              <w:t>t CO</w:t>
            </w:r>
            <w:r w:rsidRPr="00D41A58">
              <w:rPr>
                <w:vertAlign w:val="subscript"/>
              </w:rPr>
              <w:t>2</w:t>
            </w:r>
            <w:r w:rsidRPr="00AA1BB1">
              <w:t>-e</w:t>
            </w:r>
          </w:p>
        </w:tc>
        <w:tc>
          <w:tcPr>
            <w:tcW w:w="7244" w:type="dxa"/>
          </w:tcPr>
          <w:p w14:paraId="731A2B06" w14:textId="77777777" w:rsidR="003D527E" w:rsidRPr="00AA1BB1" w:rsidRDefault="003D527E">
            <w:pPr>
              <w:spacing w:before="60"/>
              <w:cnfStyle w:val="000000000000" w:firstRow="0" w:lastRow="0" w:firstColumn="0" w:lastColumn="0" w:oddVBand="0" w:evenVBand="0" w:oddHBand="0" w:evenHBand="0" w:firstRowFirstColumn="0" w:firstRowLastColumn="0" w:lastRowFirstColumn="0" w:lastRowLastColumn="0"/>
            </w:pPr>
            <w:r w:rsidRPr="00AA1BB1">
              <w:t>Tonnes carbon dioxide equivalence</w:t>
            </w:r>
          </w:p>
        </w:tc>
      </w:tr>
      <w:tr w:rsidR="003D527E" w:rsidRPr="00AA1BB1" w14:paraId="765BCD5A" w14:textId="77777777">
        <w:tc>
          <w:tcPr>
            <w:cnfStyle w:val="001000000000" w:firstRow="0" w:lastRow="0" w:firstColumn="1" w:lastColumn="0" w:oddVBand="0" w:evenVBand="0" w:oddHBand="0" w:evenHBand="0" w:firstRowFirstColumn="0" w:firstRowLastColumn="0" w:lastRowFirstColumn="0" w:lastRowLastColumn="0"/>
            <w:tcW w:w="2486" w:type="dxa"/>
          </w:tcPr>
          <w:p w14:paraId="434F4C87" w14:textId="77777777" w:rsidR="003D527E" w:rsidRPr="00AA1BB1" w:rsidRDefault="003D527E">
            <w:pPr>
              <w:spacing w:before="60"/>
            </w:pPr>
            <w:r>
              <w:t>2006 IPCC Guidelines</w:t>
            </w:r>
          </w:p>
        </w:tc>
        <w:tc>
          <w:tcPr>
            <w:tcW w:w="7244" w:type="dxa"/>
          </w:tcPr>
          <w:p w14:paraId="5437A903" w14:textId="536DAD1A" w:rsidR="003D527E" w:rsidRPr="00AA1BB1" w:rsidRDefault="003D527E">
            <w:pPr>
              <w:spacing w:before="60"/>
              <w:cnfStyle w:val="000000000000" w:firstRow="0" w:lastRow="0" w:firstColumn="0" w:lastColumn="0" w:oddVBand="0" w:evenVBand="0" w:oddHBand="0" w:evenHBand="0" w:firstRowFirstColumn="0" w:firstRowLastColumn="0" w:lastRowFirstColumn="0" w:lastRowLastColumn="0"/>
            </w:pPr>
            <w:hyperlink r:id="rId23" w:tooltip="A link to the 2006 Guidelines for National Greenhouse Gas Inventories on the IPCC website" w:history="1">
              <w:r w:rsidRPr="006B0AC2">
                <w:rPr>
                  <w:rStyle w:val="Hyperlink"/>
                  <w:rFonts w:asciiTheme="minorHAnsi" w:hAnsiTheme="minorHAnsi"/>
                </w:rPr>
                <w:t>2006 IPCC Guidelines f</w:t>
              </w:r>
              <w:bookmarkStart w:id="6" w:name="_Hlk46221738"/>
              <w:r w:rsidRPr="006B0AC2">
                <w:rPr>
                  <w:rStyle w:val="Hyperlink"/>
                  <w:rFonts w:asciiTheme="minorHAnsi" w:hAnsiTheme="minorHAnsi"/>
                </w:rPr>
                <w:t>or National Greenhouse Gas Inventories</w:t>
              </w:r>
              <w:bookmarkEnd w:id="6"/>
            </w:hyperlink>
            <w:r>
              <w:rPr>
                <w:rStyle w:val="FootnoteReference"/>
              </w:rPr>
              <w:footnoteReference w:id="3"/>
            </w:r>
            <w:r>
              <w:t xml:space="preserve"> as published by the Intergovernmental Panel on climate change. </w:t>
            </w:r>
          </w:p>
        </w:tc>
      </w:tr>
    </w:tbl>
    <w:p w14:paraId="0209906D" w14:textId="77777777" w:rsidR="009203F3" w:rsidRPr="00F8076C" w:rsidRDefault="009203F3" w:rsidP="009203F3">
      <w:pPr>
        <w:pStyle w:val="BodyText1"/>
      </w:pPr>
      <w:r w:rsidRPr="00F8076C">
        <w:t xml:space="preserve">Terms in NGER legislation may have specific meanings within the law. These key words and phrases are normally identified under a heading such as Definitions, Interpretation or Dictionary or in other parts of the document. </w:t>
      </w:r>
    </w:p>
    <w:p w14:paraId="43F65ED8" w14:textId="3BC10FA2" w:rsidR="009203F3" w:rsidRPr="00F8076C" w:rsidRDefault="009203F3" w:rsidP="009203F3">
      <w:pPr>
        <w:pStyle w:val="BodyText1"/>
      </w:pPr>
      <w:r w:rsidRPr="00F8076C">
        <w:t xml:space="preserve">For more information on interpreting legislation see </w:t>
      </w:r>
      <w:hyperlink r:id="rId24" w:tooltip="A link to the Australian Government webiste, The Federal Register of Legislation - Understanding Legislation" w:history="1">
        <w:r w:rsidRPr="00F8076C">
          <w:rPr>
            <w:rStyle w:val="Hyperlink"/>
            <w:rFonts w:asciiTheme="minorHAnsi" w:hAnsiTheme="minorHAnsi"/>
          </w:rPr>
          <w:t>Federal Register of Legislation - Understanding Legislation</w:t>
        </w:r>
      </w:hyperlink>
      <w:r>
        <w:rPr>
          <w:rStyle w:val="FootnoteReference"/>
          <w:lang w:val="en-GB"/>
        </w:rPr>
        <w:footnoteReference w:id="4"/>
      </w:r>
      <w:r w:rsidRPr="00F8076C">
        <w:t>.</w:t>
      </w:r>
    </w:p>
    <w:p w14:paraId="4F3E4F76" w14:textId="77777777" w:rsidR="003D527E" w:rsidRDefault="003D527E" w:rsidP="003D527E">
      <w:pPr>
        <w:pStyle w:val="Heading1"/>
      </w:pPr>
      <w:bookmarkStart w:id="7" w:name="_Toc45176990"/>
      <w:bookmarkStart w:id="8" w:name="_Toc45177245"/>
      <w:bookmarkStart w:id="9" w:name="_Toc105410910"/>
      <w:bookmarkStart w:id="10" w:name="_Toc106193891"/>
      <w:bookmarkStart w:id="11" w:name="_Toc206589074"/>
      <w:r w:rsidRPr="00922316">
        <w:t>Disclaimer</w:t>
      </w:r>
      <w:bookmarkEnd w:id="7"/>
      <w:bookmarkEnd w:id="8"/>
      <w:bookmarkEnd w:id="9"/>
      <w:bookmarkEnd w:id="10"/>
      <w:bookmarkEnd w:id="11"/>
    </w:p>
    <w:p w14:paraId="247B3D0F" w14:textId="34BAD502" w:rsidR="003D527E" w:rsidRDefault="003D527E" w:rsidP="003D527E">
      <w:pPr>
        <w:rPr>
          <w:lang w:eastAsia="en-AU"/>
        </w:rPr>
      </w:pPr>
      <w:r>
        <w:rPr>
          <w:lang w:eastAsia="en-AU"/>
        </w:rPr>
        <w:t>This</w:t>
      </w:r>
      <w:r>
        <w:rPr>
          <w:i/>
          <w:iCs/>
          <w:lang w:eastAsia="en-AU"/>
        </w:rPr>
        <w:t xml:space="preserve"> </w:t>
      </w:r>
      <w:r>
        <w:rPr>
          <w:lang w:eastAsia="en-AU"/>
        </w:rPr>
        <w:t>guideline has been developed by the Clean Energy Regulator (</w:t>
      </w:r>
      <w:r w:rsidR="00244A7D">
        <w:rPr>
          <w:lang w:eastAsia="en-AU"/>
        </w:rPr>
        <w:t>CER</w:t>
      </w:r>
      <w:r>
        <w:rPr>
          <w:lang w:eastAsia="en-AU"/>
        </w:rPr>
        <w:t xml:space="preserve">) to assist entities to comply with their reporting obligations under the </w:t>
      </w:r>
      <w:hyperlink r:id="rId25" w:tooltip="A link to the Australian Government legislation - the National Greenhouse and Energy reporting act 2007" w:history="1">
        <w:r w:rsidRPr="00A66E00">
          <w:rPr>
            <w:rStyle w:val="Hyperlink"/>
            <w:rFonts w:cs="Calibri"/>
            <w:i/>
            <w:iCs/>
            <w:szCs w:val="22"/>
            <w:lang w:eastAsia="en-AU"/>
          </w:rPr>
          <w:t>National Greenhouse and Energy Reporting Act 2007</w:t>
        </w:r>
      </w:hyperlink>
      <w:r>
        <w:rPr>
          <w:rStyle w:val="FootnoteReference"/>
          <w:rFonts w:ascii="Calibri" w:hAnsi="Calibri" w:cs="Calibri"/>
          <w:i/>
          <w:iCs/>
          <w:color w:val="005874"/>
          <w:u w:val="single"/>
          <w:lang w:eastAsia="en-AU"/>
        </w:rPr>
        <w:footnoteReference w:id="5"/>
      </w:r>
      <w:r>
        <w:rPr>
          <w:i/>
          <w:iCs/>
          <w:lang w:eastAsia="en-AU"/>
        </w:rPr>
        <w:t xml:space="preserve"> </w:t>
      </w:r>
      <w:r>
        <w:rPr>
          <w:iCs/>
          <w:lang w:eastAsia="en-AU"/>
        </w:rPr>
        <w:t>(NGER Act)</w:t>
      </w:r>
      <w:r>
        <w:rPr>
          <w:i/>
          <w:iCs/>
          <w:lang w:eastAsia="en-AU"/>
        </w:rPr>
        <w:t xml:space="preserve"> </w:t>
      </w:r>
      <w:r>
        <w:rPr>
          <w:lang w:eastAsia="en-AU"/>
        </w:rPr>
        <w:t>and associated legislation.</w:t>
      </w:r>
    </w:p>
    <w:p w14:paraId="783D9099" w14:textId="1697DC6B" w:rsidR="003B7714" w:rsidRPr="000B3301" w:rsidRDefault="003D527E" w:rsidP="003B7714">
      <w:pPr>
        <w:autoSpaceDE w:val="0"/>
        <w:autoSpaceDN w:val="0"/>
        <w:adjustRightInd w:val="0"/>
        <w:rPr>
          <w:lang w:eastAsia="en-AU"/>
        </w:rPr>
      </w:pPr>
      <w:r w:rsidRPr="00D422EB">
        <w:rPr>
          <w:lang w:eastAsia="en-AU"/>
        </w:rPr>
        <w:t xml:space="preserve">This guideline only applies to the </w:t>
      </w:r>
      <w:r w:rsidR="00BE02EC">
        <w:rPr>
          <w:lang w:eastAsia="en-AU"/>
        </w:rPr>
        <w:t>2024–25</w:t>
      </w:r>
      <w:r w:rsidR="00345FAF" w:rsidRPr="00D422EB">
        <w:rPr>
          <w:lang w:eastAsia="en-AU"/>
        </w:rPr>
        <w:t xml:space="preserve"> </w:t>
      </w:r>
      <w:r w:rsidRPr="00D422EB">
        <w:rPr>
          <w:lang w:eastAsia="en-AU"/>
        </w:rPr>
        <w:t>NGER reporting year and</w:t>
      </w:r>
      <w:r w:rsidRPr="00D422EB" w:rsidDel="00D422EB">
        <w:rPr>
          <w:lang w:eastAsia="en-AU"/>
        </w:rPr>
        <w:t xml:space="preserve"> </w:t>
      </w:r>
      <w:r>
        <w:rPr>
          <w:lang w:eastAsia="en-AU"/>
        </w:rPr>
        <w:t xml:space="preserve">should be read in conjunction with the </w:t>
      </w:r>
      <w:r w:rsidRPr="00C2518E">
        <w:rPr>
          <w:iCs/>
          <w:lang w:eastAsia="en-AU"/>
        </w:rPr>
        <w:t>NGER Act</w:t>
      </w:r>
      <w:r w:rsidR="003B7714" w:rsidRPr="00D41EB0">
        <w:rPr>
          <w:lang w:eastAsia="en-AU"/>
        </w:rPr>
        <w:t>,</w:t>
      </w:r>
      <w:r>
        <w:rPr>
          <w:lang w:eastAsia="en-AU"/>
        </w:rPr>
        <w:t xml:space="preserve"> </w:t>
      </w:r>
      <w:hyperlink r:id="rId26" w:tooltip="A link to the Australian Government legislation - the National Greenhouse and Energy regulations 2008" w:history="1">
        <w:r w:rsidRPr="00D41EB0">
          <w:rPr>
            <w:rStyle w:val="Hyperlink"/>
            <w:lang w:eastAsia="en-AU"/>
          </w:rPr>
          <w:t>National Greenhouse and Energy Regulations 2008</w:t>
        </w:r>
      </w:hyperlink>
      <w:r w:rsidRPr="00D41EB0">
        <w:rPr>
          <w:rStyle w:val="FootnoteReference"/>
          <w:color w:val="000000"/>
          <w:lang w:eastAsia="en-AU"/>
        </w:rPr>
        <w:footnoteReference w:id="6"/>
      </w:r>
      <w:r w:rsidRPr="00D41EB0">
        <w:rPr>
          <w:color w:val="000000"/>
          <w:lang w:eastAsia="en-AU"/>
        </w:rPr>
        <w:t xml:space="preserve"> (</w:t>
      </w:r>
      <w:r w:rsidRPr="00C2518E">
        <w:rPr>
          <w:iCs/>
          <w:lang w:eastAsia="en-AU"/>
        </w:rPr>
        <w:t>NGER Regulations</w:t>
      </w:r>
      <w:r w:rsidR="003B7714" w:rsidRPr="00D41EB0">
        <w:rPr>
          <w:lang w:eastAsia="en-AU"/>
        </w:rPr>
        <w:t>),</w:t>
      </w:r>
      <w:r>
        <w:rPr>
          <w:lang w:eastAsia="en-AU"/>
        </w:rPr>
        <w:t xml:space="preserve"> and </w:t>
      </w:r>
      <w:hyperlink r:id="rId27" w:tooltip="A link to the Australian Government legislation - the National Greenhouse and Energy Measurement Determination" w:history="1">
        <w:r w:rsidRPr="00D41EB0">
          <w:rPr>
            <w:rStyle w:val="Hyperlink"/>
            <w:lang w:eastAsia="en-AU"/>
          </w:rPr>
          <w:t>National Greenhouse and Energy Reporting (Measurement) Determination 2008</w:t>
        </w:r>
      </w:hyperlink>
      <w:r w:rsidRPr="00D41EB0">
        <w:rPr>
          <w:rStyle w:val="FootnoteReference"/>
          <w:color w:val="000000"/>
          <w:lang w:eastAsia="en-AU"/>
        </w:rPr>
        <w:footnoteReference w:id="7"/>
      </w:r>
      <w:r>
        <w:rPr>
          <w:lang w:eastAsia="en-AU"/>
        </w:rPr>
        <w:t xml:space="preserve"> (NGER Measurement Determination), </w:t>
      </w:r>
      <w:r w:rsidRPr="00290A47">
        <w:rPr>
          <w:lang w:eastAsia="en-AU"/>
        </w:rPr>
        <w:t>as in force for this reporting period</w:t>
      </w:r>
      <w:r>
        <w:rPr>
          <w:lang w:eastAsia="en-AU"/>
        </w:rPr>
        <w:t xml:space="preserve">. </w:t>
      </w:r>
      <w:r w:rsidR="003B7714" w:rsidRPr="004C131A">
        <w:rPr>
          <w:lang w:eastAsia="en-AU"/>
        </w:rPr>
        <w:t>These</w:t>
      </w:r>
      <w:r w:rsidR="003B7714" w:rsidRPr="000B3301">
        <w:rPr>
          <w:lang w:eastAsia="en-AU"/>
        </w:rPr>
        <w:t xml:space="preserve"> laws and their interpretation are subject to change, which may affect the accuracy of the information contained in the guideline.</w:t>
      </w:r>
    </w:p>
    <w:p w14:paraId="6CE13D55" w14:textId="2ED541F2" w:rsidR="003B7714" w:rsidRPr="000B3301" w:rsidRDefault="003B7714" w:rsidP="003B7714">
      <w:pPr>
        <w:autoSpaceDE w:val="0"/>
        <w:autoSpaceDN w:val="0"/>
        <w:adjustRightInd w:val="0"/>
        <w:rPr>
          <w:lang w:eastAsia="en-AU"/>
        </w:rPr>
      </w:pPr>
      <w:r w:rsidRPr="000B3301">
        <w:rPr>
          <w:lang w:eastAsia="en-AU"/>
        </w:rPr>
        <w:t>The guidance provided in this document is not exhaustive, nor does it consider all circumstances applicable to all entities. Th</w:t>
      </w:r>
      <w:r>
        <w:rPr>
          <w:lang w:eastAsia="en-AU"/>
        </w:rPr>
        <w:t>is</w:t>
      </w:r>
      <w:r w:rsidRPr="000B3301">
        <w:rPr>
          <w:lang w:eastAsia="en-AU"/>
        </w:rPr>
        <w:t xml:space="preserve"> </w:t>
      </w:r>
      <w:r>
        <w:rPr>
          <w:lang w:eastAsia="en-AU"/>
        </w:rPr>
        <w:t>guidance</w:t>
      </w:r>
      <w:r w:rsidRPr="000B3301">
        <w:rPr>
          <w:lang w:eastAsia="en-AU"/>
        </w:rPr>
        <w:t xml:space="preserve"> is not intended to comprehensively deal with its subject area, and it is not a substitute for independent legal advice. Although entities are not bound to follow the guidance provided in this document, they must ensure they meet their obligations under the </w:t>
      </w:r>
      <w:hyperlink r:id="rId28" w:tooltip="A link to the NGER scheme page of the Clean Energy Regulator website" w:history="1">
        <w:r w:rsidRPr="00452C2E">
          <w:rPr>
            <w:rStyle w:val="Hyperlink"/>
            <w:lang w:eastAsia="en-AU"/>
          </w:rPr>
          <w:t xml:space="preserve">National Greenhouse and Energy Reporting (NGER) </w:t>
        </w:r>
        <w:r w:rsidR="009E3B66">
          <w:rPr>
            <w:rStyle w:val="Hyperlink"/>
            <w:lang w:eastAsia="en-AU"/>
          </w:rPr>
          <w:t>S</w:t>
        </w:r>
        <w:r w:rsidRPr="00452C2E">
          <w:rPr>
            <w:rStyle w:val="Hyperlink"/>
            <w:lang w:eastAsia="en-AU"/>
          </w:rPr>
          <w:t>cheme</w:t>
        </w:r>
      </w:hyperlink>
      <w:r>
        <w:rPr>
          <w:rStyle w:val="FootnoteReference"/>
          <w:lang w:eastAsia="en-AU"/>
        </w:rPr>
        <w:footnoteReference w:id="8"/>
      </w:r>
      <w:r w:rsidRPr="000B3301">
        <w:rPr>
          <w:lang w:eastAsia="en-AU"/>
        </w:rPr>
        <w:t xml:space="preserve"> at all times. </w:t>
      </w:r>
      <w:r w:rsidR="00421A37">
        <w:rPr>
          <w:lang w:eastAsia="en-AU"/>
        </w:rPr>
        <w:t>CER</w:t>
      </w:r>
      <w:r w:rsidRPr="000B3301">
        <w:rPr>
          <w:lang w:eastAsia="en-AU"/>
        </w:rPr>
        <w:t xml:space="preserve"> encourages all users of this </w:t>
      </w:r>
      <w:r>
        <w:rPr>
          <w:lang w:eastAsia="en-AU"/>
        </w:rPr>
        <w:t>guidance</w:t>
      </w:r>
      <w:r w:rsidRPr="000B3301">
        <w:rPr>
          <w:lang w:eastAsia="en-AU"/>
        </w:rPr>
        <w:t xml:space="preserve"> to seek independent legal advice before taking any action or decision </w:t>
      </w:r>
      <w:proofErr w:type="gramStart"/>
      <w:r w:rsidRPr="000B3301">
        <w:rPr>
          <w:lang w:eastAsia="en-AU"/>
        </w:rPr>
        <w:t>on the basis of</w:t>
      </w:r>
      <w:proofErr w:type="gramEnd"/>
      <w:r w:rsidRPr="000B3301">
        <w:rPr>
          <w:lang w:eastAsia="en-AU"/>
        </w:rPr>
        <w:t xml:space="preserve"> this </w:t>
      </w:r>
      <w:r>
        <w:rPr>
          <w:lang w:eastAsia="en-AU"/>
        </w:rPr>
        <w:t>guidance</w:t>
      </w:r>
      <w:r w:rsidRPr="000B3301">
        <w:rPr>
          <w:lang w:eastAsia="en-AU"/>
        </w:rPr>
        <w:t>.</w:t>
      </w:r>
    </w:p>
    <w:p w14:paraId="40C771C9" w14:textId="24B7F63C" w:rsidR="003D527E" w:rsidRDefault="00421A37" w:rsidP="003D527E">
      <w:r>
        <w:t>CER</w:t>
      </w:r>
      <w:r w:rsidR="003D527E">
        <w:t xml:space="preserve"> and the Commonwealth of Australia will not be liable for any loss or damage from any cause (including negligence) whether arising directly, </w:t>
      </w:r>
      <w:r w:rsidR="00862643">
        <w:t>incidentally,</w:t>
      </w:r>
      <w:r w:rsidR="003D527E">
        <w:t xml:space="preserve"> or as consequential loss, out of or in connection with, any use of this guideline or reliance on it, for any purpose. </w:t>
      </w:r>
    </w:p>
    <w:p w14:paraId="3E65051C" w14:textId="5A1E98A9" w:rsidR="003D527E" w:rsidRPr="00922316" w:rsidRDefault="003D527E" w:rsidP="003D527E">
      <w:r>
        <w:t xml:space="preserve">If an entity chooses to meet their obligations under the NGER scheme in a manner that is inconsistent with the guidance provided in this document, </w:t>
      </w:r>
      <w:r w:rsidR="00421A37">
        <w:t>CER</w:t>
      </w:r>
      <w:r>
        <w:t>, or an independent auditor, may require the entity to demonstrate that they are compliant with requirements of the NGER Act, NGER Regulations, and the NGER Measurement Determination. Entities are responsible for determining their obligations under the law and for applying the law to their individual circumstances.</w:t>
      </w:r>
      <w:r>
        <w:br w:type="page"/>
      </w:r>
    </w:p>
    <w:p w14:paraId="4481DBE3" w14:textId="0EC325C4" w:rsidR="003D527E" w:rsidRPr="00A56C3A" w:rsidRDefault="00BE02EC" w:rsidP="00A84368">
      <w:pPr>
        <w:pStyle w:val="Heading2"/>
      </w:pPr>
      <w:bookmarkStart w:id="12" w:name="_Toc106193892"/>
      <w:bookmarkStart w:id="13" w:name="_Toc206589075"/>
      <w:bookmarkStart w:id="14" w:name="_Toc45176991"/>
      <w:bookmarkStart w:id="15" w:name="_Toc45177246"/>
      <w:bookmarkStart w:id="16" w:name="_Toc105410911"/>
      <w:r>
        <w:rPr>
          <w:rStyle w:val="normaltextrun"/>
          <w:rFonts w:eastAsiaTheme="minorEastAsia"/>
        </w:rPr>
        <w:t>2024–25</w:t>
      </w:r>
      <w:r w:rsidR="003D527E" w:rsidRPr="00A84368">
        <w:rPr>
          <w:rStyle w:val="normaltextrun"/>
          <w:rFonts w:eastAsiaTheme="minorEastAsia"/>
        </w:rPr>
        <w:t xml:space="preserve"> updates</w:t>
      </w:r>
      <w:bookmarkEnd w:id="12"/>
      <w:bookmarkEnd w:id="13"/>
      <w:r w:rsidR="003D527E" w:rsidRPr="00A84368">
        <w:rPr>
          <w:rStyle w:val="eop"/>
          <w:rFonts w:eastAsiaTheme="minorEastAsia"/>
        </w:rPr>
        <w:t> </w:t>
      </w:r>
    </w:p>
    <w:p w14:paraId="44DD6FB4" w14:textId="6C0148AA" w:rsidR="003D527E" w:rsidRDefault="003D527E" w:rsidP="003D527E">
      <w:pPr>
        <w:rPr>
          <w:rFonts w:ascii="Segoe UI" w:hAnsi="Segoe UI" w:cs="Segoe UI"/>
          <w:sz w:val="18"/>
          <w:szCs w:val="18"/>
        </w:rPr>
      </w:pPr>
      <w:r>
        <w:rPr>
          <w:rStyle w:val="normaltextrun"/>
          <w:rFonts w:ascii="Calibri" w:hAnsi="Calibri" w:cs="Calibri"/>
          <w:color w:val="000000"/>
          <w:szCs w:val="22"/>
        </w:rPr>
        <w:t xml:space="preserve">Changes in this document for the </w:t>
      </w:r>
      <w:r w:rsidR="00BE02EC">
        <w:rPr>
          <w:rStyle w:val="normaltextrun"/>
          <w:rFonts w:ascii="Calibri" w:hAnsi="Calibri" w:cs="Calibri"/>
          <w:color w:val="000000"/>
          <w:szCs w:val="22"/>
        </w:rPr>
        <w:t>2024–25</w:t>
      </w:r>
      <w:r>
        <w:rPr>
          <w:rStyle w:val="normaltextrun"/>
          <w:rFonts w:ascii="Calibri" w:hAnsi="Calibri" w:cs="Calibri"/>
          <w:color w:val="000000"/>
          <w:szCs w:val="22"/>
        </w:rPr>
        <w:t xml:space="preserve"> reporting year:</w:t>
      </w:r>
      <w:r>
        <w:rPr>
          <w:rStyle w:val="eop"/>
          <w:rFonts w:ascii="Calibri" w:hAnsi="Calibri" w:cs="Calibri"/>
          <w:color w:val="000000"/>
        </w:rPr>
        <w:t> </w:t>
      </w:r>
    </w:p>
    <w:p w14:paraId="14335060" w14:textId="32115037" w:rsidR="002D45A8" w:rsidRDefault="002D45A8" w:rsidP="00203235">
      <w:pPr>
        <w:pStyle w:val="CERbullets"/>
        <w:rPr>
          <w:szCs w:val="22"/>
        </w:rPr>
      </w:pPr>
      <w:r>
        <w:rPr>
          <w:rStyle w:val="normaltextrun"/>
          <w:rFonts w:ascii="Calibri" w:eastAsiaTheme="minorEastAsia" w:hAnsi="Calibri" w:cs="Calibri"/>
          <w:lang w:val="en-GB"/>
        </w:rPr>
        <w:t>Minor stylistic and formatting changes have been made to this document</w:t>
      </w:r>
      <w:r w:rsidR="004B24AD">
        <w:rPr>
          <w:rStyle w:val="normaltextrun"/>
          <w:rFonts w:ascii="Calibri" w:eastAsiaTheme="minorEastAsia" w:hAnsi="Calibri" w:cs="Calibri"/>
          <w:lang w:val="en-GB"/>
        </w:rPr>
        <w:t>.</w:t>
      </w:r>
      <w:r>
        <w:rPr>
          <w:rStyle w:val="scxw204179383"/>
          <w:rFonts w:ascii="Calibri" w:hAnsi="Calibri" w:cs="Calibri"/>
          <w:szCs w:val="22"/>
        </w:rPr>
        <w:t> </w:t>
      </w:r>
      <w:r>
        <w:rPr>
          <w:szCs w:val="22"/>
        </w:rPr>
        <w:br/>
      </w:r>
      <w:r>
        <w:rPr>
          <w:rStyle w:val="eop"/>
          <w:rFonts w:ascii="Calibri" w:hAnsi="Calibri" w:cs="Calibri"/>
          <w:szCs w:val="22"/>
        </w:rPr>
        <w:t> </w:t>
      </w:r>
    </w:p>
    <w:p w14:paraId="0F9F2228" w14:textId="36BBA445" w:rsidR="002D45A8" w:rsidRDefault="002D45A8" w:rsidP="002D45A8">
      <w:pPr>
        <w:pStyle w:val="paragraph"/>
        <w:spacing w:before="0" w:beforeAutospacing="0" w:after="0" w:afterAutospacing="0"/>
        <w:textAlignment w:val="baseline"/>
        <w:rPr>
          <w:rFonts w:ascii="Calibri" w:hAnsi="Calibri" w:cs="Calibri"/>
          <w:sz w:val="22"/>
          <w:szCs w:val="22"/>
        </w:rPr>
      </w:pPr>
      <w:r>
        <w:rPr>
          <w:rStyle w:val="normaltextrun"/>
          <w:rFonts w:ascii="Calibri" w:eastAsiaTheme="minorEastAsia" w:hAnsi="Calibri" w:cs="Calibri"/>
          <w:sz w:val="22"/>
        </w:rPr>
        <w:t xml:space="preserve">Read about the </w:t>
      </w:r>
      <w:hyperlink r:id="rId29" w:tooltip="A link to the NGER amendments page of the Clean Energy Regulator website" w:history="1">
        <w:r w:rsidR="009D2821">
          <w:rPr>
            <w:rStyle w:val="normaltextrun"/>
            <w:rFonts w:ascii="Calibri" w:eastAsiaTheme="minorEastAsia" w:hAnsi="Calibri" w:cs="Calibri"/>
            <w:color w:val="006C93"/>
            <w:sz w:val="22"/>
            <w:u w:val="single"/>
          </w:rPr>
          <w:t xml:space="preserve">changes to the NGER Legislation for the </w:t>
        </w:r>
        <w:r w:rsidR="00BE02EC">
          <w:rPr>
            <w:rStyle w:val="normaltextrun"/>
            <w:rFonts w:ascii="Calibri" w:eastAsiaTheme="minorEastAsia" w:hAnsi="Calibri" w:cs="Calibri"/>
            <w:color w:val="006C93"/>
            <w:sz w:val="22"/>
            <w:u w:val="single"/>
          </w:rPr>
          <w:t>2024–25</w:t>
        </w:r>
        <w:r w:rsidR="009D2821">
          <w:rPr>
            <w:rStyle w:val="normaltextrun"/>
            <w:rFonts w:ascii="Calibri" w:eastAsiaTheme="minorEastAsia" w:hAnsi="Calibri" w:cs="Calibri"/>
            <w:color w:val="006C93"/>
            <w:sz w:val="22"/>
            <w:u w:val="single"/>
          </w:rPr>
          <w:t xml:space="preserve"> reporting period</w:t>
        </w:r>
      </w:hyperlink>
      <w:r w:rsidR="009D2821">
        <w:rPr>
          <w:rStyle w:val="FootnoteReference"/>
          <w:rFonts w:ascii="Calibri" w:hAnsi="Calibri" w:cs="Calibri"/>
          <w:sz w:val="22"/>
          <w:szCs w:val="22"/>
        </w:rPr>
        <w:footnoteReference w:id="9"/>
      </w:r>
      <w:r>
        <w:rPr>
          <w:rStyle w:val="normaltextrun"/>
          <w:rFonts w:ascii="Calibri" w:eastAsiaTheme="minorEastAsia" w:hAnsi="Calibri" w:cs="Calibri"/>
          <w:sz w:val="22"/>
        </w:rPr>
        <w:t>.  </w:t>
      </w:r>
      <w:r>
        <w:rPr>
          <w:rStyle w:val="eop"/>
          <w:rFonts w:ascii="Calibri" w:hAnsi="Calibri" w:cs="Calibri"/>
          <w:sz w:val="22"/>
          <w:szCs w:val="22"/>
        </w:rPr>
        <w:t> </w:t>
      </w:r>
    </w:p>
    <w:p w14:paraId="54B954B0" w14:textId="77777777" w:rsidR="003D527E" w:rsidRDefault="003D527E" w:rsidP="005C0C5C">
      <w:pPr>
        <w:pStyle w:val="Heading1"/>
        <w:numPr>
          <w:ilvl w:val="0"/>
          <w:numId w:val="35"/>
        </w:numPr>
      </w:pPr>
      <w:bookmarkStart w:id="17" w:name="_Toc106193893"/>
      <w:bookmarkStart w:id="18" w:name="_Toc206589076"/>
      <w:r>
        <w:t>Overview</w:t>
      </w:r>
      <w:bookmarkEnd w:id="14"/>
      <w:bookmarkEnd w:id="15"/>
      <w:bookmarkEnd w:id="16"/>
      <w:bookmarkEnd w:id="17"/>
      <w:bookmarkEnd w:id="18"/>
    </w:p>
    <w:p w14:paraId="64F2B90E" w14:textId="5580C181" w:rsidR="003D527E" w:rsidRDefault="003D527E" w:rsidP="00DC6A85">
      <w:pPr>
        <w:spacing w:before="240"/>
      </w:pPr>
      <w:r>
        <w:t xml:space="preserve">The NGER Act requires entities that reach certain thresholds to register with </w:t>
      </w:r>
      <w:r w:rsidR="00421A37">
        <w:t xml:space="preserve">CER </w:t>
      </w:r>
      <w:r>
        <w:t xml:space="preserve">and report their greenhouse gas emissions, energy consumption and energy production. </w:t>
      </w:r>
    </w:p>
    <w:p w14:paraId="4EB2351D" w14:textId="77777777" w:rsidR="003D527E" w:rsidRDefault="003D527E" w:rsidP="003D527E">
      <w:r>
        <w:t>This guideline is intended to provide general information to assist registered reporters in defining and reporting industrial processes under the NGER Act.</w:t>
      </w:r>
    </w:p>
    <w:p w14:paraId="25AC6A03" w14:textId="2F7046A1" w:rsidR="003D527E" w:rsidRDefault="003D527E" w:rsidP="003D527E">
      <w:r>
        <w:t xml:space="preserve">This guideline should be read in conjunction with the NGER Act, the NGER Regulations and the NGER Measurement Determination. Current versions are available on the Australian Government’s </w:t>
      </w:r>
      <w:hyperlink r:id="rId30" w:tooltip="A link to the Australian Government legislation website" w:history="1">
        <w:r w:rsidRPr="00AF5ECF">
          <w:rPr>
            <w:rStyle w:val="Hyperlink"/>
            <w:rFonts w:asciiTheme="minorHAnsi" w:hAnsiTheme="minorHAnsi"/>
          </w:rPr>
          <w:t>legislation website</w:t>
        </w:r>
      </w:hyperlink>
      <w:r>
        <w:rPr>
          <w:rStyle w:val="FootnoteReference"/>
          <w:color w:val="005874"/>
          <w:u w:val="single"/>
        </w:rPr>
        <w:footnoteReference w:id="10"/>
      </w:r>
      <w:r>
        <w:t xml:space="preserve">. </w:t>
      </w:r>
    </w:p>
    <w:p w14:paraId="626BABB6" w14:textId="77777777" w:rsidR="003D527E" w:rsidRDefault="003D527E" w:rsidP="003D527E">
      <w:pPr>
        <w:spacing w:after="0"/>
      </w:pPr>
      <w:r>
        <w:t>Industrial process emissions are a significant source of emissions in Australia and are generated from a wide variety of activities. Sources of industrial process emissions include:</w:t>
      </w:r>
    </w:p>
    <w:p w14:paraId="57A74EEA" w14:textId="6D1000C0" w:rsidR="003D527E" w:rsidRPr="00922316" w:rsidRDefault="68CD0E6B" w:rsidP="003D527E">
      <w:pPr>
        <w:pStyle w:val="CERbullets"/>
      </w:pPr>
      <w:r>
        <w:t>m</w:t>
      </w:r>
      <w:r w:rsidR="003D527E">
        <w:t>ineral</w:t>
      </w:r>
      <w:r w:rsidR="003D527E" w:rsidRPr="00922316">
        <w:t xml:space="preserve"> products — emissions from the consumption (heating) of carbonate materials (such as limestone) and from processes that generate carbon dioxide</w:t>
      </w:r>
      <w:r w:rsidR="00E74B4D">
        <w:t xml:space="preserve"> </w:t>
      </w:r>
      <w:r w:rsidR="003D527E" w:rsidRPr="00922316">
        <w:t>from the use of carbonates</w:t>
      </w:r>
    </w:p>
    <w:p w14:paraId="488B5321" w14:textId="19E1E4CB" w:rsidR="003D527E" w:rsidRPr="00922316" w:rsidRDefault="0B0D58B1" w:rsidP="003D527E">
      <w:pPr>
        <w:pStyle w:val="CERbullets"/>
      </w:pPr>
      <w:r>
        <w:t>c</w:t>
      </w:r>
      <w:r w:rsidR="003D527E">
        <w:t>hemical</w:t>
      </w:r>
      <w:r w:rsidR="003D527E" w:rsidRPr="00922316">
        <w:t xml:space="preserve"> industry — emissions from using fuels as a feedstock or reductant</w:t>
      </w:r>
    </w:p>
    <w:p w14:paraId="2400F6F3" w14:textId="153775CD" w:rsidR="003D527E" w:rsidRPr="00922316" w:rsidRDefault="6B0B5B71" w:rsidP="003D527E">
      <w:pPr>
        <w:pStyle w:val="CERbullets"/>
      </w:pPr>
      <w:r>
        <w:t>m</w:t>
      </w:r>
      <w:r w:rsidR="003D527E">
        <w:t>etal</w:t>
      </w:r>
      <w:r w:rsidR="003D527E" w:rsidRPr="00922316">
        <w:t xml:space="preserve"> products — emissions from the use of fuels </w:t>
      </w:r>
      <w:r w:rsidR="003D527E">
        <w:t>(</w:t>
      </w:r>
      <w:r w:rsidR="003D527E" w:rsidRPr="00922316">
        <w:t>such as coke</w:t>
      </w:r>
      <w:r w:rsidR="003D527E">
        <w:t>)</w:t>
      </w:r>
      <w:r w:rsidR="003D527E" w:rsidRPr="00922316">
        <w:t xml:space="preserve"> as carbon reductants, and from perfluorocarbons released from aluminium metal production</w:t>
      </w:r>
    </w:p>
    <w:p w14:paraId="540E9993" w14:textId="0BAF0827" w:rsidR="003D527E" w:rsidRPr="00922316" w:rsidRDefault="462DFDC1" w:rsidP="003D527E">
      <w:pPr>
        <w:pStyle w:val="CERbullets"/>
      </w:pPr>
      <w:r>
        <w:t>s</w:t>
      </w:r>
      <w:r w:rsidR="003D527E">
        <w:t>ynthetic</w:t>
      </w:r>
      <w:r w:rsidR="003D527E" w:rsidRPr="00922316">
        <w:t xml:space="preserve"> gas emissions — the release of hydrofluorocarbons and sulphur hexafluoride</w:t>
      </w:r>
      <w:r w:rsidR="00037DFA">
        <w:t xml:space="preserve"> </w:t>
      </w:r>
      <w:r w:rsidR="003D527E" w:rsidRPr="00922316">
        <w:t>including release as fugitive emissions or leakages.</w:t>
      </w:r>
    </w:p>
    <w:p w14:paraId="4F267950" w14:textId="5DD24290" w:rsidR="003D527E" w:rsidRDefault="003D527E" w:rsidP="003D527E">
      <w:pPr>
        <w:rPr>
          <w:rFonts w:eastAsia="Times New Roman"/>
          <w:b/>
          <w:color w:val="005874"/>
          <w:sz w:val="30"/>
          <w:szCs w:val="30"/>
        </w:rPr>
      </w:pPr>
      <w:r>
        <w:t xml:space="preserve">Other sources of emissions released </w:t>
      </w:r>
      <w:r w:rsidR="00D520D8">
        <w:t>during</w:t>
      </w:r>
      <w:r>
        <w:t xml:space="preserve"> these industrial processes, such as from the combustion of fuels for energy, are not referred to in this guidance document. Further</w:t>
      </w:r>
      <w:r w:rsidR="008052C5">
        <w:t xml:space="preserve"> guidance is available at</w:t>
      </w:r>
      <w:r>
        <w:t xml:space="preserve"> </w:t>
      </w:r>
      <w:hyperlink r:id="rId31" w:tooltip="A link to the NGER reporting guides on the Clean Energy Regulator website" w:history="1">
        <w:r w:rsidR="00C532E5">
          <w:rPr>
            <w:rStyle w:val="Hyperlink"/>
            <w:rFonts w:asciiTheme="minorHAnsi" w:hAnsiTheme="minorHAnsi"/>
          </w:rPr>
          <w:t>NGER Reporting Guides</w:t>
        </w:r>
      </w:hyperlink>
      <w:r w:rsidRPr="006F00DA">
        <w:rPr>
          <w:rStyle w:val="FootnoteReference"/>
          <w:color w:val="005874"/>
        </w:rPr>
        <w:footnoteReference w:id="11"/>
      </w:r>
      <w:r>
        <w:t>.</w:t>
      </w:r>
    </w:p>
    <w:p w14:paraId="7F5AE179" w14:textId="77777777" w:rsidR="00DC4549" w:rsidRDefault="00DC4549">
      <w:pPr>
        <w:spacing w:after="0"/>
        <w:rPr>
          <w:rFonts w:ascii="Calibri" w:eastAsia="Times New Roman" w:hAnsi="Calibri" w:cs="Calibri"/>
          <w:b/>
          <w:bCs/>
          <w:kern w:val="32"/>
          <w:sz w:val="40"/>
        </w:rPr>
      </w:pPr>
      <w:bookmarkStart w:id="19" w:name="_Toc45176992"/>
      <w:bookmarkStart w:id="20" w:name="_Toc45177247"/>
      <w:bookmarkStart w:id="21" w:name="_Toc105410912"/>
      <w:bookmarkStart w:id="22" w:name="_Toc106193894"/>
      <w:r>
        <w:br w:type="page"/>
      </w:r>
    </w:p>
    <w:p w14:paraId="1208D4E5" w14:textId="4A141448" w:rsidR="003D527E" w:rsidRDefault="003D527E" w:rsidP="005C0C5C">
      <w:pPr>
        <w:pStyle w:val="Heading1"/>
        <w:numPr>
          <w:ilvl w:val="0"/>
          <w:numId w:val="35"/>
        </w:numPr>
      </w:pPr>
      <w:bookmarkStart w:id="23" w:name="_Toc206589077"/>
      <w:r>
        <w:t>Mineral Products</w:t>
      </w:r>
      <w:bookmarkEnd w:id="19"/>
      <w:bookmarkEnd w:id="20"/>
      <w:bookmarkEnd w:id="21"/>
      <w:bookmarkEnd w:id="22"/>
      <w:bookmarkEnd w:id="23"/>
    </w:p>
    <w:p w14:paraId="77DC1F11" w14:textId="77777777" w:rsidR="003D527E" w:rsidRDefault="003D527E" w:rsidP="00DC6A85">
      <w:pPr>
        <w:spacing w:before="240"/>
      </w:pPr>
      <w:r>
        <w:t>Part 4.2 of the NGER Measurement Determination applies to any industry that generates emissions of carbon dioxide through the consumption of carbonates such as calcium carbonate (limestone) or magnesium carbonate.</w:t>
      </w:r>
    </w:p>
    <w:p w14:paraId="305783DB" w14:textId="73B596A8" w:rsidR="00FB0522" w:rsidRDefault="00C219C8" w:rsidP="003D527E">
      <w:r>
        <w:t xml:space="preserve">Section 2 </w:t>
      </w:r>
      <w:r w:rsidR="00B36EEE">
        <w:t xml:space="preserve">of this guidance </w:t>
      </w:r>
      <w:r>
        <w:t>outlines:</w:t>
      </w:r>
    </w:p>
    <w:p w14:paraId="1F8F7AEE" w14:textId="670E7B4C" w:rsidR="00C219C8" w:rsidRDefault="00C219C8" w:rsidP="006F6A94">
      <w:pPr>
        <w:pStyle w:val="CERbullets"/>
        <w:numPr>
          <w:ilvl w:val="1"/>
          <w:numId w:val="47"/>
        </w:numPr>
        <w:ind w:left="360"/>
      </w:pPr>
      <w:r>
        <w:t>Cement clinker production</w:t>
      </w:r>
      <w:r w:rsidR="00F525B4">
        <w:t xml:space="preserve"> (2.1)</w:t>
      </w:r>
    </w:p>
    <w:p w14:paraId="49895EA9" w14:textId="144DE6A5" w:rsidR="00C219C8" w:rsidRDefault="00F525B4" w:rsidP="006F6A94">
      <w:pPr>
        <w:pStyle w:val="CERbullets"/>
        <w:numPr>
          <w:ilvl w:val="1"/>
          <w:numId w:val="47"/>
        </w:numPr>
        <w:ind w:left="360"/>
      </w:pPr>
      <w:r>
        <w:t>Lime production (2.2)</w:t>
      </w:r>
    </w:p>
    <w:p w14:paraId="1531F25A" w14:textId="7E6D8964" w:rsidR="00F525B4" w:rsidRPr="00830EFD" w:rsidRDefault="00830EFD" w:rsidP="006F6A94">
      <w:pPr>
        <w:pStyle w:val="CERbullets"/>
        <w:numPr>
          <w:ilvl w:val="1"/>
          <w:numId w:val="47"/>
        </w:numPr>
        <w:ind w:left="360"/>
      </w:pPr>
      <w:r w:rsidRPr="00830EFD">
        <w:t>Use of carbonates for production of a product other than cement clinker, lime, or soda ash</w:t>
      </w:r>
      <w:r>
        <w:t xml:space="preserve"> </w:t>
      </w:r>
      <w:r w:rsidR="00F525B4">
        <w:t>(2.3)</w:t>
      </w:r>
    </w:p>
    <w:p w14:paraId="52A0D320" w14:textId="46157DEF" w:rsidR="003D527E" w:rsidRDefault="00F525B4" w:rsidP="006F6A94">
      <w:pPr>
        <w:pStyle w:val="CERbullets"/>
        <w:numPr>
          <w:ilvl w:val="1"/>
          <w:numId w:val="47"/>
        </w:numPr>
        <w:ind w:left="360"/>
      </w:pPr>
      <w:r>
        <w:t xml:space="preserve">Soda ash </w:t>
      </w:r>
      <w:proofErr w:type="gramStart"/>
      <w:r>
        <w:t>use</w:t>
      </w:r>
      <w:proofErr w:type="gramEnd"/>
      <w:r>
        <w:t xml:space="preserve"> and production (2.4)</w:t>
      </w:r>
    </w:p>
    <w:tbl>
      <w:tblPr>
        <w:tblStyle w:val="CERCallout"/>
        <w:tblW w:w="0" w:type="auto"/>
        <w:tblLook w:val="0400" w:firstRow="0" w:lastRow="0" w:firstColumn="0" w:lastColumn="0" w:noHBand="0" w:noVBand="1"/>
      </w:tblPr>
      <w:tblGrid>
        <w:gridCol w:w="9710"/>
      </w:tblGrid>
      <w:tr w:rsidR="0008291A" w:rsidRPr="0045140B" w14:paraId="6CE727CB" w14:textId="77777777" w:rsidTr="0045140B">
        <w:tc>
          <w:tcPr>
            <w:tcW w:w="9730" w:type="dxa"/>
          </w:tcPr>
          <w:p w14:paraId="2966EEE2" w14:textId="586AF138" w:rsidR="0008291A" w:rsidRPr="0045140B" w:rsidRDefault="00522A69" w:rsidP="003D527E">
            <w:r w:rsidRPr="0045140B">
              <w:t>To</w:t>
            </w:r>
            <w:r w:rsidR="009936A8" w:rsidRPr="0045140B">
              <w:t xml:space="preserve"> </w:t>
            </w:r>
            <w:r w:rsidRPr="0045140B">
              <w:t>deduct</w:t>
            </w:r>
            <w:r w:rsidR="0008291A" w:rsidRPr="0045140B">
              <w:t xml:space="preserve"> carbon dioxide captured for permanent storage, reporters are required to use </w:t>
            </w:r>
            <w:r w:rsidR="302E9E3B" w:rsidRPr="0045140B">
              <w:t>M</w:t>
            </w:r>
            <w:r w:rsidR="0008291A" w:rsidRPr="0045140B">
              <w:t>ethod 2 or higher</w:t>
            </w:r>
            <w:r w:rsidR="009936A8" w:rsidRPr="0045140B">
              <w:t xml:space="preserve"> to estimate</w:t>
            </w:r>
            <w:r w:rsidRPr="0045140B">
              <w:t xml:space="preserve"> carbon dioxide</w:t>
            </w:r>
            <w:r w:rsidR="009936A8" w:rsidRPr="0045140B">
              <w:t xml:space="preserve"> emissions</w:t>
            </w:r>
            <w:r w:rsidR="0008291A" w:rsidRPr="0045140B">
              <w:t xml:space="preserve">. </w:t>
            </w:r>
            <w:r w:rsidR="009936A8" w:rsidRPr="0045140B">
              <w:t>H</w:t>
            </w:r>
            <w:r w:rsidR="0008291A" w:rsidRPr="0045140B">
              <w:t xml:space="preserve">igher methods provide a more accurate estimate of the emissions than under </w:t>
            </w:r>
            <w:r w:rsidR="03C25FC8" w:rsidRPr="0045140B">
              <w:t>M</w:t>
            </w:r>
            <w:r w:rsidR="0008291A" w:rsidRPr="0045140B">
              <w:t xml:space="preserve">ethod 1. </w:t>
            </w:r>
          </w:p>
        </w:tc>
      </w:tr>
    </w:tbl>
    <w:p w14:paraId="7ED04784" w14:textId="45D5475A" w:rsidR="003D527E" w:rsidRDefault="003D527E" w:rsidP="00AA3DC2">
      <w:pPr>
        <w:pStyle w:val="Heading2"/>
        <w:numPr>
          <w:ilvl w:val="1"/>
          <w:numId w:val="35"/>
        </w:numPr>
      </w:pPr>
      <w:bookmarkStart w:id="24" w:name="_Toc140221158"/>
      <w:bookmarkStart w:id="25" w:name="_Toc140235436"/>
      <w:bookmarkStart w:id="26" w:name="_Toc140235483"/>
      <w:bookmarkStart w:id="27" w:name="_Toc45176993"/>
      <w:bookmarkStart w:id="28" w:name="_Toc45177248"/>
      <w:bookmarkStart w:id="29" w:name="_Toc105410913"/>
      <w:bookmarkStart w:id="30" w:name="_Toc106193895"/>
      <w:bookmarkStart w:id="31" w:name="_Toc206589078"/>
      <w:bookmarkEnd w:id="24"/>
      <w:bookmarkEnd w:id="25"/>
      <w:bookmarkEnd w:id="26"/>
      <w:r>
        <w:t>Cement clinker production</w:t>
      </w:r>
      <w:bookmarkEnd w:id="27"/>
      <w:bookmarkEnd w:id="28"/>
      <w:bookmarkEnd w:id="29"/>
      <w:bookmarkEnd w:id="30"/>
      <w:bookmarkEnd w:id="31"/>
    </w:p>
    <w:p w14:paraId="17548B71" w14:textId="1817ED32" w:rsidR="003D527E" w:rsidRDefault="003D527E" w:rsidP="00DC6A85">
      <w:pPr>
        <w:spacing w:before="240"/>
      </w:pPr>
      <w:r>
        <w:t xml:space="preserve">Carbon dioxide </w:t>
      </w:r>
      <w:r w:rsidR="00A0466D">
        <w:t>(CO</w:t>
      </w:r>
      <w:r w:rsidR="00A0466D" w:rsidRPr="00A0466D">
        <w:rPr>
          <w:vertAlign w:val="subscript"/>
        </w:rPr>
        <w:t>2</w:t>
      </w:r>
      <w:r w:rsidR="00A0466D">
        <w:t xml:space="preserve">) </w:t>
      </w:r>
      <w:r>
        <w:t>is generated during the production of clinker, an intermediate product from which cement is made. The manufacture of cement involves a multi-stage process whereby calcium carbonate (CaCO</w:t>
      </w:r>
      <w:r w:rsidRPr="001E7D39">
        <w:rPr>
          <w:vertAlign w:val="subscript"/>
        </w:rPr>
        <w:t>3</w:t>
      </w:r>
      <w:r>
        <w:t>) from calcium rich raw materials such as limestone, chalk and natural cement rock is heated at temperatures of approximately 1500 °C in cement kilns to form lime (CaO) and CO</w:t>
      </w:r>
      <w:r w:rsidRPr="001E7D39">
        <w:rPr>
          <w:vertAlign w:val="subscript"/>
        </w:rPr>
        <w:t>2</w:t>
      </w:r>
      <w:r>
        <w:t>. In addition to CaCO</w:t>
      </w:r>
      <w:r w:rsidRPr="001E7D39">
        <w:rPr>
          <w:vertAlign w:val="subscript"/>
        </w:rPr>
        <w:t>3</w:t>
      </w:r>
      <w:r>
        <w:t>, the raw materials used in cement production may also contain small quantities of magnesium carbonate (MgCO</w:t>
      </w:r>
      <w:r w:rsidRPr="001E7D39">
        <w:rPr>
          <w:vertAlign w:val="subscript"/>
        </w:rPr>
        <w:t>3</w:t>
      </w:r>
      <w:r>
        <w:t>). On heating, MgCO</w:t>
      </w:r>
      <w:r w:rsidRPr="001E7D39">
        <w:rPr>
          <w:vertAlign w:val="subscript"/>
        </w:rPr>
        <w:t>3</w:t>
      </w:r>
      <w:r>
        <w:t xml:space="preserve"> also decomposes to generate CO</w:t>
      </w:r>
      <w:r w:rsidRPr="001E7D39">
        <w:rPr>
          <w:vertAlign w:val="subscript"/>
        </w:rPr>
        <w:t>2</w:t>
      </w:r>
      <w:r>
        <w:t>. Some clinker manufacturers also use materials containing lime and magnesium oxide as inputs into their process which can reduce the amount of CO</w:t>
      </w:r>
      <w:r w:rsidRPr="001E7D39">
        <w:rPr>
          <w:vertAlign w:val="subscript"/>
        </w:rPr>
        <w:t>2</w:t>
      </w:r>
      <w:r>
        <w:t xml:space="preserve"> generated by that facility.</w:t>
      </w:r>
    </w:p>
    <w:p w14:paraId="21762487" w14:textId="12562EF4" w:rsidR="003D527E" w:rsidRDefault="003D527E" w:rsidP="003D527E">
      <w:r>
        <w:t xml:space="preserve">The fraction of carbonate calcined in the production of cement clinker during the </w:t>
      </w:r>
      <w:r w:rsidRPr="009D1273">
        <w:t>year (</w:t>
      </w:r>
      <w:r w:rsidRPr="006F00DA">
        <w:rPr>
          <w:i/>
        </w:rPr>
        <w:t>F</w:t>
      </w:r>
      <w:r w:rsidRPr="006F00DA">
        <w:rPr>
          <w:i/>
          <w:vertAlign w:val="subscript"/>
        </w:rPr>
        <w:t>ca</w:t>
      </w:r>
      <w:r w:rsidR="00BB7290">
        <w:rPr>
          <w:i/>
          <w:vertAlign w:val="subscript"/>
        </w:rPr>
        <w:t>l</w:t>
      </w:r>
      <w:proofErr w:type="gramStart"/>
      <w:r w:rsidRPr="009D1273">
        <w:t>)</w:t>
      </w:r>
      <w:proofErr w:type="gramEnd"/>
      <w:r w:rsidRPr="009D1273">
        <w:t xml:space="preserve"> and fraction of calcination achieved for cement kiln dust lost from the kiln in the production of cement clinker during the year (</w:t>
      </w:r>
      <w:r w:rsidRPr="006F00DA">
        <w:rPr>
          <w:i/>
        </w:rPr>
        <w:t>F</w:t>
      </w:r>
      <w:r w:rsidRPr="006F00DA">
        <w:rPr>
          <w:i/>
          <w:vertAlign w:val="subscript"/>
        </w:rPr>
        <w:t>ckd</w:t>
      </w:r>
      <w:r w:rsidRPr="009D1273">
        <w:t xml:space="preserve">) are involved in emission estimations. </w:t>
      </w:r>
      <w:r w:rsidR="00093EF3">
        <w:t>T</w:t>
      </w:r>
      <w:r w:rsidR="00093EF3" w:rsidRPr="009D1273">
        <w:t xml:space="preserve">he </w:t>
      </w:r>
      <w:r w:rsidRPr="009D1273">
        <w:t xml:space="preserve">parameters </w:t>
      </w:r>
      <w:r w:rsidRPr="006F00DA">
        <w:rPr>
          <w:i/>
        </w:rPr>
        <w:t>F</w:t>
      </w:r>
      <w:r w:rsidRPr="006F00DA">
        <w:rPr>
          <w:i/>
          <w:vertAlign w:val="subscript"/>
        </w:rPr>
        <w:t>cal</w:t>
      </w:r>
      <w:r w:rsidRPr="009D1273">
        <w:t xml:space="preserve"> and </w:t>
      </w:r>
      <w:r w:rsidRPr="006F00DA">
        <w:rPr>
          <w:i/>
        </w:rPr>
        <w:t>F</w:t>
      </w:r>
      <w:r w:rsidRPr="006F00DA">
        <w:rPr>
          <w:i/>
          <w:vertAlign w:val="subscript"/>
        </w:rPr>
        <w:t>ckd</w:t>
      </w:r>
      <w:r w:rsidR="00D07471">
        <w:t xml:space="preserve">, when they occur </w:t>
      </w:r>
      <w:r>
        <w:t xml:space="preserve">in </w:t>
      </w:r>
      <w:r w:rsidR="20E1EFC3">
        <w:t>M</w:t>
      </w:r>
      <w:r>
        <w:t>ethods 1, 2 and 3 in Division 4.2.1 of the NGER Measurement Determination</w:t>
      </w:r>
      <w:r w:rsidR="000A4729">
        <w:t>,</w:t>
      </w:r>
      <w:r>
        <w:t xml:space="preserve"> </w:t>
      </w:r>
      <w:r w:rsidR="00E93FF9">
        <w:t>should</w:t>
      </w:r>
      <w:r w:rsidR="00D032D2">
        <w:t xml:space="preserve"> </w:t>
      </w:r>
      <w:r>
        <w:t xml:space="preserve">be estimated </w:t>
      </w:r>
      <w:r w:rsidR="00E62BC2">
        <w:t xml:space="preserve">in accordance with </w:t>
      </w:r>
      <w:r>
        <w:t xml:space="preserve">Industry </w:t>
      </w:r>
      <w:r w:rsidR="00EF4C6F">
        <w:t xml:space="preserve">practice and must be </w:t>
      </w:r>
      <w:r w:rsidR="005744D7">
        <w:t>consistent with</w:t>
      </w:r>
      <w:r>
        <w:t xml:space="preserve"> principles </w:t>
      </w:r>
      <w:r w:rsidR="005744D7">
        <w:t xml:space="preserve">in </w:t>
      </w:r>
      <w:r>
        <w:t>Section 1.13 of the NGER Measurement Determination - transparency, comparability, accuracy and completeness. Where actual data for these parameters is not available</w:t>
      </w:r>
      <w:r w:rsidR="1A53E757">
        <w:t>,</w:t>
      </w:r>
      <w:r>
        <w:t xml:space="preserve"> it is assumed that, at the temperatures and residence times achieved in cement (clinker) kilns, the degree of calcination achieved for all material incorporated in the clinker is 100%.</w:t>
      </w:r>
      <w:r w:rsidR="006860AE">
        <w:t xml:space="preserve"> </w:t>
      </w:r>
    </w:p>
    <w:p w14:paraId="4C64048B" w14:textId="2941412B" w:rsidR="003D527E" w:rsidRDefault="003D527E" w:rsidP="005732F8">
      <w:pPr>
        <w:pStyle w:val="Heading3"/>
        <w:numPr>
          <w:ilvl w:val="2"/>
          <w:numId w:val="35"/>
        </w:numPr>
      </w:pPr>
      <w:bookmarkStart w:id="32" w:name="_Toc45176994"/>
      <w:bookmarkStart w:id="33" w:name="_Toc45177249"/>
      <w:bookmarkStart w:id="34" w:name="_Toc105410914"/>
      <w:bookmarkStart w:id="35" w:name="_Toc106193896"/>
      <w:bookmarkStart w:id="36" w:name="_Toc206589079"/>
      <w:r>
        <w:t>Method 1</w:t>
      </w:r>
      <w:bookmarkEnd w:id="32"/>
      <w:bookmarkEnd w:id="33"/>
      <w:bookmarkEnd w:id="34"/>
      <w:bookmarkEnd w:id="35"/>
      <w:bookmarkEnd w:id="36"/>
    </w:p>
    <w:p w14:paraId="340F167F" w14:textId="4EF57174" w:rsidR="003D527E" w:rsidRDefault="003D527E" w:rsidP="00DC6A85">
      <w:pPr>
        <w:spacing w:before="240"/>
      </w:pPr>
      <w:r w:rsidRPr="004720FD">
        <w:t>Method 1 for</w:t>
      </w:r>
      <w:r>
        <w:t xml:space="preserve"> calculation of emissions of CO</w:t>
      </w:r>
      <w:r w:rsidRPr="001E7D39">
        <w:rPr>
          <w:vertAlign w:val="subscript"/>
        </w:rPr>
        <w:t>2</w:t>
      </w:r>
      <w:r>
        <w:t xml:space="preserve"> released from</w:t>
      </w:r>
      <w:r w:rsidRPr="004720FD">
        <w:t xml:space="preserve"> the production of cement clinker is derived from the National Greenhouse methodology published </w:t>
      </w:r>
      <w:r w:rsidR="00B3166B" w:rsidRPr="004720FD">
        <w:t xml:space="preserve">in the </w:t>
      </w:r>
      <w:hyperlink r:id="rId32" w:tooltip="A link to the National Greenhouse Account Factors on the Department of Climate Change, Energy the Environment and Water's website" w:history="1">
        <w:r w:rsidR="00B3166B">
          <w:rPr>
            <w:rStyle w:val="Hyperlink"/>
            <w:rFonts w:asciiTheme="minorHAnsi" w:hAnsiTheme="minorHAnsi"/>
          </w:rPr>
          <w:t>National Greenhouse Account</w:t>
        </w:r>
        <w:bookmarkStart w:id="37" w:name="_Ref134442895"/>
        <w:r w:rsidR="00B3166B">
          <w:rPr>
            <w:rStyle w:val="Hyperlink"/>
            <w:rFonts w:asciiTheme="minorHAnsi" w:hAnsiTheme="minorHAnsi"/>
          </w:rPr>
          <w:t xml:space="preserve"> Factors</w:t>
        </w:r>
        <w:bookmarkStart w:id="38" w:name="_Ref137540799"/>
        <w:r w:rsidR="00BF2F73">
          <w:rPr>
            <w:rStyle w:val="FootnoteReference"/>
            <w:color w:val="006C93" w:themeColor="accent3"/>
            <w:u w:val="single"/>
          </w:rPr>
          <w:footnoteReference w:id="12"/>
        </w:r>
        <w:bookmarkEnd w:id="37"/>
        <w:bookmarkEnd w:id="38"/>
      </w:hyperlink>
      <w:r w:rsidR="00B3166B">
        <w:rPr>
          <w:rStyle w:val="Hyperlink"/>
        </w:rPr>
        <w:t xml:space="preserve"> </w:t>
      </w:r>
      <w:r w:rsidR="00B3166B">
        <w:t xml:space="preserve">by </w:t>
      </w:r>
      <w:r w:rsidR="00F52986">
        <w:t>the</w:t>
      </w:r>
      <w:r w:rsidR="00B3166B">
        <w:t xml:space="preserve"> Department of Climate Change, Energy, the Environment and Water (DCCEEW)</w:t>
      </w:r>
      <w:r w:rsidR="00B3166B" w:rsidRPr="004720FD">
        <w:t>.</w:t>
      </w:r>
      <w:r w:rsidR="00B3166B">
        <w:t xml:space="preserve"> </w:t>
      </w:r>
      <w:r w:rsidRPr="004720FD">
        <w:t xml:space="preserve"> </w:t>
      </w:r>
      <w:r w:rsidR="00E36B6D">
        <w:t xml:space="preserve">This method </w:t>
      </w:r>
      <w:r w:rsidRPr="004720FD">
        <w:t>involves the collection of data on the quantities of cement clinker and cement kiln dust produced</w:t>
      </w:r>
      <w:r w:rsidR="19D1A37B" w:rsidRPr="004720FD">
        <w:t>,</w:t>
      </w:r>
      <w:r w:rsidRPr="004720FD">
        <w:t xml:space="preserve"> the use of the specified emission factors for cement clinker and carbon-bearing non-fuel raw material</w:t>
      </w:r>
      <w:r>
        <w:t xml:space="preserve">, and the actual or presumed degree of calcination of cement kiln dust produced </w:t>
      </w:r>
      <w:r w:rsidR="004701CB">
        <w:t>from</w:t>
      </w:r>
      <w:r>
        <w:t xml:space="preserve"> production of cement clinker during the year</w:t>
      </w:r>
      <w:r w:rsidRPr="004720FD">
        <w:t>.</w:t>
      </w:r>
      <w:r>
        <w:t xml:space="preserve"> Section 4.4 of the NGER Measurement Determination sets out the calculations for </w:t>
      </w:r>
      <w:r w:rsidR="616B7ADF">
        <w:t>M</w:t>
      </w:r>
      <w:r>
        <w:t>ethod 1.</w:t>
      </w:r>
    </w:p>
    <w:p w14:paraId="41DEE359" w14:textId="0436E04D" w:rsidR="003D527E" w:rsidRDefault="003D527E" w:rsidP="005732F8">
      <w:pPr>
        <w:pStyle w:val="Heading3"/>
        <w:numPr>
          <w:ilvl w:val="2"/>
          <w:numId w:val="35"/>
        </w:numPr>
      </w:pPr>
      <w:bookmarkStart w:id="39" w:name="_Toc45176995"/>
      <w:bookmarkStart w:id="40" w:name="_Toc45177250"/>
      <w:bookmarkStart w:id="41" w:name="_Toc105410915"/>
      <w:bookmarkStart w:id="42" w:name="_Toc106193897"/>
      <w:bookmarkStart w:id="43" w:name="_Toc206589080"/>
      <w:r>
        <w:t>Method 2</w:t>
      </w:r>
      <w:bookmarkEnd w:id="39"/>
      <w:bookmarkEnd w:id="40"/>
      <w:bookmarkEnd w:id="41"/>
      <w:bookmarkEnd w:id="42"/>
      <w:bookmarkEnd w:id="43"/>
    </w:p>
    <w:p w14:paraId="1EC4A5AD" w14:textId="658F1AD9" w:rsidR="003D527E" w:rsidRPr="004720FD" w:rsidRDefault="003D527E" w:rsidP="00DC6A85">
      <w:pPr>
        <w:spacing w:before="240"/>
      </w:pPr>
      <w:r w:rsidRPr="004720FD">
        <w:t>Method 2 requires the derivation of more accurate, facility-specific emission factors to generate more accurate estimates of emissions of</w:t>
      </w:r>
      <w:r w:rsidR="007A628C">
        <w:t xml:space="preserve"> </w:t>
      </w:r>
      <w:r w:rsidRPr="004720FD" w:rsidDel="007A628C">
        <w:t>carbon dioxide</w:t>
      </w:r>
      <w:r w:rsidRPr="004720FD">
        <w:t xml:space="preserve"> from the production process. It utilises sampling and analysis of the clinker outputs to estimate the composition of its contents and, from an understanding of the chemical reactions involved in the calcination, the derivation of facility-specific emission factors. The fractions of calcium oxide and magnesium oxide in subsection </w:t>
      </w:r>
      <w:r>
        <w:t>4.5</w:t>
      </w:r>
      <w:r w:rsidRPr="004720FD">
        <w:t xml:space="preserve">(2) should </w:t>
      </w:r>
      <w:r>
        <w:t>only</w:t>
      </w:r>
      <w:r w:rsidRPr="004720FD">
        <w:t xml:space="preserve"> include the calcium oxide and magnesium oxide that </w:t>
      </w:r>
      <w:r>
        <w:t xml:space="preserve">were derived from carbonate sources and produced from the operations of the facility. Section 4.5 of the NGER Measurement Determination sets out the calculations for </w:t>
      </w:r>
      <w:r w:rsidR="62CDE6AF">
        <w:t>M</w:t>
      </w:r>
      <w:r>
        <w:t xml:space="preserve">ethod 2, with sections 4.6 and 4.7 setting out the general requirements for sampling and analysis of cement clinker. </w:t>
      </w:r>
    </w:p>
    <w:p w14:paraId="7914973D" w14:textId="25043743" w:rsidR="003D527E" w:rsidRDefault="003D527E" w:rsidP="00C945F0">
      <w:pPr>
        <w:pStyle w:val="Heading3"/>
        <w:numPr>
          <w:ilvl w:val="2"/>
          <w:numId w:val="35"/>
        </w:numPr>
      </w:pPr>
      <w:bookmarkStart w:id="44" w:name="_Toc45176996"/>
      <w:bookmarkStart w:id="45" w:name="_Toc45177251"/>
      <w:bookmarkStart w:id="46" w:name="_Toc105410916"/>
      <w:bookmarkStart w:id="47" w:name="_Toc106193898"/>
      <w:bookmarkStart w:id="48" w:name="_Toc206589081"/>
      <w:r>
        <w:t>Method 3</w:t>
      </w:r>
      <w:bookmarkEnd w:id="44"/>
      <w:bookmarkEnd w:id="45"/>
      <w:bookmarkEnd w:id="46"/>
      <w:bookmarkEnd w:id="47"/>
      <w:bookmarkEnd w:id="48"/>
    </w:p>
    <w:p w14:paraId="25FB049C" w14:textId="3E05D445" w:rsidR="003D527E" w:rsidRPr="00E830B0" w:rsidRDefault="003D527E" w:rsidP="00DC6A85">
      <w:pPr>
        <w:spacing w:before="240"/>
        <w:rPr>
          <w:rFonts w:ascii="Calibri" w:hAnsi="Calibri" w:cstheme="minorBidi"/>
          <w:color w:val="auto"/>
        </w:rPr>
      </w:pPr>
      <w:r w:rsidRPr="004720FD">
        <w:t xml:space="preserve">Method 3 is based on the Tier 3 approach in the </w:t>
      </w:r>
      <w:r w:rsidRPr="00311DF5">
        <w:t>2006 IPCC</w:t>
      </w:r>
      <w:r>
        <w:t xml:space="preserve"> Guidelines for National Greenhouse Gas Inventories</w:t>
      </w:r>
      <w:r w:rsidRPr="414F9D18">
        <w:rPr>
          <w:rFonts w:ascii="Calibri" w:hAnsi="Calibri" w:cstheme="minorBidi"/>
          <w:color w:val="auto"/>
        </w:rPr>
        <w:t xml:space="preserve"> </w:t>
      </w:r>
      <w:r>
        <w:t>(2006 IPCC Guidelines)</w:t>
      </w:r>
      <w:r w:rsidRPr="004720FD">
        <w:t>. This method requires sampling and analysis of the raw materials to determine the qualities that affect emission levels such as the raw material’s pure carbonate content.</w:t>
      </w:r>
      <w:r>
        <w:t xml:space="preserve"> Section 4.8 of the NGER Measurement Determination sets out the calculations for </w:t>
      </w:r>
      <w:r w:rsidR="73DA9EC8">
        <w:t>M</w:t>
      </w:r>
      <w:r>
        <w:t xml:space="preserve">ethod 3, with sections 4.9 and 4.10 setting out the general requirements for sampling and analysis of carbonates. </w:t>
      </w:r>
    </w:p>
    <w:p w14:paraId="29EC9B7B" w14:textId="6B4CFA9D" w:rsidR="003D527E" w:rsidRDefault="00EF539C" w:rsidP="00EF539C">
      <w:pPr>
        <w:pStyle w:val="Heading2"/>
      </w:pPr>
      <w:bookmarkStart w:id="49" w:name="_Toc45176997"/>
      <w:bookmarkStart w:id="50" w:name="_Toc45177252"/>
      <w:bookmarkStart w:id="51" w:name="_Toc105410917"/>
      <w:bookmarkStart w:id="52" w:name="_Toc106193899"/>
      <w:bookmarkStart w:id="53" w:name="_Toc206589082"/>
      <w:r>
        <w:t>2.</w:t>
      </w:r>
      <w:r w:rsidR="00C945F0">
        <w:t>2</w:t>
      </w:r>
      <w:r>
        <w:t xml:space="preserve">   </w:t>
      </w:r>
      <w:r w:rsidR="003D527E">
        <w:t>Lime Production</w:t>
      </w:r>
      <w:bookmarkEnd w:id="49"/>
      <w:bookmarkEnd w:id="50"/>
      <w:bookmarkEnd w:id="51"/>
      <w:bookmarkEnd w:id="52"/>
      <w:bookmarkEnd w:id="53"/>
    </w:p>
    <w:p w14:paraId="75158A1C" w14:textId="0CFC3AAD" w:rsidR="003D527E" w:rsidRDefault="003D527E" w:rsidP="00DC6A85">
      <w:pPr>
        <w:spacing w:before="240"/>
      </w:pPr>
      <w:r>
        <w:t>Lime is a chemical use</w:t>
      </w:r>
      <w:r w:rsidR="00AB513D">
        <w:t>d</w:t>
      </w:r>
      <w:r>
        <w:t xml:space="preserve"> in metallurgy and construction. Lime is produced by heating carbonate raw materials in a kiln. During this process,</w:t>
      </w:r>
      <w:r w:rsidR="00FA3710">
        <w:t xml:space="preserve"> </w:t>
      </w:r>
      <w:r w:rsidDel="00FA3710">
        <w:t>carbon dioxide</w:t>
      </w:r>
      <w:r>
        <w:t xml:space="preserve"> is emitted. </w:t>
      </w:r>
    </w:p>
    <w:p w14:paraId="446468BB" w14:textId="206A1E9C" w:rsidR="003D527E" w:rsidRPr="00EC0B95" w:rsidRDefault="003D527E" w:rsidP="003D527E">
      <w:r>
        <w:t xml:space="preserve">Lime kiln dust may be produced as part of the lime production process and can be recycled through the system. At the end of the process some lime kiln dust may remain. The quantity of kiln dust produced impacts on the emissions estimate and is included in the methods as the quantity of lime kiln dust lost </w:t>
      </w:r>
      <w:r w:rsidR="00752C1A">
        <w:t>because of</w:t>
      </w:r>
      <w:r>
        <w:t xml:space="preserve"> the production of lime.</w:t>
      </w:r>
      <w:r w:rsidDel="003E4FBD">
        <w:t xml:space="preserve"> </w:t>
      </w:r>
      <w:r w:rsidR="00B056FE">
        <w:br/>
      </w:r>
      <w:r w:rsidR="00B056FE">
        <w:br/>
        <w:t xml:space="preserve">Emissions </w:t>
      </w:r>
      <w:r w:rsidR="00E472FD">
        <w:t xml:space="preserve">from the production of lime (other than the in-house production of lime in the ferrous metals industry) </w:t>
      </w:r>
      <w:r w:rsidR="00CB472D">
        <w:t>are</w:t>
      </w:r>
      <w:r w:rsidR="00E472FD">
        <w:t xml:space="preserve"> estimated under Division 4.2.2</w:t>
      </w:r>
      <w:r w:rsidR="00C41E9D">
        <w:t xml:space="preserve"> of the NGER Measurement Determinatio</w:t>
      </w:r>
      <w:r w:rsidR="00193409">
        <w:t xml:space="preserve">n. See section 2.2.1 to 2.2.3, below, for more information. </w:t>
      </w:r>
      <w:r w:rsidR="00C41E9D">
        <w:br/>
      </w:r>
      <w:r w:rsidR="00C41E9D">
        <w:br/>
      </w:r>
      <w:r>
        <w:t xml:space="preserve">Emissions from the </w:t>
      </w:r>
      <w:r w:rsidDel="00D50585">
        <w:t xml:space="preserve">in-house </w:t>
      </w:r>
      <w:r>
        <w:t xml:space="preserve">production of lime </w:t>
      </w:r>
      <w:r w:rsidDel="009819C0">
        <w:t>in the</w:t>
      </w:r>
      <w:r w:rsidR="009E5CD7">
        <w:t xml:space="preserve"> </w:t>
      </w:r>
      <w:r>
        <w:t xml:space="preserve">metals industry </w:t>
      </w:r>
      <w:r w:rsidR="00D016E2">
        <w:t>are</w:t>
      </w:r>
      <w:r>
        <w:t xml:space="preserve"> estimated under Division 4.2.</w:t>
      </w:r>
      <w:r w:rsidDel="00AF3D6D">
        <w:t>3</w:t>
      </w:r>
      <w:r w:rsidR="00AF3D6D">
        <w:t xml:space="preserve"> </w:t>
      </w:r>
      <w:r>
        <w:t xml:space="preserve">of the NGER Measurement Determination. </w:t>
      </w:r>
      <w:r w:rsidDel="009E15B3">
        <w:t xml:space="preserve">See </w:t>
      </w:r>
      <w:hyperlink w:anchor="_Use_of_carbonates" w:history="1">
        <w:r w:rsidDel="009E15B3">
          <w:rPr>
            <w:rStyle w:val="Hyperlink"/>
            <w:rFonts w:asciiTheme="minorHAnsi" w:hAnsiTheme="minorHAnsi"/>
          </w:rPr>
          <w:t>s</w:t>
        </w:r>
        <w:r w:rsidRPr="003E4FBD" w:rsidDel="009E15B3">
          <w:rPr>
            <w:rStyle w:val="Hyperlink"/>
            <w:rFonts w:asciiTheme="minorHAnsi" w:hAnsiTheme="minorHAnsi"/>
          </w:rPr>
          <w:t>ection 2.3 of this guidance</w:t>
        </w:r>
      </w:hyperlink>
      <w:r w:rsidDel="009E15B3">
        <w:t xml:space="preserve"> for more information.</w:t>
      </w:r>
    </w:p>
    <w:p w14:paraId="5B12ACCB" w14:textId="1B1EFA6E" w:rsidR="003D527E" w:rsidRDefault="001174DB" w:rsidP="008760A8">
      <w:pPr>
        <w:pStyle w:val="Heading3"/>
      </w:pPr>
      <w:bookmarkStart w:id="54" w:name="_Toc45176998"/>
      <w:bookmarkStart w:id="55" w:name="_Toc45177253"/>
      <w:bookmarkStart w:id="56" w:name="_Toc105410918"/>
      <w:bookmarkStart w:id="57" w:name="_Toc106193900"/>
      <w:bookmarkStart w:id="58" w:name="_Toc206589083"/>
      <w:r>
        <w:t xml:space="preserve">2.2.1 </w:t>
      </w:r>
      <w:r w:rsidR="003D527E">
        <w:t>Method 1</w:t>
      </w:r>
      <w:bookmarkEnd w:id="54"/>
      <w:bookmarkEnd w:id="55"/>
      <w:bookmarkEnd w:id="56"/>
      <w:bookmarkEnd w:id="57"/>
      <w:bookmarkEnd w:id="58"/>
    </w:p>
    <w:p w14:paraId="767BBFEF" w14:textId="6D9DA5B1" w:rsidR="003D527E" w:rsidRDefault="003D527E" w:rsidP="00DC6A85">
      <w:pPr>
        <w:spacing w:before="240"/>
      </w:pPr>
      <w:r>
        <w:t xml:space="preserve">Method 1 </w:t>
      </w:r>
      <w:r w:rsidR="00752C1A">
        <w:t>to produce</w:t>
      </w:r>
      <w:r>
        <w:t xml:space="preserve"> lime is derived from the National Greenhouse Account</w:t>
      </w:r>
      <w:r w:rsidR="00C15D8A">
        <w:t xml:space="preserve"> </w:t>
      </w:r>
      <w:r>
        <w:t xml:space="preserve">methodology </w:t>
      </w:r>
      <w:r w:rsidR="006F4E28">
        <w:t xml:space="preserve">published </w:t>
      </w:r>
      <w:r w:rsidR="006F4E28" w:rsidRPr="004720FD">
        <w:t xml:space="preserve">in the </w:t>
      </w:r>
      <w:hyperlink r:id="rId33" w:tooltip="A link to the National Greenhouse Account Factors on the Department of Climate Change, Energy the Environment and Water's website" w:history="1">
        <w:r w:rsidR="006F4E28">
          <w:rPr>
            <w:rStyle w:val="Hyperlink"/>
            <w:rFonts w:asciiTheme="minorHAnsi" w:hAnsiTheme="minorHAnsi"/>
          </w:rPr>
          <w:t>National Greenhouse Account Factors</w:t>
        </w:r>
      </w:hyperlink>
      <w:r w:rsidR="009D43CE">
        <w:rPr>
          <w:rStyle w:val="FootnoteReference"/>
          <w:color w:val="006C93" w:themeColor="accent3"/>
          <w:u w:val="single"/>
        </w:rPr>
        <w:footnoteReference w:id="13"/>
      </w:r>
      <w:r w:rsidR="006F4E28" w:rsidDel="00C16A6B">
        <w:t xml:space="preserve"> </w:t>
      </w:r>
      <w:r w:rsidR="006F4E28">
        <w:t>by</w:t>
      </w:r>
      <w:r w:rsidR="00C16A6B">
        <w:t xml:space="preserve"> </w:t>
      </w:r>
      <w:r w:rsidR="006F4E28">
        <w:t>DCCEEW</w:t>
      </w:r>
      <w:r w:rsidR="006F4E28" w:rsidRPr="004720FD">
        <w:t>.</w:t>
      </w:r>
      <w:r w:rsidR="005E7E41">
        <w:t xml:space="preserve"> </w:t>
      </w:r>
      <w:r w:rsidR="00247AA5">
        <w:t xml:space="preserve">This method </w:t>
      </w:r>
      <w:r>
        <w:t>involves the multiplication of the quantity of lime produced by the emission factor for lime.</w:t>
      </w:r>
    </w:p>
    <w:p w14:paraId="047F2C03" w14:textId="73CAA7AB" w:rsidR="003D527E" w:rsidRDefault="003D527E" w:rsidP="003D527E">
      <w:r>
        <w:t xml:space="preserve">Lime is also produced using varying grades of limestone which contain impurities such as </w:t>
      </w:r>
      <w:r w:rsidDel="00AB5717">
        <w:t>magnesium carbonate (</w:t>
      </w:r>
      <w:r>
        <w:t>MgCO</w:t>
      </w:r>
      <w:r w:rsidRPr="00E830B0">
        <w:rPr>
          <w:vertAlign w:val="subscript"/>
        </w:rPr>
        <w:t>3</w:t>
      </w:r>
      <w:r w:rsidDel="00AB5717">
        <w:t>)</w:t>
      </w:r>
      <w:r>
        <w:t xml:space="preserve">. For </w:t>
      </w:r>
      <w:r w:rsidR="71F271D7">
        <w:t>M</w:t>
      </w:r>
      <w:r>
        <w:t>ethod 1 estimation, default emission factors have been provided for lime produced using limestone with higher concentrations of magnesium carbonate.</w:t>
      </w:r>
    </w:p>
    <w:p w14:paraId="1DC8300E" w14:textId="408F300D" w:rsidR="003D527E" w:rsidRPr="00EC0B95" w:rsidRDefault="003D527E" w:rsidP="003D527E">
      <w:r>
        <w:t xml:space="preserve">Section 4.13 of the NGER Measurement Determination sets out the calculations for </w:t>
      </w:r>
      <w:r w:rsidR="5D376179">
        <w:t>M</w:t>
      </w:r>
      <w:r>
        <w:t>ethod 1.</w:t>
      </w:r>
    </w:p>
    <w:p w14:paraId="23E84F12" w14:textId="70CDF691" w:rsidR="003D527E" w:rsidRDefault="005260EB" w:rsidP="008760A8">
      <w:pPr>
        <w:pStyle w:val="Heading3"/>
      </w:pPr>
      <w:bookmarkStart w:id="59" w:name="_Toc45176999"/>
      <w:bookmarkStart w:id="60" w:name="_Toc45177254"/>
      <w:bookmarkStart w:id="61" w:name="_Toc105410919"/>
      <w:bookmarkStart w:id="62" w:name="_Toc106193901"/>
      <w:bookmarkStart w:id="63" w:name="_Toc206589084"/>
      <w:r>
        <w:t xml:space="preserve">2.2.2 </w:t>
      </w:r>
      <w:r w:rsidR="003D527E">
        <w:t>Method 2</w:t>
      </w:r>
      <w:bookmarkEnd w:id="59"/>
      <w:bookmarkEnd w:id="60"/>
      <w:bookmarkEnd w:id="61"/>
      <w:bookmarkEnd w:id="62"/>
      <w:bookmarkEnd w:id="63"/>
    </w:p>
    <w:p w14:paraId="222E320B" w14:textId="421871BB" w:rsidR="003D527E" w:rsidRPr="00312761" w:rsidRDefault="003D527E" w:rsidP="00DC6A85">
      <w:pPr>
        <w:spacing w:before="240"/>
      </w:pPr>
      <w:r w:rsidRPr="00312761">
        <w:t>Method 2 requires the derivation of more accurate, facility-specific emission factors to generate more accurate estimates of emissions of</w:t>
      </w:r>
      <w:r w:rsidR="00F161A0">
        <w:t xml:space="preserve"> </w:t>
      </w:r>
      <w:r w:rsidRPr="00312761" w:rsidDel="00F161A0">
        <w:t>carbon dioxide</w:t>
      </w:r>
      <w:r w:rsidRPr="00312761">
        <w:t xml:space="preserve"> from the production process. It utilises sampling and analysis of the lime outputs to estimate the composition of its contents and, from an understanding of the chemical reactions involved in the consumption of carbonate (calcination), the derivation of facility-specific emission factors. Method 2 also factors in any carbon dioxide captured for permanent storage. </w:t>
      </w:r>
    </w:p>
    <w:p w14:paraId="614294EE" w14:textId="50332FF9" w:rsidR="003D527E" w:rsidRPr="00312761" w:rsidRDefault="003D527E" w:rsidP="003D527E">
      <w:r w:rsidRPr="00312761">
        <w:t xml:space="preserve">Section 4.14 of the NGER Measurement Determination sets out the calculations for </w:t>
      </w:r>
      <w:r w:rsidR="10FABD5B">
        <w:t>M</w:t>
      </w:r>
      <w:r w:rsidRPr="00312761">
        <w:t xml:space="preserve">ethod 2, with sections 4.15 and 4.16 setting out the general requirements for sampling and analysis of the lime produced. </w:t>
      </w:r>
    </w:p>
    <w:p w14:paraId="4782EE9A" w14:textId="56C447B6" w:rsidR="00D55128" w:rsidRDefault="00D55128" w:rsidP="008760A8">
      <w:pPr>
        <w:pStyle w:val="Heading3"/>
      </w:pPr>
      <w:bookmarkStart w:id="64" w:name="_Toc206589085"/>
      <w:r>
        <w:t xml:space="preserve">2.2.3 Method </w:t>
      </w:r>
      <w:r w:rsidR="003044EE">
        <w:t>3</w:t>
      </w:r>
      <w:bookmarkEnd w:id="64"/>
    </w:p>
    <w:p w14:paraId="207B7C68" w14:textId="3325ADA2" w:rsidR="003D527E" w:rsidRDefault="003D527E" w:rsidP="00DC6A85">
      <w:pPr>
        <w:spacing w:before="240"/>
      </w:pPr>
      <w:r w:rsidRPr="00EC0B95">
        <w:t xml:space="preserve">Method 3 is based on the Tier 3 approach in the </w:t>
      </w:r>
      <w:r>
        <w:t xml:space="preserve">2006 </w:t>
      </w:r>
      <w:r w:rsidRPr="00EC0B95">
        <w:t>IPCC Guidelines. This method requires sampling and analysis of the raw materials for qualities that affect emission levels such as the material’s pure carbonate content</w:t>
      </w:r>
      <w:r>
        <w:t>.</w:t>
      </w:r>
    </w:p>
    <w:p w14:paraId="3C605435" w14:textId="1CDB0A80" w:rsidR="003D527E" w:rsidRDefault="003D527E" w:rsidP="003D527E">
      <w:r>
        <w:t xml:space="preserve">Section 4.17 of the NGER Measurement Determination sets out the calculations for </w:t>
      </w:r>
      <w:r w:rsidR="523E90F0">
        <w:t>M</w:t>
      </w:r>
      <w:r>
        <w:t>ethod 3, with sections 4.18 and 4.</w:t>
      </w:r>
      <w:r w:rsidR="00BF04BF">
        <w:t xml:space="preserve">19 </w:t>
      </w:r>
      <w:r>
        <w:t xml:space="preserve">setting out the general requirements for sampling and analysis of each carbonate. </w:t>
      </w:r>
    </w:p>
    <w:p w14:paraId="568B5875" w14:textId="51C01F37" w:rsidR="003D527E" w:rsidRDefault="003D527E" w:rsidP="00DC6A85">
      <w:pPr>
        <w:pStyle w:val="Heading2"/>
        <w:numPr>
          <w:ilvl w:val="1"/>
          <w:numId w:val="39"/>
        </w:numPr>
        <w:ind w:hanging="556"/>
      </w:pPr>
      <w:bookmarkStart w:id="65" w:name="_Use_of_carbonates"/>
      <w:bookmarkStart w:id="66" w:name="_Use__"/>
      <w:bookmarkStart w:id="67" w:name="_Toc45177001"/>
      <w:bookmarkStart w:id="68" w:name="_Toc45177256"/>
      <w:bookmarkStart w:id="69" w:name="_Toc105410921"/>
      <w:bookmarkStart w:id="70" w:name="_Toc106193903"/>
      <w:bookmarkStart w:id="71" w:name="_Ref137540543"/>
      <w:bookmarkStart w:id="72" w:name="_Ref137540549"/>
      <w:bookmarkStart w:id="73" w:name="_Toc206589086"/>
      <w:bookmarkEnd w:id="65"/>
      <w:bookmarkEnd w:id="66"/>
      <w:r>
        <w:t xml:space="preserve">Use of carbonates for production of a product other than cement clinker, </w:t>
      </w:r>
      <w:r w:rsidR="00D55128">
        <w:t>lime,</w:t>
      </w:r>
      <w:r>
        <w:t xml:space="preserve"> or soda ash</w:t>
      </w:r>
      <w:bookmarkEnd w:id="67"/>
      <w:bookmarkEnd w:id="68"/>
      <w:bookmarkEnd w:id="69"/>
      <w:bookmarkEnd w:id="70"/>
      <w:bookmarkEnd w:id="71"/>
      <w:bookmarkEnd w:id="72"/>
      <w:bookmarkEnd w:id="73"/>
    </w:p>
    <w:p w14:paraId="3ACD6D3A" w14:textId="789B5892" w:rsidR="003D527E" w:rsidRDefault="003D527E" w:rsidP="00DC6A85">
      <w:pPr>
        <w:spacing w:before="240"/>
      </w:pPr>
      <w:r>
        <w:t xml:space="preserve">Division 4.2.3 of the NGER Measurement Determination </w:t>
      </w:r>
      <w:r w:rsidR="001B1853">
        <w:t xml:space="preserve">applies to </w:t>
      </w:r>
      <w:r>
        <w:t>reporting of</w:t>
      </w:r>
      <w:r w:rsidDel="00907D54">
        <w:t xml:space="preserve"> </w:t>
      </w:r>
      <w:r>
        <w:t>consumption or any other use of carbonates that generates</w:t>
      </w:r>
      <w:r w:rsidR="00FD6AE6">
        <w:t xml:space="preserve"> </w:t>
      </w:r>
      <w:r w:rsidDel="00FD6AE6">
        <w:t>carbon dioxide</w:t>
      </w:r>
      <w:r>
        <w:t xml:space="preserve"> emissions other than the production of cement clinker</w:t>
      </w:r>
      <w:r w:rsidR="008D2114">
        <w:t>,</w:t>
      </w:r>
      <w:r>
        <w:t xml:space="preserve"> lime</w:t>
      </w:r>
      <w:r w:rsidR="00F41283">
        <w:t xml:space="preserve">, </w:t>
      </w:r>
      <w:r>
        <w:t>soda ash</w:t>
      </w:r>
      <w:r w:rsidR="00FA6BF7">
        <w:t>,</w:t>
      </w:r>
      <w:r>
        <w:t xml:space="preserve"> or</w:t>
      </w:r>
      <w:r w:rsidR="00B725EB">
        <w:t xml:space="preserve"> application</w:t>
      </w:r>
      <w:r w:rsidR="00C3617B">
        <w:t xml:space="preserve"> of carbonates </w:t>
      </w:r>
      <w:r w:rsidR="00F03CFC">
        <w:t>to soil</w:t>
      </w:r>
      <w:r w:rsidR="008F2C60">
        <w:t>.</w:t>
      </w:r>
      <w:r>
        <w:t xml:space="preserve"> </w:t>
      </w:r>
      <w:r w:rsidDel="00F27F23">
        <w:t xml:space="preserve">Carbon dioxide emissions from the production of cement clinker and lime are addressed in Divisions 4.2.1 and 4.2.2; </w:t>
      </w:r>
      <w:r w:rsidR="00F4556C">
        <w:t xml:space="preserve">and </w:t>
      </w:r>
      <w:r w:rsidDel="00F27F23">
        <w:t>soda ash is addressed in Division 4.2.4</w:t>
      </w:r>
      <w:r w:rsidR="00F4556C">
        <w:t>.</w:t>
      </w:r>
      <w:r w:rsidR="003C1207">
        <w:t xml:space="preserve"> </w:t>
      </w:r>
      <w:r w:rsidR="00F4556C">
        <w:t xml:space="preserve">Examples of </w:t>
      </w:r>
      <w:r w:rsidDel="00B542A6">
        <w:t xml:space="preserve">activities that may be likely to use carbonates that generate emissions </w:t>
      </w:r>
      <w:r w:rsidR="000776C7">
        <w:t>are</w:t>
      </w:r>
      <w:r w:rsidR="00453B50">
        <w:t xml:space="preserve"> listed in Section 4.20</w:t>
      </w:r>
      <w:r w:rsidR="0065479B">
        <w:t>,</w:t>
      </w:r>
      <w:r w:rsidR="00B35C89">
        <w:t xml:space="preserve"> including in-house production of lime in the metals industry</w:t>
      </w:r>
      <w:r w:rsidR="007C7B9B">
        <w:t>.</w:t>
      </w:r>
      <w:r w:rsidR="0065479B">
        <w:t xml:space="preserve"> </w:t>
      </w:r>
      <w:r w:rsidR="00453B50">
        <w:t xml:space="preserve"> </w:t>
      </w:r>
    </w:p>
    <w:p w14:paraId="75E4130C" w14:textId="5303CE86" w:rsidR="003D527E" w:rsidRDefault="003D527E" w:rsidP="003D527E">
      <w:r>
        <w:t>One process where limestone is consumed is the production of phosphoric acid from phosphate rock using the ‘wet process’. The</w:t>
      </w:r>
      <w:r w:rsidDel="00D3470B">
        <w:t xml:space="preserve"> carbon dioxide</w:t>
      </w:r>
      <w:r>
        <w:t xml:space="preserve"> emissions result from a secondary reaction in which limestone present in the phosphate rock reacts with the acid. The emissions associated with the consumption of limestone during phosphoric acid production should be reported under Division 4.2.3. The quantity of limestone in the phosphate rock must be known to apply the methods outlined.  </w:t>
      </w:r>
    </w:p>
    <w:p w14:paraId="6D9393AB" w14:textId="404ED027" w:rsidR="004959E2" w:rsidRPr="006F6A94" w:rsidRDefault="009B4C3C" w:rsidP="003D527E">
      <w:pPr>
        <w:rPr>
          <w:rFonts w:asciiTheme="majorHAnsi" w:eastAsia="Times New Roman" w:hAnsiTheme="majorHAnsi" w:cstheme="majorHAnsi"/>
          <w:b/>
          <w:bCs/>
          <w:sz w:val="27"/>
          <w:szCs w:val="27"/>
        </w:rPr>
      </w:pPr>
      <w:r>
        <w:t xml:space="preserve">Section 4.21 of the NGER Measurement Determination prescribes the available methods for estimating </w:t>
      </w:r>
      <w:r w:rsidRPr="00F868F8">
        <w:t xml:space="preserve">emission from calcination or any other use of carbonates that produces </w:t>
      </w:r>
      <w:r w:rsidRPr="00F868F8" w:rsidDel="00D3470B">
        <w:t>carbon dioxide</w:t>
      </w:r>
      <w:r w:rsidRPr="00F868F8">
        <w:t xml:space="preserve"> in an industrial process (other than</w:t>
      </w:r>
      <w:r w:rsidRPr="006C7E99">
        <w:t xml:space="preserve"> production of</w:t>
      </w:r>
      <w:r w:rsidRPr="00F868F8">
        <w:t xml:space="preserve"> cement clinker</w:t>
      </w:r>
      <w:r w:rsidRPr="006C7E99">
        <w:t>,</w:t>
      </w:r>
      <w:r w:rsidRPr="00F868F8">
        <w:t xml:space="preserve"> lime</w:t>
      </w:r>
      <w:r w:rsidRPr="006C7E99">
        <w:t>, or soda ash</w:t>
      </w:r>
      <w:r w:rsidRPr="00F868F8">
        <w:t>).</w:t>
      </w:r>
    </w:p>
    <w:p w14:paraId="49BBB06A" w14:textId="7A227576" w:rsidR="003D527E" w:rsidRDefault="003D527E" w:rsidP="008760A8">
      <w:pPr>
        <w:pStyle w:val="Heading2"/>
        <w:numPr>
          <w:ilvl w:val="1"/>
          <w:numId w:val="39"/>
        </w:numPr>
        <w:ind w:left="0" w:firstLine="0"/>
      </w:pPr>
      <w:bookmarkStart w:id="74" w:name="_Soda__"/>
      <w:bookmarkStart w:id="75" w:name="_Toc45177002"/>
      <w:bookmarkStart w:id="76" w:name="_Toc45177257"/>
      <w:bookmarkStart w:id="77" w:name="_Toc105410922"/>
      <w:bookmarkStart w:id="78" w:name="_Toc106193904"/>
      <w:bookmarkStart w:id="79" w:name="_Toc206589087"/>
      <w:bookmarkEnd w:id="74"/>
      <w:r>
        <w:t xml:space="preserve">Soda ash </w:t>
      </w:r>
      <w:proofErr w:type="gramStart"/>
      <w:r>
        <w:t>use</w:t>
      </w:r>
      <w:proofErr w:type="gramEnd"/>
      <w:r>
        <w:t xml:space="preserve"> and production</w:t>
      </w:r>
      <w:bookmarkEnd w:id="75"/>
      <w:bookmarkEnd w:id="76"/>
      <w:bookmarkEnd w:id="77"/>
      <w:bookmarkEnd w:id="78"/>
      <w:bookmarkEnd w:id="79"/>
    </w:p>
    <w:p w14:paraId="406BB27E" w14:textId="3AA1ACBC" w:rsidR="003D527E" w:rsidRDefault="003D527E" w:rsidP="00DC6A85">
      <w:pPr>
        <w:spacing w:before="240"/>
      </w:pPr>
      <w:r>
        <w:t xml:space="preserve">Division 4.2.4 </w:t>
      </w:r>
      <w:r w:rsidRPr="00B217EB">
        <w:t>addresses emissions from the consumption and from the production of soda ash. The consumption of soda ash generates</w:t>
      </w:r>
      <w:r w:rsidR="007E6920">
        <w:t xml:space="preserve"> </w:t>
      </w:r>
      <w:r w:rsidRPr="00B217EB" w:rsidDel="007E6920">
        <w:t>carbon dioxide</w:t>
      </w:r>
      <w:r w:rsidRPr="00B217EB">
        <w:t xml:space="preserve"> emissions regardless of the industry that consumes the product. Examples of industries that use soda ash are given in Section 4.26</w:t>
      </w:r>
      <w:r>
        <w:t xml:space="preserve"> of the NGER Measurement Determination</w:t>
      </w:r>
      <w:r w:rsidRPr="00B217EB">
        <w:t>.</w:t>
      </w:r>
      <w:r w:rsidR="003D063D">
        <w:t xml:space="preserve"> </w:t>
      </w:r>
    </w:p>
    <w:p w14:paraId="7EAB5965" w14:textId="271D14EC" w:rsidR="003D527E" w:rsidRDefault="00C551BC" w:rsidP="008760A8">
      <w:pPr>
        <w:pStyle w:val="Heading3"/>
      </w:pPr>
      <w:bookmarkStart w:id="80" w:name="_Toc45177003"/>
      <w:bookmarkStart w:id="81" w:name="_Toc45177258"/>
      <w:bookmarkStart w:id="82" w:name="_Toc105410923"/>
      <w:bookmarkStart w:id="83" w:name="_Toc106193905"/>
      <w:bookmarkStart w:id="84" w:name="_Toc206589088"/>
      <w:r>
        <w:t>2.</w:t>
      </w:r>
      <w:r w:rsidR="00087632">
        <w:t>4</w:t>
      </w:r>
      <w:r>
        <w:t xml:space="preserve">.1 </w:t>
      </w:r>
      <w:r w:rsidR="00E23F54">
        <w:tab/>
      </w:r>
      <w:r>
        <w:t>Soda</w:t>
      </w:r>
      <w:r w:rsidR="003D527E">
        <w:t xml:space="preserve"> ash use</w:t>
      </w:r>
      <w:bookmarkEnd w:id="80"/>
      <w:bookmarkEnd w:id="81"/>
      <w:bookmarkEnd w:id="82"/>
      <w:bookmarkEnd w:id="83"/>
      <w:bookmarkEnd w:id="84"/>
    </w:p>
    <w:p w14:paraId="535998FD" w14:textId="7EC7CAE8" w:rsidR="00581DD4" w:rsidRPr="002C7FEA" w:rsidRDefault="00581DD4" w:rsidP="00DC6A85">
      <w:pPr>
        <w:spacing w:before="240"/>
      </w:pPr>
      <w:r>
        <w:t>Subdivision 4.2.4.1 of the NGER Measurement Determination sets out the methods for estimating emissions from the activity that uses soda ash.</w:t>
      </w:r>
    </w:p>
    <w:p w14:paraId="354F42D4" w14:textId="77777777" w:rsidR="00591587" w:rsidDel="007C058E" w:rsidRDefault="00591587" w:rsidP="003D527E">
      <w:r>
        <w:t xml:space="preserve">Method 1 </w:t>
      </w:r>
      <w:r w:rsidR="000A0780">
        <w:t>and</w:t>
      </w:r>
      <w:r>
        <w:t xml:space="preserve"> Method 4</w:t>
      </w:r>
      <w:r w:rsidR="00AF45B6">
        <w:t xml:space="preserve"> are</w:t>
      </w:r>
      <w:r w:rsidDel="00AF45B6">
        <w:t xml:space="preserve"> </w:t>
      </w:r>
      <w:r>
        <w:t>available for estimating emission</w:t>
      </w:r>
      <w:r w:rsidR="00F05CF1">
        <w:t>s</w:t>
      </w:r>
      <w:r>
        <w:t xml:space="preserve"> of</w:t>
      </w:r>
      <w:r w:rsidR="007E6920">
        <w:t xml:space="preserve"> </w:t>
      </w:r>
      <w:r w:rsidDel="007E6920">
        <w:t>carbon dioxide</w:t>
      </w:r>
      <w:r w:rsidR="00480BB3">
        <w:t xml:space="preserve"> from consumption </w:t>
      </w:r>
      <w:r w:rsidR="006D44B9">
        <w:t>of soda ash</w:t>
      </w:r>
      <w:r>
        <w:t xml:space="preserve">. </w:t>
      </w:r>
      <w:r w:rsidR="000A0780">
        <w:t>No</w:t>
      </w:r>
      <w:r>
        <w:t xml:space="preserve"> method 2 or 3 </w:t>
      </w:r>
      <w:r w:rsidR="00261A69">
        <w:t xml:space="preserve">is </w:t>
      </w:r>
      <w:r w:rsidR="000A0780">
        <w:t>available.</w:t>
      </w:r>
      <w:r w:rsidR="007E6920">
        <w:t xml:space="preserve"> </w:t>
      </w:r>
    </w:p>
    <w:p w14:paraId="1EB0B61B" w14:textId="66F973DA" w:rsidR="00F72672" w:rsidRDefault="003D527E" w:rsidP="003D527E">
      <w:r>
        <w:t>Method 1</w:t>
      </w:r>
      <w:r w:rsidRPr="00B217EB">
        <w:t xml:space="preserve"> is derived from the methodology used for the National Greenhouse Accounts</w:t>
      </w:r>
      <w:r w:rsidR="007D41BC" w:rsidRPr="006F6A94">
        <w:rPr>
          <w:vertAlign w:val="superscript"/>
        </w:rPr>
        <w:fldChar w:fldCharType="begin"/>
      </w:r>
      <w:r w:rsidR="007D41BC" w:rsidRPr="006F6A94">
        <w:rPr>
          <w:vertAlign w:val="superscript"/>
        </w:rPr>
        <w:instrText xml:space="preserve"> NOTEREF _Ref134442895 \h </w:instrText>
      </w:r>
      <w:r w:rsidR="007D41BC">
        <w:rPr>
          <w:vertAlign w:val="superscript"/>
        </w:rPr>
        <w:instrText xml:space="preserve"> \* MERGEFORMAT </w:instrText>
      </w:r>
      <w:r w:rsidR="007D41BC" w:rsidRPr="006F6A94">
        <w:rPr>
          <w:vertAlign w:val="superscript"/>
        </w:rPr>
      </w:r>
      <w:r w:rsidR="007D41BC" w:rsidRPr="006F6A94">
        <w:rPr>
          <w:vertAlign w:val="superscript"/>
        </w:rPr>
        <w:fldChar w:fldCharType="separate"/>
      </w:r>
      <w:r w:rsidR="00AB0633">
        <w:rPr>
          <w:vertAlign w:val="superscript"/>
        </w:rPr>
        <w:t>11</w:t>
      </w:r>
      <w:r w:rsidR="007D41BC" w:rsidRPr="006F6A94">
        <w:rPr>
          <w:vertAlign w:val="superscript"/>
        </w:rPr>
        <w:fldChar w:fldCharType="end"/>
      </w:r>
      <w:r w:rsidRPr="006C6050">
        <w:t>.</w:t>
      </w:r>
      <w:r w:rsidRPr="00B217EB">
        <w:t xml:space="preserve"> It involves the multiplication of the quantity of soda ash consumed in the production process by the emission factor for soda ash.</w:t>
      </w:r>
      <w:r w:rsidR="00E31CD9">
        <w:t xml:space="preserve"> Section </w:t>
      </w:r>
      <w:r w:rsidR="00F72672">
        <w:t xml:space="preserve">4.29 of the NGER Measurement Determination sets out the calculations for </w:t>
      </w:r>
      <w:r w:rsidR="0602B6E3">
        <w:t>M</w:t>
      </w:r>
      <w:r w:rsidR="00F72672">
        <w:t>ethod 1.</w:t>
      </w:r>
    </w:p>
    <w:p w14:paraId="632E5996" w14:textId="4DCC3EDD" w:rsidR="00FB3451" w:rsidRDefault="00FB3451" w:rsidP="00FB3451">
      <w:pPr>
        <w:rPr>
          <w:b/>
          <w:bCs/>
        </w:rPr>
      </w:pPr>
      <w:r w:rsidRPr="002C7FEA">
        <w:t xml:space="preserve">Part 1.3 of the NGER Measurement Determination sets out the requirements and calculation for </w:t>
      </w:r>
      <w:r w:rsidR="435972C8">
        <w:t>M</w:t>
      </w:r>
      <w:r w:rsidRPr="002C7FEA">
        <w:t>ethod 4.</w:t>
      </w:r>
      <w:r>
        <w:rPr>
          <w:b/>
          <w:bCs/>
        </w:rPr>
        <w:t xml:space="preserve"> </w:t>
      </w:r>
    </w:p>
    <w:p w14:paraId="39BBAE7D" w14:textId="177C6474" w:rsidR="003D527E" w:rsidRDefault="009D1ACB" w:rsidP="001451FC">
      <w:pPr>
        <w:pStyle w:val="Heading3"/>
      </w:pPr>
      <w:bookmarkStart w:id="85" w:name="_Toc206589089"/>
      <w:r>
        <w:t xml:space="preserve">2.4.2 </w:t>
      </w:r>
      <w:r w:rsidR="00E23F54">
        <w:tab/>
      </w:r>
      <w:r w:rsidR="003D527E">
        <w:t>Soda ash production</w:t>
      </w:r>
      <w:bookmarkEnd w:id="85"/>
    </w:p>
    <w:p w14:paraId="727D5C3A" w14:textId="42B3B5C5" w:rsidR="002C7FEA" w:rsidRDefault="003D527E" w:rsidP="00DC6A85">
      <w:pPr>
        <w:spacing w:before="240"/>
      </w:pPr>
      <w:r w:rsidRPr="00B217EB">
        <w:t>Emissions from soda ash production arise from the consumption of fuels for energy and from the calcination of limestone and sodium bicarbonate. The production of soda ash is a multi-step process involving the generation and reabsorption of</w:t>
      </w:r>
      <w:r w:rsidR="00CF3C4B">
        <w:t xml:space="preserve"> </w:t>
      </w:r>
      <w:r w:rsidRPr="00B217EB" w:rsidDel="00CF3C4B">
        <w:t>carbon dioxide</w:t>
      </w:r>
      <w:r w:rsidRPr="00B217EB">
        <w:t>. To obtain a more accurate estimation of emissions from the consumption of fuels and calcination processes</w:t>
      </w:r>
      <w:r>
        <w:t>,</w:t>
      </w:r>
      <w:r w:rsidRPr="00B217EB">
        <w:t xml:space="preserve"> a carbon balance approach is taken.</w:t>
      </w:r>
      <w:r w:rsidR="00CF3C4B">
        <w:t xml:space="preserve"> </w:t>
      </w:r>
    </w:p>
    <w:p w14:paraId="281FCF82" w14:textId="17087659" w:rsidR="00416BED" w:rsidRDefault="004A6ED7" w:rsidP="003D527E">
      <w:r>
        <w:t>Subdivision</w:t>
      </w:r>
      <w:r w:rsidR="00EC73FB">
        <w:t xml:space="preserve"> 4.2.4.2</w:t>
      </w:r>
      <w:r w:rsidR="00447336">
        <w:t xml:space="preserve"> of the Measurement </w:t>
      </w:r>
      <w:r w:rsidR="009F7824">
        <w:t>Determination</w:t>
      </w:r>
      <w:r w:rsidR="00447336">
        <w:t xml:space="preserve"> </w:t>
      </w:r>
      <w:r w:rsidR="00AB449C">
        <w:t xml:space="preserve">sets out the methods </w:t>
      </w:r>
      <w:r w:rsidR="007D7217">
        <w:t xml:space="preserve">for estimating </w:t>
      </w:r>
      <w:r w:rsidR="001264F7">
        <w:t xml:space="preserve">emission </w:t>
      </w:r>
      <w:r w:rsidR="0055041A">
        <w:t xml:space="preserve">from the activity </w:t>
      </w:r>
      <w:r w:rsidR="00FC3E5E">
        <w:t xml:space="preserve">that </w:t>
      </w:r>
      <w:r w:rsidR="00AB4C9F">
        <w:t>produces soda ash</w:t>
      </w:r>
      <w:r w:rsidR="00681B22">
        <w:t>.</w:t>
      </w:r>
    </w:p>
    <w:p w14:paraId="059149CE" w14:textId="77777777" w:rsidR="004819DC" w:rsidRDefault="004819DC">
      <w:pPr>
        <w:spacing w:after="0"/>
        <w:rPr>
          <w:rFonts w:asciiTheme="majorHAnsi" w:eastAsia="Times New Roman" w:hAnsiTheme="majorHAnsi"/>
          <w:b/>
          <w:bCs/>
          <w:sz w:val="32"/>
          <w:szCs w:val="32"/>
        </w:rPr>
      </w:pPr>
      <w:bookmarkStart w:id="86" w:name="_Toc45177005"/>
      <w:bookmarkStart w:id="87" w:name="_Toc45177260"/>
      <w:bookmarkStart w:id="88" w:name="_Toc105410925"/>
      <w:bookmarkStart w:id="89" w:name="_Toc106193907"/>
      <w:r>
        <w:br w:type="page"/>
      </w:r>
    </w:p>
    <w:p w14:paraId="5893C98C" w14:textId="603C54E2" w:rsidR="003D527E" w:rsidRDefault="003D527E" w:rsidP="00DC6A85">
      <w:pPr>
        <w:pStyle w:val="Heading2"/>
        <w:numPr>
          <w:ilvl w:val="1"/>
          <w:numId w:val="40"/>
        </w:numPr>
        <w:ind w:hanging="556"/>
      </w:pPr>
      <w:bookmarkStart w:id="90" w:name="_Toc206589090"/>
      <w:r>
        <w:t>Measurement of quantity of carbonates consumed and products derived from carbonates</w:t>
      </w:r>
      <w:bookmarkEnd w:id="86"/>
      <w:bookmarkEnd w:id="87"/>
      <w:bookmarkEnd w:id="88"/>
      <w:bookmarkEnd w:id="89"/>
      <w:bookmarkEnd w:id="90"/>
    </w:p>
    <w:p w14:paraId="38A7D6B4" w14:textId="09017B85" w:rsidR="003D527E" w:rsidRDefault="003D527E" w:rsidP="00DC6A85">
      <w:pPr>
        <w:spacing w:before="240"/>
      </w:pPr>
      <w:r>
        <w:t>Division 4.2.5 sets out how quantities of carbonates consumed from the operation of the activity and the quantities of products derived from carbonates and produced from the operation of the activity are to be estimated and used to work out the emissions released from the consumption and production of carbonates. The quantities determined under Division 4.2.5 are input into the calculations of the estimated emissions of facilities that are constituted by the production of cement clinker, the production of lime, the calcination of carbonates in an industrial process, or the use and production of soda ash.</w:t>
      </w:r>
    </w:p>
    <w:p w14:paraId="2EE8A7EB" w14:textId="6185B04D" w:rsidR="006A7D11" w:rsidRDefault="003D527E" w:rsidP="003D527E">
      <w:r>
        <w:t xml:space="preserve">There are </w:t>
      </w:r>
      <w:r w:rsidR="00120418">
        <w:t>4</w:t>
      </w:r>
      <w:r>
        <w:t xml:space="preserve"> criteria available for the estimation of the quantities of carbonates, or quantities of products derived from carbonates, reflecting differing levels of measurement effort and precision: criterion A, criterion AA, criterion AAA, and criterion BBB.</w:t>
      </w:r>
      <w:r w:rsidR="00DA63C9">
        <w:t xml:space="preserve"> These criteria </w:t>
      </w:r>
      <w:r w:rsidR="00557066">
        <w:t>are explained in Section 4.35 of the NGER Measurement Determination.</w:t>
      </w:r>
      <w:r>
        <w:t xml:space="preserve"> </w:t>
      </w:r>
      <w:r w:rsidR="00144E38">
        <w:t>See</w:t>
      </w:r>
      <w:r w:rsidR="00DF45EA">
        <w:t xml:space="preserve"> </w:t>
      </w:r>
      <w:r w:rsidR="00A35E2F">
        <w:t>Section</w:t>
      </w:r>
      <w:r w:rsidR="00323CC6">
        <w:t xml:space="preserve"> 3 of the</w:t>
      </w:r>
      <w:r w:rsidR="006A7F2F">
        <w:t xml:space="preserve"> </w:t>
      </w:r>
      <w:hyperlink r:id="rId34" w:tooltip="A link to the Methods and measurement criteria guide on the Clean Energy Regulator website" w:history="1">
        <w:r w:rsidR="006A7F2F" w:rsidRPr="006A7F2F">
          <w:rPr>
            <w:rStyle w:val="Hyperlink"/>
            <w:rFonts w:asciiTheme="minorHAnsi" w:hAnsiTheme="minorHAnsi"/>
          </w:rPr>
          <w:t>Methods and measurement criteria guideline</w:t>
        </w:r>
      </w:hyperlink>
      <w:r w:rsidR="00BB1DC9">
        <w:rPr>
          <w:rStyle w:val="FootnoteReference"/>
        </w:rPr>
        <w:footnoteReference w:id="14"/>
      </w:r>
      <w:r w:rsidDel="00FC0ECA">
        <w:t xml:space="preserve"> </w:t>
      </w:r>
      <w:r w:rsidR="00FC0ECA">
        <w:t>f</w:t>
      </w:r>
      <w:r w:rsidR="00CD0072">
        <w:t xml:space="preserve">or </w:t>
      </w:r>
      <w:r w:rsidR="0004759D">
        <w:t>requirement</w:t>
      </w:r>
      <w:r w:rsidR="000E3C27">
        <w:t>s</w:t>
      </w:r>
      <w:r w:rsidR="0004759D">
        <w:t xml:space="preserve"> and </w:t>
      </w:r>
      <w:r w:rsidR="00F4459D">
        <w:t>compliant</w:t>
      </w:r>
      <w:r w:rsidR="009C77A1">
        <w:t xml:space="preserve"> reporting</w:t>
      </w:r>
      <w:r w:rsidR="00E71ABA">
        <w:t xml:space="preserve"> </w:t>
      </w:r>
      <w:r w:rsidR="0004759D">
        <w:t>of</w:t>
      </w:r>
      <w:r w:rsidR="00A97F0F">
        <w:t xml:space="preserve"> </w:t>
      </w:r>
      <w:r w:rsidR="00337A1A">
        <w:t xml:space="preserve">measurement </w:t>
      </w:r>
      <w:r w:rsidR="00A35E2F">
        <w:t>criteria.</w:t>
      </w:r>
    </w:p>
    <w:p w14:paraId="6DE415CA" w14:textId="462AE9C5" w:rsidR="003D527E" w:rsidRDefault="003D527E" w:rsidP="003D527E">
      <w:r>
        <w:t xml:space="preserve">Under the NGER Regulations, the criterion chosen by the reporter to estimate carbonate inputs and outputs must be reported. The reference in sections 4.37 and 4.38 of the NGER Measurement Determination to ‘measuring equipment calibrated to a measurement requirement’ means calibrated to a specific characteristic, such as a unit of weight, that is traceable to a measurement requirement provided for under the </w:t>
      </w:r>
      <w:r>
        <w:rPr>
          <w:i/>
        </w:rPr>
        <w:t>National Measurement Act 1960</w:t>
      </w:r>
      <w:r w:rsidR="65DC5AB8" w:rsidRPr="7EFEDF6C">
        <w:rPr>
          <w:i/>
          <w:iCs/>
        </w:rPr>
        <w:t>,</w:t>
      </w:r>
      <w:r>
        <w:rPr>
          <w:i/>
        </w:rPr>
        <w:t xml:space="preserve"> </w:t>
      </w:r>
      <w:r>
        <w:t xml:space="preserve">or any instrument made under that act for that equipment, or a measurement requirement under an equivalent standard for that </w:t>
      </w:r>
      <w:r w:rsidR="000A6A75">
        <w:t>characteristic</w:t>
      </w:r>
      <w:r>
        <w:t xml:space="preserve">. </w:t>
      </w:r>
    </w:p>
    <w:p w14:paraId="6224CBFC" w14:textId="29F1ACE0" w:rsidR="003D527E" w:rsidRDefault="003D527E" w:rsidP="003D527E">
      <w:r>
        <w:t xml:space="preserve">Section 4.37 of the NGER Measurement Determination provides that for measurement of carbonates consumed for an activity, measured data (using measuring equipment calibrated to a measurement requirement) for carbonates delivered at the point of sale would also meet the criterion AAA under certain circumstances. These circumstances are that the change in the stockpile of carbonates for the activity during the year amounts to less than 1% of the total consumption of the carbonates from the operation of the activity on average during the year, and that the stockpile of the carbonates for the activity at the beginning of the reporting year is less than 5% of the total consumption of the carbonates from the operation of the activity during the year.   </w:t>
      </w:r>
    </w:p>
    <w:p w14:paraId="38B26813" w14:textId="1E1ABEEF" w:rsidR="003D527E" w:rsidRDefault="003D527E" w:rsidP="003D527E">
      <w:r>
        <w:t xml:space="preserve">The simplified measurement of consumption criterion (criterion BBB) is available in those cases where the reporter does not purchase their carbonates and where the reporter does not have metering equipment installed that meets the requirements of criterion AAA. In these cases, reporters should estimate consumption using metering devices or measurement techniques in practice in the industry. Such measurements would need to meet the criteria set out in </w:t>
      </w:r>
      <w:r w:rsidR="00111006">
        <w:t>s</w:t>
      </w:r>
      <w:r>
        <w:t xml:space="preserve">ection 1.13 of the NGER Measurement Determination of transparency, comparability, </w:t>
      </w:r>
      <w:r w:rsidR="00C81499">
        <w:t>accuracy,</w:t>
      </w:r>
      <w:r>
        <w:t xml:space="preserve"> and completeness. Such data would be classified and reported as ‘BBB’ data. </w:t>
      </w:r>
    </w:p>
    <w:p w14:paraId="3FB5BFB7" w14:textId="4CBE7AF4" w:rsidR="005F78BC" w:rsidRDefault="003D527E" w:rsidP="00C81499">
      <w:r>
        <w:t>The restriction on the choice of criterion at subsection 4.35(3) of the NGER Measurement Determination is designed to ensure time series consistency of the measurements.</w:t>
      </w:r>
    </w:p>
    <w:p w14:paraId="17D9B48D" w14:textId="492B204D" w:rsidR="003D527E" w:rsidRDefault="003D527E" w:rsidP="00C81499">
      <w:r>
        <w:br w:type="page"/>
      </w:r>
    </w:p>
    <w:p w14:paraId="15F0412B" w14:textId="77777777" w:rsidR="003D527E" w:rsidRDefault="003D527E" w:rsidP="005C0C5C">
      <w:pPr>
        <w:pStyle w:val="Heading1"/>
        <w:numPr>
          <w:ilvl w:val="0"/>
          <w:numId w:val="40"/>
        </w:numPr>
      </w:pPr>
      <w:bookmarkStart w:id="91" w:name="_Toc45177006"/>
      <w:bookmarkStart w:id="92" w:name="_Toc45177261"/>
      <w:bookmarkStart w:id="93" w:name="_Toc105410926"/>
      <w:bookmarkStart w:id="94" w:name="_Toc106193908"/>
      <w:bookmarkStart w:id="95" w:name="_Toc206589091"/>
      <w:r>
        <w:t>Chemical industry</w:t>
      </w:r>
      <w:bookmarkEnd w:id="91"/>
      <w:bookmarkEnd w:id="92"/>
      <w:bookmarkEnd w:id="93"/>
      <w:bookmarkEnd w:id="94"/>
      <w:bookmarkEnd w:id="95"/>
    </w:p>
    <w:p w14:paraId="3D00CE16" w14:textId="77777777" w:rsidR="003D527E" w:rsidRDefault="003D527E" w:rsidP="00DC6A85">
      <w:pPr>
        <w:spacing w:before="240"/>
      </w:pPr>
      <w:r>
        <w:t xml:space="preserve">Part 4.3 of the NGER Measurement Determination applies to any chemical industry that generates emissions of carbon dioxide by using fuels as feedstocks or as carbon reductants, as described below. Nitric acid production is also addressed below.  </w:t>
      </w:r>
    </w:p>
    <w:p w14:paraId="62EEF60F" w14:textId="0C1D7093" w:rsidR="003D527E" w:rsidRDefault="003D527E" w:rsidP="003D527E">
      <w:r>
        <w:t xml:space="preserve">It is intended that estimations of fuel quantities consumed for industrial process purposes be performed in the same manner as fuels consumed by combustion in Chapter 2 of the NGER Measurement Determination.  </w:t>
      </w:r>
      <w:r w:rsidR="00607AFD">
        <w:t xml:space="preserve">See </w:t>
      </w:r>
      <w:r w:rsidR="00CD3277">
        <w:t xml:space="preserve">the </w:t>
      </w:r>
      <w:hyperlink r:id="rId35" w:tooltip="A link to the Estimating emissions and energy from fuel combustion guide on the Clean Energy Regulator website" w:history="1">
        <w:r w:rsidR="001C6B20" w:rsidRPr="007076E9">
          <w:rPr>
            <w:rStyle w:val="Hyperlink"/>
            <w:rFonts w:asciiTheme="minorHAnsi" w:hAnsiTheme="minorHAnsi"/>
          </w:rPr>
          <w:t>Estimating emission</w:t>
        </w:r>
        <w:r w:rsidR="00AD0CB5">
          <w:rPr>
            <w:rStyle w:val="Hyperlink"/>
            <w:rFonts w:asciiTheme="minorHAnsi" w:hAnsiTheme="minorHAnsi"/>
          </w:rPr>
          <w:t>s</w:t>
        </w:r>
        <w:r w:rsidR="001C6B20" w:rsidRPr="007076E9">
          <w:rPr>
            <w:rStyle w:val="Hyperlink"/>
            <w:rFonts w:asciiTheme="minorHAnsi" w:hAnsiTheme="minorHAnsi"/>
          </w:rPr>
          <w:t xml:space="preserve"> and energy from fuel combustion guideline</w:t>
        </w:r>
      </w:hyperlink>
      <w:r w:rsidR="00BB1DC9">
        <w:rPr>
          <w:rStyle w:val="FootnoteReference"/>
        </w:rPr>
        <w:footnoteReference w:id="15"/>
      </w:r>
      <w:r w:rsidR="000D5D90">
        <w:t xml:space="preserve"> for more information</w:t>
      </w:r>
      <w:r w:rsidR="001C6B20">
        <w:t>.</w:t>
      </w:r>
      <w:r>
        <w:t xml:space="preserve">  </w:t>
      </w:r>
    </w:p>
    <w:p w14:paraId="04629603" w14:textId="77777777" w:rsidR="003D527E" w:rsidRDefault="003D527E" w:rsidP="003D527E">
      <w:r>
        <w:t>Other sources of emissions arising from the production of the products listed below, such as from the combustion of fuels for energy purposes, are not described in this chapter and must be estimated using the methods described in other chapters of the NGER Measurement Determination.</w:t>
      </w:r>
    </w:p>
    <w:p w14:paraId="5521AE88" w14:textId="6B78A0FD" w:rsidR="003D527E" w:rsidRDefault="003D527E" w:rsidP="006F6A94">
      <w:pPr>
        <w:pStyle w:val="Heading2"/>
        <w:numPr>
          <w:ilvl w:val="1"/>
          <w:numId w:val="43"/>
        </w:numPr>
      </w:pPr>
      <w:bookmarkStart w:id="96" w:name="_Toc106193909"/>
      <w:bookmarkStart w:id="97" w:name="_Toc45177007"/>
      <w:bookmarkStart w:id="98" w:name="_Toc45177262"/>
      <w:bookmarkStart w:id="99" w:name="_Toc105410927"/>
      <w:bookmarkStart w:id="100" w:name="_Toc106193910"/>
      <w:bookmarkStart w:id="101" w:name="_Toc206589092"/>
      <w:bookmarkEnd w:id="96"/>
      <w:r>
        <w:t>Ammonia production</w:t>
      </w:r>
      <w:bookmarkEnd w:id="97"/>
      <w:bookmarkEnd w:id="98"/>
      <w:bookmarkEnd w:id="99"/>
      <w:bookmarkEnd w:id="100"/>
      <w:bookmarkEnd w:id="101"/>
    </w:p>
    <w:p w14:paraId="08316F27" w14:textId="2558E958" w:rsidR="003D527E" w:rsidRDefault="003D527E" w:rsidP="00DC6A85">
      <w:pPr>
        <w:spacing w:before="240"/>
      </w:pPr>
      <w:r>
        <w:t>Ammonia production involves the consumption of fossil fuels for both energy and non-energy purposes. Carbon dioxide emissions are generated in the primary steam reforming process in which the source of fuel, commonly natural gas, is used to derive hydrogen. This is an example where natural gas is consumed for its non-energy purposes.</w:t>
      </w:r>
    </w:p>
    <w:p w14:paraId="6B81D32D" w14:textId="0ED15552" w:rsidR="003D527E" w:rsidRDefault="003D527E" w:rsidP="003D527E">
      <w:r>
        <w:t>Emissions from the use of natural gas for its energy value should be separated from its non-energy purposes, if possible. Emissions and fuels consumed for energy should be estimated using methods within the NGER Measurement Determination provided for fuel combustion. Emissions and fuel use</w:t>
      </w:r>
      <w:r w:rsidR="6D946205">
        <w:t>d</w:t>
      </w:r>
      <w:r>
        <w:t xml:space="preserve"> as an input into ammonia production should be estimated using methods provided in Division 4.3.1. If this separation cannot be completed then, to minimise the risk of duplication or omission</w:t>
      </w:r>
      <w:r w:rsidR="25D7FA80">
        <w:t>,</w:t>
      </w:r>
      <w:r>
        <w:t xml:space="preserve"> all emissions from the use of gas in</w:t>
      </w:r>
      <w:r w:rsidR="00F07CE3">
        <w:t xml:space="preserve"> </w:t>
      </w:r>
      <w:r w:rsidRPr="00F07CE3" w:rsidDel="00F07CE3">
        <w:t>ammonia</w:t>
      </w:r>
      <w:r>
        <w:t xml:space="preserve"> production should be included within the industrial processes sector using methods detailed in Division 4.3.1.</w:t>
      </w:r>
    </w:p>
    <w:p w14:paraId="6E8F6566" w14:textId="545559C1" w:rsidR="003D527E" w:rsidRDefault="003D527E" w:rsidP="003D527E">
      <w:r>
        <w:t xml:space="preserve">Matters to be Identified (MTBI) are required and listed within Schedule 4 of the NGER Measurement Determination. Carbon dioxide can be deducted from your emissions estimate under </w:t>
      </w:r>
      <w:r w:rsidR="7FFECEA7">
        <w:t>M</w:t>
      </w:r>
      <w:r>
        <w:t xml:space="preserve">ethod 1, 2 and 3 if it was captured and transferred from the facility. This is listed </w:t>
      </w:r>
      <w:r w:rsidRPr="009C5C01">
        <w:t>as</w:t>
      </w:r>
      <w:r>
        <w:t xml:space="preserve"> </w:t>
      </w:r>
      <w:r w:rsidRPr="006C04AD">
        <w:rPr>
          <w:b/>
          <w:bCs/>
          <w:i/>
          <w:iCs/>
        </w:rPr>
        <w:t>R</w:t>
      </w:r>
      <w:r>
        <w:t xml:space="preserve"> within the calculation.</w:t>
      </w:r>
      <w:r>
        <w:rPr>
          <w:b/>
          <w:bCs/>
          <w:i/>
          <w:iCs/>
        </w:rPr>
        <w:t xml:space="preserve"> </w:t>
      </w:r>
      <w:r>
        <w:t xml:space="preserve"> </w:t>
      </w:r>
    </w:p>
    <w:p w14:paraId="0E31E43B" w14:textId="77777777" w:rsidR="003D527E" w:rsidRPr="00F57EB2" w:rsidRDefault="003D527E" w:rsidP="003D527E">
      <w:r>
        <w:t xml:space="preserve">If multiple fuels are used, each fuel must be entered as a separate activity with individual emissions estimations. Apportionment of </w:t>
      </w:r>
      <w:r w:rsidRPr="006C04AD">
        <w:rPr>
          <w:b/>
          <w:bCs/>
          <w:i/>
          <w:iCs/>
        </w:rPr>
        <w:t>R</w:t>
      </w:r>
      <w:r>
        <w:t xml:space="preserve"> must be performed as per the criteria listed within subsection 4.42(2) of the NGER Measurement Determination.</w:t>
      </w:r>
    </w:p>
    <w:tbl>
      <w:tblPr>
        <w:tblStyle w:val="CERCallout"/>
        <w:tblW w:w="0" w:type="auto"/>
        <w:tblLook w:val="04A0" w:firstRow="1" w:lastRow="0" w:firstColumn="1" w:lastColumn="0" w:noHBand="0" w:noVBand="1"/>
      </w:tblPr>
      <w:tblGrid>
        <w:gridCol w:w="9710"/>
      </w:tblGrid>
      <w:tr w:rsidR="003D527E" w14:paraId="3D3808B6" w14:textId="77777777">
        <w:trPr>
          <w:cnfStyle w:val="100000000000" w:firstRow="1" w:lastRow="0" w:firstColumn="0" w:lastColumn="0" w:oddVBand="0" w:evenVBand="0" w:oddHBand="0" w:evenHBand="0" w:firstRowFirstColumn="0" w:firstRowLastColumn="0" w:lastRowFirstColumn="0" w:lastRowLastColumn="0"/>
        </w:trPr>
        <w:tc>
          <w:tcPr>
            <w:tcW w:w="9730" w:type="dxa"/>
          </w:tcPr>
          <w:p w14:paraId="5BE6F5F8" w14:textId="77777777" w:rsidR="00F57EB2" w:rsidRPr="00F57EB2" w:rsidRDefault="00F57EB2" w:rsidP="00F57EB2">
            <w:pPr>
              <w:pStyle w:val="Heading3"/>
              <w:rPr>
                <w:b/>
                <w:bCs w:val="0"/>
              </w:rPr>
            </w:pPr>
            <w:bookmarkStart w:id="102" w:name="_Toc206589093"/>
            <w:r w:rsidRPr="00F57EB2">
              <w:rPr>
                <w:b/>
                <w:bCs w:val="0"/>
              </w:rPr>
              <w:t>Hydrogen production or consumption</w:t>
            </w:r>
            <w:bookmarkEnd w:id="102"/>
            <w:r w:rsidRPr="00F57EB2">
              <w:rPr>
                <w:b/>
                <w:bCs w:val="0"/>
              </w:rPr>
              <w:t xml:space="preserve"> </w:t>
            </w:r>
          </w:p>
          <w:p w14:paraId="2B0D6DBF" w14:textId="01F824C7" w:rsidR="003D527E" w:rsidRPr="000221EC" w:rsidRDefault="003D527E">
            <w:pPr>
              <w:rPr>
                <w:b w:val="0"/>
                <w:bCs/>
              </w:rPr>
            </w:pPr>
            <w:r w:rsidRPr="000221EC">
              <w:rPr>
                <w:b w:val="0"/>
                <w:bCs/>
              </w:rPr>
              <w:t>Hydrogen produced or consumed during ammonia</w:t>
            </w:r>
            <w:r w:rsidR="00F07CE3">
              <w:rPr>
                <w:b w:val="0"/>
                <w:bCs/>
              </w:rPr>
              <w:t xml:space="preserve"> </w:t>
            </w:r>
            <w:r w:rsidRPr="000221EC">
              <w:rPr>
                <w:b w:val="0"/>
                <w:bCs/>
              </w:rPr>
              <w:t>production must be reported as per Chapter 6 of the NGER Measurement Determination</w:t>
            </w:r>
            <w:r w:rsidR="00D8631D">
              <w:rPr>
                <w:b w:val="0"/>
                <w:bCs/>
              </w:rPr>
              <w:t>.</w:t>
            </w:r>
          </w:p>
        </w:tc>
      </w:tr>
    </w:tbl>
    <w:p w14:paraId="29B2FD2B" w14:textId="77777777" w:rsidR="003D527E" w:rsidRDefault="003D527E" w:rsidP="006F6A94">
      <w:pPr>
        <w:pStyle w:val="Heading2"/>
        <w:numPr>
          <w:ilvl w:val="1"/>
          <w:numId w:val="43"/>
        </w:numPr>
      </w:pPr>
      <w:bookmarkStart w:id="103" w:name="_Toc105410928"/>
      <w:bookmarkStart w:id="104" w:name="_Toc105411031"/>
      <w:bookmarkStart w:id="105" w:name="_Toc106193911"/>
      <w:bookmarkStart w:id="106" w:name="_Toc105410929"/>
      <w:bookmarkStart w:id="107" w:name="_Toc105411032"/>
      <w:bookmarkStart w:id="108" w:name="_Toc106193912"/>
      <w:bookmarkStart w:id="109" w:name="_Toc45177008"/>
      <w:bookmarkStart w:id="110" w:name="_Toc45177263"/>
      <w:bookmarkStart w:id="111" w:name="_Toc105410930"/>
      <w:bookmarkStart w:id="112" w:name="_Toc106193913"/>
      <w:bookmarkStart w:id="113" w:name="_Toc206589094"/>
      <w:bookmarkEnd w:id="103"/>
      <w:bookmarkEnd w:id="104"/>
      <w:bookmarkEnd w:id="105"/>
      <w:bookmarkEnd w:id="106"/>
      <w:bookmarkEnd w:id="107"/>
      <w:bookmarkEnd w:id="108"/>
      <w:r>
        <w:t>Nitric acid production</w:t>
      </w:r>
      <w:bookmarkEnd w:id="109"/>
      <w:bookmarkEnd w:id="110"/>
      <w:bookmarkEnd w:id="111"/>
      <w:bookmarkEnd w:id="112"/>
      <w:bookmarkEnd w:id="113"/>
    </w:p>
    <w:p w14:paraId="52A7264C" w14:textId="69611E8C" w:rsidR="003D527E" w:rsidRDefault="003D527E" w:rsidP="00DC6A85">
      <w:pPr>
        <w:spacing w:before="240"/>
      </w:pPr>
      <w:r w:rsidRPr="005006CC">
        <w:t>The manufacture of nitric acid (</w:t>
      </w:r>
      <w:r w:rsidRPr="00DB042F">
        <w:t>HNO</w:t>
      </w:r>
      <w:r w:rsidRPr="00DB042F">
        <w:rPr>
          <w:vertAlign w:val="subscript"/>
        </w:rPr>
        <w:t>3</w:t>
      </w:r>
      <w:r>
        <w:t xml:space="preserve">) </w:t>
      </w:r>
      <w:r w:rsidRPr="00121A7B">
        <w:t>generates</w:t>
      </w:r>
      <w:r w:rsidRPr="005006CC">
        <w:t xml:space="preserve"> nitrous oxide (N</w:t>
      </w:r>
      <w:r w:rsidRPr="005006CC">
        <w:rPr>
          <w:vertAlign w:val="subscript"/>
        </w:rPr>
        <w:t>2</w:t>
      </w:r>
      <w:r w:rsidRPr="005006CC">
        <w:t>O</w:t>
      </w:r>
      <w:r>
        <w:t>)</w:t>
      </w:r>
      <w:r w:rsidR="5908B993">
        <w:t>, which</w:t>
      </w:r>
      <w:r w:rsidRPr="005006CC">
        <w:t xml:space="preserve"> </w:t>
      </w:r>
      <w:r>
        <w:t>i</w:t>
      </w:r>
      <w:r w:rsidRPr="005006CC">
        <w:t xml:space="preserve">s a by-product of the high temperature catalytic oxidation of </w:t>
      </w:r>
      <w:r w:rsidRPr="005006CC" w:rsidDel="001E2748">
        <w:t>ammonia (</w:t>
      </w:r>
      <w:r w:rsidRPr="005006CC">
        <w:t>NH</w:t>
      </w:r>
      <w:r w:rsidRPr="005006CC">
        <w:rPr>
          <w:vertAlign w:val="subscript"/>
        </w:rPr>
        <w:t>3</w:t>
      </w:r>
      <w:r w:rsidDel="001E2748">
        <w:t>)</w:t>
      </w:r>
      <w:r w:rsidRPr="005006CC">
        <w:t>.</w:t>
      </w:r>
      <w:r>
        <w:t xml:space="preserve"> The level of pressure used in</w:t>
      </w:r>
      <w:r w:rsidR="001E2748">
        <w:t xml:space="preserve"> </w:t>
      </w:r>
      <w:r w:rsidDel="001E2748">
        <w:t>nitric acid</w:t>
      </w:r>
      <w:r>
        <w:t xml:space="preserve"> production will affect the </w:t>
      </w:r>
      <w:proofErr w:type="gramStart"/>
      <w:r>
        <w:t>amount</w:t>
      </w:r>
      <w:proofErr w:type="gramEnd"/>
      <w:r>
        <w:t xml:space="preserve"> of emissions. Under </w:t>
      </w:r>
      <w:r w:rsidR="4D10108E">
        <w:t>M</w:t>
      </w:r>
      <w:r>
        <w:t xml:space="preserve">ethod 1, default emission factors are available for the </w:t>
      </w:r>
      <w:r w:rsidR="006F2D1E">
        <w:t xml:space="preserve">3 </w:t>
      </w:r>
      <w:r>
        <w:t>broad categories of production plants. Method 2 requires periodic emissions monitoring for the determination of a more accurate emission factor.</w:t>
      </w:r>
    </w:p>
    <w:p w14:paraId="71751CFB" w14:textId="77777777" w:rsidR="003D527E" w:rsidRDefault="003D527E" w:rsidP="006F6A94">
      <w:pPr>
        <w:pStyle w:val="Heading2"/>
        <w:numPr>
          <w:ilvl w:val="1"/>
          <w:numId w:val="43"/>
        </w:numPr>
      </w:pPr>
      <w:bookmarkStart w:id="114" w:name="_Toc45177009"/>
      <w:bookmarkStart w:id="115" w:name="_Toc45177264"/>
      <w:bookmarkStart w:id="116" w:name="_Toc105410931"/>
      <w:bookmarkStart w:id="117" w:name="_Toc106193914"/>
      <w:bookmarkStart w:id="118" w:name="_Toc206589095"/>
      <w:r>
        <w:t>Adipic acid production</w:t>
      </w:r>
      <w:bookmarkEnd w:id="114"/>
      <w:bookmarkEnd w:id="115"/>
      <w:bookmarkEnd w:id="116"/>
      <w:bookmarkEnd w:id="117"/>
      <w:bookmarkEnd w:id="118"/>
    </w:p>
    <w:p w14:paraId="34E5AE30" w14:textId="77777777" w:rsidR="003D527E" w:rsidRDefault="003D527E" w:rsidP="00DC6A85">
      <w:pPr>
        <w:spacing w:before="240"/>
      </w:pPr>
      <w:r w:rsidRPr="004D31A4">
        <w:t xml:space="preserve">Adipic acid is a long-chain organic acid with the </w:t>
      </w:r>
      <w:r>
        <w:t>Internal Union of Pure and Applied Chemistry (</w:t>
      </w:r>
      <w:r w:rsidRPr="004D31A4">
        <w:t>IUPAC</w:t>
      </w:r>
      <w:r>
        <w:t>)</w:t>
      </w:r>
      <w:r w:rsidRPr="004D31A4">
        <w:t xml:space="preserve"> name of hexanedioic acid. Adipic acid is manufactured from the oxidation of a cyclohexanone/cyclohexanol mixture, known as ketone-alcohol oil (KA oil), by nitric acid</w:t>
      </w:r>
      <w:r>
        <w:t>.</w:t>
      </w:r>
    </w:p>
    <w:p w14:paraId="6A583B94" w14:textId="77777777" w:rsidR="003D527E" w:rsidRDefault="003D527E" w:rsidP="003D527E">
      <w:r>
        <w:t>No method is prescribed within the NGER Legislation for estimating emissions released in the production of adipic acid. Section 4.50 of the NGER Measurement Determination provides that reporters must use one of the methods set out in section 3.4 of the 2006 IPCC Guidelines</w:t>
      </w:r>
      <w:r w:rsidRPr="00A90DF3">
        <w:t xml:space="preserve"> </w:t>
      </w:r>
      <w:r>
        <w:t xml:space="preserve">for measuring emissions from the manufacture of adipic acid, subject to section 1.18 of the NGER Measurement Determination. </w:t>
      </w:r>
    </w:p>
    <w:p w14:paraId="55F29C4B" w14:textId="77777777" w:rsidR="003D527E" w:rsidRDefault="003D527E" w:rsidP="006F6A94">
      <w:pPr>
        <w:pStyle w:val="Heading2"/>
        <w:numPr>
          <w:ilvl w:val="1"/>
          <w:numId w:val="43"/>
        </w:numPr>
      </w:pPr>
      <w:bookmarkStart w:id="119" w:name="_Toc45177010"/>
      <w:bookmarkStart w:id="120" w:name="_Toc45177265"/>
      <w:bookmarkStart w:id="121" w:name="_Toc105410932"/>
      <w:bookmarkStart w:id="122" w:name="_Toc106193915"/>
      <w:bookmarkStart w:id="123" w:name="_Toc206589096"/>
      <w:r>
        <w:t>Carbide production</w:t>
      </w:r>
      <w:bookmarkEnd w:id="119"/>
      <w:bookmarkEnd w:id="120"/>
      <w:bookmarkEnd w:id="121"/>
      <w:bookmarkEnd w:id="122"/>
      <w:bookmarkEnd w:id="123"/>
    </w:p>
    <w:p w14:paraId="5762C8EE" w14:textId="77777777" w:rsidR="003D527E" w:rsidRDefault="003D527E" w:rsidP="00DC6A85">
      <w:pPr>
        <w:spacing w:before="240"/>
      </w:pPr>
      <w:r>
        <w:t>Carbides are a type of compound where a metal and carbon are bonded, often in stoichiometric equivalency. Division 4.3.4 of the NGER Measurement Determination refers to section 3.6 of the 2006 IPCC Guidelines, which relates to emissions of carbon dioxide from the manufacture of silicon carbide (SiC) and calcium carbide (CaC</w:t>
      </w:r>
      <w:r w:rsidRPr="00EA63B4">
        <w:rPr>
          <w:vertAlign w:val="subscript"/>
        </w:rPr>
        <w:t>2</w:t>
      </w:r>
      <w:r>
        <w:t xml:space="preserve">). </w:t>
      </w:r>
    </w:p>
    <w:p w14:paraId="03C32A95" w14:textId="77777777" w:rsidR="003D527E" w:rsidRPr="004D31A4" w:rsidRDefault="003D527E" w:rsidP="003D527E">
      <w:r>
        <w:t>Silicon carbide is used as an artificial abrasive, while calcium carbide is important in the manufacture of acetylene and as a reductant in electric arc steel furnaces.</w:t>
      </w:r>
    </w:p>
    <w:p w14:paraId="71453A9E" w14:textId="77777777" w:rsidR="003D527E" w:rsidRDefault="003D527E" w:rsidP="003D527E">
      <w:r>
        <w:t>No method is prescribed within the NGER Legislation</w:t>
      </w:r>
      <w:r w:rsidRPr="0075769F">
        <w:t xml:space="preserve"> </w:t>
      </w:r>
      <w:r>
        <w:t xml:space="preserve">for estimating emissions released in the production of carbide. Section 4.52 of the NGER Measurement Determination provides that reporters must use one of the methods set out in section 3.6 of the 2006 IPCC Guidelines for measuring emissions from the manufacture of carbides, subject to section 1.18 of the NGER Measurement Determination. </w:t>
      </w:r>
    </w:p>
    <w:p w14:paraId="07E6AAD9" w14:textId="77777777" w:rsidR="003D527E" w:rsidRDefault="003D527E" w:rsidP="006F6A94">
      <w:pPr>
        <w:pStyle w:val="Heading2"/>
        <w:numPr>
          <w:ilvl w:val="1"/>
          <w:numId w:val="43"/>
        </w:numPr>
      </w:pPr>
      <w:bookmarkStart w:id="124" w:name="_Toc45177011"/>
      <w:bookmarkStart w:id="125" w:name="_Toc45177266"/>
      <w:bookmarkStart w:id="126" w:name="_Toc105410933"/>
      <w:bookmarkStart w:id="127" w:name="_Toc106193916"/>
      <w:bookmarkStart w:id="128" w:name="_Toc206589097"/>
      <w:r>
        <w:t>Chemical or mineral production, other than carbide production, using a carbon reductant or carbon anode</w:t>
      </w:r>
      <w:bookmarkEnd w:id="124"/>
      <w:bookmarkEnd w:id="125"/>
      <w:bookmarkEnd w:id="126"/>
      <w:bookmarkEnd w:id="127"/>
      <w:bookmarkEnd w:id="128"/>
    </w:p>
    <w:p w14:paraId="37350C97" w14:textId="7C8C431F" w:rsidR="003D527E" w:rsidRPr="00685536" w:rsidRDefault="003D527E" w:rsidP="00DC6A85">
      <w:pPr>
        <w:spacing w:before="240"/>
      </w:pPr>
      <w:r w:rsidRPr="00685536">
        <w:t>Emissions of</w:t>
      </w:r>
      <w:r w:rsidRPr="00685536" w:rsidDel="00BB1127">
        <w:t xml:space="preserve"> carbon dioxide</w:t>
      </w:r>
      <w:r w:rsidRPr="00685536">
        <w:t xml:space="preserve"> released from the use of carbon reductants or carbon anodes in the production of chemical or mineral products (other than </w:t>
      </w:r>
      <w:r>
        <w:t xml:space="preserve">the production of </w:t>
      </w:r>
      <w:r w:rsidRPr="00685536">
        <w:t>carbide) should be estimated using methods provided in Division</w:t>
      </w:r>
      <w:r>
        <w:t xml:space="preserve"> 4.3.5 of the NGER Measurement Determination</w:t>
      </w:r>
      <w:r w:rsidRPr="00685536">
        <w:t>.</w:t>
      </w:r>
    </w:p>
    <w:p w14:paraId="0930DAD2" w14:textId="078C6C1A" w:rsidR="003D527E" w:rsidRDefault="00535DC6" w:rsidP="003D527E">
      <w:r w:rsidRPr="00693C49">
        <w:t>To</w:t>
      </w:r>
      <w:r w:rsidR="003D527E" w:rsidRPr="00693C49">
        <w:t xml:space="preserve"> deduct</w:t>
      </w:r>
      <w:r w:rsidR="003D527E" w:rsidRPr="00693C49" w:rsidDel="00BB1127">
        <w:t xml:space="preserve"> carbon dioxide</w:t>
      </w:r>
      <w:r w:rsidR="003D527E" w:rsidRPr="00693C49">
        <w:t xml:space="preserve"> captured for permanent storage reporters are required to use </w:t>
      </w:r>
      <w:r w:rsidR="5F1EDE80">
        <w:t>M</w:t>
      </w:r>
      <w:r w:rsidR="003D527E" w:rsidRPr="00693C49">
        <w:t>ethod 2 or higher</w:t>
      </w:r>
      <w:r w:rsidR="00D67147">
        <w:t xml:space="preserve"> methods</w:t>
      </w:r>
      <w:r w:rsidR="003D527E" w:rsidRPr="00693C49">
        <w:t>. These higher methods provide a more accurate estimate of the</w:t>
      </w:r>
      <w:r w:rsidR="00D31EBC">
        <w:t xml:space="preserve"> </w:t>
      </w:r>
      <w:r w:rsidR="003D527E" w:rsidRPr="00693C49" w:rsidDel="00D31EBC">
        <w:t>carbon dioxide</w:t>
      </w:r>
      <w:r w:rsidR="003D527E" w:rsidRPr="00693C49">
        <w:t xml:space="preserve"> emissions than under </w:t>
      </w:r>
      <w:r w:rsidR="0777B3EA">
        <w:t>M</w:t>
      </w:r>
      <w:r w:rsidR="003D527E" w:rsidRPr="00693C49">
        <w:t>ethod 1, the default method. As the</w:t>
      </w:r>
      <w:r w:rsidR="003D527E" w:rsidRPr="00693C49" w:rsidDel="00D31EBC">
        <w:t xml:space="preserve"> carbon dioxide</w:t>
      </w:r>
      <w:r w:rsidR="003D527E" w:rsidRPr="00693C49">
        <w:t xml:space="preserve"> captured is deducted from the emissions estimate it is necessary to have a greater level of accuracy in the emissions estimate than is achieved using </w:t>
      </w:r>
      <w:r w:rsidR="1B07F51D">
        <w:t>M</w:t>
      </w:r>
      <w:r w:rsidR="003D527E" w:rsidRPr="00693C49">
        <w:t>ethod 1</w:t>
      </w:r>
      <w:r w:rsidR="003D527E">
        <w:t>.</w:t>
      </w:r>
    </w:p>
    <w:p w14:paraId="32475539" w14:textId="77777777" w:rsidR="003D527E" w:rsidRDefault="003D527E" w:rsidP="006F6A94">
      <w:pPr>
        <w:pStyle w:val="Heading2"/>
        <w:numPr>
          <w:ilvl w:val="1"/>
          <w:numId w:val="43"/>
        </w:numPr>
      </w:pPr>
      <w:bookmarkStart w:id="129" w:name="_Toc45177012"/>
      <w:bookmarkStart w:id="130" w:name="_Toc45177267"/>
      <w:bookmarkStart w:id="131" w:name="_Toc105410934"/>
      <w:bookmarkStart w:id="132" w:name="_Toc106193917"/>
      <w:bookmarkStart w:id="133" w:name="_Toc206589098"/>
      <w:r>
        <w:t>Sodium cyanide production</w:t>
      </w:r>
      <w:bookmarkEnd w:id="129"/>
      <w:bookmarkEnd w:id="130"/>
      <w:bookmarkEnd w:id="131"/>
      <w:bookmarkEnd w:id="132"/>
      <w:bookmarkEnd w:id="133"/>
    </w:p>
    <w:p w14:paraId="759D489D" w14:textId="311BDD9D" w:rsidR="003D527E" w:rsidRDefault="003D527E" w:rsidP="00DC6A85">
      <w:pPr>
        <w:spacing w:before="240"/>
      </w:pPr>
      <w:r>
        <w:t>Division 4.3.6 of the NGER Measurement Determination concerns emissions of</w:t>
      </w:r>
      <w:r w:rsidR="00AA03C2">
        <w:t xml:space="preserve"> </w:t>
      </w:r>
      <w:r w:rsidDel="00AA03C2">
        <w:t>carbon dioxide</w:t>
      </w:r>
      <w:r>
        <w:t xml:space="preserve"> and</w:t>
      </w:r>
      <w:r w:rsidR="00AA03C2">
        <w:t xml:space="preserve"> </w:t>
      </w:r>
      <w:r w:rsidDel="00AA03C2">
        <w:t>nitrous oxide</w:t>
      </w:r>
      <w:r>
        <w:t xml:space="preserve"> released from the production of sodium cyanide.</w:t>
      </w:r>
    </w:p>
    <w:p w14:paraId="2750C723" w14:textId="4B3C760C" w:rsidR="006A07B8" w:rsidRDefault="003D527E" w:rsidP="003D527E">
      <w:r>
        <w:t>Depending on the production process employed, emissions of</w:t>
      </w:r>
      <w:r w:rsidR="00AA03C2">
        <w:t xml:space="preserve"> </w:t>
      </w:r>
      <w:r w:rsidDel="00AA03C2">
        <w:t>carbon dioxide and nitrous oxide</w:t>
      </w:r>
      <w:r>
        <w:t xml:space="preserve"> may result. </w:t>
      </w:r>
      <w:r w:rsidRPr="00244621">
        <w:t xml:space="preserve">Nitrous oxide can only be estimated using </w:t>
      </w:r>
      <w:r w:rsidR="4D8538BD" w:rsidRPr="00244621">
        <w:t>M</w:t>
      </w:r>
      <w:r w:rsidRPr="00244621">
        <w:t>ethod 4</w:t>
      </w:r>
      <w:r>
        <w:t xml:space="preserve"> under Part 1.3</w:t>
      </w:r>
      <w:r w:rsidRPr="00244621">
        <w:t xml:space="preserve"> or </w:t>
      </w:r>
      <w:hyperlink r:id="rId36" w:tooltip="A link to the Eaggregated facility reporting percentage estimates and incidental emissions guide on the Clean Energy Regulator website" w:history="1">
        <w:r w:rsidRPr="009C17BF">
          <w:rPr>
            <w:rStyle w:val="Hyperlink"/>
            <w:rFonts w:asciiTheme="minorHAnsi" w:hAnsiTheme="minorHAnsi"/>
          </w:rPr>
          <w:t>incidental emissions reporting provisions</w:t>
        </w:r>
      </w:hyperlink>
      <w:r>
        <w:rPr>
          <w:rStyle w:val="FootnoteReference"/>
        </w:rPr>
        <w:footnoteReference w:id="16"/>
      </w:r>
      <w:r w:rsidRPr="00244621">
        <w:t xml:space="preserve">. </w:t>
      </w:r>
      <w:r>
        <w:t>C</w:t>
      </w:r>
      <w:r w:rsidRPr="00244621">
        <w:t xml:space="preserve">arbon dioxide emissions can be estimated using </w:t>
      </w:r>
      <w:r w:rsidR="00FF6517">
        <w:t>M</w:t>
      </w:r>
      <w:r w:rsidRPr="00244621">
        <w:t>ethod 1</w:t>
      </w:r>
      <w:r>
        <w:t xml:space="preserve"> (</w:t>
      </w:r>
      <w:r w:rsidR="00DE2DB9">
        <w:t>s</w:t>
      </w:r>
      <w:r>
        <w:t>ection 4.</w:t>
      </w:r>
      <w:r w:rsidR="0004278F">
        <w:t>55</w:t>
      </w:r>
      <w:r>
        <w:t>)</w:t>
      </w:r>
      <w:r w:rsidRPr="00244621">
        <w:t>,</w:t>
      </w:r>
      <w:r>
        <w:t xml:space="preserve"> </w:t>
      </w:r>
      <w:r w:rsidR="00FF6517">
        <w:t>M</w:t>
      </w:r>
      <w:r w:rsidR="00726407">
        <w:t xml:space="preserve">ethod </w:t>
      </w:r>
      <w:r w:rsidRPr="00244621">
        <w:t>2</w:t>
      </w:r>
      <w:r>
        <w:t xml:space="preserve"> (</w:t>
      </w:r>
      <w:r w:rsidR="00DE2DB9">
        <w:t>s</w:t>
      </w:r>
      <w:r>
        <w:t>ection 4.</w:t>
      </w:r>
      <w:r w:rsidR="00E261A9">
        <w:t>56</w:t>
      </w:r>
      <w:r>
        <w:t>)</w:t>
      </w:r>
      <w:r w:rsidRPr="00244621">
        <w:t>,</w:t>
      </w:r>
      <w:r>
        <w:t xml:space="preserve"> </w:t>
      </w:r>
      <w:r w:rsidR="00FF6517">
        <w:t>M</w:t>
      </w:r>
      <w:r w:rsidR="00726407">
        <w:t xml:space="preserve">ethod </w:t>
      </w:r>
      <w:r w:rsidRPr="00244621">
        <w:t>3</w:t>
      </w:r>
      <w:r>
        <w:t xml:space="preserve"> (</w:t>
      </w:r>
      <w:r w:rsidR="00DE2DB9">
        <w:t>s</w:t>
      </w:r>
      <w:r>
        <w:t>ection 4.</w:t>
      </w:r>
      <w:r w:rsidR="00323EE3">
        <w:t>57</w:t>
      </w:r>
      <w:r>
        <w:t>)</w:t>
      </w:r>
      <w:r w:rsidRPr="00244621">
        <w:t>,</w:t>
      </w:r>
      <w:r>
        <w:t xml:space="preserve"> </w:t>
      </w:r>
      <w:r w:rsidR="00FF6517">
        <w:t>M</w:t>
      </w:r>
      <w:r w:rsidR="004239C1">
        <w:t>e</w:t>
      </w:r>
      <w:r w:rsidR="00726407">
        <w:t xml:space="preserve">thod </w:t>
      </w:r>
      <w:r w:rsidRPr="00244621">
        <w:t>4</w:t>
      </w:r>
      <w:r>
        <w:t xml:space="preserve"> (Part 1.3)</w:t>
      </w:r>
      <w:r w:rsidRPr="00244621">
        <w:t>, or incidental reporting provisions</w:t>
      </w:r>
      <w:r w:rsidR="00370444">
        <w:t>.</w:t>
      </w:r>
    </w:p>
    <w:p w14:paraId="13637964" w14:textId="77777777" w:rsidR="003D527E" w:rsidRDefault="003D527E" w:rsidP="006F6A94">
      <w:pPr>
        <w:pStyle w:val="Heading2"/>
        <w:numPr>
          <w:ilvl w:val="1"/>
          <w:numId w:val="43"/>
        </w:numPr>
      </w:pPr>
      <w:bookmarkStart w:id="134" w:name="_Toc105410935"/>
      <w:bookmarkStart w:id="135" w:name="_Toc106193918"/>
      <w:bookmarkStart w:id="136" w:name="_Toc206589099"/>
      <w:r>
        <w:t>Hydrogen production</w:t>
      </w:r>
      <w:bookmarkEnd w:id="134"/>
      <w:bookmarkEnd w:id="135"/>
      <w:bookmarkEnd w:id="136"/>
    </w:p>
    <w:p w14:paraId="6A34AF84" w14:textId="1070E418" w:rsidR="003D527E" w:rsidRDefault="003D527E" w:rsidP="00DC6A85">
      <w:pPr>
        <w:spacing w:before="240"/>
      </w:pPr>
      <w:r>
        <w:t>Division 4.3.7 of the NGER Measurement Determination concerns the emissions of</w:t>
      </w:r>
      <w:r w:rsidR="002C51CF">
        <w:t xml:space="preserve"> </w:t>
      </w:r>
      <w:r w:rsidDel="002C51CF">
        <w:t>carbon dioxide</w:t>
      </w:r>
      <w:r>
        <w:t xml:space="preserve"> released from the production of hydrogen.</w:t>
      </w:r>
    </w:p>
    <w:p w14:paraId="023E5205" w14:textId="1A890886" w:rsidR="003D527E" w:rsidRDefault="003D527E" w:rsidP="003D527E">
      <w:r>
        <w:t xml:space="preserve">The Division is applicable when the requirements listed in </w:t>
      </w:r>
      <w:r w:rsidR="006B5E52">
        <w:t>s</w:t>
      </w:r>
      <w:r>
        <w:t>ection 4.60 of the NGER Measurement Determination are met:</w:t>
      </w:r>
    </w:p>
    <w:p w14:paraId="2BDD2EFB" w14:textId="3D07D3D8" w:rsidR="003D527E" w:rsidRDefault="003D527E" w:rsidP="006F6A94">
      <w:pPr>
        <w:pStyle w:val="CERnumbering"/>
        <w:numPr>
          <w:ilvl w:val="0"/>
          <w:numId w:val="48"/>
        </w:numPr>
      </w:pPr>
      <w:proofErr w:type="gramStart"/>
      <w:r>
        <w:t>hydrogen</w:t>
      </w:r>
      <w:proofErr w:type="gramEnd"/>
      <w:r>
        <w:t xml:space="preserve"> is the main product at the facility</w:t>
      </w:r>
    </w:p>
    <w:p w14:paraId="5F60309F" w14:textId="7056ED64" w:rsidR="003D527E" w:rsidRDefault="003D527E" w:rsidP="006F6A94">
      <w:pPr>
        <w:pStyle w:val="CERnumbering"/>
        <w:numPr>
          <w:ilvl w:val="0"/>
          <w:numId w:val="48"/>
        </w:numPr>
      </w:pPr>
      <w:proofErr w:type="gramStart"/>
      <w:r>
        <w:t>the hydrogen</w:t>
      </w:r>
      <w:proofErr w:type="gramEnd"/>
      <w:r>
        <w:t xml:space="preserve"> is for use outside of the facility</w:t>
      </w:r>
    </w:p>
    <w:p w14:paraId="083621A7" w14:textId="51DE130F" w:rsidR="003D527E" w:rsidRDefault="003D527E" w:rsidP="006F6A94">
      <w:pPr>
        <w:pStyle w:val="CERnumbering"/>
        <w:numPr>
          <w:ilvl w:val="0"/>
          <w:numId w:val="48"/>
        </w:numPr>
      </w:pPr>
      <w:r>
        <w:t>the facility does not involve the production of</w:t>
      </w:r>
      <w:r w:rsidR="00793001">
        <w:t xml:space="preserve"> </w:t>
      </w:r>
      <w:r w:rsidDel="00793001">
        <w:t>ammonia</w:t>
      </w:r>
      <w:r>
        <w:t xml:space="preserve"> with emissions reported under Division 4.3.1 </w:t>
      </w:r>
    </w:p>
    <w:p w14:paraId="1FB5A7A3" w14:textId="1250733D" w:rsidR="003D527E" w:rsidRDefault="003D527E" w:rsidP="006F6A94">
      <w:pPr>
        <w:pStyle w:val="CERnumbering"/>
        <w:numPr>
          <w:ilvl w:val="0"/>
          <w:numId w:val="48"/>
        </w:numPr>
      </w:pPr>
      <w:proofErr w:type="gramStart"/>
      <w:r>
        <w:t>the</w:t>
      </w:r>
      <w:proofErr w:type="gramEnd"/>
      <w:r>
        <w:t xml:space="preserve"> emissions from hydrogen production are not included under another method in this Determination appli</w:t>
      </w:r>
      <w:r w:rsidR="003651F6">
        <w:t>c</w:t>
      </w:r>
      <w:r>
        <w:t>able to one or more primary products from the facility</w:t>
      </w:r>
      <w:r w:rsidR="007230E2">
        <w:t>.</w:t>
      </w:r>
    </w:p>
    <w:p w14:paraId="16ECD2E3" w14:textId="2D32120F" w:rsidR="003D527E" w:rsidRDefault="003D527E" w:rsidP="003D527E">
      <w:r>
        <w:t xml:space="preserve">If the requirements listed within </w:t>
      </w:r>
      <w:r w:rsidR="006B5E52">
        <w:t>s</w:t>
      </w:r>
      <w:r>
        <w:t xml:space="preserve">ection 4.60 are met, </w:t>
      </w:r>
      <w:r w:rsidR="00A70D5E">
        <w:t>emission</w:t>
      </w:r>
      <w:r w:rsidR="002013B2">
        <w:t>s</w:t>
      </w:r>
      <w:r w:rsidR="00A70D5E">
        <w:t xml:space="preserve"> from </w:t>
      </w:r>
      <w:r w:rsidR="00794067">
        <w:t xml:space="preserve">hydrogen production must be estimated </w:t>
      </w:r>
      <w:r w:rsidR="007F6306">
        <w:t xml:space="preserve">using </w:t>
      </w:r>
      <w:r w:rsidR="00325928">
        <w:t xml:space="preserve">methods </w:t>
      </w:r>
      <w:r w:rsidR="008634D8">
        <w:t>listed in</w:t>
      </w:r>
      <w:r w:rsidR="009C52DE">
        <w:t xml:space="preserve"> </w:t>
      </w:r>
      <w:r w:rsidR="006B5E52">
        <w:t>s</w:t>
      </w:r>
      <w:r w:rsidR="009C52DE">
        <w:t>ection</w:t>
      </w:r>
      <w:r w:rsidR="00AD7109">
        <w:t xml:space="preserve"> 4.61</w:t>
      </w:r>
      <w:r>
        <w:t xml:space="preserve"> </w:t>
      </w:r>
      <w:r w:rsidR="00802891">
        <w:t>and</w:t>
      </w:r>
      <w:r>
        <w:t xml:space="preserve"> must be included within your emissions and energy report. There is no minimum threshold of fuel consumption. If no fuels were consumed in the production of hydrogen (e.g. hydrogen was produced solely through electrolysis), an estimate must still be included, with the fuel type of ‘None Specified – No Fuel’.</w:t>
      </w:r>
    </w:p>
    <w:p w14:paraId="16630A8F" w14:textId="7A03575D" w:rsidR="003D527E" w:rsidRDefault="00A21540" w:rsidP="003D527E">
      <w:r>
        <w:t xml:space="preserve">Under </w:t>
      </w:r>
      <w:r w:rsidR="5214A755">
        <w:t>M</w:t>
      </w:r>
      <w:r>
        <w:t>ethod 1, 2 or 3,</w:t>
      </w:r>
      <w:r w:rsidDel="00793001">
        <w:t xml:space="preserve"> carbon dioxide</w:t>
      </w:r>
      <w:r>
        <w:t xml:space="preserve"> can be deducted from your emissions estimate if it was captured and transferred </w:t>
      </w:r>
      <w:r w:rsidR="00360FFA">
        <w:t>to another</w:t>
      </w:r>
      <w:r>
        <w:t xml:space="preserve"> facility. If multiple fuels are used, each fuel must be entered as a separate activity with individual emissions estimations. Apportionment of </w:t>
      </w:r>
      <w:r w:rsidRPr="00600705">
        <w:rPr>
          <w:b/>
          <w:bCs/>
          <w:i/>
          <w:iCs/>
        </w:rPr>
        <w:t>R</w:t>
      </w:r>
      <w:r>
        <w:t xml:space="preserve"> must be performed as per the criteria listed within subsection 4.62(2) of the NGER Measurement Determination.</w:t>
      </w:r>
      <w:r w:rsidR="00793001">
        <w:t xml:space="preserve"> </w:t>
      </w:r>
      <w:r w:rsidR="003D527E">
        <w:t xml:space="preserve">Matters to be Identified (MTBI) are required and listed within Schedule 4 of the NGER Measurement Determination. These require you to list the tonnes of hydrogen produced from fossil fuels and from electrolysis. </w:t>
      </w:r>
    </w:p>
    <w:tbl>
      <w:tblPr>
        <w:tblStyle w:val="CERCallout"/>
        <w:tblW w:w="0" w:type="auto"/>
        <w:tblLook w:val="04A0" w:firstRow="1" w:lastRow="0" w:firstColumn="1" w:lastColumn="0" w:noHBand="0" w:noVBand="1"/>
      </w:tblPr>
      <w:tblGrid>
        <w:gridCol w:w="9710"/>
      </w:tblGrid>
      <w:tr w:rsidR="003D527E" w14:paraId="33709186" w14:textId="77777777">
        <w:trPr>
          <w:cnfStyle w:val="100000000000" w:firstRow="1" w:lastRow="0" w:firstColumn="0" w:lastColumn="0" w:oddVBand="0" w:evenVBand="0" w:oddHBand="0" w:evenHBand="0" w:firstRowFirstColumn="0" w:firstRowLastColumn="0" w:lastRowFirstColumn="0" w:lastRowLastColumn="0"/>
        </w:trPr>
        <w:tc>
          <w:tcPr>
            <w:tcW w:w="9730" w:type="dxa"/>
          </w:tcPr>
          <w:p w14:paraId="008D3D6C" w14:textId="77777777" w:rsidR="00F57EB2" w:rsidRPr="00F57EB2" w:rsidRDefault="00F57EB2" w:rsidP="00F57EB2">
            <w:pPr>
              <w:pStyle w:val="Heading3"/>
              <w:rPr>
                <w:b/>
                <w:bCs w:val="0"/>
              </w:rPr>
            </w:pPr>
            <w:bookmarkStart w:id="137" w:name="_Toc206589100"/>
            <w:r w:rsidRPr="00F57EB2">
              <w:rPr>
                <w:b/>
                <w:bCs w:val="0"/>
              </w:rPr>
              <w:t xml:space="preserve">Hydrogen production or consumption </w:t>
            </w:r>
            <w:bookmarkEnd w:id="137"/>
          </w:p>
          <w:p w14:paraId="7098DD59" w14:textId="76239FAF" w:rsidR="003D527E" w:rsidRPr="000221EC" w:rsidRDefault="003D527E">
            <w:pPr>
              <w:rPr>
                <w:b w:val="0"/>
                <w:bCs/>
              </w:rPr>
            </w:pPr>
            <w:r w:rsidRPr="000221EC">
              <w:rPr>
                <w:b w:val="0"/>
                <w:bCs/>
              </w:rPr>
              <w:t>Energy production</w:t>
            </w:r>
            <w:r w:rsidR="0068642E">
              <w:rPr>
                <w:b w:val="0"/>
                <w:bCs/>
              </w:rPr>
              <w:t xml:space="preserve"> or </w:t>
            </w:r>
            <w:r w:rsidR="004D4C34">
              <w:rPr>
                <w:b w:val="0"/>
                <w:bCs/>
              </w:rPr>
              <w:t>consumption</w:t>
            </w:r>
            <w:r w:rsidRPr="000221EC">
              <w:rPr>
                <w:b w:val="0"/>
                <w:bCs/>
              </w:rPr>
              <w:t xml:space="preserve"> of hydrogen must be reported as per Chapter 6 of the NGER Measurement Determination.</w:t>
            </w:r>
          </w:p>
        </w:tc>
      </w:tr>
    </w:tbl>
    <w:p w14:paraId="05D19AE4" w14:textId="4037AD4A" w:rsidR="003D527E" w:rsidRDefault="003D527E" w:rsidP="005C0C5C">
      <w:pPr>
        <w:pStyle w:val="Heading1"/>
        <w:numPr>
          <w:ilvl w:val="0"/>
          <w:numId w:val="43"/>
        </w:numPr>
      </w:pPr>
      <w:bookmarkStart w:id="138" w:name="_Toc135813554"/>
      <w:bookmarkStart w:id="139" w:name="_Toc137544643"/>
      <w:bookmarkStart w:id="140" w:name="_Toc137544689"/>
      <w:bookmarkStart w:id="141" w:name="_Toc137656473"/>
      <w:bookmarkStart w:id="142" w:name="_Toc140221182"/>
      <w:bookmarkStart w:id="143" w:name="_Toc140235460"/>
      <w:bookmarkStart w:id="144" w:name="_Toc140235507"/>
      <w:bookmarkStart w:id="145" w:name="_Toc105410936"/>
      <w:bookmarkStart w:id="146" w:name="_Toc105411039"/>
      <w:bookmarkStart w:id="147" w:name="_Toc106193919"/>
      <w:bookmarkStart w:id="148" w:name="_Toc45177013"/>
      <w:bookmarkStart w:id="149" w:name="_Toc45177268"/>
      <w:bookmarkStart w:id="150" w:name="_Ref72486161"/>
      <w:bookmarkStart w:id="151" w:name="_Toc105410937"/>
      <w:bookmarkStart w:id="152" w:name="_Toc106193920"/>
      <w:bookmarkStart w:id="153" w:name="_Toc206589101"/>
      <w:bookmarkEnd w:id="138"/>
      <w:bookmarkEnd w:id="139"/>
      <w:bookmarkEnd w:id="140"/>
      <w:bookmarkEnd w:id="141"/>
      <w:bookmarkEnd w:id="142"/>
      <w:bookmarkEnd w:id="143"/>
      <w:bookmarkEnd w:id="144"/>
      <w:bookmarkEnd w:id="145"/>
      <w:bookmarkEnd w:id="146"/>
      <w:bookmarkEnd w:id="147"/>
      <w:r>
        <w:t>Metal industry</w:t>
      </w:r>
      <w:bookmarkEnd w:id="148"/>
      <w:bookmarkEnd w:id="149"/>
      <w:bookmarkEnd w:id="150"/>
      <w:bookmarkEnd w:id="151"/>
      <w:bookmarkEnd w:id="152"/>
      <w:bookmarkEnd w:id="153"/>
    </w:p>
    <w:p w14:paraId="552FCB5C" w14:textId="793B069E" w:rsidR="003D527E" w:rsidRDefault="003D527E" w:rsidP="005A266C">
      <w:pPr>
        <w:spacing w:before="240"/>
      </w:pPr>
      <w:r>
        <w:t>Part 4.4 of the NGER Measurement Determination applies to</w:t>
      </w:r>
      <w:r w:rsidR="00B22F3D">
        <w:t xml:space="preserve"> </w:t>
      </w:r>
      <w:r w:rsidDel="00B22F3D">
        <w:t>carbon dioxide</w:t>
      </w:r>
      <w:r>
        <w:t xml:space="preserve"> emissions resulting from the production of certain metals. Perfluorocarbon emissions from aluminium production are also addressed in this part of the NGER Measurement Determination.</w:t>
      </w:r>
    </w:p>
    <w:p w14:paraId="2599660B" w14:textId="39972C6B" w:rsidR="003D527E" w:rsidRDefault="003D527E" w:rsidP="003D527E">
      <w:r>
        <w:t>The quantities of fuels consumed for industrial process purposes should be estimated in accordance with the same criteria as has been set out for fuels consumption listed within Chapter 2 of the NGER Measurement Determination. The relevant Divisions under Chapter 2 of the NGER Measurement Determination set out the specific requirements.</w:t>
      </w:r>
    </w:p>
    <w:p w14:paraId="08EC7184" w14:textId="77777777" w:rsidR="003D527E" w:rsidRDefault="003D527E" w:rsidP="003D527E">
      <w:r w:rsidRPr="00831409">
        <w:t>Other sources of emissions arising from the production of the products listed below, such as from the combustion of fuels for energy, are not described in this part of the NGER Measurement Determination.</w:t>
      </w:r>
      <w:r>
        <w:t xml:space="preserve">  </w:t>
      </w:r>
    </w:p>
    <w:p w14:paraId="6EE5FFFD" w14:textId="5FCE71C2" w:rsidR="00607D03" w:rsidRDefault="003D527E" w:rsidP="003D527E">
      <w:r>
        <w:t xml:space="preserve">A key aspect of many of the estimated emissions calculations for </w:t>
      </w:r>
      <w:r w:rsidR="00AC7E2C">
        <w:t>Part 4.4</w:t>
      </w:r>
      <w:r>
        <w:t xml:space="preserve"> will be the ‘carbon mass balance’ approach. It is based on the concept that if a known amount of carbon has entered the process, and a known amount of carbon as left the process (either within the product, or as solid and liquid waste materials), then the difference between the input and known output must have been released as gaseous emissions.</w:t>
      </w:r>
      <w:r w:rsidR="003E5CF2">
        <w:t xml:space="preserve"> </w:t>
      </w:r>
    </w:p>
    <w:p w14:paraId="77755246" w14:textId="53DF6C06" w:rsidR="00546AA5" w:rsidRDefault="00546AA5" w:rsidP="00015F49">
      <w:r>
        <w:t>When applying a ‘carbon mass balance’ approach, a ‘</w:t>
      </w:r>
      <w:r w:rsidRPr="00403E1D">
        <w:t>carbonaceous input</w:t>
      </w:r>
      <w:r>
        <w:t xml:space="preserve"> material’ includes fuels that are listed in Schedule 1 of the NGER </w:t>
      </w:r>
      <w:r w:rsidRPr="00546AA5">
        <w:t xml:space="preserve">Regulations </w:t>
      </w:r>
      <w:r w:rsidRPr="006F6A94">
        <w:t>and</w:t>
      </w:r>
      <w:r w:rsidRPr="00546AA5">
        <w:t xml:space="preserve"> any other carbon containing substance. For example, iron ore used in metal production must be reported as a</w:t>
      </w:r>
      <w:r w:rsidRPr="00546AA5">
        <w:rPr>
          <w:rFonts w:ascii="Calibri" w:hAnsi="Calibri" w:cs="Calibri"/>
          <w:color w:val="000000"/>
          <w:szCs w:val="22"/>
        </w:rPr>
        <w:t xml:space="preserve"> carbonaceous input material in any carbon-mass balance emission estimation. The carbon contained in the iron ore is accounted for as a product, change in stock, or waste in the equation below. All sources of carbon are reported as </w:t>
      </w:r>
      <w:r w:rsidRPr="006F6A94">
        <w:rPr>
          <w:rFonts w:ascii="Calibri" w:hAnsi="Calibri" w:cs="Calibri"/>
          <w:color w:val="000000"/>
          <w:szCs w:val="22"/>
        </w:rPr>
        <w:t>MTBIs</w:t>
      </w:r>
      <w:r w:rsidRPr="00546AA5">
        <w:rPr>
          <w:rFonts w:ascii="Calibri" w:hAnsi="Calibri" w:cs="Calibri"/>
          <w:color w:val="000000"/>
          <w:szCs w:val="22"/>
        </w:rPr>
        <w:t xml:space="preserve"> within</w:t>
      </w:r>
      <w:r>
        <w:rPr>
          <w:rFonts w:ascii="Calibri" w:hAnsi="Calibri" w:cs="Calibri"/>
          <w:color w:val="000000"/>
          <w:szCs w:val="22"/>
        </w:rPr>
        <w:t xml:space="preserve"> the Emissions and Energy Reporting System (EERS). </w:t>
      </w:r>
    </w:p>
    <w:tbl>
      <w:tblPr>
        <w:tblStyle w:val="CERCallout"/>
        <w:tblpPr w:leftFromText="180" w:rightFromText="180" w:vertAnchor="text" w:horzAnchor="margin" w:tblpY="104"/>
        <w:tblW w:w="0" w:type="auto"/>
        <w:tblLook w:val="04A0" w:firstRow="1" w:lastRow="0" w:firstColumn="1" w:lastColumn="0" w:noHBand="0" w:noVBand="1"/>
      </w:tblPr>
      <w:tblGrid>
        <w:gridCol w:w="9172"/>
      </w:tblGrid>
      <w:tr w:rsidR="003D527E" w14:paraId="1D400B61" w14:textId="77777777">
        <w:trPr>
          <w:cnfStyle w:val="100000000000" w:firstRow="1" w:lastRow="0" w:firstColumn="0" w:lastColumn="0" w:oddVBand="0" w:evenVBand="0" w:oddHBand="0" w:evenHBand="0" w:firstRowFirstColumn="0" w:firstRowLastColumn="0" w:lastRowFirstColumn="0" w:lastRowLastColumn="0"/>
        </w:trPr>
        <w:tc>
          <w:tcPr>
            <w:tcW w:w="9172" w:type="dxa"/>
          </w:tcPr>
          <w:p w14:paraId="408948C1" w14:textId="691D8BDD" w:rsidR="00C5696A" w:rsidRPr="00C5696A" w:rsidRDefault="00C5696A" w:rsidP="00C5696A">
            <w:pPr>
              <w:pStyle w:val="Heading3"/>
              <w:rPr>
                <w:b/>
              </w:rPr>
            </w:pPr>
            <w:bookmarkStart w:id="154" w:name="_Toc206589102"/>
            <w:r w:rsidRPr="00C5696A">
              <w:rPr>
                <w:b/>
              </w:rPr>
              <w:t>Carbon mass balance</w:t>
            </w:r>
            <w:bookmarkEnd w:id="154"/>
            <w:r w:rsidRPr="00C5696A">
              <w:rPr>
                <w:b/>
              </w:rPr>
              <w:t xml:space="preserve"> </w:t>
            </w:r>
          </w:p>
          <w:p w14:paraId="28F88D3A" w14:textId="09634636" w:rsidR="003D527E" w:rsidRPr="000221EC" w:rsidRDefault="003D527E">
            <w:pPr>
              <w:rPr>
                <w:b w:val="0"/>
                <w:bCs/>
              </w:rPr>
            </w:pPr>
            <w:r w:rsidRPr="000221EC">
              <w:rPr>
                <w:b w:val="0"/>
                <w:bCs/>
              </w:rPr>
              <w:t>The carbon mass balance can be simplified as:</w:t>
            </w:r>
          </w:p>
          <w:p w14:paraId="624EC435" w14:textId="0DEF05C2" w:rsidR="003D527E" w:rsidRPr="000221EC" w:rsidRDefault="003D527E">
            <w:pPr>
              <w:jc w:val="center"/>
              <w:rPr>
                <w:b w:val="0"/>
                <w:bCs/>
              </w:rPr>
            </w:pPr>
            <w:r w:rsidRPr="000221EC">
              <w:rPr>
                <w:b w:val="0"/>
                <w:bCs/>
              </w:rPr>
              <w:t xml:space="preserve">Emissions = </w:t>
            </w:r>
            <w:r w:rsidR="00D80B9E">
              <w:rPr>
                <w:b w:val="0"/>
                <w:bCs/>
              </w:rPr>
              <w:t>[</w:t>
            </w:r>
            <w:r w:rsidRPr="000221EC">
              <w:rPr>
                <w:b w:val="0"/>
                <w:bCs/>
              </w:rPr>
              <w:t xml:space="preserve">Inputs </w:t>
            </w:r>
            <w:r w:rsidRPr="000221EC">
              <w:rPr>
                <w:b w:val="0"/>
                <w:bCs/>
              </w:rPr>
              <w:softHyphen/>
              <w:t xml:space="preserve">– (Products + </w:t>
            </w:r>
            <w:r w:rsidR="00F83228">
              <w:rPr>
                <w:b w:val="0"/>
                <w:bCs/>
              </w:rPr>
              <w:t xml:space="preserve">Change in </w:t>
            </w:r>
            <w:r w:rsidRPr="000221EC">
              <w:rPr>
                <w:b w:val="0"/>
                <w:bCs/>
              </w:rPr>
              <w:t>Stock</w:t>
            </w:r>
            <w:r w:rsidR="0097103C">
              <w:rPr>
                <w:b w:val="0"/>
                <w:bCs/>
              </w:rPr>
              <w:t>s</w:t>
            </w:r>
            <w:r w:rsidRPr="000221EC">
              <w:rPr>
                <w:b w:val="0"/>
                <w:bCs/>
              </w:rPr>
              <w:t xml:space="preserve"> + Waste)</w:t>
            </w:r>
            <w:r w:rsidR="00D80B9E">
              <w:rPr>
                <w:b w:val="0"/>
                <w:bCs/>
              </w:rPr>
              <w:t>]</w:t>
            </w:r>
            <w:r w:rsidRPr="000221EC">
              <w:rPr>
                <w:b w:val="0"/>
                <w:bCs/>
              </w:rPr>
              <w:t xml:space="preserve"> x 3.664</w:t>
            </w:r>
          </w:p>
          <w:p w14:paraId="02CA12CE" w14:textId="4E9EC452" w:rsidR="003D527E" w:rsidRPr="000221EC" w:rsidRDefault="003D527E">
            <w:pPr>
              <w:rPr>
                <w:b w:val="0"/>
                <w:bCs/>
              </w:rPr>
            </w:pPr>
            <w:r w:rsidRPr="000221EC">
              <w:rPr>
                <w:b w:val="0"/>
                <w:bCs/>
              </w:rPr>
              <w:t xml:space="preserve">Note that a stock </w:t>
            </w:r>
            <w:r w:rsidR="00E31003">
              <w:rPr>
                <w:b w:val="0"/>
                <w:bCs/>
              </w:rPr>
              <w:t>increase</w:t>
            </w:r>
            <w:r w:rsidR="00BB196A" w:rsidRPr="000221EC">
              <w:rPr>
                <w:b w:val="0"/>
                <w:bCs/>
              </w:rPr>
              <w:t xml:space="preserve"> would be a </w:t>
            </w:r>
            <w:r w:rsidR="00E31003">
              <w:rPr>
                <w:b w:val="0"/>
                <w:bCs/>
              </w:rPr>
              <w:t>positive</w:t>
            </w:r>
            <w:r w:rsidR="00BB196A" w:rsidRPr="000221EC">
              <w:rPr>
                <w:b w:val="0"/>
                <w:bCs/>
              </w:rPr>
              <w:t xml:space="preserve"> value and</w:t>
            </w:r>
            <w:r w:rsidR="00E31003">
              <w:rPr>
                <w:b w:val="0"/>
                <w:bCs/>
              </w:rPr>
              <w:t xml:space="preserve"> increase</w:t>
            </w:r>
            <w:r w:rsidR="00BB196A" w:rsidRPr="000221EC">
              <w:rPr>
                <w:b w:val="0"/>
                <w:bCs/>
              </w:rPr>
              <w:t xml:space="preserve"> the value of the second part of the equation.</w:t>
            </w:r>
            <w:r w:rsidR="00E31003">
              <w:rPr>
                <w:b w:val="0"/>
                <w:bCs/>
              </w:rPr>
              <w:t xml:space="preserve"> A</w:t>
            </w:r>
            <w:r w:rsidRPr="000221EC">
              <w:rPr>
                <w:b w:val="0"/>
                <w:bCs/>
              </w:rPr>
              <w:t xml:space="preserve"> stock decrease would be a negative value and reduce the value of the second part of the equation.</w:t>
            </w:r>
          </w:p>
        </w:tc>
      </w:tr>
    </w:tbl>
    <w:p w14:paraId="3D0157F7" w14:textId="5E9F8E62" w:rsidR="003D527E" w:rsidRDefault="00C5696A" w:rsidP="003D527E">
      <w:r>
        <w:br/>
      </w:r>
      <w:r w:rsidR="003D527E">
        <w:t>All fuels and carbonaceous input</w:t>
      </w:r>
      <w:r w:rsidR="00733F69">
        <w:t xml:space="preserve"> material</w:t>
      </w:r>
      <w:r w:rsidR="003D527E">
        <w:t>s acquired by the facility during the reporting period must be entered into the above calculation within the ‘inputs’ component</w:t>
      </w:r>
      <w:r w:rsidR="0045140B">
        <w:t>.</w:t>
      </w:r>
      <w:r w:rsidR="003D527E">
        <w:t xml:space="preserve"> This includes fuels and carbonaceous input</w:t>
      </w:r>
      <w:r w:rsidR="00733F69">
        <w:t xml:space="preserve"> material</w:t>
      </w:r>
      <w:r w:rsidR="003D527E">
        <w:t xml:space="preserve">s stored for later </w:t>
      </w:r>
      <w:proofErr w:type="gramStart"/>
      <w:r w:rsidR="003D527E">
        <w:t>use, and</w:t>
      </w:r>
      <w:proofErr w:type="gramEnd"/>
      <w:r w:rsidR="003D527E">
        <w:t xml:space="preserve"> not used in the activity within the reporting period.</w:t>
      </w:r>
      <w:r w:rsidR="00D63288">
        <w:t xml:space="preserve"> </w:t>
      </w:r>
    </w:p>
    <w:p w14:paraId="77987365" w14:textId="1544CACC" w:rsidR="003D527E" w:rsidRDefault="003D527E" w:rsidP="003D527E">
      <w:r>
        <w:t>The quantity of unused fuels and carbonaceous input</w:t>
      </w:r>
      <w:r w:rsidR="00733F69">
        <w:t xml:space="preserve"> material</w:t>
      </w:r>
      <w:r>
        <w:t>s acquired by the facility during the reporting period are added to the ‘</w:t>
      </w:r>
      <w:r w:rsidR="00162882">
        <w:t xml:space="preserve">Change in </w:t>
      </w:r>
      <w:r w:rsidR="00B77B05">
        <w:t>S</w:t>
      </w:r>
      <w:r>
        <w:t>tock</w:t>
      </w:r>
      <w:r w:rsidR="00B77B05">
        <w:t>s</w:t>
      </w:r>
      <w:r>
        <w:t>’ component of the above calculation.</w:t>
      </w:r>
    </w:p>
    <w:p w14:paraId="63827720" w14:textId="1AE6D797" w:rsidR="003D527E" w:rsidRDefault="003D527E" w:rsidP="00635167">
      <w:pPr>
        <w:pStyle w:val="Heading2"/>
        <w:numPr>
          <w:ilvl w:val="1"/>
          <w:numId w:val="42"/>
        </w:numPr>
      </w:pPr>
      <w:bookmarkStart w:id="155" w:name="_Iron,_steel_or"/>
      <w:bookmarkStart w:id="156" w:name="_Toc45177014"/>
      <w:bookmarkStart w:id="157" w:name="_Toc45177269"/>
      <w:bookmarkStart w:id="158" w:name="_Toc105410938"/>
      <w:bookmarkStart w:id="159" w:name="_Toc106193921"/>
      <w:bookmarkStart w:id="160" w:name="_Toc206589103"/>
      <w:bookmarkEnd w:id="155"/>
      <w:r>
        <w:t xml:space="preserve">Iron, steel or other metal production using an </w:t>
      </w:r>
      <w:proofErr w:type="gramStart"/>
      <w:r>
        <w:t>integrated metalworks</w:t>
      </w:r>
      <w:bookmarkEnd w:id="156"/>
      <w:bookmarkEnd w:id="157"/>
      <w:bookmarkEnd w:id="158"/>
      <w:bookmarkEnd w:id="159"/>
      <w:bookmarkEnd w:id="160"/>
      <w:proofErr w:type="gramEnd"/>
    </w:p>
    <w:p w14:paraId="1F20E855" w14:textId="48F115AB" w:rsidR="003D527E" w:rsidRDefault="003D527E" w:rsidP="005A266C">
      <w:pPr>
        <w:spacing w:before="240"/>
      </w:pPr>
      <w:r>
        <w:t xml:space="preserve">Division 4.4.1 of the NGER Measurement Determination applies to any facility that produces iron, steel or any metals produced using an </w:t>
      </w:r>
      <w:proofErr w:type="gramStart"/>
      <w:r>
        <w:t>integrated metalworks</w:t>
      </w:r>
      <w:proofErr w:type="gramEnd"/>
      <w:r>
        <w:t>. Metals such as iron, steel, lead and silicon may be produced in an integrated metalworks where the metal and coke is produced on the same site. In this case it is difficult to identify emissions attributable to each part of the production process. Accordingly, emissions are estimated from the activity by estimating the inputs and outputs. The methods for estimating emissions of</w:t>
      </w:r>
      <w:r w:rsidDel="005E527B">
        <w:t xml:space="preserve"> carbon dioxide</w:t>
      </w:r>
      <w:r>
        <w:t xml:space="preserve"> are based on a carbon balance approach, reducing the complexity of the calculation for these facilities.</w:t>
      </w:r>
    </w:p>
    <w:p w14:paraId="4C7DD953" w14:textId="77777777" w:rsidR="003D527E" w:rsidRDefault="003D527E" w:rsidP="003D527E">
      <w:r>
        <w:t xml:space="preserve">Steel is also produced using an electric arc furnace (EAF) or similar process. While not considered an </w:t>
      </w:r>
      <w:proofErr w:type="gramStart"/>
      <w:r>
        <w:t>integrated metalworks</w:t>
      </w:r>
      <w:proofErr w:type="gramEnd"/>
      <w:r>
        <w:t>, emissions from iron or steel production using an EAF are to be estimated and reported within Division 4.4.1 of the NGER Measurement Determination.</w:t>
      </w:r>
    </w:p>
    <w:p w14:paraId="130713D5" w14:textId="5C97C025" w:rsidR="003D527E" w:rsidRDefault="003D527E" w:rsidP="003D527E">
      <w:r>
        <w:t xml:space="preserve">Reporters are required to use </w:t>
      </w:r>
      <w:r w:rsidR="014EAE70">
        <w:t>M</w:t>
      </w:r>
      <w:r>
        <w:t>ethod 2 or higher to deduct</w:t>
      </w:r>
      <w:r w:rsidR="007A2151">
        <w:t xml:space="preserve"> </w:t>
      </w:r>
      <w:r w:rsidDel="007A2151">
        <w:t>carbon dioxide</w:t>
      </w:r>
      <w:r>
        <w:t xml:space="preserve"> captured for permanent storage. These higher methods provide a more accurate estimate of the</w:t>
      </w:r>
      <w:r w:rsidR="007A2151">
        <w:t xml:space="preserve"> </w:t>
      </w:r>
      <w:r w:rsidDel="007A2151">
        <w:t>carbon dioxide</w:t>
      </w:r>
      <w:r>
        <w:t xml:space="preserve"> emissions than under </w:t>
      </w:r>
      <w:r w:rsidR="0606725C">
        <w:t>M</w:t>
      </w:r>
      <w:r>
        <w:t>ethod 1, the default method. As the</w:t>
      </w:r>
      <w:r w:rsidDel="007A2151">
        <w:t xml:space="preserve"> carbon dioxide</w:t>
      </w:r>
      <w:r>
        <w:t xml:space="preserve"> captured is deducted from the emissions estimate it is necessary to have a greater level of accuracy in the emissions estimate than is achieved using </w:t>
      </w:r>
      <w:r w:rsidR="4C59F262">
        <w:t>M</w:t>
      </w:r>
      <w:r>
        <w:t xml:space="preserve">ethod 1. </w:t>
      </w:r>
    </w:p>
    <w:p w14:paraId="11907B38" w14:textId="308D84D4" w:rsidR="003D527E" w:rsidRDefault="003D527E" w:rsidP="003D527E">
      <w:r>
        <w:t xml:space="preserve">Note that emissions from limestone and dolomite use in iron and steel production are to be reported under Division 4.2.3 of the NGER Measurement Determination – being ‘Use of carbonates to produce a product other than cement clinker, lime or soda ash’. See </w:t>
      </w:r>
      <w:hyperlink w:anchor="_Use_of_carbonates" w:history="1">
        <w:r w:rsidR="0060449F" w:rsidRPr="00446BC1">
          <w:rPr>
            <w:rStyle w:val="Hyperlink"/>
            <w:rFonts w:asciiTheme="minorHAnsi" w:hAnsiTheme="minorHAnsi"/>
          </w:rPr>
          <w:t>section</w:t>
        </w:r>
        <w:r w:rsidR="00446BC1" w:rsidRPr="00446BC1">
          <w:rPr>
            <w:rStyle w:val="Hyperlink"/>
            <w:rFonts w:asciiTheme="minorHAnsi" w:hAnsiTheme="minorHAnsi"/>
          </w:rPr>
          <w:t xml:space="preserve"> 2.3</w:t>
        </w:r>
      </w:hyperlink>
      <w:r w:rsidR="0060449F">
        <w:t xml:space="preserve"> </w:t>
      </w:r>
      <w:r>
        <w:t>of this guideline for more information.</w:t>
      </w:r>
    </w:p>
    <w:p w14:paraId="6ED3C698" w14:textId="2980DC6D" w:rsidR="003D527E" w:rsidRDefault="003D527E" w:rsidP="00635167">
      <w:pPr>
        <w:pStyle w:val="Heading3"/>
        <w:numPr>
          <w:ilvl w:val="2"/>
          <w:numId w:val="42"/>
        </w:numPr>
      </w:pPr>
      <w:bookmarkStart w:id="161" w:name="_Toc45177015"/>
      <w:bookmarkStart w:id="162" w:name="_Toc45177270"/>
      <w:bookmarkStart w:id="163" w:name="_Ref72486377"/>
      <w:bookmarkStart w:id="164" w:name="_Toc105410939"/>
      <w:bookmarkStart w:id="165" w:name="_Toc106193922"/>
      <w:bookmarkStart w:id="166" w:name="_Toc206589104"/>
      <w:r>
        <w:t>Method 1</w:t>
      </w:r>
      <w:bookmarkEnd w:id="161"/>
      <w:bookmarkEnd w:id="162"/>
      <w:bookmarkEnd w:id="163"/>
      <w:bookmarkEnd w:id="164"/>
      <w:bookmarkEnd w:id="165"/>
      <w:bookmarkEnd w:id="166"/>
    </w:p>
    <w:p w14:paraId="4D769859" w14:textId="6EE3C782" w:rsidR="003D527E" w:rsidRPr="007A7FA2" w:rsidRDefault="003D527E" w:rsidP="005A266C">
      <w:pPr>
        <w:spacing w:before="240"/>
      </w:pPr>
      <w:r w:rsidRPr="002B79CF">
        <w:t>Section 4.66 of</w:t>
      </w:r>
      <w:r w:rsidRPr="007031B8">
        <w:t xml:space="preserve"> the NGER Measurement Determination</w:t>
      </w:r>
      <w:r w:rsidRPr="007A7FA2">
        <w:t xml:space="preserve"> sets out </w:t>
      </w:r>
      <w:r w:rsidR="0ED39D5B">
        <w:t>M</w:t>
      </w:r>
      <w:r w:rsidRPr="007A7FA2">
        <w:t xml:space="preserve">ethod 1 for the estimation of emissions from an integrated metalworks </w:t>
      </w:r>
      <w:r>
        <w:t>–</w:t>
      </w:r>
      <w:r w:rsidRPr="002B79CF">
        <w:t xml:space="preserve"> a</w:t>
      </w:r>
      <w:r>
        <w:t xml:space="preserve"> </w:t>
      </w:r>
      <w:r w:rsidRPr="002B79CF">
        <w:t xml:space="preserve">facility producing both a metal and coke. It specifies that emissions </w:t>
      </w:r>
      <w:r>
        <w:t>must</w:t>
      </w:r>
      <w:r w:rsidRPr="002B79CF">
        <w:t xml:space="preserve"> be estimated using a carbon mass balance approach for the facility</w:t>
      </w:r>
      <w:r w:rsidRPr="007A7FA2">
        <w:t xml:space="preserve">. Method 1 utilises carbon content factors listed in Schedule 3 in the </w:t>
      </w:r>
      <w:r w:rsidRPr="002B79CF">
        <w:t>NGER Measurement Determ</w:t>
      </w:r>
      <w:r w:rsidRPr="007031B8">
        <w:t>ination. These carbon content factors are derived directly from the</w:t>
      </w:r>
      <w:r w:rsidR="003263B3">
        <w:t xml:space="preserve"> </w:t>
      </w:r>
      <w:r w:rsidRPr="007031B8" w:rsidDel="003263B3">
        <w:t>carbon dioxide</w:t>
      </w:r>
      <w:r w:rsidRPr="007031B8">
        <w:t xml:space="preserve"> emission factors</w:t>
      </w:r>
      <w:r w:rsidRPr="007A7FA2">
        <w:t xml:space="preserve">. There are no carbon content factors specified for products or for waste by-products. It is </w:t>
      </w:r>
      <w:r w:rsidR="003932D6">
        <w:t>CER</w:t>
      </w:r>
      <w:r w:rsidRPr="007A7FA2">
        <w:t xml:space="preserve">’s view that these factors should be determined by the reporter based on the principles of </w:t>
      </w:r>
      <w:r w:rsidR="00604326">
        <w:t>s</w:t>
      </w:r>
      <w:r w:rsidRPr="007A7FA2">
        <w:t>ection 1.13 of the NGER Measurement Determination, namely transparency, comparability, accuracy, and completeness.</w:t>
      </w:r>
    </w:p>
    <w:p w14:paraId="59BF7429" w14:textId="130F7256" w:rsidR="003D527E" w:rsidRPr="002B79CF" w:rsidRDefault="003D527E" w:rsidP="003D527E">
      <w:r w:rsidRPr="002B79CF">
        <w:t>The carbon mass balance approach requires fuels (or other carbonaceous input materials) to be estimated based on quantities of fuels delivered rather than consumed. Method 1 provides that the quantity of fuel or carbonaceous input material is to be estimat</w:t>
      </w:r>
      <w:r w:rsidRPr="007031B8">
        <w:t>ed in accordance with criterion A as set out in Divisions 2.2.5, 2.3.6, 2.4.6 and 4.2.5 of the NGER Measurement Determination. However, if the fuel or carbonaceous input material is not acquired in a commercia</w:t>
      </w:r>
      <w:r w:rsidRPr="00F61C49">
        <w:t>l transaction, the quantity can be estimated in accordance with industry practice, consistently wit</w:t>
      </w:r>
      <w:r w:rsidRPr="005C68D8">
        <w:t xml:space="preserve">h the principles in section 1.13 of the NGER Measurement Determination – transparency, comparability, </w:t>
      </w:r>
      <w:r w:rsidR="001127DD" w:rsidRPr="005C68D8">
        <w:t>accuracy,</w:t>
      </w:r>
      <w:r w:rsidRPr="005C68D8">
        <w:t xml:space="preserve"> and completeness. </w:t>
      </w:r>
    </w:p>
    <w:p w14:paraId="20D81CF7" w14:textId="366C4900" w:rsidR="003D527E" w:rsidRDefault="003D527E" w:rsidP="00635167">
      <w:pPr>
        <w:pStyle w:val="Heading3"/>
        <w:numPr>
          <w:ilvl w:val="2"/>
          <w:numId w:val="42"/>
        </w:numPr>
      </w:pPr>
      <w:bookmarkStart w:id="167" w:name="_Toc45177016"/>
      <w:bookmarkStart w:id="168" w:name="_Toc45177271"/>
      <w:bookmarkStart w:id="169" w:name="_Toc105410940"/>
      <w:bookmarkStart w:id="170" w:name="_Toc106193923"/>
      <w:bookmarkStart w:id="171" w:name="_Toc206589105"/>
      <w:r>
        <w:t>Example – Estimating emissions from iron and steel production</w:t>
      </w:r>
      <w:bookmarkEnd w:id="167"/>
      <w:bookmarkEnd w:id="168"/>
      <w:bookmarkEnd w:id="169"/>
      <w:bookmarkEnd w:id="170"/>
      <w:r w:rsidR="00EE739B">
        <w:t xml:space="preserve"> using Method 1</w:t>
      </w:r>
      <w:bookmarkEnd w:id="171"/>
    </w:p>
    <w:p w14:paraId="1DDC01EE" w14:textId="440E390E" w:rsidR="003D527E" w:rsidRDefault="003D527E" w:rsidP="005A266C">
      <w:pPr>
        <w:spacing w:before="240"/>
      </w:pPr>
      <w:r>
        <w:t>Iron and steel production can involve integrated processes</w:t>
      </w:r>
      <w:r w:rsidR="7C758B8E">
        <w:t>,</w:t>
      </w:r>
      <w:r>
        <w:t xml:space="preserve"> such as coke making and steel furnace operations within a facility. The complex carbon and energy flows within the integrated facility can make the estimation of total emissions difficult to estimate when a bottom-up approach is taken. The carbon mass balance provides a top-down approach that simplifies the emission estimation process, allowing the emissions to be estimated as a whole, while considering the carbon input and outputs to the facility as well as stockpile changes.</w:t>
      </w:r>
    </w:p>
    <w:p w14:paraId="1C42C4E8" w14:textId="467261A4" w:rsidR="003D527E" w:rsidRDefault="003D527E" w:rsidP="003D527E">
      <w:r>
        <w:t xml:space="preserve">An emission estimation example using the </w:t>
      </w:r>
      <w:r w:rsidR="66807F04">
        <w:t>M</w:t>
      </w:r>
      <w:r>
        <w:t>ethod 1 carbon balance approach is provided below. The example is of an integrated iron and steel facility that uses coke oven coke, coking coal and fuel oil to produce coke, iron</w:t>
      </w:r>
      <w:r w:rsidR="23840832">
        <w:t>,</w:t>
      </w:r>
      <w:r>
        <w:t xml:space="preserve"> and then steel. The facility also produces coal tar and waste containing carbon, in addition to experiencing fuel stock changes during the year. The relevant data for the integrated iron and steel facility is outlined in the table below. </w:t>
      </w:r>
    </w:p>
    <w:p w14:paraId="4888A9A9" w14:textId="4E8351A8" w:rsidR="003D527E" w:rsidRPr="00C5696A" w:rsidRDefault="003D527E" w:rsidP="003D527E">
      <w:pPr>
        <w:pStyle w:val="TOCHeading"/>
        <w:rPr>
          <w:i/>
          <w:iCs/>
          <w:color w:val="auto"/>
          <w:sz w:val="18"/>
          <w:szCs w:val="18"/>
          <w:lang w:val="en-US"/>
        </w:rPr>
      </w:pPr>
      <w:r w:rsidRPr="00C5696A">
        <w:rPr>
          <w:rFonts w:asciiTheme="minorHAnsi" w:hAnsiTheme="minorHAnsi" w:cstheme="minorHAnsi"/>
          <w:i/>
          <w:iCs/>
          <w:color w:val="auto"/>
          <w:sz w:val="18"/>
          <w:szCs w:val="18"/>
        </w:rPr>
        <w:t xml:space="preserve">Table 1 – </w:t>
      </w:r>
      <w:r w:rsidRPr="00C5696A">
        <w:rPr>
          <w:rFonts w:asciiTheme="minorHAnsi" w:hAnsiTheme="minorHAnsi" w:cstheme="minorHAnsi"/>
          <w:i/>
          <w:iCs/>
          <w:color w:val="auto"/>
          <w:sz w:val="18"/>
          <w:szCs w:val="18"/>
          <w:lang w:val="en-US"/>
        </w:rPr>
        <w:t>Data inputs for integrated iron and steel carbon balance</w:t>
      </w:r>
      <w:r w:rsidR="006F58D0">
        <w:rPr>
          <w:rFonts w:asciiTheme="minorHAnsi" w:hAnsiTheme="minorHAnsi" w:cstheme="minorHAnsi"/>
          <w:i/>
          <w:iCs/>
          <w:color w:val="auto"/>
          <w:sz w:val="18"/>
          <w:szCs w:val="18"/>
          <w:lang w:val="en-US"/>
        </w:rPr>
        <w:t>. Units: tonnes (t), kilolitres (kL)</w:t>
      </w:r>
      <w:r w:rsidR="00DC48DF">
        <w:rPr>
          <w:rFonts w:asciiTheme="minorHAnsi" w:hAnsiTheme="minorHAnsi" w:cstheme="minorHAnsi"/>
          <w:i/>
          <w:iCs/>
          <w:color w:val="auto"/>
          <w:sz w:val="18"/>
          <w:szCs w:val="18"/>
          <w:lang w:val="en-US"/>
        </w:rPr>
        <w:t>, tC (tonne</w:t>
      </w:r>
      <w:r w:rsidR="007D45B1">
        <w:rPr>
          <w:rFonts w:asciiTheme="minorHAnsi" w:hAnsiTheme="minorHAnsi" w:cstheme="minorHAnsi"/>
          <w:i/>
          <w:iCs/>
          <w:color w:val="auto"/>
          <w:sz w:val="18"/>
          <w:szCs w:val="18"/>
          <w:lang w:val="en-US"/>
        </w:rPr>
        <w:t>s</w:t>
      </w:r>
      <w:r w:rsidR="00DC48DF">
        <w:rPr>
          <w:rFonts w:asciiTheme="minorHAnsi" w:hAnsiTheme="minorHAnsi" w:cstheme="minorHAnsi"/>
          <w:i/>
          <w:iCs/>
          <w:color w:val="auto"/>
          <w:sz w:val="18"/>
          <w:szCs w:val="18"/>
          <w:lang w:val="en-US"/>
        </w:rPr>
        <w:t xml:space="preserve"> of Carbon)</w:t>
      </w:r>
      <w:r w:rsidR="00062C02">
        <w:rPr>
          <w:rFonts w:asciiTheme="minorHAnsi" w:hAnsiTheme="minorHAnsi" w:cstheme="minorHAnsi"/>
          <w:i/>
          <w:iCs/>
          <w:color w:val="auto"/>
          <w:sz w:val="18"/>
          <w:szCs w:val="18"/>
          <w:lang w:val="en-US"/>
        </w:rPr>
        <w:t xml:space="preserve">. </w:t>
      </w:r>
    </w:p>
    <w:tbl>
      <w:tblPr>
        <w:tblStyle w:val="CERTable"/>
        <w:tblW w:w="0" w:type="auto"/>
        <w:jc w:val="right"/>
        <w:tblCellMar>
          <w:left w:w="113" w:type="dxa"/>
          <w:right w:w="113" w:type="dxa"/>
        </w:tblCellMar>
        <w:tblLook w:val="04A0" w:firstRow="1" w:lastRow="0" w:firstColumn="1" w:lastColumn="0" w:noHBand="0" w:noVBand="1"/>
      </w:tblPr>
      <w:tblGrid>
        <w:gridCol w:w="1701"/>
        <w:gridCol w:w="2009"/>
        <w:gridCol w:w="2010"/>
        <w:gridCol w:w="2010"/>
        <w:gridCol w:w="2010"/>
      </w:tblGrid>
      <w:tr w:rsidR="003D527E" w14:paraId="2A3E69DE" w14:textId="77777777" w:rsidTr="00763791">
        <w:trPr>
          <w:cnfStyle w:val="100000000000" w:firstRow="1" w:lastRow="0" w:firstColumn="0" w:lastColumn="0" w:oddVBand="0" w:evenVBand="0" w:oddHBand="0" w:evenHBand="0" w:firstRowFirstColumn="0" w:firstRowLastColumn="0" w:lastRowFirstColumn="0" w:lastRowLastColumn="0"/>
          <w:tblHeader/>
          <w:jc w:val="right"/>
        </w:trPr>
        <w:tc>
          <w:tcPr>
            <w:cnfStyle w:val="001000000000" w:firstRow="0" w:lastRow="0" w:firstColumn="1" w:lastColumn="0" w:oddVBand="0" w:evenVBand="0" w:oddHBand="0" w:evenHBand="0" w:firstRowFirstColumn="0" w:firstRowLastColumn="0" w:lastRowFirstColumn="0" w:lastRowLastColumn="0"/>
            <w:tcW w:w="1701" w:type="dxa"/>
          </w:tcPr>
          <w:p w14:paraId="3DE186C5" w14:textId="48EF5EDA" w:rsidR="003D527E" w:rsidRDefault="003D527E">
            <w:pPr>
              <w:keepNext/>
              <w:keepLines/>
            </w:pPr>
            <w:r>
              <w:t>Fuel or product type</w:t>
            </w:r>
          </w:p>
        </w:tc>
        <w:tc>
          <w:tcPr>
            <w:tcW w:w="2009" w:type="dxa"/>
          </w:tcPr>
          <w:p w14:paraId="0FFC0D42" w14:textId="75BEA840" w:rsidR="003D527E" w:rsidRDefault="003D527E" w:rsidP="00B84D9A">
            <w:pPr>
              <w:keepNext/>
              <w:keepLines/>
              <w:jc w:val="right"/>
              <w:cnfStyle w:val="100000000000" w:firstRow="1" w:lastRow="0" w:firstColumn="0" w:lastColumn="0" w:oddVBand="0" w:evenVBand="0" w:oddHBand="0" w:evenHBand="0" w:firstRowFirstColumn="0" w:firstRowLastColumn="0" w:lastRowFirstColumn="0" w:lastRowLastColumn="0"/>
            </w:pPr>
            <w:r>
              <w:t>Fuel delivered during the reporting year</w:t>
            </w:r>
            <w:r w:rsidR="00BA1FEC">
              <w:t xml:space="preserve"> </w:t>
            </w:r>
            <w:r w:rsidR="00BA1FEC">
              <w:br/>
              <w:t>(t or kL)</w:t>
            </w:r>
          </w:p>
        </w:tc>
        <w:tc>
          <w:tcPr>
            <w:tcW w:w="2010" w:type="dxa"/>
          </w:tcPr>
          <w:p w14:paraId="539560B6" w14:textId="59AA94E5" w:rsidR="003D527E" w:rsidRDefault="003D527E" w:rsidP="00B84D9A">
            <w:pPr>
              <w:keepNext/>
              <w:keepLines/>
              <w:jc w:val="right"/>
              <w:cnfStyle w:val="100000000000" w:firstRow="1" w:lastRow="0" w:firstColumn="0" w:lastColumn="0" w:oddVBand="0" w:evenVBand="0" w:oddHBand="0" w:evenHBand="0" w:firstRowFirstColumn="0" w:firstRowLastColumn="0" w:lastRowFirstColumn="0" w:lastRowLastColumn="0"/>
            </w:pPr>
            <w:r>
              <w:t>Products produced and leaving the activity during the reporting year</w:t>
            </w:r>
            <w:r w:rsidR="00062C02">
              <w:t xml:space="preserve"> (t)</w:t>
            </w:r>
          </w:p>
        </w:tc>
        <w:tc>
          <w:tcPr>
            <w:tcW w:w="2010" w:type="dxa"/>
          </w:tcPr>
          <w:p w14:paraId="24AC07C0" w14:textId="7A313F58" w:rsidR="003D527E" w:rsidRDefault="003D527E" w:rsidP="00B84D9A">
            <w:pPr>
              <w:keepNext/>
              <w:keepLines/>
              <w:jc w:val="right"/>
              <w:cnfStyle w:val="100000000000" w:firstRow="1" w:lastRow="0" w:firstColumn="0" w:lastColumn="0" w:oddVBand="0" w:evenVBand="0" w:oddHBand="0" w:evenHBand="0" w:firstRowFirstColumn="0" w:firstRowLastColumn="0" w:lastRowFirstColumn="0" w:lastRowLastColumn="0"/>
            </w:pPr>
            <w:r>
              <w:t>Change in stocks during the year</w:t>
            </w:r>
            <w:r w:rsidR="00062C02">
              <w:br/>
              <w:t>(t)</w:t>
            </w:r>
          </w:p>
        </w:tc>
        <w:tc>
          <w:tcPr>
            <w:tcW w:w="2010" w:type="dxa"/>
          </w:tcPr>
          <w:p w14:paraId="76B21E39" w14:textId="2769FBC5" w:rsidR="006F58D0" w:rsidRPr="006F6A94" w:rsidRDefault="003D527E" w:rsidP="00B84D9A">
            <w:pPr>
              <w:keepNext/>
              <w:keepLines/>
              <w:jc w:val="right"/>
              <w:cnfStyle w:val="100000000000" w:firstRow="1" w:lastRow="0" w:firstColumn="0" w:lastColumn="0" w:oddVBand="0" w:evenVBand="0" w:oddHBand="0" w:evenHBand="0" w:firstRowFirstColumn="0" w:firstRowLastColumn="0" w:lastRowFirstColumn="0" w:lastRowLastColumn="0"/>
              <w:rPr>
                <w:b w:val="0"/>
              </w:rPr>
            </w:pPr>
            <w:r>
              <w:t>Carbon Content Factor (CCF)</w:t>
            </w:r>
            <w:r w:rsidR="00062C02">
              <w:br/>
              <w:t>(</w:t>
            </w:r>
            <w:r w:rsidR="006F58D0">
              <w:t>tC</w:t>
            </w:r>
            <w:r w:rsidR="00DC48DF">
              <w:t xml:space="preserve"> </w:t>
            </w:r>
            <w:r w:rsidR="006F58D0">
              <w:t>/</w:t>
            </w:r>
            <w:r w:rsidR="00DC48DF">
              <w:t xml:space="preserve"> </w:t>
            </w:r>
            <w:r w:rsidR="006F58D0">
              <w:t>t fuel</w:t>
            </w:r>
            <w:r w:rsidR="00062C02">
              <w:t>)</w:t>
            </w:r>
          </w:p>
        </w:tc>
      </w:tr>
      <w:tr w:rsidR="003D527E" w14:paraId="737E1362" w14:textId="77777777" w:rsidTr="00B84D9A">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701" w:type="dxa"/>
            <w:tcBorders>
              <w:top w:val="single" w:sz="18" w:space="0" w:color="FCBA5C" w:themeColor="accent2"/>
            </w:tcBorders>
          </w:tcPr>
          <w:p w14:paraId="3770388C" w14:textId="77777777" w:rsidR="003D527E" w:rsidRDefault="003D527E">
            <w:pPr>
              <w:keepNext/>
              <w:keepLines/>
            </w:pPr>
            <w:r>
              <w:t>Coke oven coke</w:t>
            </w:r>
          </w:p>
        </w:tc>
        <w:tc>
          <w:tcPr>
            <w:tcW w:w="2009" w:type="dxa"/>
          </w:tcPr>
          <w:p w14:paraId="673636F6" w14:textId="77777777" w:rsidR="003D527E" w:rsidRDefault="003D527E" w:rsidP="00B84D9A">
            <w:pPr>
              <w:keepNext/>
              <w:keepLines/>
              <w:jc w:val="right"/>
              <w:cnfStyle w:val="000000100000" w:firstRow="0" w:lastRow="0" w:firstColumn="0" w:lastColumn="0" w:oddVBand="0" w:evenVBand="0" w:oddHBand="1" w:evenHBand="0" w:firstRowFirstColumn="0" w:firstRowLastColumn="0" w:lastRowFirstColumn="0" w:lastRowLastColumn="0"/>
            </w:pPr>
            <w:r>
              <w:t>-</w:t>
            </w:r>
          </w:p>
        </w:tc>
        <w:tc>
          <w:tcPr>
            <w:tcW w:w="2010" w:type="dxa"/>
          </w:tcPr>
          <w:p w14:paraId="25E76EFC" w14:textId="23EA5817" w:rsidR="003D527E" w:rsidRDefault="003D527E" w:rsidP="00B84D9A">
            <w:pPr>
              <w:keepNext/>
              <w:keepLines/>
              <w:jc w:val="right"/>
              <w:cnfStyle w:val="000000100000" w:firstRow="0" w:lastRow="0" w:firstColumn="0" w:lastColumn="0" w:oddVBand="0" w:evenVBand="0" w:oddHBand="1" w:evenHBand="0" w:firstRowFirstColumn="0" w:firstRowLastColumn="0" w:lastRowFirstColumn="0" w:lastRowLastColumn="0"/>
            </w:pPr>
            <w:r>
              <w:t>60,000</w:t>
            </w:r>
            <w:r w:rsidR="001B6ADA">
              <w:t> </w:t>
            </w:r>
          </w:p>
        </w:tc>
        <w:tc>
          <w:tcPr>
            <w:tcW w:w="2010" w:type="dxa"/>
          </w:tcPr>
          <w:p w14:paraId="3A997770" w14:textId="387E6C80" w:rsidR="003D527E" w:rsidRDefault="003D527E" w:rsidP="00B84D9A">
            <w:pPr>
              <w:keepNext/>
              <w:keepLines/>
              <w:jc w:val="right"/>
              <w:cnfStyle w:val="000000100000" w:firstRow="0" w:lastRow="0" w:firstColumn="0" w:lastColumn="0" w:oddVBand="0" w:evenVBand="0" w:oddHBand="1" w:evenHBand="0" w:firstRowFirstColumn="0" w:firstRowLastColumn="0" w:lastRowFirstColumn="0" w:lastRowLastColumn="0"/>
            </w:pPr>
            <w:r>
              <w:t>–5</w:t>
            </w:r>
            <w:r w:rsidR="00EA77AA">
              <w:t>,</w:t>
            </w:r>
            <w:r>
              <w:t>000</w:t>
            </w:r>
            <w:r w:rsidR="001B6ADA">
              <w:t> </w:t>
            </w:r>
          </w:p>
        </w:tc>
        <w:tc>
          <w:tcPr>
            <w:tcW w:w="2010" w:type="dxa"/>
          </w:tcPr>
          <w:p w14:paraId="2C87DEE0" w14:textId="77777777" w:rsidR="003D527E" w:rsidRDefault="003D527E" w:rsidP="00B84D9A">
            <w:pPr>
              <w:keepNext/>
              <w:keepLines/>
              <w:jc w:val="right"/>
              <w:cnfStyle w:val="000000100000" w:firstRow="0" w:lastRow="0" w:firstColumn="0" w:lastColumn="0" w:oddVBand="0" w:evenVBand="0" w:oddHBand="1" w:evenHBand="0" w:firstRowFirstColumn="0" w:firstRowLastColumn="0" w:lastRowFirstColumn="0" w:lastRowLastColumn="0"/>
            </w:pPr>
            <w:r>
              <w:t>0.789</w:t>
            </w:r>
          </w:p>
        </w:tc>
      </w:tr>
      <w:tr w:rsidR="003D527E" w14:paraId="7B39D63E" w14:textId="77777777" w:rsidTr="00B84D9A">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701" w:type="dxa"/>
          </w:tcPr>
          <w:p w14:paraId="46BA98E7" w14:textId="77777777" w:rsidR="003D527E" w:rsidRDefault="003D527E">
            <w:r>
              <w:t>Coking coal</w:t>
            </w:r>
          </w:p>
        </w:tc>
        <w:tc>
          <w:tcPr>
            <w:tcW w:w="2009" w:type="dxa"/>
          </w:tcPr>
          <w:p w14:paraId="7F88AAF5" w14:textId="7CFF82DC" w:rsidR="003D527E" w:rsidRDefault="003D527E" w:rsidP="00B84D9A">
            <w:pPr>
              <w:jc w:val="right"/>
              <w:cnfStyle w:val="000000010000" w:firstRow="0" w:lastRow="0" w:firstColumn="0" w:lastColumn="0" w:oddVBand="0" w:evenVBand="0" w:oddHBand="0" w:evenHBand="1" w:firstRowFirstColumn="0" w:firstRowLastColumn="0" w:lastRowFirstColumn="0" w:lastRowLastColumn="0"/>
            </w:pPr>
            <w:r>
              <w:t>750,000</w:t>
            </w:r>
            <w:r w:rsidR="001B6ADA">
              <w:t> </w:t>
            </w:r>
            <w:r w:rsidR="00062C02">
              <w:t>t</w:t>
            </w:r>
            <w:r w:rsidR="00B774A4">
              <w:t xml:space="preserve"> </w:t>
            </w:r>
          </w:p>
        </w:tc>
        <w:tc>
          <w:tcPr>
            <w:tcW w:w="2010" w:type="dxa"/>
          </w:tcPr>
          <w:p w14:paraId="39137F6D" w14:textId="77777777" w:rsidR="003D527E" w:rsidRDefault="003D527E" w:rsidP="00B84D9A">
            <w:pPr>
              <w:jc w:val="right"/>
              <w:cnfStyle w:val="000000010000" w:firstRow="0" w:lastRow="0" w:firstColumn="0" w:lastColumn="0" w:oddVBand="0" w:evenVBand="0" w:oddHBand="0" w:evenHBand="1" w:firstRowFirstColumn="0" w:firstRowLastColumn="0" w:lastRowFirstColumn="0" w:lastRowLastColumn="0"/>
            </w:pPr>
            <w:r>
              <w:t>-</w:t>
            </w:r>
          </w:p>
        </w:tc>
        <w:tc>
          <w:tcPr>
            <w:tcW w:w="2010" w:type="dxa"/>
          </w:tcPr>
          <w:p w14:paraId="3C0C4D58" w14:textId="114E9CD8" w:rsidR="003D527E" w:rsidRDefault="003D527E" w:rsidP="00B84D9A">
            <w:pPr>
              <w:jc w:val="right"/>
              <w:cnfStyle w:val="000000010000" w:firstRow="0" w:lastRow="0" w:firstColumn="0" w:lastColumn="0" w:oddVBand="0" w:evenVBand="0" w:oddHBand="0" w:evenHBand="1" w:firstRowFirstColumn="0" w:firstRowLastColumn="0" w:lastRowFirstColumn="0" w:lastRowLastColumn="0"/>
            </w:pPr>
            <w:r>
              <w:t>3</w:t>
            </w:r>
            <w:r w:rsidR="00EA77AA">
              <w:t>,</w:t>
            </w:r>
            <w:r>
              <w:t>000</w:t>
            </w:r>
            <w:r w:rsidR="001B6ADA">
              <w:t> </w:t>
            </w:r>
          </w:p>
        </w:tc>
        <w:tc>
          <w:tcPr>
            <w:tcW w:w="2010" w:type="dxa"/>
          </w:tcPr>
          <w:p w14:paraId="3EFFED27" w14:textId="77777777" w:rsidR="003D527E" w:rsidRDefault="003D527E" w:rsidP="00B84D9A">
            <w:pPr>
              <w:jc w:val="right"/>
              <w:cnfStyle w:val="000000010000" w:firstRow="0" w:lastRow="0" w:firstColumn="0" w:lastColumn="0" w:oddVBand="0" w:evenVBand="0" w:oddHBand="0" w:evenHBand="1" w:firstRowFirstColumn="0" w:firstRowLastColumn="0" w:lastRowFirstColumn="0" w:lastRowLastColumn="0"/>
            </w:pPr>
            <w:r>
              <w:t>0.752</w:t>
            </w:r>
          </w:p>
        </w:tc>
      </w:tr>
      <w:tr w:rsidR="003D527E" w14:paraId="5AE862E3" w14:textId="77777777" w:rsidTr="00B84D9A">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701" w:type="dxa"/>
          </w:tcPr>
          <w:p w14:paraId="74DD09FF" w14:textId="77777777" w:rsidR="003D527E" w:rsidRDefault="003D527E">
            <w:r>
              <w:t>Fuel oil</w:t>
            </w:r>
          </w:p>
        </w:tc>
        <w:tc>
          <w:tcPr>
            <w:tcW w:w="2009" w:type="dxa"/>
          </w:tcPr>
          <w:p w14:paraId="5ED5770B" w14:textId="2F007E54" w:rsidR="003D527E" w:rsidRDefault="003D527E" w:rsidP="00B84D9A">
            <w:pPr>
              <w:jc w:val="right"/>
              <w:cnfStyle w:val="000000100000" w:firstRow="0" w:lastRow="0" w:firstColumn="0" w:lastColumn="0" w:oddVBand="0" w:evenVBand="0" w:oddHBand="1" w:evenHBand="0" w:firstRowFirstColumn="0" w:firstRowLastColumn="0" w:lastRowFirstColumn="0" w:lastRowLastColumn="0"/>
            </w:pPr>
            <w:r>
              <w:t>3</w:t>
            </w:r>
            <w:r w:rsidR="00EA77AA">
              <w:t>,</w:t>
            </w:r>
            <w:r>
              <w:t>000</w:t>
            </w:r>
            <w:r w:rsidR="001B6ADA">
              <w:t> </w:t>
            </w:r>
            <w:r w:rsidR="00062C02">
              <w:t>kL</w:t>
            </w:r>
          </w:p>
        </w:tc>
        <w:tc>
          <w:tcPr>
            <w:tcW w:w="2010" w:type="dxa"/>
          </w:tcPr>
          <w:p w14:paraId="3E44C121" w14:textId="77777777" w:rsidR="003D527E" w:rsidRDefault="003D527E" w:rsidP="00B84D9A">
            <w:pPr>
              <w:jc w:val="right"/>
              <w:cnfStyle w:val="000000100000" w:firstRow="0" w:lastRow="0" w:firstColumn="0" w:lastColumn="0" w:oddVBand="0" w:evenVBand="0" w:oddHBand="1" w:evenHBand="0" w:firstRowFirstColumn="0" w:firstRowLastColumn="0" w:lastRowFirstColumn="0" w:lastRowLastColumn="0"/>
            </w:pPr>
            <w:r>
              <w:t>-</w:t>
            </w:r>
          </w:p>
        </w:tc>
        <w:tc>
          <w:tcPr>
            <w:tcW w:w="2010" w:type="dxa"/>
          </w:tcPr>
          <w:p w14:paraId="6EB1EA8C" w14:textId="77777777" w:rsidR="003D527E" w:rsidRDefault="003D527E" w:rsidP="00B84D9A">
            <w:pPr>
              <w:jc w:val="right"/>
              <w:cnfStyle w:val="000000100000" w:firstRow="0" w:lastRow="0" w:firstColumn="0" w:lastColumn="0" w:oddVBand="0" w:evenVBand="0" w:oddHBand="1" w:evenHBand="0" w:firstRowFirstColumn="0" w:firstRowLastColumn="0" w:lastRowFirstColumn="0" w:lastRowLastColumn="0"/>
            </w:pPr>
            <w:r>
              <w:t>-</w:t>
            </w:r>
          </w:p>
        </w:tc>
        <w:tc>
          <w:tcPr>
            <w:tcW w:w="2010" w:type="dxa"/>
          </w:tcPr>
          <w:p w14:paraId="3A7FFBB7" w14:textId="77777777" w:rsidR="003D527E" w:rsidRDefault="003D527E" w:rsidP="00B84D9A">
            <w:pPr>
              <w:jc w:val="right"/>
              <w:cnfStyle w:val="000000100000" w:firstRow="0" w:lastRow="0" w:firstColumn="0" w:lastColumn="0" w:oddVBand="0" w:evenVBand="0" w:oddHBand="1" w:evenHBand="0" w:firstRowFirstColumn="0" w:firstRowLastColumn="0" w:lastRowFirstColumn="0" w:lastRowLastColumn="0"/>
            </w:pPr>
            <w:r>
              <w:t>0.797</w:t>
            </w:r>
          </w:p>
        </w:tc>
      </w:tr>
      <w:tr w:rsidR="003D527E" w14:paraId="4E0F4B0A" w14:textId="77777777" w:rsidTr="00B84D9A">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701" w:type="dxa"/>
          </w:tcPr>
          <w:p w14:paraId="20267C47" w14:textId="77777777" w:rsidR="003D527E" w:rsidRDefault="003D527E">
            <w:r>
              <w:t>Coal tar</w:t>
            </w:r>
          </w:p>
        </w:tc>
        <w:tc>
          <w:tcPr>
            <w:tcW w:w="2009" w:type="dxa"/>
          </w:tcPr>
          <w:p w14:paraId="7F7A7326" w14:textId="77777777" w:rsidR="003D527E" w:rsidRDefault="003D527E" w:rsidP="00B84D9A">
            <w:pPr>
              <w:jc w:val="right"/>
              <w:cnfStyle w:val="000000010000" w:firstRow="0" w:lastRow="0" w:firstColumn="0" w:lastColumn="0" w:oddVBand="0" w:evenVBand="0" w:oddHBand="0" w:evenHBand="1" w:firstRowFirstColumn="0" w:firstRowLastColumn="0" w:lastRowFirstColumn="0" w:lastRowLastColumn="0"/>
            </w:pPr>
            <w:r>
              <w:t>-</w:t>
            </w:r>
          </w:p>
        </w:tc>
        <w:tc>
          <w:tcPr>
            <w:tcW w:w="2010" w:type="dxa"/>
          </w:tcPr>
          <w:p w14:paraId="17A08453" w14:textId="7F13A1BB" w:rsidR="003D527E" w:rsidRDefault="003D527E" w:rsidP="00B84D9A">
            <w:pPr>
              <w:jc w:val="right"/>
              <w:cnfStyle w:val="000000010000" w:firstRow="0" w:lastRow="0" w:firstColumn="0" w:lastColumn="0" w:oddVBand="0" w:evenVBand="0" w:oddHBand="0" w:evenHBand="1" w:firstRowFirstColumn="0" w:firstRowLastColumn="0" w:lastRowFirstColumn="0" w:lastRowLastColumn="0"/>
            </w:pPr>
            <w:r>
              <w:t>15,000</w:t>
            </w:r>
            <w:r w:rsidR="001B6ADA">
              <w:t> </w:t>
            </w:r>
          </w:p>
        </w:tc>
        <w:tc>
          <w:tcPr>
            <w:tcW w:w="2010" w:type="dxa"/>
          </w:tcPr>
          <w:p w14:paraId="04012006" w14:textId="6FF90BEE" w:rsidR="003D527E" w:rsidRDefault="003D527E" w:rsidP="00B84D9A">
            <w:pPr>
              <w:jc w:val="right"/>
              <w:cnfStyle w:val="000000010000" w:firstRow="0" w:lastRow="0" w:firstColumn="0" w:lastColumn="0" w:oddVBand="0" w:evenVBand="0" w:oddHBand="0" w:evenHBand="1" w:firstRowFirstColumn="0" w:firstRowLastColumn="0" w:lastRowFirstColumn="0" w:lastRowLastColumn="0"/>
            </w:pPr>
            <w:r>
              <w:t>200</w:t>
            </w:r>
            <w:r w:rsidR="001B6ADA">
              <w:t> </w:t>
            </w:r>
          </w:p>
        </w:tc>
        <w:tc>
          <w:tcPr>
            <w:tcW w:w="2010" w:type="dxa"/>
          </w:tcPr>
          <w:p w14:paraId="3A363EAD" w14:textId="77777777" w:rsidR="003D527E" w:rsidRDefault="003D527E" w:rsidP="00B84D9A">
            <w:pPr>
              <w:jc w:val="right"/>
              <w:cnfStyle w:val="000000010000" w:firstRow="0" w:lastRow="0" w:firstColumn="0" w:lastColumn="0" w:oddVBand="0" w:evenVBand="0" w:oddHBand="0" w:evenHBand="1" w:firstRowFirstColumn="0" w:firstRowLastColumn="0" w:lastRowFirstColumn="0" w:lastRowLastColumn="0"/>
            </w:pPr>
            <w:r>
              <w:t>0.837</w:t>
            </w:r>
          </w:p>
        </w:tc>
      </w:tr>
      <w:tr w:rsidR="003D527E" w14:paraId="3D4AE1E8" w14:textId="77777777" w:rsidTr="00B84D9A">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FCBA5C" w:themeColor="accent2"/>
            </w:tcBorders>
          </w:tcPr>
          <w:p w14:paraId="3BBE9075" w14:textId="77777777" w:rsidR="003D527E" w:rsidRDefault="003D527E">
            <w:r>
              <w:t>Crude steel</w:t>
            </w:r>
          </w:p>
        </w:tc>
        <w:tc>
          <w:tcPr>
            <w:tcW w:w="2009" w:type="dxa"/>
            <w:tcBorders>
              <w:bottom w:val="single" w:sz="4" w:space="0" w:color="FCBA5C" w:themeColor="accent2"/>
            </w:tcBorders>
          </w:tcPr>
          <w:p w14:paraId="18B89978" w14:textId="77777777" w:rsidR="003D527E" w:rsidRDefault="003D527E" w:rsidP="00B84D9A">
            <w:pPr>
              <w:jc w:val="right"/>
              <w:cnfStyle w:val="000000100000" w:firstRow="0" w:lastRow="0" w:firstColumn="0" w:lastColumn="0" w:oddVBand="0" w:evenVBand="0" w:oddHBand="1" w:evenHBand="0" w:firstRowFirstColumn="0" w:firstRowLastColumn="0" w:lastRowFirstColumn="0" w:lastRowLastColumn="0"/>
            </w:pPr>
            <w:r>
              <w:t>-</w:t>
            </w:r>
          </w:p>
        </w:tc>
        <w:tc>
          <w:tcPr>
            <w:tcW w:w="2010" w:type="dxa"/>
            <w:tcBorders>
              <w:bottom w:val="single" w:sz="4" w:space="0" w:color="FCBA5C" w:themeColor="accent2"/>
            </w:tcBorders>
          </w:tcPr>
          <w:p w14:paraId="7CE45693" w14:textId="2EA233FF" w:rsidR="003D527E" w:rsidRDefault="003D527E" w:rsidP="00B84D9A">
            <w:pPr>
              <w:jc w:val="right"/>
              <w:cnfStyle w:val="000000100000" w:firstRow="0" w:lastRow="0" w:firstColumn="0" w:lastColumn="0" w:oddVBand="0" w:evenVBand="0" w:oddHBand="1" w:evenHBand="0" w:firstRowFirstColumn="0" w:firstRowLastColumn="0" w:lastRowFirstColumn="0" w:lastRowLastColumn="0"/>
            </w:pPr>
            <w:r>
              <w:t>920,000</w:t>
            </w:r>
            <w:r w:rsidR="001B6ADA">
              <w:t> </w:t>
            </w:r>
          </w:p>
        </w:tc>
        <w:tc>
          <w:tcPr>
            <w:tcW w:w="2010" w:type="dxa"/>
            <w:tcBorders>
              <w:bottom w:val="single" w:sz="4" w:space="0" w:color="FCBA5C" w:themeColor="accent2"/>
            </w:tcBorders>
          </w:tcPr>
          <w:p w14:paraId="5EDA3844" w14:textId="78583428" w:rsidR="003D527E" w:rsidRDefault="003D527E" w:rsidP="00B84D9A">
            <w:pPr>
              <w:jc w:val="right"/>
              <w:cnfStyle w:val="000000100000" w:firstRow="0" w:lastRow="0" w:firstColumn="0" w:lastColumn="0" w:oddVBand="0" w:evenVBand="0" w:oddHBand="1" w:evenHBand="0" w:firstRowFirstColumn="0" w:firstRowLastColumn="0" w:lastRowFirstColumn="0" w:lastRowLastColumn="0"/>
            </w:pPr>
            <w:r>
              <w:t>1</w:t>
            </w:r>
            <w:r w:rsidR="00EA77AA">
              <w:t>,</w:t>
            </w:r>
            <w:r>
              <w:t>000</w:t>
            </w:r>
            <w:r w:rsidR="001B6ADA">
              <w:t> </w:t>
            </w:r>
          </w:p>
        </w:tc>
        <w:tc>
          <w:tcPr>
            <w:tcW w:w="2010" w:type="dxa"/>
            <w:tcBorders>
              <w:bottom w:val="single" w:sz="4" w:space="0" w:color="FCBA5C" w:themeColor="accent2"/>
            </w:tcBorders>
          </w:tcPr>
          <w:p w14:paraId="74AD7413" w14:textId="77777777" w:rsidR="003D527E" w:rsidRDefault="003D527E" w:rsidP="00B84D9A">
            <w:pPr>
              <w:jc w:val="right"/>
              <w:cnfStyle w:val="000000100000" w:firstRow="0" w:lastRow="0" w:firstColumn="0" w:lastColumn="0" w:oddVBand="0" w:evenVBand="0" w:oddHBand="1" w:evenHBand="0" w:firstRowFirstColumn="0" w:firstRowLastColumn="0" w:lastRowFirstColumn="0" w:lastRowLastColumn="0"/>
            </w:pPr>
            <w:r>
              <w:t>0.0017</w:t>
            </w:r>
          </w:p>
        </w:tc>
      </w:tr>
    </w:tbl>
    <w:p w14:paraId="7CC9556C" w14:textId="77777777" w:rsidR="003D527E" w:rsidRDefault="003D527E" w:rsidP="003D527E">
      <w:pPr>
        <w:pStyle w:val="Heading5"/>
      </w:pPr>
      <w:bookmarkStart w:id="172" w:name="_Toc45177272"/>
      <w:bookmarkStart w:id="173" w:name="_Toc105410941"/>
      <w:bookmarkStart w:id="174" w:name="_Toc140235513"/>
      <w:bookmarkStart w:id="175" w:name="_Toc206589106"/>
      <w:r w:rsidRPr="00922316">
        <w:t>Step 1</w:t>
      </w:r>
      <w:bookmarkEnd w:id="172"/>
      <w:bookmarkEnd w:id="173"/>
      <w:bookmarkEnd w:id="174"/>
      <w:bookmarkEnd w:id="175"/>
      <w:r>
        <w:tab/>
      </w:r>
    </w:p>
    <w:p w14:paraId="52DF0FC3" w14:textId="776C68B1" w:rsidR="003D527E" w:rsidRDefault="003D527E" w:rsidP="003D527E">
      <w:r>
        <w:t xml:space="preserve">Calculate the carbon content in fuel types (i) or carbonaceous input material delivered for the activity during the year measured in tonnes of carbon </w:t>
      </w:r>
      <w:r w:rsidR="00782E63">
        <w:t>(tC)</w:t>
      </w:r>
      <w:r>
        <w:t xml:space="preserve"> as follows:</w:t>
      </w:r>
    </w:p>
    <w:p w14:paraId="526C8BAC" w14:textId="6CF56703" w:rsidR="003D527E" w:rsidRDefault="003D527E" w:rsidP="003D527E">
      <w:r>
        <w:t>Where:</w:t>
      </w:r>
      <w:r>
        <w:tab/>
      </w:r>
      <w:r>
        <w:tab/>
      </w:r>
      <m:oMath>
        <m:nary>
          <m:naryPr>
            <m:chr m:val="∑"/>
            <m:limLoc m:val="subSup"/>
            <m:supHide m:val="1"/>
            <m:ctrlPr>
              <w:rPr>
                <w:rFonts w:ascii="Cambria Math" w:hAnsi="Cambria Math"/>
                <w:i/>
              </w:rPr>
            </m:ctrlPr>
          </m:naryPr>
          <m:sub>
            <m:r>
              <w:rPr>
                <w:rFonts w:ascii="Cambria Math" w:hAnsi="Cambria Math"/>
              </w:rPr>
              <m:t>i</m:t>
            </m:r>
          </m:sub>
          <m:sup/>
          <m:e>
            <m:r>
              <w:rPr>
                <w:rFonts w:ascii="Cambria Math" w:hAnsi="Cambria Math"/>
              </w:rPr>
              <m:t>CC</m:t>
            </m:r>
            <m:sSub>
              <m:sSubPr>
                <m:ctrlPr>
                  <w:rPr>
                    <w:rFonts w:ascii="Cambria Math" w:hAnsi="Cambria Math"/>
                    <w:i/>
                  </w:rPr>
                </m:ctrlPr>
              </m:sSubPr>
              <m:e>
                <m:r>
                  <w:rPr>
                    <w:rFonts w:ascii="Cambria Math" w:hAnsi="Cambria Math"/>
                  </w:rPr>
                  <m:t>F</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i</m:t>
                </m:r>
              </m:sub>
            </m:sSub>
          </m:e>
        </m:nary>
      </m:oMath>
    </w:p>
    <w:p w14:paraId="29372B8A" w14:textId="47FF6847" w:rsidR="003D527E" w:rsidRPr="006528EE" w:rsidRDefault="003D527E" w:rsidP="003D527E">
      <w:pPr>
        <w:rPr>
          <w:bCs/>
        </w:rPr>
      </w:pPr>
      <w:r w:rsidRPr="00A74390">
        <w:rPr>
          <w:bCs/>
          <w:i/>
          <w:iCs/>
        </w:rPr>
        <w:t>CCF</w:t>
      </w:r>
      <w:r w:rsidR="00A74390" w:rsidRPr="006F6A94">
        <w:rPr>
          <w:bCs/>
          <w:i/>
          <w:iCs/>
          <w:vertAlign w:val="subscript"/>
        </w:rPr>
        <w:t>i</w:t>
      </w:r>
      <w:r w:rsidR="00A74390" w:rsidRPr="006F6A94">
        <w:rPr>
          <w:bCs/>
          <w:i/>
          <w:iCs/>
        </w:rPr>
        <w:t xml:space="preserve"> </w:t>
      </w:r>
      <w:r w:rsidRPr="00E1746F">
        <w:rPr>
          <w:bCs/>
        </w:rPr>
        <w:t xml:space="preserve">is the carbon content factor measured in tonnes of carbon </w:t>
      </w:r>
      <w:r w:rsidR="00911506">
        <w:rPr>
          <w:bCs/>
        </w:rPr>
        <w:t xml:space="preserve">(tC) </w:t>
      </w:r>
      <w:r w:rsidRPr="00E1746F">
        <w:rPr>
          <w:bCs/>
        </w:rPr>
        <w:t>for each appropriate unit of fuel type (i</w:t>
      </w:r>
      <w:proofErr w:type="gramStart"/>
      <w:r w:rsidRPr="00E1746F">
        <w:rPr>
          <w:bCs/>
        </w:rPr>
        <w:t>)</w:t>
      </w:r>
      <w:proofErr w:type="gramEnd"/>
      <w:r w:rsidRPr="00E1746F">
        <w:rPr>
          <w:bCs/>
        </w:rPr>
        <w:t xml:space="preserve"> or carbonaceous input material consumed during the year from the operation of the activity.</w:t>
      </w:r>
    </w:p>
    <w:p w14:paraId="448E0FBE" w14:textId="2C504748" w:rsidR="003D527E" w:rsidRPr="00682009" w:rsidRDefault="003D527E" w:rsidP="003D527E">
      <w:pPr>
        <w:rPr>
          <w:bCs/>
        </w:rPr>
      </w:pPr>
      <w:r w:rsidRPr="006528EE">
        <w:rPr>
          <w:bCs/>
        </w:rPr>
        <w:t xml:space="preserve">The </w:t>
      </w:r>
      <w:r w:rsidR="414DEC60">
        <w:t>M</w:t>
      </w:r>
      <w:r w:rsidRPr="006528EE">
        <w:rPr>
          <w:bCs/>
        </w:rPr>
        <w:t>ethod 1 default carbon content factors can be found in Schedule 3 of the NGER Measurement Determination.</w:t>
      </w:r>
    </w:p>
    <w:p w14:paraId="18FED839" w14:textId="712A9FC5" w:rsidR="003D527E" w:rsidRDefault="003D527E" w:rsidP="003D527E">
      <w:r w:rsidRPr="006F00DA">
        <w:rPr>
          <w:bCs/>
          <w:i/>
          <w:iCs/>
        </w:rPr>
        <w:t>Qi</w:t>
      </w:r>
      <w:r w:rsidRPr="00E1746F">
        <w:rPr>
          <w:bCs/>
        </w:rPr>
        <w:t xml:space="preserve"> is</w:t>
      </w:r>
      <w:r>
        <w:t xml:space="preserve"> the quantity of fuel type (i</w:t>
      </w:r>
      <w:proofErr w:type="gramStart"/>
      <w:r>
        <w:t>)</w:t>
      </w:r>
      <w:proofErr w:type="gramEnd"/>
      <w:r>
        <w:t xml:space="preserve"> or carbonaceous input material delivered for the activity during the year measured in an appropriate unit and estimated in accordance with criterion A in Division 2.2.5, 2.3.6 and 2.4.6. In this case the quantities of input materials are shown in the table above.</w:t>
      </w:r>
    </w:p>
    <w:p w14:paraId="0B4044F3" w14:textId="3CEC75D8" w:rsidR="006401D9" w:rsidRPr="006401D9" w:rsidRDefault="006401D9" w:rsidP="003D527E">
      <w:r>
        <w:t xml:space="preserve">When reporting fuels against the activity in EERS, the value of </w:t>
      </w:r>
      <w:r w:rsidRPr="000221EC">
        <w:rPr>
          <w:bCs/>
          <w:i/>
          <w:iCs/>
        </w:rPr>
        <w:t>Qi</w:t>
      </w:r>
      <w:r>
        <w:rPr>
          <w:bCs/>
        </w:rPr>
        <w:t xml:space="preserve"> is entered along with the measurement criteria used.</w:t>
      </w:r>
    </w:p>
    <w:p w14:paraId="76EB8297" w14:textId="77777777" w:rsidR="003D527E" w:rsidRPr="006F00DA" w:rsidRDefault="003D527E" w:rsidP="003D527E">
      <w:pPr>
        <w:rPr>
          <w:bCs/>
        </w:rPr>
      </w:pPr>
      <w:r w:rsidRPr="006F00DA">
        <w:rPr>
          <w:bCs/>
        </w:rPr>
        <w:t>To calculate the carbon content for the input materials:</w:t>
      </w:r>
    </w:p>
    <w:p w14:paraId="43FDE087" w14:textId="1ECB66AE" w:rsidR="003D527E" w:rsidRDefault="003D527E" w:rsidP="003D527E">
      <w:pPr>
        <w:pStyle w:val="CERbullets"/>
      </w:pPr>
      <w:r>
        <w:t>carbon content of coking coal = (750,000 x 0.752) = 564,00</w:t>
      </w:r>
      <w:r w:rsidR="00B501ED">
        <w:t>0</w:t>
      </w:r>
      <w:r w:rsidR="005F65D5">
        <w:t xml:space="preserve"> tC</w:t>
      </w:r>
      <w:r>
        <w:t xml:space="preserve"> </w:t>
      </w:r>
    </w:p>
    <w:p w14:paraId="7D9B76AD" w14:textId="05BAE3AB" w:rsidR="003D527E" w:rsidRDefault="003D527E" w:rsidP="003D527E">
      <w:pPr>
        <w:pStyle w:val="CERbullets"/>
      </w:pPr>
      <w:r>
        <w:t>carbon content of fuel oil = (3,000 x 0.797) = 2,391</w:t>
      </w:r>
      <w:r w:rsidR="00B501ED">
        <w:t> </w:t>
      </w:r>
      <w:r>
        <w:t>t</w:t>
      </w:r>
      <w:r w:rsidR="008851FC">
        <w:t>C</w:t>
      </w:r>
    </w:p>
    <w:p w14:paraId="5024D0AB" w14:textId="7EF45E68" w:rsidR="003D527E" w:rsidRDefault="003D527E" w:rsidP="003D527E">
      <w:pPr>
        <w:pStyle w:val="CERbullets"/>
        <w:numPr>
          <w:ilvl w:val="0"/>
          <w:numId w:val="0"/>
        </w:numPr>
      </w:pPr>
      <w:r>
        <w:t>therefore, total carbon = (564,000 + 2,391) = 566,391</w:t>
      </w:r>
      <w:r w:rsidR="00B501ED">
        <w:t> </w:t>
      </w:r>
      <w:r>
        <w:t>t</w:t>
      </w:r>
      <w:r w:rsidR="008851FC">
        <w:t>C</w:t>
      </w:r>
      <w:r>
        <w:t>.</w:t>
      </w:r>
    </w:p>
    <w:p w14:paraId="6C41EB2F" w14:textId="47F095F7" w:rsidR="006401D9" w:rsidRPr="000221EC" w:rsidRDefault="006401D9" w:rsidP="006401D9">
      <w:pPr>
        <w:rPr>
          <w:b/>
          <w:bCs/>
        </w:rPr>
      </w:pPr>
      <w:r w:rsidRPr="000221EC">
        <w:rPr>
          <w:bCs/>
        </w:rPr>
        <w:t xml:space="preserve">Note that all the 750,000 tonnes of coking coal acquired during the reporting period is included within this step of the calculation. </w:t>
      </w:r>
    </w:p>
    <w:p w14:paraId="3CCB94CC" w14:textId="2DE1C4EF" w:rsidR="006401D9" w:rsidRDefault="006401D9" w:rsidP="006401D9">
      <w:pPr>
        <w:pStyle w:val="CERbullets"/>
        <w:numPr>
          <w:ilvl w:val="0"/>
          <w:numId w:val="0"/>
        </w:numPr>
      </w:pPr>
      <w:r w:rsidRPr="000221EC">
        <w:rPr>
          <w:bCs/>
        </w:rPr>
        <w:t>The 3</w:t>
      </w:r>
      <w:r w:rsidR="004340FD">
        <w:rPr>
          <w:bCs/>
        </w:rPr>
        <w:t>,</w:t>
      </w:r>
      <w:r w:rsidRPr="000221EC">
        <w:rPr>
          <w:bCs/>
        </w:rPr>
        <w:t>000 tonnes of coking coal that was not consumed and instead added to a stockpile on-site will be considered during Step 4 of the calculation.</w:t>
      </w:r>
    </w:p>
    <w:p w14:paraId="73E80877" w14:textId="77777777" w:rsidR="003D527E" w:rsidRDefault="003D527E" w:rsidP="003D527E">
      <w:pPr>
        <w:pStyle w:val="Heading5"/>
      </w:pPr>
      <w:bookmarkStart w:id="176" w:name="_Toc45177273"/>
      <w:bookmarkStart w:id="177" w:name="_Toc105410942"/>
      <w:bookmarkStart w:id="178" w:name="_Toc140235514"/>
      <w:bookmarkStart w:id="179" w:name="_Toc206589107"/>
      <w:r w:rsidRPr="00922316">
        <w:t>Step 2</w:t>
      </w:r>
      <w:bookmarkEnd w:id="176"/>
      <w:bookmarkEnd w:id="177"/>
      <w:bookmarkEnd w:id="178"/>
      <w:bookmarkEnd w:id="179"/>
      <w:r>
        <w:tab/>
      </w:r>
    </w:p>
    <w:p w14:paraId="2799A4B5" w14:textId="77777777" w:rsidR="003D527E" w:rsidRDefault="003D527E" w:rsidP="003D527E">
      <w:r>
        <w:t>Calculate the carbon content in products (p) leaving the activity during the year measured in tonnes of carbon as follows:</w:t>
      </w:r>
    </w:p>
    <w:p w14:paraId="4C5087C0" w14:textId="6901D840" w:rsidR="003D527E" w:rsidRDefault="003D527E" w:rsidP="003D527E">
      <w:r>
        <w:t xml:space="preserve">Where: </w:t>
      </w:r>
      <w:r>
        <w:tab/>
      </w:r>
      <w:r>
        <w:tab/>
      </w:r>
      <m:oMath>
        <m:nary>
          <m:naryPr>
            <m:chr m:val="∑"/>
            <m:limLoc m:val="subSup"/>
            <m:supHide m:val="1"/>
            <m:ctrlPr>
              <w:rPr>
                <w:rFonts w:ascii="Cambria Math" w:hAnsi="Cambria Math"/>
                <w:i/>
              </w:rPr>
            </m:ctrlPr>
          </m:naryPr>
          <m:sub>
            <m:r>
              <w:rPr>
                <w:rFonts w:ascii="Cambria Math" w:hAnsi="Cambria Math"/>
              </w:rPr>
              <m:t>p</m:t>
            </m:r>
          </m:sub>
          <m:sup/>
          <m:e>
            <m:r>
              <w:rPr>
                <w:rFonts w:ascii="Cambria Math" w:hAnsi="Cambria Math"/>
              </w:rPr>
              <m:t>CC</m:t>
            </m:r>
            <m:sSub>
              <m:sSubPr>
                <m:ctrlPr>
                  <w:rPr>
                    <w:rFonts w:ascii="Cambria Math" w:hAnsi="Cambria Math"/>
                    <w:i/>
                  </w:rPr>
                </m:ctrlPr>
              </m:sSubPr>
              <m:e>
                <m:r>
                  <w:rPr>
                    <w:rFonts w:ascii="Cambria Math" w:hAnsi="Cambria Math"/>
                  </w:rPr>
                  <m:t>F</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p</m:t>
                </m:r>
              </m:sub>
            </m:sSub>
          </m:e>
        </m:nary>
      </m:oMath>
    </w:p>
    <w:p w14:paraId="48749BFA" w14:textId="00B60514" w:rsidR="003D527E" w:rsidRPr="006F00DA" w:rsidRDefault="003D527E" w:rsidP="003D527E">
      <w:pPr>
        <w:rPr>
          <w:bCs/>
        </w:rPr>
      </w:pPr>
      <w:r w:rsidRPr="006F00DA">
        <w:rPr>
          <w:bCs/>
          <w:i/>
          <w:iCs/>
        </w:rPr>
        <w:t>CCFp</w:t>
      </w:r>
      <w:r w:rsidRPr="00E1746F">
        <w:rPr>
          <w:bCs/>
        </w:rPr>
        <w:t xml:space="preserve"> is the carbon content factor measured in tonnes of carbon</w:t>
      </w:r>
      <w:r w:rsidR="00E85D99">
        <w:rPr>
          <w:bCs/>
        </w:rPr>
        <w:t xml:space="preserve"> </w:t>
      </w:r>
      <w:r w:rsidRPr="00E1746F">
        <w:rPr>
          <w:bCs/>
        </w:rPr>
        <w:t>for each tonne of product type (p) produced during the year. In this case</w:t>
      </w:r>
      <w:r w:rsidR="2567FE4D">
        <w:t>,</w:t>
      </w:r>
      <w:r w:rsidRPr="00E1746F">
        <w:rPr>
          <w:bCs/>
        </w:rPr>
        <w:t xml:space="preserve"> the carbon content factor of each product type is shown in the table above</w:t>
      </w:r>
      <w:r>
        <w:rPr>
          <w:bCs/>
        </w:rPr>
        <w:t>.</w:t>
      </w:r>
    </w:p>
    <w:p w14:paraId="3C90ADBF" w14:textId="7EFF9A26" w:rsidR="003D527E" w:rsidRPr="006F00DA" w:rsidRDefault="003D527E" w:rsidP="003D527E">
      <w:pPr>
        <w:rPr>
          <w:bCs/>
        </w:rPr>
      </w:pPr>
      <w:r w:rsidRPr="006F00DA">
        <w:rPr>
          <w:bCs/>
          <w:i/>
          <w:iCs/>
        </w:rPr>
        <w:t>Ap</w:t>
      </w:r>
      <w:r w:rsidRPr="00E1746F">
        <w:rPr>
          <w:bCs/>
        </w:rPr>
        <w:t xml:space="preserve"> is the quantity of product types (p) produced leaving the activity during the year measured in tonnes. In this case</w:t>
      </w:r>
      <w:r w:rsidR="39BDB359">
        <w:t>,</w:t>
      </w:r>
      <w:r w:rsidRPr="00E1746F">
        <w:rPr>
          <w:bCs/>
        </w:rPr>
        <w:t xml:space="preserve"> the quantity of product</w:t>
      </w:r>
      <w:r w:rsidRPr="006528EE">
        <w:rPr>
          <w:bCs/>
        </w:rPr>
        <w:t xml:space="preserve"> is shown in the table above</w:t>
      </w:r>
      <w:r>
        <w:rPr>
          <w:bCs/>
        </w:rPr>
        <w:t>.</w:t>
      </w:r>
    </w:p>
    <w:p w14:paraId="15664FC2" w14:textId="77777777" w:rsidR="003D527E" w:rsidRPr="006F00DA" w:rsidRDefault="003D527E" w:rsidP="003D527E">
      <w:pPr>
        <w:rPr>
          <w:bCs/>
        </w:rPr>
      </w:pPr>
      <w:r w:rsidRPr="006F00DA">
        <w:rPr>
          <w:bCs/>
        </w:rPr>
        <w:t>To calculate the carbon content for the products leaving the activity during the year:</w:t>
      </w:r>
    </w:p>
    <w:p w14:paraId="110E7103" w14:textId="366EA6AC" w:rsidR="003D527E" w:rsidRDefault="003D527E" w:rsidP="003D527E">
      <w:pPr>
        <w:pStyle w:val="CERbullets"/>
      </w:pPr>
      <w:r>
        <w:t xml:space="preserve">carbon </w:t>
      </w:r>
      <w:r w:rsidR="00481E5D">
        <w:t>c</w:t>
      </w:r>
      <w:r>
        <w:t>ontent of crude steel = (920,000 x 0.0017) = 1,564</w:t>
      </w:r>
      <w:r w:rsidR="002776B0">
        <w:t> </w:t>
      </w:r>
      <w:r>
        <w:t>t</w:t>
      </w:r>
      <w:r w:rsidR="0037515A">
        <w:t>C</w:t>
      </w:r>
    </w:p>
    <w:p w14:paraId="72124805" w14:textId="19EB207A" w:rsidR="003D527E" w:rsidRDefault="003D527E" w:rsidP="003D527E">
      <w:pPr>
        <w:pStyle w:val="CERbullets"/>
      </w:pPr>
      <w:r>
        <w:t xml:space="preserve">carbon </w:t>
      </w:r>
      <w:r w:rsidR="00481E5D">
        <w:t>c</w:t>
      </w:r>
      <w:r>
        <w:t>ontent of coke oven coke = (60,000 x 0.789) = 47,340</w:t>
      </w:r>
      <w:r w:rsidR="002776B0">
        <w:t> </w:t>
      </w:r>
      <w:r>
        <w:t>t</w:t>
      </w:r>
      <w:r w:rsidR="0037515A">
        <w:t>C</w:t>
      </w:r>
    </w:p>
    <w:p w14:paraId="4261D00B" w14:textId="44FCF63D" w:rsidR="003D527E" w:rsidRDefault="003D527E" w:rsidP="003D527E">
      <w:pPr>
        <w:pStyle w:val="CERbullets"/>
      </w:pPr>
      <w:r>
        <w:t xml:space="preserve">carbon </w:t>
      </w:r>
      <w:r w:rsidR="00481E5D">
        <w:t>c</w:t>
      </w:r>
      <w:r>
        <w:t>ontent of coal tar = (15,000 x 0.837) = 12,555</w:t>
      </w:r>
      <w:r w:rsidR="002776B0">
        <w:t> </w:t>
      </w:r>
      <w:r>
        <w:t>t</w:t>
      </w:r>
      <w:r w:rsidR="0037515A">
        <w:t>C</w:t>
      </w:r>
    </w:p>
    <w:p w14:paraId="3D7702F3" w14:textId="2E18853B" w:rsidR="003D527E" w:rsidRDefault="003D527E" w:rsidP="003D527E">
      <w:r>
        <w:t>therefore, total carbon = (1,564 + 47,340 + 12,555) = 61,459</w:t>
      </w:r>
      <w:r w:rsidR="002776B0">
        <w:t> </w:t>
      </w:r>
      <w:r>
        <w:t>t</w:t>
      </w:r>
      <w:r w:rsidR="002776B0">
        <w:t>.</w:t>
      </w:r>
    </w:p>
    <w:p w14:paraId="19B8ECA9" w14:textId="77777777" w:rsidR="003D527E" w:rsidRDefault="003D527E" w:rsidP="003D527E">
      <w:pPr>
        <w:pStyle w:val="Heading5"/>
      </w:pPr>
      <w:bookmarkStart w:id="180" w:name="_Toc45177274"/>
      <w:bookmarkStart w:id="181" w:name="_Toc105410943"/>
      <w:bookmarkStart w:id="182" w:name="_Toc140235515"/>
      <w:bookmarkStart w:id="183" w:name="_Toc206589108"/>
      <w:r>
        <w:t>Step 3</w:t>
      </w:r>
      <w:bookmarkEnd w:id="180"/>
      <w:bookmarkEnd w:id="181"/>
      <w:bookmarkEnd w:id="182"/>
      <w:bookmarkEnd w:id="183"/>
      <w:r>
        <w:tab/>
      </w:r>
    </w:p>
    <w:p w14:paraId="665BD4B4" w14:textId="7DBBF635" w:rsidR="003D527E" w:rsidRDefault="003D527E" w:rsidP="003D527E">
      <w:r>
        <w:t>Calculate the carbon content in waste by</w:t>
      </w:r>
      <w:r w:rsidR="00F82CAF">
        <w:t>-</w:t>
      </w:r>
      <w:r>
        <w:t xml:space="preserve">product types (r) leaving the activity, other than as an emission of greenhouse gas, during the year, measured in </w:t>
      </w:r>
      <w:r w:rsidDel="002776B0">
        <w:t xml:space="preserve">tonnes </w:t>
      </w:r>
      <w:r>
        <w:t>of carbon, as follows:</w:t>
      </w:r>
    </w:p>
    <w:p w14:paraId="6BFBD7E7" w14:textId="77777777" w:rsidR="003D527E" w:rsidRDefault="003D527E" w:rsidP="003D527E">
      <w:r>
        <w:t>Where:</w:t>
      </w:r>
      <w:r>
        <w:tab/>
      </w:r>
      <w:r>
        <w:tab/>
      </w:r>
      <m:oMath>
        <m:nary>
          <m:naryPr>
            <m:chr m:val="∑"/>
            <m:limLoc m:val="subSup"/>
            <m:supHide m:val="1"/>
            <m:ctrlPr>
              <w:rPr>
                <w:rFonts w:ascii="Cambria Math" w:hAnsi="Cambria Math"/>
                <w:i/>
              </w:rPr>
            </m:ctrlPr>
          </m:naryPr>
          <m:sub>
            <m:r>
              <w:rPr>
                <w:rFonts w:ascii="Cambria Math" w:hAnsi="Cambria Math"/>
              </w:rPr>
              <m:t>r</m:t>
            </m:r>
          </m:sub>
          <m:sup/>
          <m:e>
            <m:r>
              <w:rPr>
                <w:rFonts w:ascii="Cambria Math" w:hAnsi="Cambria Math"/>
              </w:rPr>
              <m:t>CC</m:t>
            </m:r>
            <m:sSub>
              <m:sSubPr>
                <m:ctrlPr>
                  <w:rPr>
                    <w:rFonts w:ascii="Cambria Math" w:hAnsi="Cambria Math"/>
                    <w:i/>
                  </w:rPr>
                </m:ctrlPr>
              </m:sSubPr>
              <m:e>
                <m:r>
                  <w:rPr>
                    <w:rFonts w:ascii="Cambria Math" w:hAnsi="Cambria Math"/>
                  </w:rPr>
                  <m:t>F</m:t>
                </m:r>
              </m:e>
              <m:sub>
                <m:r>
                  <w:rPr>
                    <w:rFonts w:ascii="Cambria Math" w:hAnsi="Cambria Math"/>
                  </w:rPr>
                  <m:t>r</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r</m:t>
                </m:r>
              </m:sub>
            </m:sSub>
          </m:e>
        </m:nary>
      </m:oMath>
    </w:p>
    <w:p w14:paraId="3796A2F1" w14:textId="2EE13DED" w:rsidR="003D527E" w:rsidRDefault="003D527E" w:rsidP="003D527E">
      <w:r w:rsidRPr="006F00DA">
        <w:rPr>
          <w:bCs/>
          <w:i/>
          <w:iCs/>
        </w:rPr>
        <w:t>CCFr</w:t>
      </w:r>
      <w:r>
        <w:t xml:space="preserve"> is the carbon content factor measured in tonnes of carbon</w:t>
      </w:r>
      <w:r w:rsidR="00B82E5D">
        <w:t xml:space="preserve"> </w:t>
      </w:r>
      <w:r>
        <w:t>for each t</w:t>
      </w:r>
      <w:r w:rsidDel="00680782">
        <w:t>onne</w:t>
      </w:r>
      <w:r>
        <w:t xml:space="preserve"> of waste</w:t>
      </w:r>
      <w:r w:rsidR="00F82CAF">
        <w:t>-</w:t>
      </w:r>
      <w:r>
        <w:t>by product types (r).</w:t>
      </w:r>
    </w:p>
    <w:p w14:paraId="28F5D24A" w14:textId="12116B84" w:rsidR="003D527E" w:rsidRDefault="003D527E" w:rsidP="003D527E">
      <w:r w:rsidRPr="006F00DA">
        <w:rPr>
          <w:bCs/>
          <w:i/>
          <w:iCs/>
        </w:rPr>
        <w:t>Yr</w:t>
      </w:r>
      <w:r>
        <w:t xml:space="preserve"> is the quantity of waste by</w:t>
      </w:r>
      <w:r w:rsidR="00F82CAF">
        <w:t>-</w:t>
      </w:r>
      <w:r>
        <w:t>product types (r) leaving the activity during the year measured in t</w:t>
      </w:r>
      <w:r w:rsidDel="00680782">
        <w:t>onnes</w:t>
      </w:r>
      <w:r>
        <w:t>. In this case</w:t>
      </w:r>
      <w:r w:rsidR="279B9D64">
        <w:t>,</w:t>
      </w:r>
      <w:r>
        <w:t xml:space="preserve"> the quantities of waste by-products are:</w:t>
      </w:r>
    </w:p>
    <w:p w14:paraId="79913972" w14:textId="1B9A7970" w:rsidR="003D527E" w:rsidRDefault="29DC657C" w:rsidP="003D527E">
      <w:pPr>
        <w:pStyle w:val="CERbullets"/>
      </w:pPr>
      <w:r>
        <w:t>s</w:t>
      </w:r>
      <w:r w:rsidR="003D527E">
        <w:t>lag, of which 230,000</w:t>
      </w:r>
      <w:r w:rsidR="00680782">
        <w:t> t</w:t>
      </w:r>
      <w:r w:rsidR="003D527E">
        <w:t xml:space="preserve"> was produced. The facility estimated the carbon content of the slag was 0.0005</w:t>
      </w:r>
      <w:r w:rsidR="00680782">
        <w:t> t</w:t>
      </w:r>
      <w:r w:rsidR="00C66E0B">
        <w:t>C</w:t>
      </w:r>
      <w:r w:rsidR="003D527E">
        <w:t xml:space="preserve"> per t of slag</w:t>
      </w:r>
    </w:p>
    <w:p w14:paraId="5355BF14" w14:textId="398A975B" w:rsidR="003D527E" w:rsidRDefault="18C475AB" w:rsidP="003D527E">
      <w:pPr>
        <w:pStyle w:val="CERbullets"/>
      </w:pPr>
      <w:r>
        <w:t>o</w:t>
      </w:r>
      <w:r w:rsidR="003D527E">
        <w:t>ther non-oxidised carbon sources estimated in accordance with the NGER Measurement Determination as being 1500</w:t>
      </w:r>
      <w:r w:rsidR="00A02CDF">
        <w:t> </w:t>
      </w:r>
      <w:r w:rsidR="003D527E">
        <w:t xml:space="preserve">t. </w:t>
      </w:r>
    </w:p>
    <w:p w14:paraId="1B903510" w14:textId="77777777" w:rsidR="003D527E" w:rsidRPr="006F00DA" w:rsidRDefault="003D527E" w:rsidP="003D527E">
      <w:pPr>
        <w:rPr>
          <w:bCs/>
        </w:rPr>
      </w:pPr>
      <w:r w:rsidRPr="006F00DA">
        <w:rPr>
          <w:bCs/>
        </w:rPr>
        <w:t>To calculate the carbon content for the waste products leaving the activity during the year:</w:t>
      </w:r>
    </w:p>
    <w:p w14:paraId="065075A4" w14:textId="1C634E10" w:rsidR="003D527E" w:rsidRDefault="003D527E" w:rsidP="003D527E">
      <w:pPr>
        <w:pStyle w:val="CERbullets"/>
      </w:pPr>
      <w:r>
        <w:t xml:space="preserve">carbon </w:t>
      </w:r>
      <w:r w:rsidR="00481E5D">
        <w:t>c</w:t>
      </w:r>
      <w:r>
        <w:t>ontent of slag = (230,000 x 0.0005) = 115</w:t>
      </w:r>
      <w:r w:rsidR="00A02CDF">
        <w:t> </w:t>
      </w:r>
      <w:r>
        <w:t>t</w:t>
      </w:r>
      <w:r w:rsidR="00A52E9D">
        <w:t>C</w:t>
      </w:r>
    </w:p>
    <w:p w14:paraId="57BDCB59" w14:textId="29A98453" w:rsidR="003D527E" w:rsidRDefault="003D527E" w:rsidP="003D527E">
      <w:pPr>
        <w:pStyle w:val="CERbullets"/>
      </w:pPr>
      <w:r>
        <w:t xml:space="preserve">carbon </w:t>
      </w:r>
      <w:r w:rsidR="00481E5D">
        <w:t>c</w:t>
      </w:r>
      <w:r>
        <w:t>ontent of other non-oxidised carbon = 1500</w:t>
      </w:r>
      <w:r w:rsidR="00A02CDF">
        <w:t> </w:t>
      </w:r>
      <w:r>
        <w:t>t</w:t>
      </w:r>
      <w:r w:rsidR="00A52E9D">
        <w:t>C</w:t>
      </w:r>
    </w:p>
    <w:p w14:paraId="272F0D12" w14:textId="0BA2B803" w:rsidR="003D527E" w:rsidRDefault="003D527E" w:rsidP="003D527E">
      <w:r>
        <w:t>therefore, total carbon = (115 + 1,500) = 1,615</w:t>
      </w:r>
      <w:r w:rsidR="00A02CDF">
        <w:t> </w:t>
      </w:r>
      <w:r>
        <w:t>t</w:t>
      </w:r>
      <w:r w:rsidR="00807433">
        <w:t>.</w:t>
      </w:r>
    </w:p>
    <w:p w14:paraId="5315290E" w14:textId="77777777" w:rsidR="003D527E" w:rsidRDefault="003D527E" w:rsidP="003D527E">
      <w:pPr>
        <w:pStyle w:val="Heading5"/>
      </w:pPr>
      <w:bookmarkStart w:id="184" w:name="_Toc45177275"/>
      <w:bookmarkStart w:id="185" w:name="_Toc105410944"/>
      <w:bookmarkStart w:id="186" w:name="_Toc140235516"/>
      <w:bookmarkStart w:id="187" w:name="_Toc206589109"/>
      <w:r>
        <w:t>Step 4</w:t>
      </w:r>
      <w:bookmarkEnd w:id="184"/>
      <w:bookmarkEnd w:id="185"/>
      <w:bookmarkEnd w:id="186"/>
      <w:bookmarkEnd w:id="187"/>
      <w:r>
        <w:tab/>
      </w:r>
    </w:p>
    <w:p w14:paraId="6DD4DCCB" w14:textId="6E393D14" w:rsidR="003D527E" w:rsidRDefault="003D527E" w:rsidP="003D527E">
      <w:r>
        <w:t xml:space="preserve">Calculate the carbon content in the amount of the </w:t>
      </w:r>
      <w:r w:rsidR="00164A9B">
        <w:t xml:space="preserve">change </w:t>
      </w:r>
      <w:r>
        <w:t>in stocks of inputs, products and waste by</w:t>
      </w:r>
      <w:r w:rsidR="003B6C75">
        <w:t>-</w:t>
      </w:r>
      <w:r>
        <w:t>products held within the boundary of the activity during the year in tonnes of carbon</w:t>
      </w:r>
      <w:r w:rsidR="00217159">
        <w:t xml:space="preserve"> (tC)</w:t>
      </w:r>
      <w:r>
        <w:t xml:space="preserve"> as follows:</w:t>
      </w:r>
    </w:p>
    <w:p w14:paraId="1A27485E" w14:textId="77777777" w:rsidR="003D527E" w:rsidRPr="006F57E3" w:rsidRDefault="003D527E" w:rsidP="003D527E">
      <w:r w:rsidRPr="006F57E3">
        <w:t>Where:</w:t>
      </w:r>
      <w:r w:rsidRPr="006F57E3">
        <w:tab/>
      </w:r>
      <w:r w:rsidRPr="006F57E3">
        <w:tab/>
      </w:r>
      <m:oMath>
        <m:nary>
          <m:naryPr>
            <m:chr m:val="∑"/>
            <m:limLoc m:val="subSup"/>
            <m:supHide m:val="1"/>
            <m:ctrlPr>
              <w:rPr>
                <w:rFonts w:ascii="Cambria Math" w:hAnsi="Cambria Math"/>
                <w:i/>
              </w:rPr>
            </m:ctrlPr>
          </m:naryPr>
          <m:sub>
            <m:r>
              <w:rPr>
                <w:rFonts w:ascii="Cambria Math" w:hAnsi="Cambria Math"/>
              </w:rPr>
              <m:t>i</m:t>
            </m:r>
          </m:sub>
          <m:sup/>
          <m:e>
            <m:r>
              <w:rPr>
                <w:rFonts w:ascii="Cambria Math" w:hAnsi="Cambria Math"/>
              </w:rPr>
              <m:t>CC</m:t>
            </m:r>
            <m:sSub>
              <m:sSubPr>
                <m:ctrlPr>
                  <w:rPr>
                    <w:rFonts w:ascii="Cambria Math" w:hAnsi="Cambria Math"/>
                    <w:i/>
                  </w:rPr>
                </m:ctrlPr>
              </m:sSubPr>
              <m:e>
                <m:r>
                  <w:rPr>
                    <w:rFonts w:ascii="Cambria Math" w:hAnsi="Cambria Math"/>
                  </w:rPr>
                  <m:t>F</m:t>
                </m:r>
              </m:e>
              <m:sub>
                <m:r>
                  <w:rPr>
                    <w:rFonts w:ascii="Cambria Math" w:hAnsi="Cambria Math"/>
                  </w:rPr>
                  <m:t>i</m:t>
                </m:r>
              </m:sub>
            </m:sSub>
          </m:e>
        </m:nary>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qi</m:t>
            </m:r>
          </m:sub>
        </m:sSub>
        <m:r>
          <w:rPr>
            <w:rFonts w:ascii="Cambria Math" w:hAnsi="Cambria Math"/>
          </w:rPr>
          <m:t>+</m:t>
        </m:r>
        <m:nary>
          <m:naryPr>
            <m:chr m:val="∑"/>
            <m:limLoc m:val="subSup"/>
            <m:supHide m:val="1"/>
            <m:ctrlPr>
              <w:rPr>
                <w:rFonts w:ascii="Cambria Math" w:hAnsi="Cambria Math"/>
                <w:i/>
              </w:rPr>
            </m:ctrlPr>
          </m:naryPr>
          <m:sub>
            <m:r>
              <w:rPr>
                <w:rFonts w:ascii="Cambria Math" w:hAnsi="Cambria Math"/>
              </w:rPr>
              <m:t>p</m:t>
            </m:r>
          </m:sub>
          <m:sup/>
          <m:e>
            <m:r>
              <w:rPr>
                <w:rFonts w:ascii="Cambria Math" w:hAnsi="Cambria Math"/>
              </w:rPr>
              <m:t>CC</m:t>
            </m:r>
            <m:sSub>
              <m:sSubPr>
                <m:ctrlPr>
                  <w:rPr>
                    <w:rFonts w:ascii="Cambria Math" w:hAnsi="Cambria Math"/>
                    <w:i/>
                  </w:rPr>
                </m:ctrlPr>
              </m:sSubPr>
              <m:e>
                <m:r>
                  <w:rPr>
                    <w:rFonts w:ascii="Cambria Math" w:hAnsi="Cambria Math"/>
                  </w:rPr>
                  <m:t>F</m:t>
                </m:r>
              </m:e>
              <m:sub>
                <m:r>
                  <w:rPr>
                    <w:rFonts w:ascii="Cambria Math" w:hAnsi="Cambria Math"/>
                  </w:rPr>
                  <m:t>p</m:t>
                </m:r>
              </m:sub>
            </m:sSub>
          </m:e>
        </m:nary>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ap</m:t>
            </m:r>
          </m:sub>
        </m:sSub>
        <m:r>
          <w:rPr>
            <w:rFonts w:ascii="Cambria Math" w:hAnsi="Cambria Math"/>
          </w:rPr>
          <m:t>+</m:t>
        </m:r>
        <m:nary>
          <m:naryPr>
            <m:chr m:val="∑"/>
            <m:limLoc m:val="subSup"/>
            <m:supHide m:val="1"/>
            <m:ctrlPr>
              <w:rPr>
                <w:rFonts w:ascii="Cambria Math" w:hAnsi="Cambria Math"/>
                <w:i/>
              </w:rPr>
            </m:ctrlPr>
          </m:naryPr>
          <m:sub>
            <m:r>
              <w:rPr>
                <w:rFonts w:ascii="Cambria Math" w:hAnsi="Cambria Math"/>
              </w:rPr>
              <m:t>r</m:t>
            </m:r>
          </m:sub>
          <m:sup/>
          <m:e>
            <m:r>
              <w:rPr>
                <w:rFonts w:ascii="Cambria Math" w:hAnsi="Cambria Math"/>
              </w:rPr>
              <m:t>CC</m:t>
            </m:r>
            <m:sSub>
              <m:sSubPr>
                <m:ctrlPr>
                  <w:rPr>
                    <w:rFonts w:ascii="Cambria Math" w:hAnsi="Cambria Math"/>
                    <w:i/>
                  </w:rPr>
                </m:ctrlPr>
              </m:sSubPr>
              <m:e>
                <m:r>
                  <w:rPr>
                    <w:rFonts w:ascii="Cambria Math" w:hAnsi="Cambria Math"/>
                  </w:rPr>
                  <m:t>F</m:t>
                </m:r>
              </m:e>
              <m:sub>
                <m:r>
                  <w:rPr>
                    <w:rFonts w:ascii="Cambria Math" w:hAnsi="Cambria Math"/>
                  </w:rPr>
                  <m:t>r</m:t>
                </m:r>
              </m:sub>
            </m:sSub>
          </m:e>
        </m:nary>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yr</m:t>
            </m:r>
          </m:sub>
        </m:sSub>
      </m:oMath>
    </w:p>
    <w:p w14:paraId="700FF1EC" w14:textId="77777777" w:rsidR="003D527E" w:rsidRPr="006F57E3" w:rsidRDefault="003D527E" w:rsidP="003D527E">
      <w:r w:rsidRPr="006F00DA">
        <w:rPr>
          <w:i/>
          <w:iCs/>
        </w:rPr>
        <w:t>CCFi</w:t>
      </w:r>
      <w:r w:rsidRPr="006F57E3">
        <w:t xml:space="preserve"> has the same meaning as in step 1.</w:t>
      </w:r>
    </w:p>
    <w:p w14:paraId="2EC0D848" w14:textId="1F385B8D" w:rsidR="003D527E" w:rsidRPr="006F57E3" w:rsidRDefault="003D527E" w:rsidP="003D527E">
      <w:r w:rsidRPr="006F00DA">
        <w:rPr>
          <w:i/>
          <w:iCs/>
        </w:rPr>
        <w:t>ΔSqi</w:t>
      </w:r>
      <w:r w:rsidRPr="006F57E3">
        <w:t xml:space="preserve"> is the </w:t>
      </w:r>
      <w:r w:rsidR="005F319C">
        <w:t>change</w:t>
      </w:r>
      <w:r w:rsidR="005F319C" w:rsidRPr="006F57E3">
        <w:t xml:space="preserve"> </w:t>
      </w:r>
      <w:r w:rsidRPr="006F57E3">
        <w:t>in stocks of fuel type (i) for the activity and held within the boundary of the activity during the year measured in tonnes. In this case</w:t>
      </w:r>
      <w:r w:rsidR="527FE073">
        <w:t>,</w:t>
      </w:r>
      <w:r w:rsidRPr="006F57E3">
        <w:t xml:space="preserve"> the quantities of </w:t>
      </w:r>
      <w:r w:rsidR="00BD3134">
        <w:t xml:space="preserve">change </w:t>
      </w:r>
      <w:r w:rsidRPr="006F57E3">
        <w:t>in stocks are shown in the table above</w:t>
      </w:r>
      <w:r>
        <w:t>.</w:t>
      </w:r>
    </w:p>
    <w:p w14:paraId="37360B36" w14:textId="501CF036" w:rsidR="003D527E" w:rsidRPr="006F00DA" w:rsidRDefault="003D527E" w:rsidP="003D527E">
      <w:r w:rsidRPr="006F00DA">
        <w:t xml:space="preserve">To calculate the carbon content for </w:t>
      </w:r>
      <w:r w:rsidR="0018287C">
        <w:t xml:space="preserve">change in stock </w:t>
      </w:r>
      <w:r w:rsidRPr="006F00DA">
        <w:t>of fuel types:</w:t>
      </w:r>
    </w:p>
    <w:p w14:paraId="2F58F447" w14:textId="621A8F28" w:rsidR="003D527E" w:rsidRPr="006528EE" w:rsidRDefault="003D527E" w:rsidP="003D527E">
      <w:pPr>
        <w:pStyle w:val="CERbullets"/>
      </w:pPr>
      <w:r w:rsidRPr="00E1746F">
        <w:t xml:space="preserve">Carbon content of coke oven coke = (–5000 x 0.789) = </w:t>
      </w:r>
      <w:r w:rsidRPr="006528EE">
        <w:t>–3945</w:t>
      </w:r>
      <w:r w:rsidR="00A02CDF">
        <w:t> </w:t>
      </w:r>
      <w:r w:rsidR="00217159">
        <w:t>tC</w:t>
      </w:r>
    </w:p>
    <w:p w14:paraId="02A02396" w14:textId="1253C2ED" w:rsidR="003D527E" w:rsidRPr="00E1746F" w:rsidRDefault="003D527E" w:rsidP="003D527E">
      <w:pPr>
        <w:pStyle w:val="CERbullets"/>
      </w:pPr>
      <w:r w:rsidRPr="006528EE">
        <w:t>Carbon content of coking coal = (3000 x 0.752) = 2256</w:t>
      </w:r>
      <w:r w:rsidR="00A02CDF">
        <w:t> </w:t>
      </w:r>
      <w:r w:rsidR="00217159">
        <w:t>tC</w:t>
      </w:r>
    </w:p>
    <w:p w14:paraId="5481D229" w14:textId="1A4457CB" w:rsidR="003D527E" w:rsidRPr="006F57E3" w:rsidRDefault="003D527E" w:rsidP="003D527E">
      <w:r>
        <w:t>t</w:t>
      </w:r>
      <w:r w:rsidRPr="006F57E3">
        <w:t>herefore, total carbon = (–3945 + 2256) = –1689</w:t>
      </w:r>
      <w:r w:rsidR="009133E2">
        <w:t> </w:t>
      </w:r>
      <w:r w:rsidRPr="006F57E3">
        <w:t>t</w:t>
      </w:r>
      <w:r w:rsidR="00807433">
        <w:t>.</w:t>
      </w:r>
    </w:p>
    <w:p w14:paraId="1368503B" w14:textId="77777777" w:rsidR="003D527E" w:rsidRPr="006F57E3" w:rsidRDefault="003D527E" w:rsidP="003D527E">
      <w:r w:rsidRPr="006F00DA">
        <w:rPr>
          <w:i/>
          <w:iCs/>
        </w:rPr>
        <w:t>CCFp</w:t>
      </w:r>
      <w:r w:rsidRPr="006F57E3">
        <w:t xml:space="preserve"> has the same meaning as in step 2.</w:t>
      </w:r>
    </w:p>
    <w:p w14:paraId="23DAB00B" w14:textId="4AE8D545" w:rsidR="003D527E" w:rsidRDefault="003D527E" w:rsidP="003D527E">
      <w:r w:rsidRPr="006F00DA">
        <w:rPr>
          <w:bCs/>
          <w:i/>
          <w:iCs/>
        </w:rPr>
        <w:t>ΔSap</w:t>
      </w:r>
      <w:r>
        <w:t xml:space="preserve"> is the </w:t>
      </w:r>
      <w:r w:rsidR="00C62C5F">
        <w:t xml:space="preserve">change </w:t>
      </w:r>
      <w:r>
        <w:t>in stocks of product types (p) produced by the activity and held within the boundary of the activity during the year measured in tonnes. In this case</w:t>
      </w:r>
      <w:r w:rsidR="082B2EC6">
        <w:t>,</w:t>
      </w:r>
      <w:r>
        <w:t xml:space="preserve"> the quantities of product types </w:t>
      </w:r>
      <w:r w:rsidR="05F41A3F">
        <w:t>are</w:t>
      </w:r>
      <w:r>
        <w:t xml:space="preserve"> shown in the table above.</w:t>
      </w:r>
    </w:p>
    <w:p w14:paraId="17A049D9" w14:textId="614A9FB1" w:rsidR="003D527E" w:rsidRPr="006F00DA" w:rsidRDefault="003D527E" w:rsidP="003D527E">
      <w:pPr>
        <w:rPr>
          <w:bCs/>
        </w:rPr>
      </w:pPr>
      <w:r w:rsidRPr="006F00DA">
        <w:rPr>
          <w:bCs/>
        </w:rPr>
        <w:t xml:space="preserve">To calculate the carbon content for </w:t>
      </w:r>
      <w:r w:rsidR="00CB7BA7">
        <w:rPr>
          <w:bCs/>
        </w:rPr>
        <w:t>change</w:t>
      </w:r>
      <w:r w:rsidR="00CB7BA7" w:rsidRPr="006F00DA">
        <w:rPr>
          <w:bCs/>
        </w:rPr>
        <w:t xml:space="preserve"> </w:t>
      </w:r>
      <w:r w:rsidRPr="006F00DA">
        <w:rPr>
          <w:bCs/>
        </w:rPr>
        <w:t>in stock of product type:</w:t>
      </w:r>
    </w:p>
    <w:p w14:paraId="7B3DD7FB" w14:textId="7FB0FA70" w:rsidR="003D527E" w:rsidRDefault="003D527E" w:rsidP="003D527E">
      <w:pPr>
        <w:pStyle w:val="CERbullets"/>
      </w:pPr>
      <w:r>
        <w:t>Carbon content of coal tar = (200 x 0.837) = 167.4</w:t>
      </w:r>
      <w:r w:rsidR="009133E2">
        <w:t> </w:t>
      </w:r>
      <w:r>
        <w:t>t</w:t>
      </w:r>
      <w:r w:rsidR="00F07EB2">
        <w:t>C</w:t>
      </w:r>
    </w:p>
    <w:p w14:paraId="0E93A356" w14:textId="671CC431" w:rsidR="003D527E" w:rsidRDefault="003D527E" w:rsidP="003D527E">
      <w:pPr>
        <w:pStyle w:val="CERbullets"/>
      </w:pPr>
      <w:r>
        <w:t>Carbon content of crude steel = (1000 x 0.0017) = 1.7</w:t>
      </w:r>
      <w:r w:rsidR="009133E2">
        <w:t> </w:t>
      </w:r>
      <w:r>
        <w:t>t</w:t>
      </w:r>
      <w:r w:rsidR="00F07EB2">
        <w:t>C</w:t>
      </w:r>
    </w:p>
    <w:p w14:paraId="50EDC420" w14:textId="60C5C255" w:rsidR="003D527E" w:rsidRDefault="003D527E" w:rsidP="003D527E">
      <w:r>
        <w:t>therefore, total carbon = (167.4 + 1.7) = 169.1</w:t>
      </w:r>
      <w:r w:rsidR="009133E2">
        <w:t> </w:t>
      </w:r>
      <w:r>
        <w:t>t.</w:t>
      </w:r>
    </w:p>
    <w:p w14:paraId="4C89EE12" w14:textId="77777777" w:rsidR="003D527E" w:rsidRDefault="003D527E" w:rsidP="003D527E">
      <w:r w:rsidRPr="006F00DA">
        <w:rPr>
          <w:bCs/>
          <w:i/>
          <w:iCs/>
        </w:rPr>
        <w:t>CCFr</w:t>
      </w:r>
      <w:r>
        <w:t xml:space="preserve"> has the same meaning as in step 3.</w:t>
      </w:r>
    </w:p>
    <w:p w14:paraId="627EF856" w14:textId="7BC69707" w:rsidR="003D527E" w:rsidRDefault="003D527E" w:rsidP="003D527E">
      <w:r w:rsidRPr="006F00DA">
        <w:rPr>
          <w:bCs/>
          <w:i/>
          <w:iCs/>
        </w:rPr>
        <w:t>ΔSyr</w:t>
      </w:r>
      <w:r>
        <w:t xml:space="preserve"> is the </w:t>
      </w:r>
      <w:r w:rsidR="000252B6">
        <w:t xml:space="preserve">change </w:t>
      </w:r>
      <w:r>
        <w:t>in stocks of waste by</w:t>
      </w:r>
      <w:r w:rsidR="00F82CAF">
        <w:t>-</w:t>
      </w:r>
      <w:r>
        <w:t>product types (r) produced from the operation of the activity and held within the boundary of the activity during the year measured in tonnes.</w:t>
      </w:r>
    </w:p>
    <w:p w14:paraId="3C09E63E" w14:textId="77777777" w:rsidR="003D527E" w:rsidRPr="006F00DA" w:rsidRDefault="003D527E" w:rsidP="003D527E">
      <w:pPr>
        <w:rPr>
          <w:bCs/>
        </w:rPr>
      </w:pPr>
      <w:r w:rsidRPr="006F00DA">
        <w:rPr>
          <w:bCs/>
        </w:rPr>
        <w:t>There was no change in waste product stock produced and held during the year.</w:t>
      </w:r>
    </w:p>
    <w:p w14:paraId="62D29AAF" w14:textId="77777777" w:rsidR="003D527E" w:rsidRPr="006F00DA" w:rsidRDefault="003D527E" w:rsidP="003D527E">
      <w:pPr>
        <w:rPr>
          <w:bCs/>
        </w:rPr>
      </w:pPr>
      <w:r w:rsidRPr="006F00DA">
        <w:rPr>
          <w:bCs/>
        </w:rPr>
        <w:t>To calculate the total carbon contained in the change of stock:</w:t>
      </w:r>
    </w:p>
    <w:p w14:paraId="44851453" w14:textId="3C158FE8" w:rsidR="003D527E" w:rsidRDefault="003D527E" w:rsidP="003D527E">
      <w:pPr>
        <w:pStyle w:val="CERbullets"/>
      </w:pPr>
      <w:r>
        <w:t xml:space="preserve">Carbon content </w:t>
      </w:r>
      <w:r w:rsidR="003543D1">
        <w:t>in</w:t>
      </w:r>
      <w:r>
        <w:t xml:space="preserve"> </w:t>
      </w:r>
      <w:r w:rsidR="00B55832">
        <w:t xml:space="preserve">change in stocks </w:t>
      </w:r>
      <w:r w:rsidR="003543D1">
        <w:t>of</w:t>
      </w:r>
      <w:r>
        <w:t xml:space="preserve"> fuel types = –1689</w:t>
      </w:r>
      <w:r w:rsidR="009133E2">
        <w:t> t</w:t>
      </w:r>
    </w:p>
    <w:p w14:paraId="40698B72" w14:textId="1A1B9B12" w:rsidR="003D527E" w:rsidRDefault="003D527E" w:rsidP="003D527E">
      <w:pPr>
        <w:pStyle w:val="CERbullets"/>
      </w:pPr>
      <w:r>
        <w:t xml:space="preserve">Carbon content </w:t>
      </w:r>
      <w:r w:rsidR="003543D1">
        <w:t>in</w:t>
      </w:r>
      <w:r>
        <w:t xml:space="preserve"> </w:t>
      </w:r>
      <w:r w:rsidR="00B55832">
        <w:t xml:space="preserve">change in stocks </w:t>
      </w:r>
      <w:r w:rsidR="003543D1">
        <w:t>of</w:t>
      </w:r>
      <w:r>
        <w:t xml:space="preserve"> product types = 169.1</w:t>
      </w:r>
      <w:r w:rsidR="009133E2">
        <w:t> t</w:t>
      </w:r>
    </w:p>
    <w:p w14:paraId="2C175F58" w14:textId="5B371928" w:rsidR="003D527E" w:rsidRDefault="003D527E" w:rsidP="003D527E">
      <w:pPr>
        <w:pStyle w:val="CERbullets"/>
      </w:pPr>
      <w:r>
        <w:t xml:space="preserve">Carbon content </w:t>
      </w:r>
      <w:r w:rsidR="003543D1">
        <w:t>in change</w:t>
      </w:r>
      <w:r>
        <w:t xml:space="preserve"> in </w:t>
      </w:r>
      <w:r w:rsidR="003543D1">
        <w:t>stocks</w:t>
      </w:r>
      <w:r>
        <w:t xml:space="preserve"> </w:t>
      </w:r>
      <w:r w:rsidR="003543D1">
        <w:t>of</w:t>
      </w:r>
      <w:r>
        <w:t xml:space="preserve"> waste by-products = 0</w:t>
      </w:r>
      <w:r w:rsidR="009133E2">
        <w:t> </w:t>
      </w:r>
      <w:r>
        <w:t>t</w:t>
      </w:r>
    </w:p>
    <w:p w14:paraId="17B17F06" w14:textId="31FA0D52" w:rsidR="003D527E" w:rsidRDefault="003D527E" w:rsidP="003D527E">
      <w:r>
        <w:t>therefore, total carbon = (–1689 + 169.1 + 0) = –1519.9</w:t>
      </w:r>
      <w:r w:rsidR="009133E2">
        <w:t> </w:t>
      </w:r>
      <w:r>
        <w:t>t</w:t>
      </w:r>
      <w:r w:rsidR="009133E2">
        <w:t>.</w:t>
      </w:r>
    </w:p>
    <w:p w14:paraId="0F62CAAC" w14:textId="77777777" w:rsidR="003D527E" w:rsidRDefault="003D527E" w:rsidP="003D527E">
      <w:pPr>
        <w:pStyle w:val="Heading5"/>
      </w:pPr>
      <w:bookmarkStart w:id="188" w:name="_Toc45177276"/>
      <w:bookmarkStart w:id="189" w:name="_Toc105410945"/>
      <w:bookmarkStart w:id="190" w:name="_Toc140235517"/>
      <w:bookmarkStart w:id="191" w:name="_Toc206589110"/>
      <w:r>
        <w:t>Step 5</w:t>
      </w:r>
      <w:bookmarkEnd w:id="188"/>
      <w:bookmarkEnd w:id="189"/>
      <w:bookmarkEnd w:id="190"/>
      <w:bookmarkEnd w:id="191"/>
      <w:r>
        <w:tab/>
      </w:r>
    </w:p>
    <w:p w14:paraId="5C05D285" w14:textId="63B867D6" w:rsidR="003D527E" w:rsidRDefault="003D527E" w:rsidP="003D527E">
      <w:r>
        <w:t>Calculate the emissions of</w:t>
      </w:r>
      <w:r w:rsidR="009133E2">
        <w:t xml:space="preserve"> </w:t>
      </w:r>
      <w:r w:rsidDel="009133E2">
        <w:t>carbon dioxide</w:t>
      </w:r>
      <w:r>
        <w:t xml:space="preserve"> released from the operation of the activity during the year</w:t>
      </w:r>
      <w:r w:rsidR="25EB2D95">
        <w:t>,</w:t>
      </w:r>
      <w:r>
        <w:t xml:space="preserve"> measured in</w:t>
      </w:r>
      <w:r w:rsidR="007F5839">
        <w:t xml:space="preserve"> tonnes</w:t>
      </w:r>
      <w:r w:rsidR="00777880">
        <w:t xml:space="preserve"> of</w:t>
      </w:r>
      <w:r w:rsidR="007F5839">
        <w:t xml:space="preserve"> carbon dioxide equivalen</w:t>
      </w:r>
      <w:r w:rsidR="003F316B">
        <w:t>ce</w:t>
      </w:r>
      <w:r w:rsidR="007F5839">
        <w:t xml:space="preserve"> (t </w:t>
      </w:r>
      <w:r>
        <w:t>CO</w:t>
      </w:r>
      <w:r w:rsidRPr="002E6A07">
        <w:rPr>
          <w:vertAlign w:val="subscript"/>
        </w:rPr>
        <w:t>2</w:t>
      </w:r>
      <w:r>
        <w:t>-e</w:t>
      </w:r>
      <w:r w:rsidR="007F5839">
        <w:t xml:space="preserve">) </w:t>
      </w:r>
      <w:r>
        <w:t>as follows:</w:t>
      </w:r>
    </w:p>
    <w:p w14:paraId="666A0E55" w14:textId="60614E0E" w:rsidR="003D527E" w:rsidRDefault="003D527E" w:rsidP="006F6A94">
      <w:pPr>
        <w:pStyle w:val="CERnumbering"/>
        <w:numPr>
          <w:ilvl w:val="0"/>
          <w:numId w:val="45"/>
        </w:numPr>
      </w:pPr>
      <w:r>
        <w:t>add the amounts worked out under steps 2, 3 and 4 to work out a new amount (amount A)</w:t>
      </w:r>
      <w:r w:rsidR="00C1633A">
        <w:t>.</w:t>
      </w:r>
    </w:p>
    <w:p w14:paraId="0DB4C0CD" w14:textId="77777777" w:rsidR="003D527E" w:rsidRPr="006F00DA" w:rsidRDefault="003D527E" w:rsidP="00117FAD">
      <w:pPr>
        <w:ind w:firstLine="720"/>
        <w:rPr>
          <w:bCs/>
        </w:rPr>
      </w:pPr>
      <w:r w:rsidRPr="006F00DA">
        <w:rPr>
          <w:bCs/>
        </w:rPr>
        <w:t>In this case A is:</w:t>
      </w:r>
    </w:p>
    <w:p w14:paraId="6A553DDB" w14:textId="36880B63" w:rsidR="003D527E" w:rsidRDefault="003D527E" w:rsidP="003D527E">
      <w:r>
        <w:tab/>
        <w:t xml:space="preserve">= 61,459 + 1,615 + </w:t>
      </w:r>
      <w:r w:rsidR="009534EB">
        <w:t>(</w:t>
      </w:r>
      <w:r>
        <w:t>–1,519.9</w:t>
      </w:r>
      <w:r w:rsidR="009534EB">
        <w:t>)</w:t>
      </w:r>
    </w:p>
    <w:p w14:paraId="6332DC0A" w14:textId="0A8B95A3" w:rsidR="003D527E" w:rsidRDefault="003D527E" w:rsidP="003D527E">
      <w:r>
        <w:tab/>
        <w:t>= 61,554.1</w:t>
      </w:r>
      <w:r w:rsidR="0011446A">
        <w:t> </w:t>
      </w:r>
      <w:r>
        <w:t>t</w:t>
      </w:r>
      <w:r w:rsidR="00A51454">
        <w:t>C</w:t>
      </w:r>
    </w:p>
    <w:p w14:paraId="31305189" w14:textId="6F77C22E" w:rsidR="003D527E" w:rsidRDefault="003D527E" w:rsidP="006F6A94">
      <w:pPr>
        <w:pStyle w:val="CERnumbering"/>
        <w:numPr>
          <w:ilvl w:val="0"/>
          <w:numId w:val="45"/>
        </w:numPr>
      </w:pPr>
      <w:r>
        <w:t>subtract amount A from the amount worked out under step 1 to work out a new amount (amount B)</w:t>
      </w:r>
      <w:r w:rsidR="00C1633A">
        <w:t>.</w:t>
      </w:r>
    </w:p>
    <w:p w14:paraId="25B4CFCF" w14:textId="50E3EFEB" w:rsidR="003D527E" w:rsidRPr="006F00DA" w:rsidRDefault="003D527E" w:rsidP="00117FAD">
      <w:pPr>
        <w:ind w:firstLine="720"/>
        <w:rPr>
          <w:bCs/>
        </w:rPr>
      </w:pPr>
      <w:r w:rsidRPr="006F00DA">
        <w:rPr>
          <w:bCs/>
        </w:rPr>
        <w:t>In this case</w:t>
      </w:r>
      <w:r w:rsidR="20727C2B">
        <w:t>,</w:t>
      </w:r>
      <w:r w:rsidRPr="006F00DA">
        <w:rPr>
          <w:bCs/>
        </w:rPr>
        <w:t xml:space="preserve"> B is:</w:t>
      </w:r>
    </w:p>
    <w:p w14:paraId="24950647" w14:textId="77777777" w:rsidR="003D527E" w:rsidRDefault="003D527E" w:rsidP="003D527E">
      <w:r>
        <w:tab/>
        <w:t>= 566,391 – 61,554.1</w:t>
      </w:r>
    </w:p>
    <w:p w14:paraId="041E8F9D" w14:textId="1FCDFC69" w:rsidR="003D527E" w:rsidRDefault="003D527E" w:rsidP="003D527E">
      <w:r>
        <w:tab/>
        <w:t>= 504,836.9</w:t>
      </w:r>
      <w:r w:rsidR="0011446A">
        <w:t> </w:t>
      </w:r>
      <w:r>
        <w:t>t</w:t>
      </w:r>
      <w:r w:rsidR="00A51454">
        <w:t>C</w:t>
      </w:r>
      <w:r>
        <w:t>.</w:t>
      </w:r>
    </w:p>
    <w:p w14:paraId="237827E5" w14:textId="77777777" w:rsidR="003D527E" w:rsidRDefault="003D527E" w:rsidP="006F6A94">
      <w:pPr>
        <w:pStyle w:val="CERnumbering"/>
        <w:numPr>
          <w:ilvl w:val="0"/>
          <w:numId w:val="45"/>
        </w:numPr>
      </w:pPr>
      <w:r>
        <w:t xml:space="preserve">multiply amount B by 3.664 to work out the </w:t>
      </w:r>
      <w:proofErr w:type="gramStart"/>
      <w:r>
        <w:t>amount</w:t>
      </w:r>
      <w:proofErr w:type="gramEnd"/>
      <w:r>
        <w:t xml:space="preserve"> of emissions released from the operation of the activity during a year.</w:t>
      </w:r>
    </w:p>
    <w:p w14:paraId="539F35F6" w14:textId="77777777" w:rsidR="003D527E" w:rsidRDefault="003D527E" w:rsidP="003D527E">
      <w:r>
        <w:tab/>
        <w:t>= 504,836.9 x 3.664</w:t>
      </w:r>
    </w:p>
    <w:p w14:paraId="1DE5F9EF" w14:textId="3D608CEF" w:rsidR="003D527E" w:rsidRDefault="003D527E" w:rsidP="003D527E">
      <w:r>
        <w:tab/>
        <w:t>= 1,849,722.4016</w:t>
      </w:r>
      <w:r w:rsidR="0011446A">
        <w:t> </w:t>
      </w:r>
      <w:r>
        <w:t>t</w:t>
      </w:r>
      <w:r w:rsidR="0011446A">
        <w:t> </w:t>
      </w:r>
      <w:r>
        <w:t>CO</w:t>
      </w:r>
      <w:r w:rsidRPr="002E6A07">
        <w:rPr>
          <w:vertAlign w:val="subscript"/>
        </w:rPr>
        <w:t>2</w:t>
      </w:r>
      <w:r>
        <w:t>-e</w:t>
      </w:r>
    </w:p>
    <w:p w14:paraId="1AB1F7F4" w14:textId="1FD58978" w:rsidR="003D527E" w:rsidRPr="006F00DA" w:rsidRDefault="003D527E" w:rsidP="003D527E">
      <w:pPr>
        <w:rPr>
          <w:bCs/>
        </w:rPr>
      </w:pPr>
      <w:r>
        <w:rPr>
          <w:bCs/>
        </w:rPr>
        <w:t>t</w:t>
      </w:r>
      <w:r w:rsidRPr="006F00DA">
        <w:rPr>
          <w:bCs/>
        </w:rPr>
        <w:t>herefore, total carbon balance CO</w:t>
      </w:r>
      <w:r w:rsidRPr="006F00DA">
        <w:rPr>
          <w:bCs/>
          <w:vertAlign w:val="subscript"/>
        </w:rPr>
        <w:t>2</w:t>
      </w:r>
      <w:r w:rsidRPr="006F00DA">
        <w:rPr>
          <w:bCs/>
        </w:rPr>
        <w:t xml:space="preserve"> emissions from the source = 1,849,722</w:t>
      </w:r>
      <w:r w:rsidR="0011446A">
        <w:rPr>
          <w:bCs/>
        </w:rPr>
        <w:t> </w:t>
      </w:r>
      <w:r w:rsidRPr="006F00DA">
        <w:rPr>
          <w:bCs/>
        </w:rPr>
        <w:t>t</w:t>
      </w:r>
      <w:r>
        <w:rPr>
          <w:bCs/>
        </w:rPr>
        <w:t>.</w:t>
      </w:r>
    </w:p>
    <w:p w14:paraId="388212F9" w14:textId="77777777" w:rsidR="003D527E" w:rsidRPr="009B7093" w:rsidRDefault="003D527E" w:rsidP="001127DD">
      <w:pPr>
        <w:pStyle w:val="Heading2"/>
        <w:numPr>
          <w:ilvl w:val="1"/>
          <w:numId w:val="42"/>
        </w:numPr>
      </w:pPr>
      <w:bookmarkStart w:id="192" w:name="_Toc45177017"/>
      <w:bookmarkStart w:id="193" w:name="_Toc45177277"/>
      <w:bookmarkStart w:id="194" w:name="_Toc105410946"/>
      <w:bookmarkStart w:id="195" w:name="_Toc106193924"/>
      <w:bookmarkStart w:id="196" w:name="_Toc206589111"/>
      <w:r>
        <w:t>Ferroalloys production</w:t>
      </w:r>
      <w:bookmarkEnd w:id="192"/>
      <w:bookmarkEnd w:id="193"/>
      <w:bookmarkEnd w:id="194"/>
      <w:bookmarkEnd w:id="195"/>
      <w:bookmarkEnd w:id="196"/>
    </w:p>
    <w:p w14:paraId="711EB14C" w14:textId="217EB984" w:rsidR="003D527E" w:rsidRDefault="003D527E" w:rsidP="005A266C">
      <w:pPr>
        <w:spacing w:before="240"/>
      </w:pPr>
      <w:r w:rsidRPr="00770ED3">
        <w:t>Division 4.4.2 of the NGER</w:t>
      </w:r>
      <w:r>
        <w:t xml:space="preserve"> Measurement</w:t>
      </w:r>
      <w:r w:rsidRPr="00770ED3">
        <w:t xml:space="preserve"> Determination</w:t>
      </w:r>
      <w:r>
        <w:t xml:space="preserve"> applies to the estimation of</w:t>
      </w:r>
      <w:r w:rsidR="007F3B04">
        <w:t xml:space="preserve"> </w:t>
      </w:r>
      <w:r w:rsidDel="007F3B04">
        <w:t>carbon dioxide</w:t>
      </w:r>
      <w:r>
        <w:t xml:space="preserve"> emissions from the production of a ferroalloy, including silicomanganese and silicon. The formulas for </w:t>
      </w:r>
      <w:r w:rsidR="227243B5">
        <w:t>M</w:t>
      </w:r>
      <w:r>
        <w:t>ethods 1, 2,</w:t>
      </w:r>
      <w:r w:rsidRPr="00770ED3">
        <w:t xml:space="preserve"> </w:t>
      </w:r>
      <w:r>
        <w:t xml:space="preserve">and 3 for determining emissions under Division 4.4.2 are </w:t>
      </w:r>
      <w:r w:rsidRPr="00770ED3">
        <w:t>similar to</w:t>
      </w:r>
      <w:r>
        <w:t xml:space="preserve"> the formulas for </w:t>
      </w:r>
      <w:r w:rsidR="3CF3F292">
        <w:t>M</w:t>
      </w:r>
      <w:r>
        <w:t>ethods 1,2, and 3 set out in</w:t>
      </w:r>
      <w:r w:rsidRPr="00770ED3">
        <w:t xml:space="preserve"> </w:t>
      </w:r>
      <w:r>
        <w:t>D</w:t>
      </w:r>
      <w:r w:rsidRPr="00770ED3">
        <w:t xml:space="preserve">ivision 4.4.1 of the NGER </w:t>
      </w:r>
      <w:r>
        <w:t xml:space="preserve">Measurement </w:t>
      </w:r>
      <w:r w:rsidRPr="00770ED3">
        <w:t xml:space="preserve">Determination, </w:t>
      </w:r>
      <w:r>
        <w:t xml:space="preserve">and accordingly, </w:t>
      </w:r>
      <w:hyperlink w:anchor="_Iron,_steel_or" w:history="1">
        <w:r w:rsidR="00604326">
          <w:rPr>
            <w:rStyle w:val="Hyperlink"/>
            <w:rFonts w:asciiTheme="minorHAnsi" w:hAnsiTheme="minorHAnsi"/>
          </w:rPr>
          <w:t>s</w:t>
        </w:r>
        <w:r w:rsidR="005D72F0">
          <w:rPr>
            <w:rStyle w:val="Hyperlink"/>
            <w:rFonts w:asciiTheme="minorHAnsi" w:hAnsiTheme="minorHAnsi"/>
          </w:rPr>
          <w:t>ection</w:t>
        </w:r>
        <w:r w:rsidRPr="001B4CBE">
          <w:rPr>
            <w:rStyle w:val="Hyperlink"/>
            <w:rFonts w:asciiTheme="minorHAnsi" w:hAnsiTheme="minorHAnsi"/>
          </w:rPr>
          <w:t xml:space="preserve"> 4.1</w:t>
        </w:r>
      </w:hyperlink>
      <w:r w:rsidRPr="00770ED3">
        <w:t xml:space="preserve"> of this </w:t>
      </w:r>
      <w:r>
        <w:t>guidance will be of assistance in interpreting this Division.</w:t>
      </w:r>
      <w:r w:rsidRPr="00770ED3">
        <w:t xml:space="preserve"> </w:t>
      </w:r>
      <w:r>
        <w:t xml:space="preserve">Method 4, under Part 1.3 of the NGER Measurement Determination, is the same for both Divisions. </w:t>
      </w:r>
    </w:p>
    <w:p w14:paraId="41849E74" w14:textId="77777777" w:rsidR="003D527E" w:rsidRPr="009B7093" w:rsidRDefault="003D527E" w:rsidP="001127DD">
      <w:pPr>
        <w:pStyle w:val="Heading2"/>
        <w:numPr>
          <w:ilvl w:val="1"/>
          <w:numId w:val="42"/>
        </w:numPr>
      </w:pPr>
      <w:bookmarkStart w:id="197" w:name="_Toc45177018"/>
      <w:bookmarkStart w:id="198" w:name="_Toc45177278"/>
      <w:bookmarkStart w:id="199" w:name="_Toc105410947"/>
      <w:bookmarkStart w:id="200" w:name="_Toc106193925"/>
      <w:bookmarkStart w:id="201" w:name="_Toc206589112"/>
      <w:r>
        <w:t>Aluminium production – Carbon dioxide emissions</w:t>
      </w:r>
      <w:bookmarkEnd w:id="197"/>
      <w:bookmarkEnd w:id="198"/>
      <w:bookmarkEnd w:id="199"/>
      <w:bookmarkEnd w:id="200"/>
      <w:bookmarkEnd w:id="201"/>
    </w:p>
    <w:p w14:paraId="17BFAD12" w14:textId="0FCBEAA6" w:rsidR="003D527E" w:rsidRDefault="003D527E" w:rsidP="005A266C">
      <w:pPr>
        <w:spacing w:before="240"/>
      </w:pPr>
      <w:r>
        <w:t>Division 4.4.3 of the NGER Measurement Determination lists the methods available to estimate</w:t>
      </w:r>
      <w:r w:rsidR="00DD597F">
        <w:t xml:space="preserve"> </w:t>
      </w:r>
      <w:r w:rsidDel="00DD597F">
        <w:t>carbon dioxide</w:t>
      </w:r>
      <w:r w:rsidDel="00EE19F2">
        <w:t xml:space="preserve"> </w:t>
      </w:r>
      <w:r>
        <w:t>emissions that result from aluminium production. Separate subdivisions of the NGER Measurement Determination specifically relate to the individual sources of emissions:</w:t>
      </w:r>
    </w:p>
    <w:p w14:paraId="2F5F58B7" w14:textId="77777777" w:rsidR="003D527E" w:rsidRDefault="003D527E" w:rsidP="003D527E">
      <w:pPr>
        <w:pStyle w:val="CERbullets"/>
      </w:pPr>
      <w:r>
        <w:t>Subdivision 4.4.3.1 – Emissions from consumption of carbon anodes in aluminium production.</w:t>
      </w:r>
    </w:p>
    <w:p w14:paraId="77DB41C3" w14:textId="77777777" w:rsidR="003D527E" w:rsidRPr="0046386C" w:rsidRDefault="003D527E" w:rsidP="003D527E">
      <w:pPr>
        <w:pStyle w:val="CERbullets"/>
      </w:pPr>
      <w:r>
        <w:t>Subdivision 4.4.3.2 – Emissions from production of baked carbon anodes in aluminium production.</w:t>
      </w:r>
    </w:p>
    <w:p w14:paraId="3176DB83" w14:textId="77777777" w:rsidR="003D527E" w:rsidRPr="009B7093" w:rsidRDefault="003D527E" w:rsidP="001127DD">
      <w:pPr>
        <w:pStyle w:val="Heading2"/>
        <w:numPr>
          <w:ilvl w:val="1"/>
          <w:numId w:val="42"/>
        </w:numPr>
      </w:pPr>
      <w:bookmarkStart w:id="202" w:name="_Toc45177019"/>
      <w:bookmarkStart w:id="203" w:name="_Toc45177279"/>
      <w:bookmarkStart w:id="204" w:name="_Toc105410948"/>
      <w:bookmarkStart w:id="205" w:name="_Toc106193926"/>
      <w:bookmarkStart w:id="206" w:name="_Toc206589113"/>
      <w:r>
        <w:t>Aluminium production – Perfluoronated carbon compound emissions</w:t>
      </w:r>
      <w:bookmarkEnd w:id="202"/>
      <w:bookmarkEnd w:id="203"/>
      <w:bookmarkEnd w:id="204"/>
      <w:bookmarkEnd w:id="205"/>
      <w:bookmarkEnd w:id="206"/>
    </w:p>
    <w:p w14:paraId="37D00C3A" w14:textId="77777777" w:rsidR="003D527E" w:rsidRDefault="003D527E" w:rsidP="005A266C">
      <w:pPr>
        <w:spacing w:before="240"/>
      </w:pPr>
      <w:r>
        <w:t>Division 4.4.4 of the NGER Measurement Determination lists the methods available to estimate perfluoronated carbon compound emissions resulting from aluminium production. Separate subdivisions of the NGER Measurement Determination relate to different compounds:</w:t>
      </w:r>
    </w:p>
    <w:p w14:paraId="4371EC87" w14:textId="77777777" w:rsidR="003D527E" w:rsidRDefault="003D527E" w:rsidP="003D527E">
      <w:pPr>
        <w:pStyle w:val="CERbullets"/>
      </w:pPr>
      <w:r>
        <w:t>Subdivision 4.4.4.1 – Emissions of tetrafluoromethane in aluminium production.</w:t>
      </w:r>
    </w:p>
    <w:p w14:paraId="048BE09F" w14:textId="77777777" w:rsidR="003D527E" w:rsidRDefault="003D527E" w:rsidP="003D527E">
      <w:pPr>
        <w:pStyle w:val="CERbullets"/>
      </w:pPr>
      <w:r>
        <w:t>Subdivision 4.4.4.2 – Emissions of hexafluoroethane in aluminium production.</w:t>
      </w:r>
    </w:p>
    <w:p w14:paraId="0534E49E" w14:textId="2C497B04" w:rsidR="003D527E" w:rsidRDefault="003D527E" w:rsidP="003D527E">
      <w:pPr>
        <w:spacing w:after="0"/>
        <w:rPr>
          <w:szCs w:val="22"/>
        </w:rPr>
      </w:pPr>
      <w:r>
        <w:t xml:space="preserve">Methods 2 and 3 involve measurement of the anode effect event data to estimate a more accurate quantity of emissions. </w:t>
      </w:r>
      <w:r w:rsidR="00BE2CDC">
        <w:t>For these methods, t</w:t>
      </w:r>
      <w:r>
        <w:t xml:space="preserve">he NGER Measurement Determination refers to the </w:t>
      </w:r>
      <w:r w:rsidRPr="002E6A07">
        <w:rPr>
          <w:iCs/>
          <w:szCs w:val="22"/>
        </w:rPr>
        <w:t>Perfluorocarbon protocol</w:t>
      </w:r>
      <w:r w:rsidR="00F93E00">
        <w:rPr>
          <w:szCs w:val="22"/>
        </w:rPr>
        <w:t>. T</w:t>
      </w:r>
      <w:r>
        <w:rPr>
          <w:szCs w:val="22"/>
        </w:rPr>
        <w:t xml:space="preserve">he full title </w:t>
      </w:r>
      <w:r w:rsidR="00F93E00">
        <w:rPr>
          <w:szCs w:val="22"/>
        </w:rPr>
        <w:t xml:space="preserve">of this document </w:t>
      </w:r>
      <w:r>
        <w:rPr>
          <w:szCs w:val="22"/>
        </w:rPr>
        <w:t xml:space="preserve">is: </w:t>
      </w:r>
      <w:hyperlink r:id="rId37" w:tooltip="A link to the Protocol for Measurement of Tetrafluoromethane (CF4) and Hexafluoroethane (C2F6) Emissions from Primary Aluminium Production on the EPA's website" w:history="1">
        <w:r w:rsidRPr="00F144E5">
          <w:rPr>
            <w:rStyle w:val="Hyperlink"/>
            <w:rFonts w:asciiTheme="minorHAnsi" w:hAnsiTheme="minorHAnsi"/>
            <w:iCs/>
            <w:szCs w:val="22"/>
          </w:rPr>
          <w:t>Protocol for Measurement of Tetrafluoromethane (CF</w:t>
        </w:r>
        <w:r w:rsidRPr="00F144E5">
          <w:rPr>
            <w:rStyle w:val="Hyperlink"/>
            <w:rFonts w:asciiTheme="minorHAnsi" w:hAnsiTheme="minorHAnsi"/>
            <w:iCs/>
            <w:szCs w:val="22"/>
            <w:vertAlign w:val="subscript"/>
          </w:rPr>
          <w:t>4</w:t>
        </w:r>
        <w:r w:rsidRPr="00F144E5">
          <w:rPr>
            <w:rStyle w:val="Hyperlink"/>
            <w:rFonts w:asciiTheme="minorHAnsi" w:hAnsiTheme="minorHAnsi"/>
            <w:iCs/>
            <w:szCs w:val="22"/>
          </w:rPr>
          <w:t>) and Hexafluoroethane (C</w:t>
        </w:r>
        <w:r w:rsidRPr="00F144E5">
          <w:rPr>
            <w:rStyle w:val="Hyperlink"/>
            <w:rFonts w:asciiTheme="minorHAnsi" w:hAnsiTheme="minorHAnsi"/>
            <w:iCs/>
            <w:szCs w:val="22"/>
            <w:vertAlign w:val="subscript"/>
          </w:rPr>
          <w:t>2</w:t>
        </w:r>
        <w:r w:rsidRPr="00F144E5">
          <w:rPr>
            <w:rStyle w:val="Hyperlink"/>
            <w:rFonts w:asciiTheme="minorHAnsi" w:hAnsiTheme="minorHAnsi"/>
            <w:iCs/>
            <w:szCs w:val="22"/>
          </w:rPr>
          <w:t>F</w:t>
        </w:r>
        <w:r w:rsidRPr="00F144E5">
          <w:rPr>
            <w:rStyle w:val="Hyperlink"/>
            <w:rFonts w:asciiTheme="minorHAnsi" w:hAnsiTheme="minorHAnsi"/>
            <w:iCs/>
            <w:szCs w:val="22"/>
            <w:vertAlign w:val="subscript"/>
          </w:rPr>
          <w:t>6</w:t>
        </w:r>
        <w:r w:rsidRPr="00F144E5">
          <w:rPr>
            <w:rStyle w:val="Hyperlink"/>
            <w:rFonts w:asciiTheme="minorHAnsi" w:hAnsiTheme="minorHAnsi"/>
            <w:iCs/>
            <w:szCs w:val="22"/>
          </w:rPr>
          <w:t>) Emissions from Primary Aluminium Production</w:t>
        </w:r>
      </w:hyperlink>
      <w:r w:rsidR="00F144E5">
        <w:rPr>
          <w:rStyle w:val="FootnoteReference"/>
        </w:rPr>
        <w:footnoteReference w:id="17"/>
      </w:r>
      <w:r>
        <w:rPr>
          <w:szCs w:val="22"/>
        </w:rPr>
        <w:t xml:space="preserve">. It was published by the US EPA and the International Aluminium Institute in 2008. </w:t>
      </w:r>
    </w:p>
    <w:p w14:paraId="5933455B" w14:textId="77777777" w:rsidR="003D527E" w:rsidRDefault="003D527E" w:rsidP="001127DD">
      <w:pPr>
        <w:pStyle w:val="Heading2"/>
        <w:numPr>
          <w:ilvl w:val="1"/>
          <w:numId w:val="42"/>
        </w:numPr>
      </w:pPr>
      <w:bookmarkStart w:id="207" w:name="_Toc45177020"/>
      <w:bookmarkStart w:id="208" w:name="_Toc45177280"/>
      <w:bookmarkStart w:id="209" w:name="_Toc105410949"/>
      <w:bookmarkStart w:id="210" w:name="_Toc106193927"/>
      <w:bookmarkStart w:id="211" w:name="_Toc206589114"/>
      <w:r>
        <w:t>Other metals production</w:t>
      </w:r>
      <w:bookmarkEnd w:id="207"/>
      <w:bookmarkEnd w:id="208"/>
      <w:bookmarkEnd w:id="209"/>
      <w:bookmarkEnd w:id="210"/>
      <w:bookmarkEnd w:id="211"/>
    </w:p>
    <w:p w14:paraId="1EF8AA99" w14:textId="1C0AFABC" w:rsidR="003D527E" w:rsidRPr="005B4829" w:rsidRDefault="003D527E" w:rsidP="00600F79">
      <w:pPr>
        <w:spacing w:before="240"/>
      </w:pPr>
      <w:r w:rsidRPr="00770ED3">
        <w:t>Division 4.4.</w:t>
      </w:r>
      <w:r>
        <w:t>5</w:t>
      </w:r>
      <w:r w:rsidRPr="00770ED3">
        <w:t xml:space="preserve"> of the NGER</w:t>
      </w:r>
      <w:r>
        <w:t xml:space="preserve"> Measurement</w:t>
      </w:r>
      <w:r w:rsidRPr="00770ED3">
        <w:t xml:space="preserve"> Determination</w:t>
      </w:r>
      <w:r>
        <w:t xml:space="preserve"> concerns other metals production and applies to emissions from consumption of a fossil fuel reductant and oxidation of a fossil fuel electrode, other than the production of aluminium, ferroalloys, iron, steel, or any other metal produced using an </w:t>
      </w:r>
      <w:proofErr w:type="gramStart"/>
      <w:r>
        <w:t>integrated metalworks</w:t>
      </w:r>
      <w:proofErr w:type="gramEnd"/>
      <w:r>
        <w:t xml:space="preserve">. </w:t>
      </w:r>
      <w:r w:rsidRPr="00D916F2">
        <w:t xml:space="preserve">The formulas for </w:t>
      </w:r>
      <w:r w:rsidR="22C0DC08">
        <w:t>M</w:t>
      </w:r>
      <w:r w:rsidRPr="00D916F2">
        <w:t>ethods 1, 2, and 3 for determining emissions under Division 4.4.</w:t>
      </w:r>
      <w:r>
        <w:t>5</w:t>
      </w:r>
      <w:r w:rsidRPr="00D916F2">
        <w:t xml:space="preserve"> are </w:t>
      </w:r>
      <w:r w:rsidR="00995637" w:rsidRPr="00D916F2">
        <w:t>like</w:t>
      </w:r>
      <w:r w:rsidRPr="00D916F2">
        <w:t xml:space="preserve"> the formulas for </w:t>
      </w:r>
      <w:r w:rsidR="769746CF">
        <w:t>M</w:t>
      </w:r>
      <w:r w:rsidRPr="00D916F2">
        <w:t>ethods 1,</w:t>
      </w:r>
      <w:r>
        <w:t xml:space="preserve"> </w:t>
      </w:r>
      <w:r w:rsidRPr="00D916F2">
        <w:t>2, and 3 set out in Division 4.4.1 of the NGER Measurement Determination</w:t>
      </w:r>
      <w:r w:rsidR="680B1154">
        <w:t>.</w:t>
      </w:r>
      <w:r w:rsidRPr="00D916F2">
        <w:t xml:space="preserve"> </w:t>
      </w:r>
      <w:r w:rsidR="586F45C1">
        <w:t>A</w:t>
      </w:r>
      <w:r>
        <w:t>ccordingly</w:t>
      </w:r>
      <w:r w:rsidRPr="00D916F2">
        <w:t>, Part 4.1 of this guidance will be of assistance in interpreting this Division.</w:t>
      </w:r>
      <w:r>
        <w:t xml:space="preserve"> </w:t>
      </w:r>
      <w:r w:rsidRPr="00D916F2">
        <w:t xml:space="preserve">Method 4, under Part 1.3 of the NGER Measurement Determination, is the same for both Divisions. </w:t>
      </w:r>
      <w:r>
        <w:t xml:space="preserve"> </w:t>
      </w:r>
    </w:p>
    <w:p w14:paraId="44B570B2" w14:textId="77777777" w:rsidR="003D527E" w:rsidRDefault="003D527E" w:rsidP="005C0C5C">
      <w:pPr>
        <w:pStyle w:val="Heading1"/>
        <w:numPr>
          <w:ilvl w:val="0"/>
          <w:numId w:val="42"/>
        </w:numPr>
      </w:pPr>
      <w:bookmarkStart w:id="212" w:name="_Toc45177021"/>
      <w:bookmarkStart w:id="213" w:name="_Toc45177281"/>
      <w:bookmarkStart w:id="214" w:name="_Toc105410950"/>
      <w:bookmarkStart w:id="215" w:name="_Toc106193928"/>
      <w:bookmarkStart w:id="216" w:name="_Toc206589115"/>
      <w:r>
        <w:t>Emissions from the use of hydrofluorocarbons and sulphur hexafluoride</w:t>
      </w:r>
      <w:bookmarkEnd w:id="212"/>
      <w:bookmarkEnd w:id="213"/>
      <w:bookmarkEnd w:id="214"/>
      <w:bookmarkEnd w:id="215"/>
      <w:bookmarkEnd w:id="216"/>
    </w:p>
    <w:p w14:paraId="7FB13095" w14:textId="77777777" w:rsidR="003D527E" w:rsidRDefault="003D527E" w:rsidP="00600F79">
      <w:pPr>
        <w:spacing w:before="240"/>
      </w:pPr>
      <w:r>
        <w:t>Part 4.5 of the NGER Measurement Determination concerns the emissions from the use of hydrofluorocarbons and sulphur hexafluoride.</w:t>
      </w:r>
    </w:p>
    <w:p w14:paraId="4BA1AEC0" w14:textId="7D009406" w:rsidR="003D527E" w:rsidRDefault="003D527E" w:rsidP="003D527E">
      <w:r>
        <w:t xml:space="preserve">Due to the widespread use of these gases across multiple industries, </w:t>
      </w:r>
      <w:r w:rsidR="003932D6">
        <w:t xml:space="preserve">CER </w:t>
      </w:r>
      <w:r>
        <w:t>has created a specific guideline on this part of the NGER legislation. See</w:t>
      </w:r>
      <w:r w:rsidR="001E6375">
        <w:t xml:space="preserve"> the </w:t>
      </w:r>
      <w:hyperlink r:id="rId38" w:tooltip="A link to the Reporting hydrofluorocarbons and sulphur hexafluoride gases guide on the Clean Energy Regulator's website" w:history="1">
        <w:r w:rsidR="001E6375" w:rsidRPr="001E6375">
          <w:rPr>
            <w:rStyle w:val="Hyperlink"/>
            <w:rFonts w:asciiTheme="minorHAnsi" w:hAnsiTheme="minorHAnsi"/>
          </w:rPr>
          <w:t>Reporting hydrofluorocarbons and sulphur hexafluoride gases guideline</w:t>
        </w:r>
      </w:hyperlink>
      <w:r>
        <w:t xml:space="preserve"> </w:t>
      </w:r>
      <w:r>
        <w:rPr>
          <w:rStyle w:val="FootnoteReference"/>
        </w:rPr>
        <w:footnoteReference w:id="18"/>
      </w:r>
      <w:r w:rsidR="007544EE">
        <w:t xml:space="preserve"> for more information</w:t>
      </w:r>
      <w:r>
        <w:t>.</w:t>
      </w:r>
      <w:r w:rsidRPr="00B47B07">
        <w:t xml:space="preserve"> </w:t>
      </w:r>
      <w:bookmarkStart w:id="217" w:name="_Toc460397849"/>
      <w:bookmarkStart w:id="218" w:name="_Toc489614773"/>
      <w:bookmarkStart w:id="219" w:name="_Toc42265213"/>
    </w:p>
    <w:p w14:paraId="14B9E7E0" w14:textId="3696BCE6" w:rsidR="003D527E" w:rsidRDefault="003D527E" w:rsidP="003D527E">
      <w:pPr>
        <w:pStyle w:val="Heading1"/>
        <w:rPr>
          <w:noProof/>
        </w:rPr>
      </w:pPr>
      <w:bookmarkStart w:id="220" w:name="_Toc45177022"/>
      <w:bookmarkStart w:id="221" w:name="_Toc45177282"/>
      <w:bookmarkStart w:id="222" w:name="_Toc105410951"/>
      <w:bookmarkStart w:id="223" w:name="_Toc106193929"/>
      <w:bookmarkStart w:id="224" w:name="_Toc206589116"/>
      <w:r>
        <w:rPr>
          <w:noProof/>
        </w:rPr>
        <w:t>More</w:t>
      </w:r>
      <w:r w:rsidRPr="00484BBF">
        <w:rPr>
          <w:noProof/>
        </w:rPr>
        <w:t xml:space="preserve"> information</w:t>
      </w:r>
      <w:bookmarkEnd w:id="217"/>
      <w:bookmarkEnd w:id="218"/>
      <w:bookmarkEnd w:id="219"/>
      <w:bookmarkEnd w:id="220"/>
      <w:bookmarkEnd w:id="221"/>
      <w:bookmarkEnd w:id="222"/>
      <w:bookmarkEnd w:id="223"/>
      <w:bookmarkEnd w:id="224"/>
      <w:r w:rsidRPr="00484BBF">
        <w:rPr>
          <w:noProof/>
        </w:rPr>
        <w:t xml:space="preserve"> </w:t>
      </w:r>
    </w:p>
    <w:p w14:paraId="3B0133F9" w14:textId="09490792" w:rsidR="003D527E" w:rsidRPr="00683A4B" w:rsidRDefault="003D527E" w:rsidP="00600F79">
      <w:pPr>
        <w:spacing w:before="240"/>
      </w:pPr>
      <w:r w:rsidRPr="00683A4B">
        <w:t xml:space="preserve">Email: </w:t>
      </w:r>
      <w:hyperlink r:id="rId39" w:history="1">
        <w:r w:rsidR="003B7F65" w:rsidRPr="003B7F65">
          <w:rPr>
            <w:rStyle w:val="Hyperlink"/>
            <w:rFonts w:asciiTheme="minorHAnsi" w:hAnsiTheme="minorHAnsi"/>
          </w:rPr>
          <w:t>cer-nger-reporting@cer.gov.au</w:t>
        </w:r>
      </w:hyperlink>
    </w:p>
    <w:p w14:paraId="3833A8C1" w14:textId="77777777" w:rsidR="003D527E" w:rsidRPr="00683A4B" w:rsidRDefault="003D527E" w:rsidP="003D527E">
      <w:r w:rsidRPr="00683A4B">
        <w:t xml:space="preserve">Phone: </w:t>
      </w:r>
      <w:r w:rsidRPr="00592A88">
        <w:rPr>
          <w:bCs/>
        </w:rPr>
        <w:t>1300 553 542</w:t>
      </w:r>
      <w:r w:rsidRPr="00683A4B">
        <w:t xml:space="preserve"> within Australia </w:t>
      </w:r>
    </w:p>
    <w:p w14:paraId="40B874F5" w14:textId="7A627DA1" w:rsidR="00235142" w:rsidRDefault="003D527E" w:rsidP="003D527E">
      <w:pPr>
        <w:spacing w:after="0"/>
      </w:pPr>
      <w:r w:rsidRPr="00683A4B">
        <w:t>Web</w:t>
      </w:r>
      <w:r>
        <w:t>site</w:t>
      </w:r>
      <w:r w:rsidRPr="00683A4B">
        <w:t xml:space="preserve">: </w:t>
      </w:r>
      <w:hyperlink r:id="rId40" w:tooltip="A link to the Clean Energy Regulator's website" w:history="1">
        <w:r w:rsidR="00286301">
          <w:rPr>
            <w:rStyle w:val="Hyperlink"/>
          </w:rPr>
          <w:t>www.cer.gov.au</w:t>
        </w:r>
      </w:hyperlink>
    </w:p>
    <w:sectPr w:rsidR="00235142" w:rsidSect="00821C05">
      <w:headerReference w:type="default" r:id="rId41"/>
      <w:footerReference w:type="even" r:id="rId42"/>
      <w:footerReference w:type="default" r:id="rId43"/>
      <w:headerReference w:type="first" r:id="rId44"/>
      <w:footerReference w:type="first" r:id="rId45"/>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8632E" w14:textId="77777777" w:rsidR="0092549D" w:rsidRDefault="0092549D" w:rsidP="00176C28">
      <w:r>
        <w:separator/>
      </w:r>
    </w:p>
    <w:p w14:paraId="0621914A" w14:textId="77777777" w:rsidR="0092549D" w:rsidRDefault="0092549D"/>
  </w:endnote>
  <w:endnote w:type="continuationSeparator" w:id="0">
    <w:p w14:paraId="4167FE80" w14:textId="77777777" w:rsidR="0092549D" w:rsidRDefault="0092549D" w:rsidP="00176C28">
      <w:r>
        <w:continuationSeparator/>
      </w:r>
    </w:p>
    <w:p w14:paraId="4D9B4D37" w14:textId="77777777" w:rsidR="0092549D" w:rsidRDefault="0092549D"/>
  </w:endnote>
  <w:endnote w:type="continuationNotice" w:id="1">
    <w:p w14:paraId="1D6415D3" w14:textId="77777777" w:rsidR="0092549D" w:rsidRDefault="009254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1920" w14:textId="040D060B" w:rsidR="009633DE" w:rsidRDefault="009633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02A7BEB" w14:textId="105A5E38" w:rsidR="00977234" w:rsidRDefault="00977234" w:rsidP="009633DE">
    <w:pPr>
      <w:pStyle w:val="Footer"/>
      <w:ind w:right="360"/>
      <w:rPr>
        <w:rStyle w:val="PageNumber"/>
      </w:rPr>
    </w:pPr>
  </w:p>
  <w:p w14:paraId="302821B3" w14:textId="77777777" w:rsidR="00977234" w:rsidRDefault="00977234" w:rsidP="009633DE">
    <w:pPr>
      <w:pStyle w:val="Footer"/>
    </w:pPr>
  </w:p>
  <w:p w14:paraId="4C431A8C"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DCCDE" w14:textId="66D48DD1" w:rsidR="00C06987" w:rsidRPr="00E613C9" w:rsidRDefault="00C06987" w:rsidP="00C06987">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rPr>
    </w:pPr>
    <w:r w:rsidRPr="002D18F3">
      <w:rPr>
        <w:b/>
        <w:bCs/>
      </w:rPr>
      <w:t>W:</w:t>
    </w:r>
    <w:r w:rsidRPr="002D18F3">
      <w:t xml:space="preserve"> www.c</w:t>
    </w:r>
    <w:r w:rsidR="000A358C">
      <w:t>e</w:t>
    </w:r>
    <w:r w:rsidRPr="002D18F3">
      <w:t>r.gov.au</w:t>
    </w:r>
    <w:r w:rsidRPr="002D18F3">
      <w:rPr>
        <w:rStyle w:val="PageNumber"/>
      </w:rPr>
      <w:t xml:space="preserve"> | </w:t>
    </w:r>
    <w:r w:rsidRPr="002D18F3">
      <w:rPr>
        <w:rStyle w:val="PageNumber"/>
        <w:b/>
        <w:bCs/>
      </w:rPr>
      <w:t>T:</w:t>
    </w:r>
    <w:r w:rsidRPr="002D18F3">
      <w:rPr>
        <w:rStyle w:val="PageNumber"/>
      </w:rPr>
      <w:t xml:space="preserve"> 1300 553 542 | </w:t>
    </w:r>
    <w:r w:rsidRPr="002D18F3">
      <w:rPr>
        <w:rStyle w:val="PageNumber"/>
        <w:b/>
        <w:bCs/>
      </w:rPr>
      <w:t>E:</w:t>
    </w:r>
    <w:r w:rsidRPr="002D18F3">
      <w:rPr>
        <w:rStyle w:val="PageNumber"/>
      </w:rPr>
      <w:t xml:space="preserve"> </w:t>
    </w:r>
    <w:r w:rsidR="00730098" w:rsidRPr="00152AC5">
      <w:t>enquiries@cer.gov.au</w:t>
    </w:r>
    <w:r w:rsidR="00730098">
      <w:rPr>
        <w:rStyle w:val="PageNumber"/>
      </w:rPr>
      <w:t xml:space="preserve"> </w:t>
    </w:r>
    <w:r>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Pr="00E349EF">
          <w:rPr>
            <w:rStyle w:val="PageNumber"/>
            <w:sz w:val="20"/>
            <w:szCs w:val="20"/>
          </w:rPr>
          <w:fldChar w:fldCharType="begin"/>
        </w:r>
        <w:r w:rsidRPr="00E349EF">
          <w:rPr>
            <w:rStyle w:val="PageNumber"/>
            <w:sz w:val="20"/>
            <w:szCs w:val="20"/>
          </w:rPr>
          <w:instrText xml:space="preserve"> PAGE </w:instrText>
        </w:r>
        <w:r w:rsidRPr="00E349EF">
          <w:rPr>
            <w:rStyle w:val="PageNumber"/>
            <w:sz w:val="20"/>
            <w:szCs w:val="20"/>
          </w:rPr>
          <w:fldChar w:fldCharType="separate"/>
        </w:r>
        <w:r>
          <w:rPr>
            <w:rStyle w:val="PageNumber"/>
            <w:sz w:val="20"/>
            <w:szCs w:val="20"/>
          </w:rPr>
          <w:t>2</w:t>
        </w:r>
        <w:r w:rsidRPr="00E349EF">
          <w:rPr>
            <w:rStyle w:val="PageNumber"/>
            <w:sz w:val="20"/>
            <w:szCs w:val="20"/>
          </w:rPr>
          <w:fldChar w:fldCharType="end"/>
        </w:r>
      </w:sdtContent>
    </w:sdt>
  </w:p>
  <w:p w14:paraId="79295442" w14:textId="4BD0524A" w:rsidR="00C06987" w:rsidRPr="00C06987" w:rsidRDefault="00C06987" w:rsidP="00C06987">
    <w:pPr>
      <w:pStyle w:val="Footer"/>
      <w:spacing w:before="60"/>
      <w:jc w:val="center"/>
      <w:rPr>
        <w:rStyle w:val="Protectivemarker"/>
        <w:sz w:val="28"/>
        <w:szCs w:val="26"/>
      </w:rPr>
    </w:pPr>
    <w:r w:rsidRPr="00C06987">
      <w:rPr>
        <w:rStyle w:val="Protectivemarker"/>
        <w:sz w:val="28"/>
        <w:szCs w:val="26"/>
      </w:rPr>
      <w:t>OFFICIAL</w:t>
    </w:r>
  </w:p>
  <w:p w14:paraId="788087B7" w14:textId="467C511A" w:rsidR="00F76419" w:rsidRPr="00C06987" w:rsidRDefault="00F76419" w:rsidP="00C06987">
    <w:pPr>
      <w:pStyle w:val="Footer"/>
      <w:rPr>
        <w:rStyle w:val="Protectivemarker"/>
        <w:b w:val="0"/>
        <w:color w:val="000000" w:themeColor="text1"/>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8CCF" w14:textId="1D0682D3" w:rsidR="0065750A" w:rsidRPr="009C30B4" w:rsidRDefault="008104F0" w:rsidP="00AA2792">
    <w:pPr>
      <w:tabs>
        <w:tab w:val="left" w:pos="2694"/>
        <w:tab w:val="left" w:pos="3969"/>
        <w:tab w:val="left" w:pos="6946"/>
        <w:tab w:val="right" w:pos="9498"/>
      </w:tabs>
      <w:spacing w:after="720"/>
      <w:ind w:right="242"/>
      <w:rPr>
        <w:color w:val="005874"/>
        <w:sz w:val="16"/>
        <w:szCs w:val="16"/>
      </w:rPr>
    </w:pPr>
    <w:r>
      <w:rPr>
        <w:noProof/>
      </w:rPr>
      <w:drawing>
        <wp:inline distT="0" distB="0" distL="0" distR="0" wp14:anchorId="134BF651" wp14:editId="2D1902EA">
          <wp:extent cx="2567474" cy="78105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8801" cy="7905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17EC0" w14:textId="77777777" w:rsidR="0092549D" w:rsidRDefault="0092549D" w:rsidP="00176C28">
      <w:r>
        <w:separator/>
      </w:r>
    </w:p>
    <w:p w14:paraId="3898624B" w14:textId="77777777" w:rsidR="0092549D" w:rsidRDefault="0092549D"/>
  </w:footnote>
  <w:footnote w:type="continuationSeparator" w:id="0">
    <w:p w14:paraId="130B983F" w14:textId="77777777" w:rsidR="0092549D" w:rsidRDefault="0092549D" w:rsidP="00176C28">
      <w:r>
        <w:continuationSeparator/>
      </w:r>
    </w:p>
    <w:p w14:paraId="3EDC66A1" w14:textId="77777777" w:rsidR="0092549D" w:rsidRDefault="0092549D"/>
  </w:footnote>
  <w:footnote w:type="continuationNotice" w:id="1">
    <w:p w14:paraId="1F1B65EB" w14:textId="77777777" w:rsidR="0092549D" w:rsidRDefault="0092549D">
      <w:pPr>
        <w:spacing w:after="0"/>
      </w:pPr>
    </w:p>
  </w:footnote>
  <w:footnote w:id="2">
    <w:p w14:paraId="012E2B45" w14:textId="2F5E0E38" w:rsidR="00ED0167" w:rsidRPr="006F6A94" w:rsidRDefault="00ED0167">
      <w:pPr>
        <w:pStyle w:val="FootnoteText"/>
        <w:rPr>
          <w:lang w:val="en-AU"/>
        </w:rPr>
      </w:pPr>
      <w:r>
        <w:rPr>
          <w:rStyle w:val="FootnoteReference"/>
        </w:rPr>
        <w:footnoteRef/>
      </w:r>
      <w:r>
        <w:t xml:space="preserve"> </w:t>
      </w:r>
      <w:r w:rsidR="005B0923" w:rsidRPr="00600F79">
        <w:t>https://cer.gov.au/schemes/national-greenhouse-and-energy-reporting-scheme/assess-your-obligations#what-is-an-nger-facility</w:t>
      </w:r>
      <w:r w:rsidR="00DA45AA">
        <w:t xml:space="preserve"> </w:t>
      </w:r>
    </w:p>
  </w:footnote>
  <w:footnote w:id="3">
    <w:p w14:paraId="062B8710" w14:textId="351E9062" w:rsidR="003D527E" w:rsidRDefault="003D527E" w:rsidP="003D527E">
      <w:pPr>
        <w:pStyle w:val="FootnoteText"/>
      </w:pPr>
      <w:r>
        <w:rPr>
          <w:rStyle w:val="FootnoteReference"/>
        </w:rPr>
        <w:footnoteRef/>
      </w:r>
      <w:r>
        <w:t xml:space="preserve"> </w:t>
      </w:r>
      <w:r w:rsidR="002A46D6" w:rsidRPr="00600F79">
        <w:t>https://www.ipcc-nggip.iges.or.jp/public/2006gl/index.html</w:t>
      </w:r>
      <w:r>
        <w:t xml:space="preserve"> </w:t>
      </w:r>
    </w:p>
  </w:footnote>
  <w:footnote w:id="4">
    <w:p w14:paraId="4B06ADB7" w14:textId="2C374016" w:rsidR="009203F3" w:rsidRPr="008F212C" w:rsidRDefault="009203F3" w:rsidP="009203F3">
      <w:pPr>
        <w:pStyle w:val="FootnoteText"/>
        <w:rPr>
          <w:lang w:val="en-AU"/>
        </w:rPr>
      </w:pPr>
      <w:r>
        <w:rPr>
          <w:rStyle w:val="FootnoteReference"/>
        </w:rPr>
        <w:footnoteRef/>
      </w:r>
      <w:r>
        <w:t xml:space="preserve"> </w:t>
      </w:r>
      <w:r w:rsidR="002A46D6" w:rsidRPr="00600F79">
        <w:t>https://www.legislation.gov.au/help-and-resources/understanding-legislation/reading-legislation</w:t>
      </w:r>
      <w:r>
        <w:t xml:space="preserve"> </w:t>
      </w:r>
    </w:p>
  </w:footnote>
  <w:footnote w:id="5">
    <w:p w14:paraId="4EE92B7B" w14:textId="107D85F8" w:rsidR="003D527E" w:rsidRDefault="003D527E" w:rsidP="003D527E">
      <w:pPr>
        <w:pStyle w:val="FootnoteText"/>
      </w:pPr>
      <w:r>
        <w:rPr>
          <w:rStyle w:val="FootnoteReference"/>
        </w:rPr>
        <w:footnoteRef/>
      </w:r>
      <w:r>
        <w:t xml:space="preserve"> </w:t>
      </w:r>
      <w:r w:rsidR="002A46D6" w:rsidRPr="00600F79">
        <w:t>https://www.legislation.gov.au/Series/C2007A00175</w:t>
      </w:r>
    </w:p>
  </w:footnote>
  <w:footnote w:id="6">
    <w:p w14:paraId="79AF21FF" w14:textId="3A8927E7" w:rsidR="003D527E" w:rsidRPr="00C67339" w:rsidRDefault="003D527E" w:rsidP="003D527E">
      <w:pPr>
        <w:pStyle w:val="FootnoteText"/>
        <w:rPr>
          <w:lang w:val="en-AU"/>
        </w:rPr>
      </w:pPr>
      <w:r>
        <w:rPr>
          <w:rStyle w:val="FootnoteReference"/>
        </w:rPr>
        <w:footnoteRef/>
      </w:r>
      <w:r>
        <w:t xml:space="preserve"> </w:t>
      </w:r>
      <w:r w:rsidR="002A46D6" w:rsidRPr="00600F79">
        <w:t>https://www.legislation.gov.au/Series/F2008L0223</w:t>
      </w:r>
    </w:p>
  </w:footnote>
  <w:footnote w:id="7">
    <w:p w14:paraId="4EB82095" w14:textId="2AF2106F" w:rsidR="003D527E" w:rsidRPr="00C67339" w:rsidRDefault="003D527E" w:rsidP="003D527E">
      <w:pPr>
        <w:pStyle w:val="FootnoteText"/>
        <w:rPr>
          <w:lang w:val="en-AU"/>
        </w:rPr>
      </w:pPr>
      <w:r>
        <w:rPr>
          <w:rStyle w:val="FootnoteReference"/>
        </w:rPr>
        <w:footnoteRef/>
      </w:r>
      <w:r>
        <w:t xml:space="preserve"> </w:t>
      </w:r>
      <w:r w:rsidR="002A46D6" w:rsidRPr="00600F79">
        <w:t>https://www.legislation.gov.au/Series/F2008L02309</w:t>
      </w:r>
      <w:r w:rsidR="003B7714">
        <w:t xml:space="preserve"> </w:t>
      </w:r>
    </w:p>
  </w:footnote>
  <w:footnote w:id="8">
    <w:p w14:paraId="08C6D22B" w14:textId="60CD9E59" w:rsidR="003B7714" w:rsidRPr="00740092" w:rsidRDefault="003B7714" w:rsidP="003B7714">
      <w:pPr>
        <w:pStyle w:val="FootnoteText"/>
        <w:rPr>
          <w:lang w:val="en-AU"/>
        </w:rPr>
      </w:pPr>
      <w:r>
        <w:rPr>
          <w:rStyle w:val="FootnoteReference"/>
        </w:rPr>
        <w:footnoteRef/>
      </w:r>
      <w:r>
        <w:t xml:space="preserve"> </w:t>
      </w:r>
      <w:r w:rsidR="002A46D6" w:rsidRPr="00600F79">
        <w:t>https://cer.gov.au/schemes/national-greenhouse-and-energy-reporting-scheme</w:t>
      </w:r>
    </w:p>
  </w:footnote>
  <w:footnote w:id="9">
    <w:p w14:paraId="2BAB64FC" w14:textId="5EE6BB6A" w:rsidR="009D2821" w:rsidRPr="00003F59" w:rsidRDefault="009D2821">
      <w:pPr>
        <w:pStyle w:val="FootnoteText"/>
        <w:rPr>
          <w:lang w:val="en-AU"/>
        </w:rPr>
      </w:pPr>
      <w:r>
        <w:rPr>
          <w:rStyle w:val="FootnoteReference"/>
        </w:rPr>
        <w:footnoteRef/>
      </w:r>
      <w:r>
        <w:t xml:space="preserve"> </w:t>
      </w:r>
      <w:r w:rsidR="00511EC1" w:rsidRPr="00600F79">
        <w:t>https://cer.gov.au/schemes/national-greenhouse-and-energy-reporting-scheme/report-emissions-and-energy/amendments</w:t>
      </w:r>
      <w:r>
        <w:t xml:space="preserve"> </w:t>
      </w:r>
    </w:p>
  </w:footnote>
  <w:footnote w:id="10">
    <w:p w14:paraId="74D57888" w14:textId="54B0C14D" w:rsidR="003D527E" w:rsidRDefault="003D527E" w:rsidP="003D527E">
      <w:pPr>
        <w:pStyle w:val="FootnoteText"/>
      </w:pPr>
      <w:r>
        <w:rPr>
          <w:rStyle w:val="FootnoteReference"/>
        </w:rPr>
        <w:footnoteRef/>
      </w:r>
      <w:r>
        <w:t xml:space="preserve"> </w:t>
      </w:r>
      <w:r w:rsidR="00511EC1" w:rsidRPr="00600F79">
        <w:t>http://www.legislation.gov.au/</w:t>
      </w:r>
    </w:p>
  </w:footnote>
  <w:footnote w:id="11">
    <w:p w14:paraId="4DCB1F22" w14:textId="1BF4811D" w:rsidR="00AE4143" w:rsidRDefault="003D527E" w:rsidP="003D527E">
      <w:pPr>
        <w:pStyle w:val="FootnoteText"/>
      </w:pPr>
      <w:r>
        <w:rPr>
          <w:rStyle w:val="FootnoteReference"/>
        </w:rPr>
        <w:footnoteRef/>
      </w:r>
      <w:r>
        <w:t xml:space="preserve"> </w:t>
      </w:r>
      <w:r w:rsidR="00511EC1" w:rsidRPr="00600F79">
        <w:t>https://cer.gov.au/schemes/national-greenhouse-and-energy-reporting-scheme/report-emissions-and-energy/nger-reporting</w:t>
      </w:r>
    </w:p>
  </w:footnote>
  <w:footnote w:id="12">
    <w:p w14:paraId="458EA6A0" w14:textId="0E09FCB8" w:rsidR="00BF2F73" w:rsidRPr="006F6A94" w:rsidRDefault="00BF2F73">
      <w:pPr>
        <w:pStyle w:val="FootnoteText"/>
        <w:rPr>
          <w:lang w:val="en-AU"/>
        </w:rPr>
      </w:pPr>
      <w:r>
        <w:rPr>
          <w:rStyle w:val="FootnoteReference"/>
        </w:rPr>
        <w:footnoteRef/>
      </w:r>
      <w:r>
        <w:t xml:space="preserve"> </w:t>
      </w:r>
      <w:r w:rsidR="00C16A6B" w:rsidRPr="00C16A6B">
        <w:t xml:space="preserve"> </w:t>
      </w:r>
      <w:r w:rsidR="00511EC1" w:rsidRPr="00600F79">
        <w:t>https://www.dcceew.gov.au/climate-change/publications/national-greenhouse-accounts-factors</w:t>
      </w:r>
      <w:r w:rsidR="00C16A6B">
        <w:t xml:space="preserve"> </w:t>
      </w:r>
    </w:p>
  </w:footnote>
  <w:footnote w:id="13">
    <w:p w14:paraId="33AB9666" w14:textId="50680073" w:rsidR="009D43CE" w:rsidRPr="006F6A94" w:rsidRDefault="009D43CE">
      <w:pPr>
        <w:pStyle w:val="FootnoteText"/>
        <w:rPr>
          <w:lang w:val="en-AU"/>
        </w:rPr>
      </w:pPr>
      <w:r>
        <w:rPr>
          <w:rStyle w:val="FootnoteReference"/>
        </w:rPr>
        <w:footnoteRef/>
      </w:r>
      <w:r>
        <w:t xml:space="preserve"> </w:t>
      </w:r>
      <w:r w:rsidR="00511EC1" w:rsidRPr="00600F79">
        <w:t>https://www.dcceew.gov.au/climate-change/publications/national-greenhouse-accounts-factors</w:t>
      </w:r>
      <w:r w:rsidR="00C16A6B">
        <w:t xml:space="preserve"> </w:t>
      </w:r>
    </w:p>
  </w:footnote>
  <w:footnote w:id="14">
    <w:p w14:paraId="2DA42229" w14:textId="5E345DFD" w:rsidR="00BB1DC9" w:rsidRPr="006C7E99" w:rsidRDefault="00BB1DC9">
      <w:pPr>
        <w:pStyle w:val="FootnoteText"/>
        <w:rPr>
          <w:lang w:val="en-AU"/>
        </w:rPr>
      </w:pPr>
      <w:r>
        <w:rPr>
          <w:rStyle w:val="FootnoteReference"/>
        </w:rPr>
        <w:footnoteRef/>
      </w:r>
      <w:r w:rsidR="00FF00B0">
        <w:t xml:space="preserve"> </w:t>
      </w:r>
      <w:r>
        <w:t xml:space="preserve"> </w:t>
      </w:r>
      <w:r w:rsidR="003F48F5" w:rsidRPr="00600F79">
        <w:t>https://cer.gov.au/document_page/methods-and-measurement-criteria-guideline</w:t>
      </w:r>
      <w:r>
        <w:t xml:space="preserve"> </w:t>
      </w:r>
    </w:p>
  </w:footnote>
  <w:footnote w:id="15">
    <w:p w14:paraId="016874D2" w14:textId="257196CA" w:rsidR="00BB1DC9" w:rsidRPr="006F6A94" w:rsidRDefault="00BB1DC9">
      <w:pPr>
        <w:pStyle w:val="FootnoteText"/>
        <w:rPr>
          <w:lang w:val="en-AU"/>
        </w:rPr>
      </w:pPr>
      <w:r>
        <w:rPr>
          <w:rStyle w:val="FootnoteReference"/>
        </w:rPr>
        <w:footnoteRef/>
      </w:r>
      <w:r>
        <w:t xml:space="preserve"> </w:t>
      </w:r>
      <w:r w:rsidR="00AD0CB5" w:rsidRPr="00600F79">
        <w:t>https://cer.gov.au/document_page/estimating-emissions-and-energy-fuel-combustion-guideline</w:t>
      </w:r>
      <w:r>
        <w:t xml:space="preserve"> </w:t>
      </w:r>
    </w:p>
  </w:footnote>
  <w:footnote w:id="16">
    <w:p w14:paraId="484DC273" w14:textId="2662D7A1" w:rsidR="003D527E" w:rsidRDefault="003D527E" w:rsidP="003D527E">
      <w:pPr>
        <w:pStyle w:val="FootnoteText"/>
      </w:pPr>
      <w:r>
        <w:rPr>
          <w:rStyle w:val="FootnoteReference"/>
        </w:rPr>
        <w:footnoteRef/>
      </w:r>
      <w:r>
        <w:t xml:space="preserve"> </w:t>
      </w:r>
      <w:r w:rsidR="00ED69D5" w:rsidRPr="00600F79">
        <w:t>https://cer.gov.au/document_page/guidance-aggregated-facility-reporting-percentage-estimates-and-incidental-emissions-and-energy</w:t>
      </w:r>
    </w:p>
  </w:footnote>
  <w:footnote w:id="17">
    <w:p w14:paraId="3F0B069F" w14:textId="1621619C" w:rsidR="00F144E5" w:rsidRDefault="00F144E5" w:rsidP="00F144E5">
      <w:pPr>
        <w:pStyle w:val="FootnoteText"/>
      </w:pPr>
      <w:r>
        <w:rPr>
          <w:rStyle w:val="FootnoteReference"/>
        </w:rPr>
        <w:footnoteRef/>
      </w:r>
      <w:r>
        <w:t xml:space="preserve"> </w:t>
      </w:r>
      <w:r w:rsidR="007A78DA" w:rsidRPr="00600F79">
        <w:t>https://www.epa.gov/sites/default/files/2016-02/documents/measureprotocol.pdf</w:t>
      </w:r>
      <w:r>
        <w:t xml:space="preserve"> </w:t>
      </w:r>
    </w:p>
  </w:footnote>
  <w:footnote w:id="18">
    <w:p w14:paraId="58660756" w14:textId="255F8BB3" w:rsidR="003D527E" w:rsidRDefault="003D527E" w:rsidP="003D527E">
      <w:pPr>
        <w:pStyle w:val="FootnoteText"/>
      </w:pPr>
      <w:r>
        <w:rPr>
          <w:rStyle w:val="FootnoteReference"/>
        </w:rPr>
        <w:footnoteRef/>
      </w:r>
      <w:r>
        <w:t xml:space="preserve"> </w:t>
      </w:r>
      <w:r w:rsidR="007A78DA" w:rsidRPr="003F7746">
        <w:t>https://cer.gov.au/document_page/reporting-hydrofluorocarbons-and-sulphur-hexafluoride-gases-guideline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E528B" w14:textId="488C1967" w:rsidR="00203235" w:rsidRDefault="00203235" w:rsidP="00203235">
    <w:pPr>
      <w:pStyle w:val="Heading5"/>
      <w:tabs>
        <w:tab w:val="center" w:pos="4870"/>
        <w:tab w:val="left" w:pos="8745"/>
      </w:tabs>
      <w:spacing w:before="200" w:after="60"/>
      <w:jc w:val="center"/>
    </w:pPr>
    <w:r w:rsidRPr="00203235">
      <w:rPr>
        <w:rStyle w:val="Protectivemarker"/>
        <w:b/>
        <w:sz w:val="28"/>
        <w:szCs w:val="28"/>
      </w:rPr>
      <w:t>OFFICIAL</w:t>
    </w:r>
  </w:p>
  <w:p w14:paraId="6DD19DDF" w14:textId="77777777" w:rsidR="00203235" w:rsidRPr="00BE0DA3" w:rsidRDefault="00203235" w:rsidP="00203235">
    <w:pPr>
      <w:pStyle w:val="LegislativesecrecyACT"/>
    </w:pPr>
    <w:r>
      <w:rPr>
        <w:noProof/>
      </w:rPr>
      <w:drawing>
        <wp:anchor distT="0" distB="0" distL="114300" distR="114300" simplePos="0" relativeHeight="251658240" behindDoc="0" locked="0" layoutInCell="1" allowOverlap="1" wp14:anchorId="1DA26C20" wp14:editId="7B1AC1B1">
          <wp:simplePos x="0" y="0"/>
          <wp:positionH relativeFrom="column">
            <wp:posOffset>4721420</wp:posOffset>
          </wp:positionH>
          <wp:positionV relativeFrom="paragraph">
            <wp:posOffset>-190500</wp:posOffset>
          </wp:positionV>
          <wp:extent cx="1424451" cy="469454"/>
          <wp:effectExtent l="0" t="0" r="0"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p w14:paraId="1657C533" w14:textId="569001B5" w:rsidR="00D81782" w:rsidRPr="00203235" w:rsidRDefault="00D81782" w:rsidP="002032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3326" w14:textId="33E264B4" w:rsidR="00CA2954" w:rsidRDefault="008352D1" w:rsidP="00E349EF">
    <w:pPr>
      <w:pStyle w:val="Header"/>
      <w:spacing w:before="600"/>
    </w:pPr>
    <w:r>
      <w:rPr>
        <w:noProof/>
      </w:rPr>
      <w:t xml:space="preserve">  </w:t>
    </w:r>
    <w:r w:rsidR="00CA2954">
      <w:rPr>
        <w:noProof/>
      </w:rPr>
      <w:drawing>
        <wp:inline distT="0" distB="0" distL="0" distR="0" wp14:anchorId="5D91E6F5" wp14:editId="0F3E109B">
          <wp:extent cx="2628000" cy="617737"/>
          <wp:effectExtent l="0" t="0" r="1270" b="5080"/>
          <wp:docPr id="4" name="Picture 4"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1"/>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3E6B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8611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3A06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246B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3EB8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8698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4A28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CA63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E40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66E0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253981"/>
    <w:multiLevelType w:val="multilevel"/>
    <w:tmpl w:val="B096FD1A"/>
    <w:lvl w:ilvl="0">
      <w:start w:val="1"/>
      <w:numFmt w:val="lowerLetter"/>
      <w:lvlText w:val="%1)"/>
      <w:lvlJc w:val="left"/>
      <w:pPr>
        <w:ind w:left="1080" w:hanging="360"/>
      </w:pPr>
      <w:rPr>
        <w:rFonts w:hint="default"/>
        <w:color w:val="006C93" w:themeColor="accent3"/>
      </w:rPr>
    </w:lvl>
    <w:lvl w:ilvl="1">
      <w:start w:val="1"/>
      <w:numFmt w:val="bullet"/>
      <w:lvlText w:val="»"/>
      <w:lvlJc w:val="left"/>
      <w:pPr>
        <w:ind w:left="1440" w:hanging="360"/>
      </w:pPr>
      <w:rPr>
        <w:rFonts w:ascii="Arial" w:hAnsi="Arial" w:hint="default"/>
        <w:color w:val="005874"/>
      </w:rPr>
    </w:lvl>
    <w:lvl w:ilvl="2">
      <w:start w:val="1"/>
      <w:numFmt w:val="bullet"/>
      <w:lvlText w:val="›"/>
      <w:lvlJc w:val="left"/>
      <w:pPr>
        <w:ind w:left="1800" w:hanging="360"/>
      </w:pPr>
      <w:rPr>
        <w:rFonts w:ascii="Arial" w:hAnsi="Arial" w:hint="default"/>
        <w:color w:val="005874"/>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6" w15:restartNumberingAfterBreak="0">
    <w:nsid w:val="0E701BBD"/>
    <w:multiLevelType w:val="multilevel"/>
    <w:tmpl w:val="69AA1AC6"/>
    <w:lvl w:ilvl="0">
      <w:start w:val="3"/>
      <w:numFmt w:val="decimal"/>
      <w:lvlText w:val="%1."/>
      <w:lvlJc w:val="left"/>
      <w:pPr>
        <w:ind w:left="555" w:hanging="555"/>
      </w:pPr>
      <w:rPr>
        <w:rFonts w:hint="default"/>
      </w:rPr>
    </w:lvl>
    <w:lvl w:ilvl="1">
      <w:start w:val="1"/>
      <w:numFmt w:val="decimal"/>
      <w:lvlText w:val="%1.%2"/>
      <w:lvlJc w:val="left"/>
      <w:pPr>
        <w:ind w:left="556" w:hanging="55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67F2B0C"/>
    <w:multiLevelType w:val="multilevel"/>
    <w:tmpl w:val="41D0219C"/>
    <w:lvl w:ilvl="0">
      <w:start w:val="1"/>
      <w:numFmt w:val="lowerLetter"/>
      <w:lvlText w:val="%1)"/>
      <w:lvlJc w:val="left"/>
      <w:pPr>
        <w:ind w:left="1080" w:hanging="360"/>
      </w:pPr>
      <w:rPr>
        <w:rFonts w:hint="default"/>
        <w:color w:val="006C93" w:themeColor="accent3"/>
      </w:rPr>
    </w:lvl>
    <w:lvl w:ilvl="1">
      <w:start w:val="1"/>
      <w:numFmt w:val="bullet"/>
      <w:lvlText w:val="»"/>
      <w:lvlJc w:val="left"/>
      <w:pPr>
        <w:ind w:left="1440" w:hanging="360"/>
      </w:pPr>
      <w:rPr>
        <w:rFonts w:ascii="Arial" w:hAnsi="Arial" w:hint="default"/>
        <w:color w:val="005874"/>
      </w:rPr>
    </w:lvl>
    <w:lvl w:ilvl="2">
      <w:start w:val="1"/>
      <w:numFmt w:val="bullet"/>
      <w:lvlText w:val="›"/>
      <w:lvlJc w:val="left"/>
      <w:pPr>
        <w:ind w:left="1800" w:hanging="360"/>
      </w:pPr>
      <w:rPr>
        <w:rFonts w:ascii="Arial" w:hAnsi="Arial" w:hint="default"/>
        <w:color w:val="005874"/>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8"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49435F"/>
    <w:multiLevelType w:val="hybridMultilevel"/>
    <w:tmpl w:val="9BD6CD82"/>
    <w:lvl w:ilvl="0" w:tplc="99141D64">
      <w:start w:val="1"/>
      <w:numFmt w:val="bullet"/>
      <w:lvlText w:val=""/>
      <w:lvlJc w:val="left"/>
      <w:pPr>
        <w:ind w:left="1020" w:hanging="360"/>
      </w:pPr>
      <w:rPr>
        <w:rFonts w:ascii="Symbol" w:hAnsi="Symbol"/>
      </w:rPr>
    </w:lvl>
    <w:lvl w:ilvl="1" w:tplc="DAEC25E4">
      <w:start w:val="1"/>
      <w:numFmt w:val="bullet"/>
      <w:lvlText w:val=""/>
      <w:lvlJc w:val="left"/>
      <w:pPr>
        <w:ind w:left="1020" w:hanging="360"/>
      </w:pPr>
      <w:rPr>
        <w:rFonts w:ascii="Symbol" w:hAnsi="Symbol"/>
      </w:rPr>
    </w:lvl>
    <w:lvl w:ilvl="2" w:tplc="258A97F6">
      <w:start w:val="1"/>
      <w:numFmt w:val="bullet"/>
      <w:lvlText w:val=""/>
      <w:lvlJc w:val="left"/>
      <w:pPr>
        <w:ind w:left="1020" w:hanging="360"/>
      </w:pPr>
      <w:rPr>
        <w:rFonts w:ascii="Symbol" w:hAnsi="Symbol"/>
      </w:rPr>
    </w:lvl>
    <w:lvl w:ilvl="3" w:tplc="4F1EBB70">
      <w:start w:val="1"/>
      <w:numFmt w:val="bullet"/>
      <w:lvlText w:val=""/>
      <w:lvlJc w:val="left"/>
      <w:pPr>
        <w:ind w:left="1020" w:hanging="360"/>
      </w:pPr>
      <w:rPr>
        <w:rFonts w:ascii="Symbol" w:hAnsi="Symbol"/>
      </w:rPr>
    </w:lvl>
    <w:lvl w:ilvl="4" w:tplc="368026D4">
      <w:start w:val="1"/>
      <w:numFmt w:val="bullet"/>
      <w:lvlText w:val=""/>
      <w:lvlJc w:val="left"/>
      <w:pPr>
        <w:ind w:left="1020" w:hanging="360"/>
      </w:pPr>
      <w:rPr>
        <w:rFonts w:ascii="Symbol" w:hAnsi="Symbol"/>
      </w:rPr>
    </w:lvl>
    <w:lvl w:ilvl="5" w:tplc="D92E712A">
      <w:start w:val="1"/>
      <w:numFmt w:val="bullet"/>
      <w:lvlText w:val=""/>
      <w:lvlJc w:val="left"/>
      <w:pPr>
        <w:ind w:left="1020" w:hanging="360"/>
      </w:pPr>
      <w:rPr>
        <w:rFonts w:ascii="Symbol" w:hAnsi="Symbol"/>
      </w:rPr>
    </w:lvl>
    <w:lvl w:ilvl="6" w:tplc="DF6A70CE">
      <w:start w:val="1"/>
      <w:numFmt w:val="bullet"/>
      <w:lvlText w:val=""/>
      <w:lvlJc w:val="left"/>
      <w:pPr>
        <w:ind w:left="1020" w:hanging="360"/>
      </w:pPr>
      <w:rPr>
        <w:rFonts w:ascii="Symbol" w:hAnsi="Symbol"/>
      </w:rPr>
    </w:lvl>
    <w:lvl w:ilvl="7" w:tplc="1142970E">
      <w:start w:val="1"/>
      <w:numFmt w:val="bullet"/>
      <w:lvlText w:val=""/>
      <w:lvlJc w:val="left"/>
      <w:pPr>
        <w:ind w:left="1020" w:hanging="360"/>
      </w:pPr>
      <w:rPr>
        <w:rFonts w:ascii="Symbol" w:hAnsi="Symbol"/>
      </w:rPr>
    </w:lvl>
    <w:lvl w:ilvl="8" w:tplc="A2460252">
      <w:start w:val="1"/>
      <w:numFmt w:val="bullet"/>
      <w:lvlText w:val=""/>
      <w:lvlJc w:val="left"/>
      <w:pPr>
        <w:ind w:left="1020" w:hanging="360"/>
      </w:pPr>
      <w:rPr>
        <w:rFonts w:ascii="Symbol" w:hAnsi="Symbol"/>
      </w:rPr>
    </w:lvl>
  </w:abstractNum>
  <w:abstractNum w:abstractNumId="20"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4E92D0C"/>
    <w:multiLevelType w:val="multilevel"/>
    <w:tmpl w:val="69E03E24"/>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97E0369"/>
    <w:multiLevelType w:val="multilevel"/>
    <w:tmpl w:val="3B2C977C"/>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C531AA5"/>
    <w:multiLevelType w:val="multilevel"/>
    <w:tmpl w:val="DCE2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FFF7542"/>
    <w:multiLevelType w:val="multilevel"/>
    <w:tmpl w:val="225EB890"/>
    <w:lvl w:ilvl="0">
      <w:start w:val="2"/>
      <w:numFmt w:val="decimal"/>
      <w:lvlText w:val="%1"/>
      <w:lvlJc w:val="left"/>
      <w:pPr>
        <w:ind w:left="555" w:hanging="555"/>
      </w:pPr>
      <w:rPr>
        <w:rFonts w:hint="default"/>
      </w:rPr>
    </w:lvl>
    <w:lvl w:ilvl="1">
      <w:start w:val="3"/>
      <w:numFmt w:val="decimal"/>
      <w:lvlText w:val="%1.%2"/>
      <w:lvlJc w:val="left"/>
      <w:pPr>
        <w:ind w:left="556" w:hanging="13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9" w15:restartNumberingAfterBreak="0">
    <w:nsid w:val="3A120414"/>
    <w:multiLevelType w:val="hybridMultilevel"/>
    <w:tmpl w:val="3348C7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E102D3F"/>
    <w:multiLevelType w:val="hybridMultilevel"/>
    <w:tmpl w:val="22965FEA"/>
    <w:lvl w:ilvl="0" w:tplc="2B48D57E">
      <w:start w:val="1"/>
      <w:numFmt w:val="bullet"/>
      <w:lvlText w:val=""/>
      <w:lvlJc w:val="left"/>
      <w:pPr>
        <w:ind w:left="1020" w:hanging="360"/>
      </w:pPr>
      <w:rPr>
        <w:rFonts w:ascii="Symbol" w:hAnsi="Symbol"/>
      </w:rPr>
    </w:lvl>
    <w:lvl w:ilvl="1" w:tplc="E91A4EC0">
      <w:start w:val="1"/>
      <w:numFmt w:val="bullet"/>
      <w:lvlText w:val=""/>
      <w:lvlJc w:val="left"/>
      <w:pPr>
        <w:ind w:left="1020" w:hanging="360"/>
      </w:pPr>
      <w:rPr>
        <w:rFonts w:ascii="Symbol" w:hAnsi="Symbol"/>
      </w:rPr>
    </w:lvl>
    <w:lvl w:ilvl="2" w:tplc="B1104B0C">
      <w:start w:val="1"/>
      <w:numFmt w:val="bullet"/>
      <w:lvlText w:val=""/>
      <w:lvlJc w:val="left"/>
      <w:pPr>
        <w:ind w:left="1020" w:hanging="360"/>
      </w:pPr>
      <w:rPr>
        <w:rFonts w:ascii="Symbol" w:hAnsi="Symbol"/>
      </w:rPr>
    </w:lvl>
    <w:lvl w:ilvl="3" w:tplc="9D8A5BA6">
      <w:start w:val="1"/>
      <w:numFmt w:val="bullet"/>
      <w:lvlText w:val=""/>
      <w:lvlJc w:val="left"/>
      <w:pPr>
        <w:ind w:left="1020" w:hanging="360"/>
      </w:pPr>
      <w:rPr>
        <w:rFonts w:ascii="Symbol" w:hAnsi="Symbol"/>
      </w:rPr>
    </w:lvl>
    <w:lvl w:ilvl="4" w:tplc="62A49320">
      <w:start w:val="1"/>
      <w:numFmt w:val="bullet"/>
      <w:lvlText w:val=""/>
      <w:lvlJc w:val="left"/>
      <w:pPr>
        <w:ind w:left="1020" w:hanging="360"/>
      </w:pPr>
      <w:rPr>
        <w:rFonts w:ascii="Symbol" w:hAnsi="Symbol"/>
      </w:rPr>
    </w:lvl>
    <w:lvl w:ilvl="5" w:tplc="C456A9F8">
      <w:start w:val="1"/>
      <w:numFmt w:val="bullet"/>
      <w:lvlText w:val=""/>
      <w:lvlJc w:val="left"/>
      <w:pPr>
        <w:ind w:left="1020" w:hanging="360"/>
      </w:pPr>
      <w:rPr>
        <w:rFonts w:ascii="Symbol" w:hAnsi="Symbol"/>
      </w:rPr>
    </w:lvl>
    <w:lvl w:ilvl="6" w:tplc="25B60D26">
      <w:start w:val="1"/>
      <w:numFmt w:val="bullet"/>
      <w:lvlText w:val=""/>
      <w:lvlJc w:val="left"/>
      <w:pPr>
        <w:ind w:left="1020" w:hanging="360"/>
      </w:pPr>
      <w:rPr>
        <w:rFonts w:ascii="Symbol" w:hAnsi="Symbol"/>
      </w:rPr>
    </w:lvl>
    <w:lvl w:ilvl="7" w:tplc="C34EFC6C">
      <w:start w:val="1"/>
      <w:numFmt w:val="bullet"/>
      <w:lvlText w:val=""/>
      <w:lvlJc w:val="left"/>
      <w:pPr>
        <w:ind w:left="1020" w:hanging="360"/>
      </w:pPr>
      <w:rPr>
        <w:rFonts w:ascii="Symbol" w:hAnsi="Symbol"/>
      </w:rPr>
    </w:lvl>
    <w:lvl w:ilvl="8" w:tplc="8236E7F4">
      <w:start w:val="1"/>
      <w:numFmt w:val="bullet"/>
      <w:lvlText w:val=""/>
      <w:lvlJc w:val="left"/>
      <w:pPr>
        <w:ind w:left="1020" w:hanging="360"/>
      </w:pPr>
      <w:rPr>
        <w:rFonts w:ascii="Symbol" w:hAnsi="Symbol"/>
      </w:rPr>
    </w:lvl>
  </w:abstractNum>
  <w:abstractNum w:abstractNumId="31"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0D15509"/>
    <w:multiLevelType w:val="hybridMultilevel"/>
    <w:tmpl w:val="0038E5AC"/>
    <w:lvl w:ilvl="0" w:tplc="BCE058F2">
      <w:start w:val="1"/>
      <w:numFmt w:val="bullet"/>
      <w:lvlText w:val=""/>
      <w:lvlJc w:val="left"/>
      <w:pPr>
        <w:ind w:left="1440" w:hanging="360"/>
      </w:pPr>
      <w:rPr>
        <w:rFonts w:ascii="Symbol" w:hAnsi="Symbol"/>
      </w:rPr>
    </w:lvl>
    <w:lvl w:ilvl="1" w:tplc="B540F212">
      <w:start w:val="1"/>
      <w:numFmt w:val="bullet"/>
      <w:lvlText w:val=""/>
      <w:lvlJc w:val="left"/>
      <w:pPr>
        <w:ind w:left="1440" w:hanging="360"/>
      </w:pPr>
      <w:rPr>
        <w:rFonts w:ascii="Symbol" w:hAnsi="Symbol"/>
      </w:rPr>
    </w:lvl>
    <w:lvl w:ilvl="2" w:tplc="5EF0BB0C">
      <w:start w:val="1"/>
      <w:numFmt w:val="bullet"/>
      <w:lvlText w:val=""/>
      <w:lvlJc w:val="left"/>
      <w:pPr>
        <w:ind w:left="1440" w:hanging="360"/>
      </w:pPr>
      <w:rPr>
        <w:rFonts w:ascii="Symbol" w:hAnsi="Symbol"/>
      </w:rPr>
    </w:lvl>
    <w:lvl w:ilvl="3" w:tplc="3CAC138C">
      <w:start w:val="1"/>
      <w:numFmt w:val="bullet"/>
      <w:lvlText w:val=""/>
      <w:lvlJc w:val="left"/>
      <w:pPr>
        <w:ind w:left="1440" w:hanging="360"/>
      </w:pPr>
      <w:rPr>
        <w:rFonts w:ascii="Symbol" w:hAnsi="Symbol"/>
      </w:rPr>
    </w:lvl>
    <w:lvl w:ilvl="4" w:tplc="363C0BF4">
      <w:start w:val="1"/>
      <w:numFmt w:val="bullet"/>
      <w:lvlText w:val=""/>
      <w:lvlJc w:val="left"/>
      <w:pPr>
        <w:ind w:left="1440" w:hanging="360"/>
      </w:pPr>
      <w:rPr>
        <w:rFonts w:ascii="Symbol" w:hAnsi="Symbol"/>
      </w:rPr>
    </w:lvl>
    <w:lvl w:ilvl="5" w:tplc="E842D278">
      <w:start w:val="1"/>
      <w:numFmt w:val="bullet"/>
      <w:lvlText w:val=""/>
      <w:lvlJc w:val="left"/>
      <w:pPr>
        <w:ind w:left="1440" w:hanging="360"/>
      </w:pPr>
      <w:rPr>
        <w:rFonts w:ascii="Symbol" w:hAnsi="Symbol"/>
      </w:rPr>
    </w:lvl>
    <w:lvl w:ilvl="6" w:tplc="02E20054">
      <w:start w:val="1"/>
      <w:numFmt w:val="bullet"/>
      <w:lvlText w:val=""/>
      <w:lvlJc w:val="left"/>
      <w:pPr>
        <w:ind w:left="1440" w:hanging="360"/>
      </w:pPr>
      <w:rPr>
        <w:rFonts w:ascii="Symbol" w:hAnsi="Symbol"/>
      </w:rPr>
    </w:lvl>
    <w:lvl w:ilvl="7" w:tplc="FB94281C">
      <w:start w:val="1"/>
      <w:numFmt w:val="bullet"/>
      <w:lvlText w:val=""/>
      <w:lvlJc w:val="left"/>
      <w:pPr>
        <w:ind w:left="1440" w:hanging="360"/>
      </w:pPr>
      <w:rPr>
        <w:rFonts w:ascii="Symbol" w:hAnsi="Symbol"/>
      </w:rPr>
    </w:lvl>
    <w:lvl w:ilvl="8" w:tplc="30EAF6BA">
      <w:start w:val="1"/>
      <w:numFmt w:val="bullet"/>
      <w:lvlText w:val=""/>
      <w:lvlJc w:val="left"/>
      <w:pPr>
        <w:ind w:left="1440" w:hanging="360"/>
      </w:pPr>
      <w:rPr>
        <w:rFonts w:ascii="Symbol" w:hAnsi="Symbol"/>
      </w:rPr>
    </w:lvl>
  </w:abstractNum>
  <w:abstractNum w:abstractNumId="33" w15:restartNumberingAfterBreak="0">
    <w:nsid w:val="480E16AC"/>
    <w:multiLevelType w:val="hybridMultilevel"/>
    <w:tmpl w:val="D1FA1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8"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50B16ED"/>
    <w:multiLevelType w:val="multilevel"/>
    <w:tmpl w:val="5A421D8A"/>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8F36D95"/>
    <w:multiLevelType w:val="multilevel"/>
    <w:tmpl w:val="B84E1B6A"/>
    <w:lvl w:ilvl="0">
      <w:start w:val="2"/>
      <w:numFmt w:val="decimal"/>
      <w:lvlText w:val="%1."/>
      <w:lvlJc w:val="left"/>
      <w:pPr>
        <w:ind w:left="555" w:hanging="555"/>
      </w:pPr>
      <w:rPr>
        <w:rFonts w:hint="default"/>
      </w:rPr>
    </w:lvl>
    <w:lvl w:ilvl="1">
      <w:start w:val="5"/>
      <w:numFmt w:val="decimal"/>
      <w:lvlText w:val="%1.%2"/>
      <w:lvlJc w:val="left"/>
      <w:pPr>
        <w:ind w:left="556" w:hanging="13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DBA3C71"/>
    <w:multiLevelType w:val="multilevel"/>
    <w:tmpl w:val="49EEC85A"/>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F77736D"/>
    <w:multiLevelType w:val="multilevel"/>
    <w:tmpl w:val="3D6E07FE"/>
    <w:lvl w:ilvl="0">
      <w:start w:val="1"/>
      <w:numFmt w:val="decimal"/>
      <w:lvlText w:val="%1."/>
      <w:lvlJc w:val="left"/>
      <w:pPr>
        <w:ind w:left="680" w:hanging="680"/>
      </w:pPr>
      <w:rPr>
        <w:rFonts w:hint="default"/>
      </w:rPr>
    </w:lvl>
    <w:lvl w:ilvl="1">
      <w:start w:val="1"/>
      <w:numFmt w:val="decimal"/>
      <w:isLgl/>
      <w:lvlText w:val="%1.%2"/>
      <w:lvlJc w:val="left"/>
      <w:pPr>
        <w:ind w:left="680" w:hanging="680"/>
      </w:pPr>
      <w:rPr>
        <w:rFonts w:hint="default"/>
      </w:rPr>
    </w:lvl>
    <w:lvl w:ilvl="2">
      <w:start w:val="1"/>
      <w:numFmt w:val="decimal"/>
      <w:isLgl/>
      <w:lvlText w:val="%1.%2.%3"/>
      <w:lvlJc w:val="left"/>
      <w:pPr>
        <w:ind w:left="680" w:hanging="680"/>
      </w:pPr>
      <w:rPr>
        <w:rFonts w:hint="default"/>
      </w:rPr>
    </w:lvl>
    <w:lvl w:ilvl="3">
      <w:start w:val="1"/>
      <w:numFmt w:val="decimal"/>
      <w:isLgl/>
      <w:lvlText w:val="%1.%2.%3.%4"/>
      <w:lvlJc w:val="left"/>
      <w:pPr>
        <w:ind w:left="680" w:hanging="680"/>
      </w:pPr>
      <w:rPr>
        <w:rFonts w:hint="default"/>
      </w:rPr>
    </w:lvl>
    <w:lvl w:ilvl="4">
      <w:start w:val="1"/>
      <w:numFmt w:val="decimal"/>
      <w:isLgl/>
      <w:lvlText w:val="%1.%2.%3.%4.%5"/>
      <w:lvlJc w:val="left"/>
      <w:pPr>
        <w:ind w:left="680" w:hanging="680"/>
      </w:pPr>
      <w:rPr>
        <w:rFonts w:hint="default"/>
      </w:rPr>
    </w:lvl>
    <w:lvl w:ilvl="5">
      <w:start w:val="1"/>
      <w:numFmt w:val="decimal"/>
      <w:isLgl/>
      <w:lvlText w:val="%1.%2.%3.%4.%5.%6"/>
      <w:lvlJc w:val="left"/>
      <w:pPr>
        <w:ind w:left="680" w:hanging="680"/>
      </w:pPr>
      <w:rPr>
        <w:rFonts w:hint="default"/>
      </w:rPr>
    </w:lvl>
    <w:lvl w:ilvl="6">
      <w:start w:val="1"/>
      <w:numFmt w:val="decimal"/>
      <w:isLgl/>
      <w:lvlText w:val="%1.%2.%3.%4.%5.%6.%7"/>
      <w:lvlJc w:val="left"/>
      <w:pPr>
        <w:ind w:left="680" w:hanging="680"/>
      </w:pPr>
      <w:rPr>
        <w:rFonts w:hint="default"/>
      </w:rPr>
    </w:lvl>
    <w:lvl w:ilvl="7">
      <w:start w:val="1"/>
      <w:numFmt w:val="decimal"/>
      <w:isLgl/>
      <w:lvlText w:val="%1.%2.%3.%4.%5.%6.%7.%8"/>
      <w:lvlJc w:val="left"/>
      <w:pPr>
        <w:ind w:left="680" w:hanging="680"/>
      </w:pPr>
      <w:rPr>
        <w:rFonts w:hint="default"/>
      </w:rPr>
    </w:lvl>
    <w:lvl w:ilvl="8">
      <w:start w:val="1"/>
      <w:numFmt w:val="decimal"/>
      <w:isLgl/>
      <w:lvlText w:val="%1.%2.%3.%4.%5.%6.%7.%8.%9"/>
      <w:lvlJc w:val="left"/>
      <w:pPr>
        <w:ind w:left="680" w:hanging="680"/>
      </w:pPr>
      <w:rPr>
        <w:rFonts w:hint="default"/>
      </w:rPr>
    </w:lvl>
  </w:abstractNum>
  <w:abstractNum w:abstractNumId="45" w15:restartNumberingAfterBreak="0">
    <w:nsid w:val="71CF5630"/>
    <w:multiLevelType w:val="hybridMultilevel"/>
    <w:tmpl w:val="752CB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A346FCB"/>
    <w:multiLevelType w:val="multilevel"/>
    <w:tmpl w:val="4092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C3430B7"/>
    <w:multiLevelType w:val="multilevel"/>
    <w:tmpl w:val="2D6CF53A"/>
    <w:lvl w:ilvl="0">
      <w:start w:val="4"/>
      <w:numFmt w:val="decimal"/>
      <w:lvlText w:val="%1"/>
      <w:lvlJc w:val="left"/>
      <w:pPr>
        <w:ind w:left="420" w:hanging="420"/>
      </w:pPr>
      <w:rPr>
        <w:rFonts w:hint="default"/>
      </w:rPr>
    </w:lvl>
    <w:lvl w:ilvl="1">
      <w:start w:val="1"/>
      <w:numFmt w:val="decimal"/>
      <w:lvlText w:val="%1.%2"/>
      <w:lvlJc w:val="left"/>
      <w:pPr>
        <w:ind w:left="1275" w:hanging="72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660" w:hanging="144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6045" w:hanging="2160"/>
      </w:pPr>
      <w:rPr>
        <w:rFonts w:hint="default"/>
      </w:rPr>
    </w:lvl>
    <w:lvl w:ilvl="8">
      <w:start w:val="1"/>
      <w:numFmt w:val="decimal"/>
      <w:lvlText w:val="%1.%2.%3.%4.%5.%6.%7.%8.%9"/>
      <w:lvlJc w:val="left"/>
      <w:pPr>
        <w:ind w:left="6600" w:hanging="2160"/>
      </w:pPr>
      <w:rPr>
        <w:rFonts w:hint="default"/>
      </w:rPr>
    </w:lvl>
  </w:abstractNum>
  <w:abstractNum w:abstractNumId="49"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7DD51A26"/>
    <w:multiLevelType w:val="hybridMultilevel"/>
    <w:tmpl w:val="D67AB994"/>
    <w:lvl w:ilvl="0" w:tplc="E88A790A">
      <w:start w:val="1"/>
      <w:numFmt w:val="bullet"/>
      <w:lvlText w:val=""/>
      <w:lvlJc w:val="left"/>
      <w:pPr>
        <w:ind w:left="1020" w:hanging="360"/>
      </w:pPr>
      <w:rPr>
        <w:rFonts w:ascii="Symbol" w:hAnsi="Symbol"/>
      </w:rPr>
    </w:lvl>
    <w:lvl w:ilvl="1" w:tplc="DF44CD46">
      <w:start w:val="1"/>
      <w:numFmt w:val="bullet"/>
      <w:lvlText w:val=""/>
      <w:lvlJc w:val="left"/>
      <w:pPr>
        <w:ind w:left="1020" w:hanging="360"/>
      </w:pPr>
      <w:rPr>
        <w:rFonts w:ascii="Symbol" w:hAnsi="Symbol"/>
      </w:rPr>
    </w:lvl>
    <w:lvl w:ilvl="2" w:tplc="B54A4A8E">
      <w:start w:val="1"/>
      <w:numFmt w:val="bullet"/>
      <w:lvlText w:val=""/>
      <w:lvlJc w:val="left"/>
      <w:pPr>
        <w:ind w:left="1020" w:hanging="360"/>
      </w:pPr>
      <w:rPr>
        <w:rFonts w:ascii="Symbol" w:hAnsi="Symbol"/>
      </w:rPr>
    </w:lvl>
    <w:lvl w:ilvl="3" w:tplc="BBEA8478">
      <w:start w:val="1"/>
      <w:numFmt w:val="bullet"/>
      <w:lvlText w:val=""/>
      <w:lvlJc w:val="left"/>
      <w:pPr>
        <w:ind w:left="1020" w:hanging="360"/>
      </w:pPr>
      <w:rPr>
        <w:rFonts w:ascii="Symbol" w:hAnsi="Symbol"/>
      </w:rPr>
    </w:lvl>
    <w:lvl w:ilvl="4" w:tplc="5D5855A8">
      <w:start w:val="1"/>
      <w:numFmt w:val="bullet"/>
      <w:lvlText w:val=""/>
      <w:lvlJc w:val="left"/>
      <w:pPr>
        <w:ind w:left="1020" w:hanging="360"/>
      </w:pPr>
      <w:rPr>
        <w:rFonts w:ascii="Symbol" w:hAnsi="Symbol"/>
      </w:rPr>
    </w:lvl>
    <w:lvl w:ilvl="5" w:tplc="68F85F4C">
      <w:start w:val="1"/>
      <w:numFmt w:val="bullet"/>
      <w:lvlText w:val=""/>
      <w:lvlJc w:val="left"/>
      <w:pPr>
        <w:ind w:left="1020" w:hanging="360"/>
      </w:pPr>
      <w:rPr>
        <w:rFonts w:ascii="Symbol" w:hAnsi="Symbol"/>
      </w:rPr>
    </w:lvl>
    <w:lvl w:ilvl="6" w:tplc="6DACCCF0">
      <w:start w:val="1"/>
      <w:numFmt w:val="bullet"/>
      <w:lvlText w:val=""/>
      <w:lvlJc w:val="left"/>
      <w:pPr>
        <w:ind w:left="1020" w:hanging="360"/>
      </w:pPr>
      <w:rPr>
        <w:rFonts w:ascii="Symbol" w:hAnsi="Symbol"/>
      </w:rPr>
    </w:lvl>
    <w:lvl w:ilvl="7" w:tplc="B3020AEC">
      <w:start w:val="1"/>
      <w:numFmt w:val="bullet"/>
      <w:lvlText w:val=""/>
      <w:lvlJc w:val="left"/>
      <w:pPr>
        <w:ind w:left="1020" w:hanging="360"/>
      </w:pPr>
      <w:rPr>
        <w:rFonts w:ascii="Symbol" w:hAnsi="Symbol"/>
      </w:rPr>
    </w:lvl>
    <w:lvl w:ilvl="8" w:tplc="72743DE6">
      <w:start w:val="1"/>
      <w:numFmt w:val="bullet"/>
      <w:lvlText w:val=""/>
      <w:lvlJc w:val="left"/>
      <w:pPr>
        <w:ind w:left="1020" w:hanging="360"/>
      </w:pPr>
      <w:rPr>
        <w:rFonts w:ascii="Symbol" w:hAnsi="Symbol"/>
      </w:rPr>
    </w:lvl>
  </w:abstractNum>
  <w:abstractNum w:abstractNumId="51" w15:restartNumberingAfterBreak="0">
    <w:nsid w:val="7FE37312"/>
    <w:multiLevelType w:val="hybridMultilevel"/>
    <w:tmpl w:val="7AC43660"/>
    <w:lvl w:ilvl="0" w:tplc="71B0C8E4">
      <w:start w:val="1"/>
      <w:numFmt w:val="bullet"/>
      <w:lvlText w:val=""/>
      <w:lvlJc w:val="left"/>
      <w:pPr>
        <w:ind w:left="1020" w:hanging="360"/>
      </w:pPr>
      <w:rPr>
        <w:rFonts w:ascii="Symbol" w:hAnsi="Symbol"/>
      </w:rPr>
    </w:lvl>
    <w:lvl w:ilvl="1" w:tplc="7E6A403E">
      <w:start w:val="1"/>
      <w:numFmt w:val="bullet"/>
      <w:lvlText w:val=""/>
      <w:lvlJc w:val="left"/>
      <w:pPr>
        <w:ind w:left="1020" w:hanging="360"/>
      </w:pPr>
      <w:rPr>
        <w:rFonts w:ascii="Symbol" w:hAnsi="Symbol"/>
      </w:rPr>
    </w:lvl>
    <w:lvl w:ilvl="2" w:tplc="D5A46DEC">
      <w:start w:val="1"/>
      <w:numFmt w:val="bullet"/>
      <w:lvlText w:val=""/>
      <w:lvlJc w:val="left"/>
      <w:pPr>
        <w:ind w:left="1020" w:hanging="360"/>
      </w:pPr>
      <w:rPr>
        <w:rFonts w:ascii="Symbol" w:hAnsi="Symbol"/>
      </w:rPr>
    </w:lvl>
    <w:lvl w:ilvl="3" w:tplc="9064CDC0">
      <w:start w:val="1"/>
      <w:numFmt w:val="bullet"/>
      <w:lvlText w:val=""/>
      <w:lvlJc w:val="left"/>
      <w:pPr>
        <w:ind w:left="1020" w:hanging="360"/>
      </w:pPr>
      <w:rPr>
        <w:rFonts w:ascii="Symbol" w:hAnsi="Symbol"/>
      </w:rPr>
    </w:lvl>
    <w:lvl w:ilvl="4" w:tplc="D95AF3AA">
      <w:start w:val="1"/>
      <w:numFmt w:val="bullet"/>
      <w:lvlText w:val=""/>
      <w:lvlJc w:val="left"/>
      <w:pPr>
        <w:ind w:left="1020" w:hanging="360"/>
      </w:pPr>
      <w:rPr>
        <w:rFonts w:ascii="Symbol" w:hAnsi="Symbol"/>
      </w:rPr>
    </w:lvl>
    <w:lvl w:ilvl="5" w:tplc="6896E122">
      <w:start w:val="1"/>
      <w:numFmt w:val="bullet"/>
      <w:lvlText w:val=""/>
      <w:lvlJc w:val="left"/>
      <w:pPr>
        <w:ind w:left="1020" w:hanging="360"/>
      </w:pPr>
      <w:rPr>
        <w:rFonts w:ascii="Symbol" w:hAnsi="Symbol"/>
      </w:rPr>
    </w:lvl>
    <w:lvl w:ilvl="6" w:tplc="5426B392">
      <w:start w:val="1"/>
      <w:numFmt w:val="bullet"/>
      <w:lvlText w:val=""/>
      <w:lvlJc w:val="left"/>
      <w:pPr>
        <w:ind w:left="1020" w:hanging="360"/>
      </w:pPr>
      <w:rPr>
        <w:rFonts w:ascii="Symbol" w:hAnsi="Symbol"/>
      </w:rPr>
    </w:lvl>
    <w:lvl w:ilvl="7" w:tplc="56E62792">
      <w:start w:val="1"/>
      <w:numFmt w:val="bullet"/>
      <w:lvlText w:val=""/>
      <w:lvlJc w:val="left"/>
      <w:pPr>
        <w:ind w:left="1020" w:hanging="360"/>
      </w:pPr>
      <w:rPr>
        <w:rFonts w:ascii="Symbol" w:hAnsi="Symbol"/>
      </w:rPr>
    </w:lvl>
    <w:lvl w:ilvl="8" w:tplc="6B1C835A">
      <w:start w:val="1"/>
      <w:numFmt w:val="bullet"/>
      <w:lvlText w:val=""/>
      <w:lvlJc w:val="left"/>
      <w:pPr>
        <w:ind w:left="1020" w:hanging="360"/>
      </w:pPr>
      <w:rPr>
        <w:rFonts w:ascii="Symbol" w:hAnsi="Symbol"/>
      </w:rPr>
    </w:lvl>
  </w:abstractNum>
  <w:num w:numId="1" w16cid:durableId="1158031446">
    <w:abstractNumId w:val="35"/>
  </w:num>
  <w:num w:numId="2" w16cid:durableId="1068070754">
    <w:abstractNumId w:val="22"/>
  </w:num>
  <w:num w:numId="3" w16cid:durableId="1165049326">
    <w:abstractNumId w:val="23"/>
  </w:num>
  <w:num w:numId="4" w16cid:durableId="706099571">
    <w:abstractNumId w:val="14"/>
  </w:num>
  <w:num w:numId="5" w16cid:durableId="721441419">
    <w:abstractNumId w:val="15"/>
  </w:num>
  <w:num w:numId="6" w16cid:durableId="169881974">
    <w:abstractNumId w:val="28"/>
  </w:num>
  <w:num w:numId="7" w16cid:durableId="847673425">
    <w:abstractNumId w:val="37"/>
  </w:num>
  <w:num w:numId="8" w16cid:durableId="272639178">
    <w:abstractNumId w:val="15"/>
  </w:num>
  <w:num w:numId="9" w16cid:durableId="538705935">
    <w:abstractNumId w:val="9"/>
  </w:num>
  <w:num w:numId="10" w16cid:durableId="1627588068">
    <w:abstractNumId w:val="7"/>
  </w:num>
  <w:num w:numId="11" w16cid:durableId="1113356897">
    <w:abstractNumId w:val="6"/>
  </w:num>
  <w:num w:numId="12" w16cid:durableId="197201183">
    <w:abstractNumId w:val="5"/>
  </w:num>
  <w:num w:numId="13" w16cid:durableId="517277671">
    <w:abstractNumId w:val="4"/>
  </w:num>
  <w:num w:numId="14" w16cid:durableId="90513414">
    <w:abstractNumId w:val="8"/>
  </w:num>
  <w:num w:numId="15" w16cid:durableId="727000758">
    <w:abstractNumId w:val="3"/>
  </w:num>
  <w:num w:numId="16" w16cid:durableId="191918296">
    <w:abstractNumId w:val="2"/>
  </w:num>
  <w:num w:numId="17" w16cid:durableId="734399137">
    <w:abstractNumId w:val="1"/>
  </w:num>
  <w:num w:numId="18" w16cid:durableId="1659572370">
    <w:abstractNumId w:val="0"/>
  </w:num>
  <w:num w:numId="19" w16cid:durableId="784886688">
    <w:abstractNumId w:val="12"/>
  </w:num>
  <w:num w:numId="20" w16cid:durableId="2046366209">
    <w:abstractNumId w:val="18"/>
  </w:num>
  <w:num w:numId="21" w16cid:durableId="1008606514">
    <w:abstractNumId w:val="46"/>
  </w:num>
  <w:num w:numId="22" w16cid:durableId="1251617497">
    <w:abstractNumId w:val="10"/>
  </w:num>
  <w:num w:numId="23" w16cid:durableId="1974481068">
    <w:abstractNumId w:val="49"/>
  </w:num>
  <w:num w:numId="24" w16cid:durableId="725954274">
    <w:abstractNumId w:val="31"/>
  </w:num>
  <w:num w:numId="25" w16cid:durableId="903757413">
    <w:abstractNumId w:val="24"/>
  </w:num>
  <w:num w:numId="26" w16cid:durableId="1519464302">
    <w:abstractNumId w:val="20"/>
  </w:num>
  <w:num w:numId="27" w16cid:durableId="987247072">
    <w:abstractNumId w:val="42"/>
  </w:num>
  <w:num w:numId="28" w16cid:durableId="328021517">
    <w:abstractNumId w:val="36"/>
  </w:num>
  <w:num w:numId="29" w16cid:durableId="1984655250">
    <w:abstractNumId w:val="34"/>
  </w:num>
  <w:num w:numId="30" w16cid:durableId="577059952">
    <w:abstractNumId w:val="38"/>
  </w:num>
  <w:num w:numId="31" w16cid:durableId="2136826153">
    <w:abstractNumId w:val="40"/>
  </w:num>
  <w:num w:numId="32" w16cid:durableId="1723870638">
    <w:abstractNumId w:val="11"/>
  </w:num>
  <w:num w:numId="33" w16cid:durableId="1713192827">
    <w:abstractNumId w:val="39"/>
  </w:num>
  <w:num w:numId="34" w16cid:durableId="1974213121">
    <w:abstractNumId w:val="29"/>
  </w:num>
  <w:num w:numId="35" w16cid:durableId="452408913">
    <w:abstractNumId w:val="44"/>
  </w:num>
  <w:num w:numId="36" w16cid:durableId="1620138252">
    <w:abstractNumId w:val="45"/>
  </w:num>
  <w:num w:numId="37" w16cid:durableId="693387874">
    <w:abstractNumId w:val="33"/>
  </w:num>
  <w:num w:numId="38" w16cid:durableId="188959498">
    <w:abstractNumId w:val="47"/>
  </w:num>
  <w:num w:numId="39" w16cid:durableId="259534619">
    <w:abstractNumId w:val="27"/>
  </w:num>
  <w:num w:numId="40" w16cid:durableId="1197499353">
    <w:abstractNumId w:val="41"/>
  </w:num>
  <w:num w:numId="41" w16cid:durableId="1364668804">
    <w:abstractNumId w:val="48"/>
  </w:num>
  <w:num w:numId="42" w16cid:durableId="1654793572">
    <w:abstractNumId w:val="21"/>
  </w:num>
  <w:num w:numId="43" w16cid:durableId="1069111348">
    <w:abstractNumId w:val="16"/>
  </w:num>
  <w:num w:numId="44" w16cid:durableId="794058943">
    <w:abstractNumId w:val="17"/>
  </w:num>
  <w:num w:numId="45" w16cid:durableId="987975756">
    <w:abstractNumId w:val="13"/>
  </w:num>
  <w:num w:numId="46" w16cid:durableId="1358194795">
    <w:abstractNumId w:val="32"/>
  </w:num>
  <w:num w:numId="47" w16cid:durableId="1849517360">
    <w:abstractNumId w:val="43"/>
  </w:num>
  <w:num w:numId="48" w16cid:durableId="308369797">
    <w:abstractNumId w:val="25"/>
  </w:num>
  <w:num w:numId="49" w16cid:durableId="1106995684">
    <w:abstractNumId w:val="26"/>
  </w:num>
  <w:num w:numId="50" w16cid:durableId="951672517">
    <w:abstractNumId w:val="51"/>
  </w:num>
  <w:num w:numId="51" w16cid:durableId="782656187">
    <w:abstractNumId w:val="19"/>
  </w:num>
  <w:num w:numId="52" w16cid:durableId="367488849">
    <w:abstractNumId w:val="30"/>
  </w:num>
  <w:num w:numId="53" w16cid:durableId="1976443849">
    <w:abstractNumId w:val="5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readOnly" w:formatting="1" w:enforcement="1" w:spinCount="100000" w:hashValue="fokFPg/DkIPhZQcsW8ZHM+obbV8q2w10x0Om3TzNnzI=" w:saltValue="p7zsQp8Ep7jVgYPkzXtokw=="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B48F058-07F2-4E69-BAC9-34E9FC2C7D65}"/>
    <w:docVar w:name="dgnword-eventsink" w:val="2703527684976"/>
  </w:docVars>
  <w:rsids>
    <w:rsidRoot w:val="002D30B2"/>
    <w:rsid w:val="00001142"/>
    <w:rsid w:val="00001AA6"/>
    <w:rsid w:val="00003F59"/>
    <w:rsid w:val="00004B94"/>
    <w:rsid w:val="00004EED"/>
    <w:rsid w:val="00007579"/>
    <w:rsid w:val="00007799"/>
    <w:rsid w:val="0000785A"/>
    <w:rsid w:val="00007B76"/>
    <w:rsid w:val="00011999"/>
    <w:rsid w:val="00011EE9"/>
    <w:rsid w:val="00012FF7"/>
    <w:rsid w:val="0001438E"/>
    <w:rsid w:val="0001462F"/>
    <w:rsid w:val="00015F40"/>
    <w:rsid w:val="00015F49"/>
    <w:rsid w:val="00016219"/>
    <w:rsid w:val="00017684"/>
    <w:rsid w:val="0002000B"/>
    <w:rsid w:val="00020558"/>
    <w:rsid w:val="00020E84"/>
    <w:rsid w:val="000221EC"/>
    <w:rsid w:val="00023F08"/>
    <w:rsid w:val="0002468B"/>
    <w:rsid w:val="00024C68"/>
    <w:rsid w:val="000250CB"/>
    <w:rsid w:val="000252B6"/>
    <w:rsid w:val="00025655"/>
    <w:rsid w:val="00030556"/>
    <w:rsid w:val="000306C2"/>
    <w:rsid w:val="00030C55"/>
    <w:rsid w:val="00031090"/>
    <w:rsid w:val="00032780"/>
    <w:rsid w:val="00035270"/>
    <w:rsid w:val="00035321"/>
    <w:rsid w:val="0003582F"/>
    <w:rsid w:val="000378B6"/>
    <w:rsid w:val="00037DFA"/>
    <w:rsid w:val="000407D8"/>
    <w:rsid w:val="0004165F"/>
    <w:rsid w:val="0004278F"/>
    <w:rsid w:val="00043EDA"/>
    <w:rsid w:val="000442F7"/>
    <w:rsid w:val="00044597"/>
    <w:rsid w:val="00044E40"/>
    <w:rsid w:val="0004759D"/>
    <w:rsid w:val="000478FB"/>
    <w:rsid w:val="0005127E"/>
    <w:rsid w:val="000542FF"/>
    <w:rsid w:val="000559A8"/>
    <w:rsid w:val="00056013"/>
    <w:rsid w:val="00056FF0"/>
    <w:rsid w:val="000570CB"/>
    <w:rsid w:val="00057151"/>
    <w:rsid w:val="00057CCE"/>
    <w:rsid w:val="000611D6"/>
    <w:rsid w:val="00062216"/>
    <w:rsid w:val="00062C02"/>
    <w:rsid w:val="00062F02"/>
    <w:rsid w:val="0006562C"/>
    <w:rsid w:val="000671D8"/>
    <w:rsid w:val="000678AA"/>
    <w:rsid w:val="00067E5C"/>
    <w:rsid w:val="00073E1F"/>
    <w:rsid w:val="000741F7"/>
    <w:rsid w:val="00075215"/>
    <w:rsid w:val="000759F8"/>
    <w:rsid w:val="00075B79"/>
    <w:rsid w:val="00076C97"/>
    <w:rsid w:val="000776C7"/>
    <w:rsid w:val="00080580"/>
    <w:rsid w:val="0008222D"/>
    <w:rsid w:val="00082486"/>
    <w:rsid w:val="0008291A"/>
    <w:rsid w:val="00083494"/>
    <w:rsid w:val="00083749"/>
    <w:rsid w:val="000838E1"/>
    <w:rsid w:val="00083A9B"/>
    <w:rsid w:val="00083FFC"/>
    <w:rsid w:val="000844DA"/>
    <w:rsid w:val="00084948"/>
    <w:rsid w:val="00084D6B"/>
    <w:rsid w:val="00085F71"/>
    <w:rsid w:val="00086603"/>
    <w:rsid w:val="00086DBA"/>
    <w:rsid w:val="000873E6"/>
    <w:rsid w:val="00087429"/>
    <w:rsid w:val="0008751A"/>
    <w:rsid w:val="00087632"/>
    <w:rsid w:val="000906DE"/>
    <w:rsid w:val="00092462"/>
    <w:rsid w:val="00093640"/>
    <w:rsid w:val="0009381E"/>
    <w:rsid w:val="00093EF3"/>
    <w:rsid w:val="000948D5"/>
    <w:rsid w:val="00094B45"/>
    <w:rsid w:val="00095035"/>
    <w:rsid w:val="00095871"/>
    <w:rsid w:val="0009588F"/>
    <w:rsid w:val="0009657E"/>
    <w:rsid w:val="00096878"/>
    <w:rsid w:val="00097397"/>
    <w:rsid w:val="00097C89"/>
    <w:rsid w:val="000A0780"/>
    <w:rsid w:val="000A0DD5"/>
    <w:rsid w:val="000A22EC"/>
    <w:rsid w:val="000A358C"/>
    <w:rsid w:val="000A42A7"/>
    <w:rsid w:val="000A4729"/>
    <w:rsid w:val="000A4D61"/>
    <w:rsid w:val="000A67C8"/>
    <w:rsid w:val="000A6A75"/>
    <w:rsid w:val="000A6F7E"/>
    <w:rsid w:val="000A7079"/>
    <w:rsid w:val="000A7339"/>
    <w:rsid w:val="000B00A1"/>
    <w:rsid w:val="000B15C8"/>
    <w:rsid w:val="000B2225"/>
    <w:rsid w:val="000B2B76"/>
    <w:rsid w:val="000B2CCD"/>
    <w:rsid w:val="000B3591"/>
    <w:rsid w:val="000B3BCF"/>
    <w:rsid w:val="000B43E8"/>
    <w:rsid w:val="000B5B20"/>
    <w:rsid w:val="000B69B4"/>
    <w:rsid w:val="000C2BDB"/>
    <w:rsid w:val="000C2D58"/>
    <w:rsid w:val="000C2FBC"/>
    <w:rsid w:val="000C4950"/>
    <w:rsid w:val="000C5DFB"/>
    <w:rsid w:val="000C7AD6"/>
    <w:rsid w:val="000C7DB2"/>
    <w:rsid w:val="000D0A58"/>
    <w:rsid w:val="000D2F1F"/>
    <w:rsid w:val="000D3975"/>
    <w:rsid w:val="000D4018"/>
    <w:rsid w:val="000D5D90"/>
    <w:rsid w:val="000D6947"/>
    <w:rsid w:val="000D7234"/>
    <w:rsid w:val="000D7C95"/>
    <w:rsid w:val="000E0D87"/>
    <w:rsid w:val="000E27C9"/>
    <w:rsid w:val="000E301B"/>
    <w:rsid w:val="000E3B86"/>
    <w:rsid w:val="000E3C27"/>
    <w:rsid w:val="000E40EC"/>
    <w:rsid w:val="000E4888"/>
    <w:rsid w:val="000E5A13"/>
    <w:rsid w:val="000E663D"/>
    <w:rsid w:val="000E7AF1"/>
    <w:rsid w:val="000F0E72"/>
    <w:rsid w:val="000F2260"/>
    <w:rsid w:val="000F2B6C"/>
    <w:rsid w:val="000F561B"/>
    <w:rsid w:val="000F6B44"/>
    <w:rsid w:val="000F6B5F"/>
    <w:rsid w:val="000F6BD5"/>
    <w:rsid w:val="00100C2A"/>
    <w:rsid w:val="0010333C"/>
    <w:rsid w:val="00103550"/>
    <w:rsid w:val="00103A8E"/>
    <w:rsid w:val="00104131"/>
    <w:rsid w:val="00110E61"/>
    <w:rsid w:val="00111006"/>
    <w:rsid w:val="001115C2"/>
    <w:rsid w:val="0011220B"/>
    <w:rsid w:val="001127DD"/>
    <w:rsid w:val="00112E29"/>
    <w:rsid w:val="00113538"/>
    <w:rsid w:val="0011366A"/>
    <w:rsid w:val="0011436D"/>
    <w:rsid w:val="0011446A"/>
    <w:rsid w:val="00115CAD"/>
    <w:rsid w:val="0011662B"/>
    <w:rsid w:val="001170BD"/>
    <w:rsid w:val="001174DB"/>
    <w:rsid w:val="0011767D"/>
    <w:rsid w:val="00117D3A"/>
    <w:rsid w:val="00117FAD"/>
    <w:rsid w:val="00120418"/>
    <w:rsid w:val="00122692"/>
    <w:rsid w:val="00122B83"/>
    <w:rsid w:val="00122D54"/>
    <w:rsid w:val="001238FD"/>
    <w:rsid w:val="001240C1"/>
    <w:rsid w:val="001246E2"/>
    <w:rsid w:val="001254BC"/>
    <w:rsid w:val="0012552B"/>
    <w:rsid w:val="0012584C"/>
    <w:rsid w:val="001264F7"/>
    <w:rsid w:val="00127129"/>
    <w:rsid w:val="00127292"/>
    <w:rsid w:val="001276AA"/>
    <w:rsid w:val="001279C4"/>
    <w:rsid w:val="00127D73"/>
    <w:rsid w:val="00127F4E"/>
    <w:rsid w:val="001324E3"/>
    <w:rsid w:val="00132675"/>
    <w:rsid w:val="00134D9C"/>
    <w:rsid w:val="00135680"/>
    <w:rsid w:val="001408FE"/>
    <w:rsid w:val="00140C68"/>
    <w:rsid w:val="00142EC1"/>
    <w:rsid w:val="0014328B"/>
    <w:rsid w:val="001440BE"/>
    <w:rsid w:val="00144C70"/>
    <w:rsid w:val="00144E38"/>
    <w:rsid w:val="001451FC"/>
    <w:rsid w:val="00146D66"/>
    <w:rsid w:val="00146FC8"/>
    <w:rsid w:val="00146FFA"/>
    <w:rsid w:val="001503E5"/>
    <w:rsid w:val="00150929"/>
    <w:rsid w:val="001512C0"/>
    <w:rsid w:val="00152AC5"/>
    <w:rsid w:val="00153336"/>
    <w:rsid w:val="00154AD5"/>
    <w:rsid w:val="00156A90"/>
    <w:rsid w:val="00157175"/>
    <w:rsid w:val="0015723C"/>
    <w:rsid w:val="001610C3"/>
    <w:rsid w:val="00162882"/>
    <w:rsid w:val="00162AD2"/>
    <w:rsid w:val="001631B1"/>
    <w:rsid w:val="001638DD"/>
    <w:rsid w:val="00163B28"/>
    <w:rsid w:val="00163CFA"/>
    <w:rsid w:val="00164A9B"/>
    <w:rsid w:val="001651F7"/>
    <w:rsid w:val="001652FB"/>
    <w:rsid w:val="0016571C"/>
    <w:rsid w:val="00165C74"/>
    <w:rsid w:val="00165F1D"/>
    <w:rsid w:val="001666A2"/>
    <w:rsid w:val="00166AB8"/>
    <w:rsid w:val="00166FC1"/>
    <w:rsid w:val="00167B3B"/>
    <w:rsid w:val="001704A3"/>
    <w:rsid w:val="0017063F"/>
    <w:rsid w:val="001712CB"/>
    <w:rsid w:val="001717F6"/>
    <w:rsid w:val="00171F6B"/>
    <w:rsid w:val="001729D0"/>
    <w:rsid w:val="00172F37"/>
    <w:rsid w:val="0017569E"/>
    <w:rsid w:val="00176871"/>
    <w:rsid w:val="00176C28"/>
    <w:rsid w:val="0017748D"/>
    <w:rsid w:val="00180383"/>
    <w:rsid w:val="001813DE"/>
    <w:rsid w:val="0018287C"/>
    <w:rsid w:val="00182F5E"/>
    <w:rsid w:val="00183775"/>
    <w:rsid w:val="00184394"/>
    <w:rsid w:val="00185395"/>
    <w:rsid w:val="00186119"/>
    <w:rsid w:val="001868DB"/>
    <w:rsid w:val="001903F6"/>
    <w:rsid w:val="001913E4"/>
    <w:rsid w:val="001926EF"/>
    <w:rsid w:val="00193409"/>
    <w:rsid w:val="00193A6C"/>
    <w:rsid w:val="0019799E"/>
    <w:rsid w:val="00197F08"/>
    <w:rsid w:val="00197F43"/>
    <w:rsid w:val="001A0321"/>
    <w:rsid w:val="001A12BF"/>
    <w:rsid w:val="001A1717"/>
    <w:rsid w:val="001A3863"/>
    <w:rsid w:val="001A4BF9"/>
    <w:rsid w:val="001A6DD9"/>
    <w:rsid w:val="001A7422"/>
    <w:rsid w:val="001A777A"/>
    <w:rsid w:val="001B1853"/>
    <w:rsid w:val="001B2DEC"/>
    <w:rsid w:val="001B423F"/>
    <w:rsid w:val="001B451A"/>
    <w:rsid w:val="001B4710"/>
    <w:rsid w:val="001B4F10"/>
    <w:rsid w:val="001B6166"/>
    <w:rsid w:val="001B66AA"/>
    <w:rsid w:val="001B6ADA"/>
    <w:rsid w:val="001C0132"/>
    <w:rsid w:val="001C191F"/>
    <w:rsid w:val="001C1E51"/>
    <w:rsid w:val="001C3ADE"/>
    <w:rsid w:val="001C3D71"/>
    <w:rsid w:val="001C444A"/>
    <w:rsid w:val="001C52AD"/>
    <w:rsid w:val="001C6B20"/>
    <w:rsid w:val="001D1F19"/>
    <w:rsid w:val="001D212A"/>
    <w:rsid w:val="001D2A5D"/>
    <w:rsid w:val="001D2DB3"/>
    <w:rsid w:val="001D3642"/>
    <w:rsid w:val="001D4E06"/>
    <w:rsid w:val="001D5D49"/>
    <w:rsid w:val="001D5E01"/>
    <w:rsid w:val="001D69A5"/>
    <w:rsid w:val="001E04B9"/>
    <w:rsid w:val="001E26E2"/>
    <w:rsid w:val="001E2748"/>
    <w:rsid w:val="001E2BEE"/>
    <w:rsid w:val="001E4E83"/>
    <w:rsid w:val="001E6375"/>
    <w:rsid w:val="001F1CE6"/>
    <w:rsid w:val="001F2B63"/>
    <w:rsid w:val="001F31F7"/>
    <w:rsid w:val="001F41A3"/>
    <w:rsid w:val="001F5725"/>
    <w:rsid w:val="001F60FB"/>
    <w:rsid w:val="001F66CF"/>
    <w:rsid w:val="001F67FF"/>
    <w:rsid w:val="001F76EE"/>
    <w:rsid w:val="00200F73"/>
    <w:rsid w:val="002013B2"/>
    <w:rsid w:val="00201D4E"/>
    <w:rsid w:val="002024A3"/>
    <w:rsid w:val="002028CC"/>
    <w:rsid w:val="00203235"/>
    <w:rsid w:val="002037FF"/>
    <w:rsid w:val="00203ECE"/>
    <w:rsid w:val="002046D7"/>
    <w:rsid w:val="00204DB4"/>
    <w:rsid w:val="0020755B"/>
    <w:rsid w:val="002106FE"/>
    <w:rsid w:val="002108D0"/>
    <w:rsid w:val="00210B68"/>
    <w:rsid w:val="00210FE1"/>
    <w:rsid w:val="002118E5"/>
    <w:rsid w:val="00212B38"/>
    <w:rsid w:val="0021312F"/>
    <w:rsid w:val="002137DE"/>
    <w:rsid w:val="00214281"/>
    <w:rsid w:val="00216E5D"/>
    <w:rsid w:val="00217159"/>
    <w:rsid w:val="0021747B"/>
    <w:rsid w:val="0021782A"/>
    <w:rsid w:val="00220BA9"/>
    <w:rsid w:val="002213DA"/>
    <w:rsid w:val="00222C8B"/>
    <w:rsid w:val="00223561"/>
    <w:rsid w:val="00223676"/>
    <w:rsid w:val="00224A43"/>
    <w:rsid w:val="00232AB2"/>
    <w:rsid w:val="00232C8B"/>
    <w:rsid w:val="00233E70"/>
    <w:rsid w:val="0023445E"/>
    <w:rsid w:val="00235142"/>
    <w:rsid w:val="00235B98"/>
    <w:rsid w:val="002360B4"/>
    <w:rsid w:val="00237575"/>
    <w:rsid w:val="002405E8"/>
    <w:rsid w:val="00240EFA"/>
    <w:rsid w:val="00241FA0"/>
    <w:rsid w:val="00244A7D"/>
    <w:rsid w:val="00246141"/>
    <w:rsid w:val="00246FC5"/>
    <w:rsid w:val="00247AA5"/>
    <w:rsid w:val="00250FC5"/>
    <w:rsid w:val="00251631"/>
    <w:rsid w:val="002537CF"/>
    <w:rsid w:val="00253FFC"/>
    <w:rsid w:val="00257103"/>
    <w:rsid w:val="0026155A"/>
    <w:rsid w:val="002617C2"/>
    <w:rsid w:val="00261A69"/>
    <w:rsid w:val="00261CF3"/>
    <w:rsid w:val="002622E9"/>
    <w:rsid w:val="0026306C"/>
    <w:rsid w:val="0026493B"/>
    <w:rsid w:val="00264DB0"/>
    <w:rsid w:val="002651A1"/>
    <w:rsid w:val="002672EB"/>
    <w:rsid w:val="00270902"/>
    <w:rsid w:val="00270A5D"/>
    <w:rsid w:val="00270DA4"/>
    <w:rsid w:val="00273704"/>
    <w:rsid w:val="00274592"/>
    <w:rsid w:val="002776B0"/>
    <w:rsid w:val="00277F0D"/>
    <w:rsid w:val="00280847"/>
    <w:rsid w:val="0028092C"/>
    <w:rsid w:val="00280A31"/>
    <w:rsid w:val="00280AA9"/>
    <w:rsid w:val="002815FA"/>
    <w:rsid w:val="002825A8"/>
    <w:rsid w:val="00283E3A"/>
    <w:rsid w:val="00283F26"/>
    <w:rsid w:val="00284E35"/>
    <w:rsid w:val="00286301"/>
    <w:rsid w:val="00290C2F"/>
    <w:rsid w:val="00290E3D"/>
    <w:rsid w:val="00292311"/>
    <w:rsid w:val="0029262D"/>
    <w:rsid w:val="00292D08"/>
    <w:rsid w:val="002940E7"/>
    <w:rsid w:val="002949A7"/>
    <w:rsid w:val="002A2553"/>
    <w:rsid w:val="002A3F1A"/>
    <w:rsid w:val="002A46D6"/>
    <w:rsid w:val="002A4FE5"/>
    <w:rsid w:val="002A5772"/>
    <w:rsid w:val="002A60BF"/>
    <w:rsid w:val="002A7EA6"/>
    <w:rsid w:val="002B0337"/>
    <w:rsid w:val="002B065D"/>
    <w:rsid w:val="002B0CE6"/>
    <w:rsid w:val="002B12B5"/>
    <w:rsid w:val="002B1955"/>
    <w:rsid w:val="002B3537"/>
    <w:rsid w:val="002B3AC3"/>
    <w:rsid w:val="002B5401"/>
    <w:rsid w:val="002B7543"/>
    <w:rsid w:val="002C19F9"/>
    <w:rsid w:val="002C1AA2"/>
    <w:rsid w:val="002C1B9D"/>
    <w:rsid w:val="002C1CB9"/>
    <w:rsid w:val="002C1E02"/>
    <w:rsid w:val="002C1F1E"/>
    <w:rsid w:val="002C2130"/>
    <w:rsid w:val="002C28E8"/>
    <w:rsid w:val="002C427B"/>
    <w:rsid w:val="002C449B"/>
    <w:rsid w:val="002C51CF"/>
    <w:rsid w:val="002C53FF"/>
    <w:rsid w:val="002C6C56"/>
    <w:rsid w:val="002C6E0A"/>
    <w:rsid w:val="002C702A"/>
    <w:rsid w:val="002C738C"/>
    <w:rsid w:val="002C7FEA"/>
    <w:rsid w:val="002D00AF"/>
    <w:rsid w:val="002D040E"/>
    <w:rsid w:val="002D077C"/>
    <w:rsid w:val="002D178C"/>
    <w:rsid w:val="002D18F3"/>
    <w:rsid w:val="002D2493"/>
    <w:rsid w:val="002D30B2"/>
    <w:rsid w:val="002D45A8"/>
    <w:rsid w:val="002D4F63"/>
    <w:rsid w:val="002D57EC"/>
    <w:rsid w:val="002D5987"/>
    <w:rsid w:val="002D79E5"/>
    <w:rsid w:val="002E2536"/>
    <w:rsid w:val="002E34E8"/>
    <w:rsid w:val="002E36D5"/>
    <w:rsid w:val="002E38F1"/>
    <w:rsid w:val="002E4A7F"/>
    <w:rsid w:val="002E51AB"/>
    <w:rsid w:val="002E5925"/>
    <w:rsid w:val="002F100A"/>
    <w:rsid w:val="002F1986"/>
    <w:rsid w:val="002F2B4B"/>
    <w:rsid w:val="002F4B32"/>
    <w:rsid w:val="00300AE5"/>
    <w:rsid w:val="00300D52"/>
    <w:rsid w:val="00302B36"/>
    <w:rsid w:val="00302B7E"/>
    <w:rsid w:val="00303251"/>
    <w:rsid w:val="003044EE"/>
    <w:rsid w:val="00304AD9"/>
    <w:rsid w:val="00304C27"/>
    <w:rsid w:val="00304ED4"/>
    <w:rsid w:val="00307080"/>
    <w:rsid w:val="0031195C"/>
    <w:rsid w:val="0031428A"/>
    <w:rsid w:val="003147E6"/>
    <w:rsid w:val="00314B1E"/>
    <w:rsid w:val="00315CE4"/>
    <w:rsid w:val="00316F43"/>
    <w:rsid w:val="00316F50"/>
    <w:rsid w:val="0032280F"/>
    <w:rsid w:val="00323CB7"/>
    <w:rsid w:val="00323CC6"/>
    <w:rsid w:val="00323EE3"/>
    <w:rsid w:val="0032539C"/>
    <w:rsid w:val="00325779"/>
    <w:rsid w:val="00325928"/>
    <w:rsid w:val="003263B3"/>
    <w:rsid w:val="003304F8"/>
    <w:rsid w:val="00333EFF"/>
    <w:rsid w:val="00333F80"/>
    <w:rsid w:val="00335AC4"/>
    <w:rsid w:val="00337A1A"/>
    <w:rsid w:val="00337CCB"/>
    <w:rsid w:val="003412FC"/>
    <w:rsid w:val="00341E10"/>
    <w:rsid w:val="00342C2D"/>
    <w:rsid w:val="00343FD2"/>
    <w:rsid w:val="003456B2"/>
    <w:rsid w:val="00345FAF"/>
    <w:rsid w:val="00345FB7"/>
    <w:rsid w:val="00346AEF"/>
    <w:rsid w:val="00346BFB"/>
    <w:rsid w:val="00347304"/>
    <w:rsid w:val="00347819"/>
    <w:rsid w:val="00352420"/>
    <w:rsid w:val="00352631"/>
    <w:rsid w:val="00352D0A"/>
    <w:rsid w:val="003543D1"/>
    <w:rsid w:val="00354E21"/>
    <w:rsid w:val="0035563D"/>
    <w:rsid w:val="00356902"/>
    <w:rsid w:val="003576ED"/>
    <w:rsid w:val="0036054B"/>
    <w:rsid w:val="003605E3"/>
    <w:rsid w:val="00360C09"/>
    <w:rsid w:val="00360E04"/>
    <w:rsid w:val="00360ED5"/>
    <w:rsid w:val="00360F4D"/>
    <w:rsid w:val="00360FFA"/>
    <w:rsid w:val="00362E25"/>
    <w:rsid w:val="00363F31"/>
    <w:rsid w:val="00364A85"/>
    <w:rsid w:val="003650E4"/>
    <w:rsid w:val="003651F6"/>
    <w:rsid w:val="00365CD3"/>
    <w:rsid w:val="00370444"/>
    <w:rsid w:val="00370C42"/>
    <w:rsid w:val="00370CE8"/>
    <w:rsid w:val="00371059"/>
    <w:rsid w:val="003723E3"/>
    <w:rsid w:val="00373009"/>
    <w:rsid w:val="003733AB"/>
    <w:rsid w:val="0037515A"/>
    <w:rsid w:val="00380E89"/>
    <w:rsid w:val="00383143"/>
    <w:rsid w:val="00383C6E"/>
    <w:rsid w:val="00384C57"/>
    <w:rsid w:val="003860CE"/>
    <w:rsid w:val="00386B5B"/>
    <w:rsid w:val="003912D3"/>
    <w:rsid w:val="00391DB9"/>
    <w:rsid w:val="0039241C"/>
    <w:rsid w:val="003929FB"/>
    <w:rsid w:val="003932D6"/>
    <w:rsid w:val="00394D4E"/>
    <w:rsid w:val="00394E98"/>
    <w:rsid w:val="00395D78"/>
    <w:rsid w:val="00397A83"/>
    <w:rsid w:val="003A0B66"/>
    <w:rsid w:val="003A0D22"/>
    <w:rsid w:val="003A19A7"/>
    <w:rsid w:val="003A385F"/>
    <w:rsid w:val="003A5739"/>
    <w:rsid w:val="003A631A"/>
    <w:rsid w:val="003A760B"/>
    <w:rsid w:val="003A77B5"/>
    <w:rsid w:val="003B0196"/>
    <w:rsid w:val="003B0650"/>
    <w:rsid w:val="003B0CDB"/>
    <w:rsid w:val="003B1302"/>
    <w:rsid w:val="003B1B50"/>
    <w:rsid w:val="003B521E"/>
    <w:rsid w:val="003B6059"/>
    <w:rsid w:val="003B6C5D"/>
    <w:rsid w:val="003B6C75"/>
    <w:rsid w:val="003B75E8"/>
    <w:rsid w:val="003B7714"/>
    <w:rsid w:val="003B7F65"/>
    <w:rsid w:val="003C1207"/>
    <w:rsid w:val="003C1DC4"/>
    <w:rsid w:val="003C319D"/>
    <w:rsid w:val="003C394A"/>
    <w:rsid w:val="003C5443"/>
    <w:rsid w:val="003C600F"/>
    <w:rsid w:val="003D00F1"/>
    <w:rsid w:val="003D063D"/>
    <w:rsid w:val="003D0B7D"/>
    <w:rsid w:val="003D1561"/>
    <w:rsid w:val="003D2C6F"/>
    <w:rsid w:val="003D3E93"/>
    <w:rsid w:val="003D527E"/>
    <w:rsid w:val="003D5C96"/>
    <w:rsid w:val="003D71D7"/>
    <w:rsid w:val="003E1030"/>
    <w:rsid w:val="003E18A3"/>
    <w:rsid w:val="003E237A"/>
    <w:rsid w:val="003E43B0"/>
    <w:rsid w:val="003E4653"/>
    <w:rsid w:val="003E5CF2"/>
    <w:rsid w:val="003F130B"/>
    <w:rsid w:val="003F316B"/>
    <w:rsid w:val="003F32AA"/>
    <w:rsid w:val="003F39D8"/>
    <w:rsid w:val="003F3DDA"/>
    <w:rsid w:val="003F40F7"/>
    <w:rsid w:val="003F48F5"/>
    <w:rsid w:val="003F4966"/>
    <w:rsid w:val="003F54A8"/>
    <w:rsid w:val="003F5A62"/>
    <w:rsid w:val="003F5E8D"/>
    <w:rsid w:val="003F69F4"/>
    <w:rsid w:val="003F6E93"/>
    <w:rsid w:val="003F713B"/>
    <w:rsid w:val="003F7746"/>
    <w:rsid w:val="003F7A01"/>
    <w:rsid w:val="003F7F56"/>
    <w:rsid w:val="00400BA0"/>
    <w:rsid w:val="00400D4D"/>
    <w:rsid w:val="0040393D"/>
    <w:rsid w:val="00403E1D"/>
    <w:rsid w:val="00404940"/>
    <w:rsid w:val="004057F5"/>
    <w:rsid w:val="00407A97"/>
    <w:rsid w:val="00407DB3"/>
    <w:rsid w:val="0041003F"/>
    <w:rsid w:val="0041007E"/>
    <w:rsid w:val="004103A7"/>
    <w:rsid w:val="00410E81"/>
    <w:rsid w:val="00411E25"/>
    <w:rsid w:val="00414BDB"/>
    <w:rsid w:val="00415C86"/>
    <w:rsid w:val="004166F2"/>
    <w:rsid w:val="00416BED"/>
    <w:rsid w:val="00417863"/>
    <w:rsid w:val="00417F90"/>
    <w:rsid w:val="00420BF6"/>
    <w:rsid w:val="00421A37"/>
    <w:rsid w:val="00421B20"/>
    <w:rsid w:val="004223A8"/>
    <w:rsid w:val="00422406"/>
    <w:rsid w:val="004239C1"/>
    <w:rsid w:val="004248FF"/>
    <w:rsid w:val="00424CC6"/>
    <w:rsid w:val="004254C9"/>
    <w:rsid w:val="00425821"/>
    <w:rsid w:val="00425D58"/>
    <w:rsid w:val="00426275"/>
    <w:rsid w:val="0042745A"/>
    <w:rsid w:val="00430072"/>
    <w:rsid w:val="00432C2E"/>
    <w:rsid w:val="00432D6B"/>
    <w:rsid w:val="004339C7"/>
    <w:rsid w:val="00433EEF"/>
    <w:rsid w:val="004340FD"/>
    <w:rsid w:val="004346B7"/>
    <w:rsid w:val="00434B01"/>
    <w:rsid w:val="00434C4F"/>
    <w:rsid w:val="00436F7F"/>
    <w:rsid w:val="00444534"/>
    <w:rsid w:val="004447CF"/>
    <w:rsid w:val="00445439"/>
    <w:rsid w:val="004458B4"/>
    <w:rsid w:val="00446BC1"/>
    <w:rsid w:val="00447336"/>
    <w:rsid w:val="00450293"/>
    <w:rsid w:val="004508A6"/>
    <w:rsid w:val="0045140B"/>
    <w:rsid w:val="00453B50"/>
    <w:rsid w:val="00454C0C"/>
    <w:rsid w:val="00455455"/>
    <w:rsid w:val="004556EE"/>
    <w:rsid w:val="004559EF"/>
    <w:rsid w:val="00457C1F"/>
    <w:rsid w:val="00460BC3"/>
    <w:rsid w:val="00462527"/>
    <w:rsid w:val="00463927"/>
    <w:rsid w:val="00463A21"/>
    <w:rsid w:val="00463D4B"/>
    <w:rsid w:val="00463F16"/>
    <w:rsid w:val="00464B36"/>
    <w:rsid w:val="00465287"/>
    <w:rsid w:val="00466B4B"/>
    <w:rsid w:val="004701CB"/>
    <w:rsid w:val="00471599"/>
    <w:rsid w:val="00471682"/>
    <w:rsid w:val="00472166"/>
    <w:rsid w:val="00480154"/>
    <w:rsid w:val="0048085B"/>
    <w:rsid w:val="00480BB3"/>
    <w:rsid w:val="00481041"/>
    <w:rsid w:val="004815DF"/>
    <w:rsid w:val="004819DC"/>
    <w:rsid w:val="00481E5D"/>
    <w:rsid w:val="00482991"/>
    <w:rsid w:val="00482F70"/>
    <w:rsid w:val="00483A75"/>
    <w:rsid w:val="00484615"/>
    <w:rsid w:val="00484B4A"/>
    <w:rsid w:val="004865BD"/>
    <w:rsid w:val="00491DD3"/>
    <w:rsid w:val="00494298"/>
    <w:rsid w:val="00494F07"/>
    <w:rsid w:val="004959E2"/>
    <w:rsid w:val="0049646E"/>
    <w:rsid w:val="00496585"/>
    <w:rsid w:val="00496BD4"/>
    <w:rsid w:val="00496C62"/>
    <w:rsid w:val="004A1A5A"/>
    <w:rsid w:val="004A2DAF"/>
    <w:rsid w:val="004A2F94"/>
    <w:rsid w:val="004A3793"/>
    <w:rsid w:val="004A581F"/>
    <w:rsid w:val="004A5F95"/>
    <w:rsid w:val="004A6273"/>
    <w:rsid w:val="004A6ED7"/>
    <w:rsid w:val="004A79F2"/>
    <w:rsid w:val="004B09EE"/>
    <w:rsid w:val="004B125B"/>
    <w:rsid w:val="004B15E5"/>
    <w:rsid w:val="004B24AD"/>
    <w:rsid w:val="004B438B"/>
    <w:rsid w:val="004B63CF"/>
    <w:rsid w:val="004B6AF5"/>
    <w:rsid w:val="004C099F"/>
    <w:rsid w:val="004C178A"/>
    <w:rsid w:val="004C1AAF"/>
    <w:rsid w:val="004C3A2F"/>
    <w:rsid w:val="004C4E44"/>
    <w:rsid w:val="004C574A"/>
    <w:rsid w:val="004C6DF4"/>
    <w:rsid w:val="004D0162"/>
    <w:rsid w:val="004D0CAB"/>
    <w:rsid w:val="004D364E"/>
    <w:rsid w:val="004D3F8B"/>
    <w:rsid w:val="004D4C34"/>
    <w:rsid w:val="004D58A9"/>
    <w:rsid w:val="004D700F"/>
    <w:rsid w:val="004D70CF"/>
    <w:rsid w:val="004E0551"/>
    <w:rsid w:val="004E206A"/>
    <w:rsid w:val="004E35AB"/>
    <w:rsid w:val="004E413D"/>
    <w:rsid w:val="004E59E3"/>
    <w:rsid w:val="004E605A"/>
    <w:rsid w:val="004E614E"/>
    <w:rsid w:val="004E62CB"/>
    <w:rsid w:val="004E651F"/>
    <w:rsid w:val="004F1FE4"/>
    <w:rsid w:val="004F2EB7"/>
    <w:rsid w:val="004F35FE"/>
    <w:rsid w:val="004F3E90"/>
    <w:rsid w:val="004F3FD7"/>
    <w:rsid w:val="004F5729"/>
    <w:rsid w:val="004F5E75"/>
    <w:rsid w:val="004F6321"/>
    <w:rsid w:val="004F6D91"/>
    <w:rsid w:val="005018F1"/>
    <w:rsid w:val="00502500"/>
    <w:rsid w:val="00504354"/>
    <w:rsid w:val="00504901"/>
    <w:rsid w:val="0050496F"/>
    <w:rsid w:val="0050541B"/>
    <w:rsid w:val="00505899"/>
    <w:rsid w:val="00506C84"/>
    <w:rsid w:val="0050769D"/>
    <w:rsid w:val="0051053B"/>
    <w:rsid w:val="00510BC0"/>
    <w:rsid w:val="00511EC1"/>
    <w:rsid w:val="005123B9"/>
    <w:rsid w:val="005126D9"/>
    <w:rsid w:val="005138DA"/>
    <w:rsid w:val="00513FF4"/>
    <w:rsid w:val="005140F1"/>
    <w:rsid w:val="005147F2"/>
    <w:rsid w:val="00516089"/>
    <w:rsid w:val="0051687E"/>
    <w:rsid w:val="0051741D"/>
    <w:rsid w:val="00520634"/>
    <w:rsid w:val="00521016"/>
    <w:rsid w:val="00522A69"/>
    <w:rsid w:val="005230BD"/>
    <w:rsid w:val="00524153"/>
    <w:rsid w:val="0052457E"/>
    <w:rsid w:val="00525A9B"/>
    <w:rsid w:val="005260EB"/>
    <w:rsid w:val="00530B03"/>
    <w:rsid w:val="00531F3B"/>
    <w:rsid w:val="005345BB"/>
    <w:rsid w:val="00535096"/>
    <w:rsid w:val="005359A5"/>
    <w:rsid w:val="00535A1A"/>
    <w:rsid w:val="00535DC6"/>
    <w:rsid w:val="00537C15"/>
    <w:rsid w:val="00540228"/>
    <w:rsid w:val="00540685"/>
    <w:rsid w:val="00540996"/>
    <w:rsid w:val="0054158F"/>
    <w:rsid w:val="0054199F"/>
    <w:rsid w:val="005430A4"/>
    <w:rsid w:val="0054418B"/>
    <w:rsid w:val="0054540B"/>
    <w:rsid w:val="00545656"/>
    <w:rsid w:val="00546AA5"/>
    <w:rsid w:val="00547946"/>
    <w:rsid w:val="00547DC6"/>
    <w:rsid w:val="0055041A"/>
    <w:rsid w:val="00551150"/>
    <w:rsid w:val="00552512"/>
    <w:rsid w:val="0055341B"/>
    <w:rsid w:val="0055454B"/>
    <w:rsid w:val="00555280"/>
    <w:rsid w:val="005559C4"/>
    <w:rsid w:val="00555B9E"/>
    <w:rsid w:val="00557066"/>
    <w:rsid w:val="005605E8"/>
    <w:rsid w:val="00560A22"/>
    <w:rsid w:val="00561BF1"/>
    <w:rsid w:val="005644CC"/>
    <w:rsid w:val="005645B9"/>
    <w:rsid w:val="00565531"/>
    <w:rsid w:val="0056720C"/>
    <w:rsid w:val="00571347"/>
    <w:rsid w:val="005713DC"/>
    <w:rsid w:val="00571883"/>
    <w:rsid w:val="005732F8"/>
    <w:rsid w:val="005733F9"/>
    <w:rsid w:val="005744D7"/>
    <w:rsid w:val="005768F2"/>
    <w:rsid w:val="00576C7D"/>
    <w:rsid w:val="00576FF2"/>
    <w:rsid w:val="00577D01"/>
    <w:rsid w:val="00580083"/>
    <w:rsid w:val="005800E5"/>
    <w:rsid w:val="00580BEE"/>
    <w:rsid w:val="00581DD4"/>
    <w:rsid w:val="0058427A"/>
    <w:rsid w:val="0058529D"/>
    <w:rsid w:val="00585D42"/>
    <w:rsid w:val="00587280"/>
    <w:rsid w:val="00590673"/>
    <w:rsid w:val="00590A38"/>
    <w:rsid w:val="00590B9E"/>
    <w:rsid w:val="00591587"/>
    <w:rsid w:val="00593079"/>
    <w:rsid w:val="00593A65"/>
    <w:rsid w:val="005951A3"/>
    <w:rsid w:val="0059548E"/>
    <w:rsid w:val="00595535"/>
    <w:rsid w:val="005958B7"/>
    <w:rsid w:val="00596223"/>
    <w:rsid w:val="0059633C"/>
    <w:rsid w:val="0059657D"/>
    <w:rsid w:val="00597AC2"/>
    <w:rsid w:val="00597BC8"/>
    <w:rsid w:val="005A1BFB"/>
    <w:rsid w:val="005A266C"/>
    <w:rsid w:val="005A266D"/>
    <w:rsid w:val="005A2796"/>
    <w:rsid w:val="005A4F25"/>
    <w:rsid w:val="005A53C1"/>
    <w:rsid w:val="005A7CCE"/>
    <w:rsid w:val="005B0186"/>
    <w:rsid w:val="005B0923"/>
    <w:rsid w:val="005B2609"/>
    <w:rsid w:val="005B3A60"/>
    <w:rsid w:val="005C0A94"/>
    <w:rsid w:val="005C0C5C"/>
    <w:rsid w:val="005C3C74"/>
    <w:rsid w:val="005C3F40"/>
    <w:rsid w:val="005C44E8"/>
    <w:rsid w:val="005C5F1E"/>
    <w:rsid w:val="005C6144"/>
    <w:rsid w:val="005C6328"/>
    <w:rsid w:val="005D013C"/>
    <w:rsid w:val="005D04B6"/>
    <w:rsid w:val="005D05F6"/>
    <w:rsid w:val="005D1013"/>
    <w:rsid w:val="005D23BA"/>
    <w:rsid w:val="005D39C0"/>
    <w:rsid w:val="005D4D95"/>
    <w:rsid w:val="005D684E"/>
    <w:rsid w:val="005D72F0"/>
    <w:rsid w:val="005D79A1"/>
    <w:rsid w:val="005D7FEF"/>
    <w:rsid w:val="005E0A95"/>
    <w:rsid w:val="005E1136"/>
    <w:rsid w:val="005E127A"/>
    <w:rsid w:val="005E1314"/>
    <w:rsid w:val="005E2559"/>
    <w:rsid w:val="005E2E42"/>
    <w:rsid w:val="005E37B0"/>
    <w:rsid w:val="005E3840"/>
    <w:rsid w:val="005E3F3E"/>
    <w:rsid w:val="005E40EB"/>
    <w:rsid w:val="005E4FBC"/>
    <w:rsid w:val="005E527B"/>
    <w:rsid w:val="005E7E41"/>
    <w:rsid w:val="005F08FC"/>
    <w:rsid w:val="005F0EDE"/>
    <w:rsid w:val="005F2920"/>
    <w:rsid w:val="005F319C"/>
    <w:rsid w:val="005F331C"/>
    <w:rsid w:val="005F33D2"/>
    <w:rsid w:val="005F4BE4"/>
    <w:rsid w:val="005F5213"/>
    <w:rsid w:val="005F5451"/>
    <w:rsid w:val="005F5B45"/>
    <w:rsid w:val="005F63C4"/>
    <w:rsid w:val="005F65D5"/>
    <w:rsid w:val="005F773F"/>
    <w:rsid w:val="005F78BC"/>
    <w:rsid w:val="00600242"/>
    <w:rsid w:val="00600A8D"/>
    <w:rsid w:val="00600F79"/>
    <w:rsid w:val="00601CF9"/>
    <w:rsid w:val="00602E93"/>
    <w:rsid w:val="00604326"/>
    <w:rsid w:val="0060449F"/>
    <w:rsid w:val="0060541F"/>
    <w:rsid w:val="0060577B"/>
    <w:rsid w:val="00605F76"/>
    <w:rsid w:val="00607AFD"/>
    <w:rsid w:val="00607D03"/>
    <w:rsid w:val="0061010A"/>
    <w:rsid w:val="0061041E"/>
    <w:rsid w:val="00610514"/>
    <w:rsid w:val="00612717"/>
    <w:rsid w:val="00612904"/>
    <w:rsid w:val="00612A5F"/>
    <w:rsid w:val="006149BA"/>
    <w:rsid w:val="006156AF"/>
    <w:rsid w:val="006160E7"/>
    <w:rsid w:val="00616211"/>
    <w:rsid w:val="00620300"/>
    <w:rsid w:val="0062080A"/>
    <w:rsid w:val="00622DA5"/>
    <w:rsid w:val="00632ABA"/>
    <w:rsid w:val="00632E89"/>
    <w:rsid w:val="00634B7F"/>
    <w:rsid w:val="00634C82"/>
    <w:rsid w:val="00635167"/>
    <w:rsid w:val="00635B05"/>
    <w:rsid w:val="00635BA8"/>
    <w:rsid w:val="00636BBC"/>
    <w:rsid w:val="00636C38"/>
    <w:rsid w:val="006375DD"/>
    <w:rsid w:val="006401D9"/>
    <w:rsid w:val="00641955"/>
    <w:rsid w:val="006423DF"/>
    <w:rsid w:val="00644256"/>
    <w:rsid w:val="0065001F"/>
    <w:rsid w:val="00650E96"/>
    <w:rsid w:val="006510F4"/>
    <w:rsid w:val="00652093"/>
    <w:rsid w:val="00652F30"/>
    <w:rsid w:val="006530B0"/>
    <w:rsid w:val="006546E4"/>
    <w:rsid w:val="0065479B"/>
    <w:rsid w:val="00654BAD"/>
    <w:rsid w:val="006558FF"/>
    <w:rsid w:val="00656C6B"/>
    <w:rsid w:val="006571FC"/>
    <w:rsid w:val="00657479"/>
    <w:rsid w:val="0065750A"/>
    <w:rsid w:val="0065797F"/>
    <w:rsid w:val="006601AF"/>
    <w:rsid w:val="00662310"/>
    <w:rsid w:val="00662ED8"/>
    <w:rsid w:val="00663417"/>
    <w:rsid w:val="00665EE5"/>
    <w:rsid w:val="00666487"/>
    <w:rsid w:val="00666525"/>
    <w:rsid w:val="00667009"/>
    <w:rsid w:val="00667F35"/>
    <w:rsid w:val="00671013"/>
    <w:rsid w:val="00671B80"/>
    <w:rsid w:val="006720C0"/>
    <w:rsid w:val="006727B9"/>
    <w:rsid w:val="00673678"/>
    <w:rsid w:val="00674545"/>
    <w:rsid w:val="00674932"/>
    <w:rsid w:val="0067499C"/>
    <w:rsid w:val="00675B85"/>
    <w:rsid w:val="00677D57"/>
    <w:rsid w:val="00677E6A"/>
    <w:rsid w:val="00680782"/>
    <w:rsid w:val="00680B5A"/>
    <w:rsid w:val="00681B22"/>
    <w:rsid w:val="00682007"/>
    <w:rsid w:val="0068424F"/>
    <w:rsid w:val="0068486A"/>
    <w:rsid w:val="006860AE"/>
    <w:rsid w:val="0068642E"/>
    <w:rsid w:val="0068646B"/>
    <w:rsid w:val="006868A8"/>
    <w:rsid w:val="006871F6"/>
    <w:rsid w:val="00691BB8"/>
    <w:rsid w:val="00692E32"/>
    <w:rsid w:val="00693B91"/>
    <w:rsid w:val="006955A5"/>
    <w:rsid w:val="006960C2"/>
    <w:rsid w:val="006A07B8"/>
    <w:rsid w:val="006A189F"/>
    <w:rsid w:val="006A1906"/>
    <w:rsid w:val="006A2DCC"/>
    <w:rsid w:val="006A3187"/>
    <w:rsid w:val="006A37D7"/>
    <w:rsid w:val="006A5E59"/>
    <w:rsid w:val="006A7802"/>
    <w:rsid w:val="006A7A4E"/>
    <w:rsid w:val="006A7C5F"/>
    <w:rsid w:val="006A7D11"/>
    <w:rsid w:val="006A7E96"/>
    <w:rsid w:val="006A7F2F"/>
    <w:rsid w:val="006B0030"/>
    <w:rsid w:val="006B017F"/>
    <w:rsid w:val="006B2806"/>
    <w:rsid w:val="006B3107"/>
    <w:rsid w:val="006B5765"/>
    <w:rsid w:val="006B5E52"/>
    <w:rsid w:val="006B6126"/>
    <w:rsid w:val="006B6A25"/>
    <w:rsid w:val="006B7FF4"/>
    <w:rsid w:val="006C121A"/>
    <w:rsid w:val="006C189F"/>
    <w:rsid w:val="006C1F6C"/>
    <w:rsid w:val="006C3C3F"/>
    <w:rsid w:val="006C410D"/>
    <w:rsid w:val="006C477E"/>
    <w:rsid w:val="006C56CA"/>
    <w:rsid w:val="006C5760"/>
    <w:rsid w:val="006C58B9"/>
    <w:rsid w:val="006C6050"/>
    <w:rsid w:val="006C6364"/>
    <w:rsid w:val="006C673D"/>
    <w:rsid w:val="006D098D"/>
    <w:rsid w:val="006D44B9"/>
    <w:rsid w:val="006D545D"/>
    <w:rsid w:val="006D585D"/>
    <w:rsid w:val="006D602D"/>
    <w:rsid w:val="006E08B5"/>
    <w:rsid w:val="006E1D27"/>
    <w:rsid w:val="006E20EA"/>
    <w:rsid w:val="006E2518"/>
    <w:rsid w:val="006E2597"/>
    <w:rsid w:val="006E2B89"/>
    <w:rsid w:val="006E326F"/>
    <w:rsid w:val="006E3CA9"/>
    <w:rsid w:val="006E3F3F"/>
    <w:rsid w:val="006E4C7E"/>
    <w:rsid w:val="006E64FA"/>
    <w:rsid w:val="006E7EB7"/>
    <w:rsid w:val="006F0712"/>
    <w:rsid w:val="006F0D7D"/>
    <w:rsid w:val="006F192D"/>
    <w:rsid w:val="006F1B9F"/>
    <w:rsid w:val="006F1D30"/>
    <w:rsid w:val="006F218C"/>
    <w:rsid w:val="006F2D1E"/>
    <w:rsid w:val="006F4E28"/>
    <w:rsid w:val="006F58D0"/>
    <w:rsid w:val="006F5E7F"/>
    <w:rsid w:val="006F60B3"/>
    <w:rsid w:val="006F6293"/>
    <w:rsid w:val="006F6A94"/>
    <w:rsid w:val="006F71E2"/>
    <w:rsid w:val="00700926"/>
    <w:rsid w:val="00700B13"/>
    <w:rsid w:val="00701262"/>
    <w:rsid w:val="00701652"/>
    <w:rsid w:val="00702D68"/>
    <w:rsid w:val="007033B1"/>
    <w:rsid w:val="00703850"/>
    <w:rsid w:val="00703897"/>
    <w:rsid w:val="00704DCE"/>
    <w:rsid w:val="007056E9"/>
    <w:rsid w:val="0070574A"/>
    <w:rsid w:val="00705A5F"/>
    <w:rsid w:val="00705DDA"/>
    <w:rsid w:val="00705E72"/>
    <w:rsid w:val="00706E23"/>
    <w:rsid w:val="007076E9"/>
    <w:rsid w:val="007104C0"/>
    <w:rsid w:val="0071127B"/>
    <w:rsid w:val="00711810"/>
    <w:rsid w:val="0071225D"/>
    <w:rsid w:val="0071402E"/>
    <w:rsid w:val="00716DE8"/>
    <w:rsid w:val="00717290"/>
    <w:rsid w:val="0072097B"/>
    <w:rsid w:val="007230E2"/>
    <w:rsid w:val="007240EA"/>
    <w:rsid w:val="00724109"/>
    <w:rsid w:val="00724B10"/>
    <w:rsid w:val="00724E25"/>
    <w:rsid w:val="00726407"/>
    <w:rsid w:val="00726A8D"/>
    <w:rsid w:val="007270A5"/>
    <w:rsid w:val="00730098"/>
    <w:rsid w:val="00730F91"/>
    <w:rsid w:val="00731FC2"/>
    <w:rsid w:val="007323C2"/>
    <w:rsid w:val="007328A1"/>
    <w:rsid w:val="0073377E"/>
    <w:rsid w:val="00733C45"/>
    <w:rsid w:val="00733F69"/>
    <w:rsid w:val="00734761"/>
    <w:rsid w:val="00737729"/>
    <w:rsid w:val="00740014"/>
    <w:rsid w:val="007402FE"/>
    <w:rsid w:val="007431DE"/>
    <w:rsid w:val="0074372E"/>
    <w:rsid w:val="0074487A"/>
    <w:rsid w:val="00745031"/>
    <w:rsid w:val="00750113"/>
    <w:rsid w:val="0075187F"/>
    <w:rsid w:val="00752C1A"/>
    <w:rsid w:val="007544EE"/>
    <w:rsid w:val="007548DD"/>
    <w:rsid w:val="007554DC"/>
    <w:rsid w:val="00755F4F"/>
    <w:rsid w:val="00756B26"/>
    <w:rsid w:val="00756EE3"/>
    <w:rsid w:val="007570AF"/>
    <w:rsid w:val="00757619"/>
    <w:rsid w:val="00760394"/>
    <w:rsid w:val="007611A7"/>
    <w:rsid w:val="00761954"/>
    <w:rsid w:val="007623FC"/>
    <w:rsid w:val="00763791"/>
    <w:rsid w:val="0076397A"/>
    <w:rsid w:val="0076543F"/>
    <w:rsid w:val="00766A9D"/>
    <w:rsid w:val="00767FAB"/>
    <w:rsid w:val="0077644D"/>
    <w:rsid w:val="007765AD"/>
    <w:rsid w:val="00776770"/>
    <w:rsid w:val="007773D1"/>
    <w:rsid w:val="00777880"/>
    <w:rsid w:val="00777F12"/>
    <w:rsid w:val="00780A16"/>
    <w:rsid w:val="00780E23"/>
    <w:rsid w:val="007813EC"/>
    <w:rsid w:val="00782452"/>
    <w:rsid w:val="007829EF"/>
    <w:rsid w:val="00782E63"/>
    <w:rsid w:val="00782F9F"/>
    <w:rsid w:val="00782FFB"/>
    <w:rsid w:val="00784204"/>
    <w:rsid w:val="00784E0C"/>
    <w:rsid w:val="00785550"/>
    <w:rsid w:val="00786448"/>
    <w:rsid w:val="007866B4"/>
    <w:rsid w:val="00786E16"/>
    <w:rsid w:val="007871CB"/>
    <w:rsid w:val="00787460"/>
    <w:rsid w:val="00790E79"/>
    <w:rsid w:val="00791C49"/>
    <w:rsid w:val="007928D3"/>
    <w:rsid w:val="00793001"/>
    <w:rsid w:val="007938AB"/>
    <w:rsid w:val="007939F9"/>
    <w:rsid w:val="00793F45"/>
    <w:rsid w:val="00794067"/>
    <w:rsid w:val="007948FB"/>
    <w:rsid w:val="00794D86"/>
    <w:rsid w:val="00795966"/>
    <w:rsid w:val="00796B91"/>
    <w:rsid w:val="007A2151"/>
    <w:rsid w:val="007A35E1"/>
    <w:rsid w:val="007A5CF0"/>
    <w:rsid w:val="007A5CF8"/>
    <w:rsid w:val="007A628C"/>
    <w:rsid w:val="007A78DA"/>
    <w:rsid w:val="007B04AF"/>
    <w:rsid w:val="007B09DE"/>
    <w:rsid w:val="007B0BD2"/>
    <w:rsid w:val="007B2652"/>
    <w:rsid w:val="007B31E7"/>
    <w:rsid w:val="007B3720"/>
    <w:rsid w:val="007B3B5F"/>
    <w:rsid w:val="007B4C88"/>
    <w:rsid w:val="007B4FB0"/>
    <w:rsid w:val="007B6EED"/>
    <w:rsid w:val="007C058E"/>
    <w:rsid w:val="007C2A27"/>
    <w:rsid w:val="007C2F64"/>
    <w:rsid w:val="007C310C"/>
    <w:rsid w:val="007C3336"/>
    <w:rsid w:val="007C3BF7"/>
    <w:rsid w:val="007C4D3C"/>
    <w:rsid w:val="007C7046"/>
    <w:rsid w:val="007C72CC"/>
    <w:rsid w:val="007C7B9B"/>
    <w:rsid w:val="007C7D16"/>
    <w:rsid w:val="007D27A9"/>
    <w:rsid w:val="007D285B"/>
    <w:rsid w:val="007D28F4"/>
    <w:rsid w:val="007D2EC9"/>
    <w:rsid w:val="007D40F4"/>
    <w:rsid w:val="007D41BC"/>
    <w:rsid w:val="007D45B1"/>
    <w:rsid w:val="007D6963"/>
    <w:rsid w:val="007D7020"/>
    <w:rsid w:val="007D71BE"/>
    <w:rsid w:val="007D7217"/>
    <w:rsid w:val="007D7287"/>
    <w:rsid w:val="007D7858"/>
    <w:rsid w:val="007E01AE"/>
    <w:rsid w:val="007E1356"/>
    <w:rsid w:val="007E197F"/>
    <w:rsid w:val="007E2179"/>
    <w:rsid w:val="007E4113"/>
    <w:rsid w:val="007E5135"/>
    <w:rsid w:val="007E6920"/>
    <w:rsid w:val="007E6D91"/>
    <w:rsid w:val="007E6D95"/>
    <w:rsid w:val="007E728F"/>
    <w:rsid w:val="007F1BDE"/>
    <w:rsid w:val="007F2978"/>
    <w:rsid w:val="007F2AAA"/>
    <w:rsid w:val="007F2B41"/>
    <w:rsid w:val="007F32E8"/>
    <w:rsid w:val="007F3322"/>
    <w:rsid w:val="007F3777"/>
    <w:rsid w:val="007F3928"/>
    <w:rsid w:val="007F3B04"/>
    <w:rsid w:val="007F43A2"/>
    <w:rsid w:val="007F54D7"/>
    <w:rsid w:val="007F5839"/>
    <w:rsid w:val="007F5ED4"/>
    <w:rsid w:val="007F6306"/>
    <w:rsid w:val="007F6FCA"/>
    <w:rsid w:val="0080023C"/>
    <w:rsid w:val="008010C2"/>
    <w:rsid w:val="0080125A"/>
    <w:rsid w:val="00801EDE"/>
    <w:rsid w:val="00801FD2"/>
    <w:rsid w:val="0080269C"/>
    <w:rsid w:val="00802891"/>
    <w:rsid w:val="008032E5"/>
    <w:rsid w:val="00803407"/>
    <w:rsid w:val="00803C66"/>
    <w:rsid w:val="00804019"/>
    <w:rsid w:val="008052C5"/>
    <w:rsid w:val="00805956"/>
    <w:rsid w:val="00805E76"/>
    <w:rsid w:val="00807433"/>
    <w:rsid w:val="008104F0"/>
    <w:rsid w:val="00811424"/>
    <w:rsid w:val="008114C7"/>
    <w:rsid w:val="00812388"/>
    <w:rsid w:val="00813040"/>
    <w:rsid w:val="0081446E"/>
    <w:rsid w:val="00814BF6"/>
    <w:rsid w:val="00816D8B"/>
    <w:rsid w:val="008171DB"/>
    <w:rsid w:val="00817248"/>
    <w:rsid w:val="00817934"/>
    <w:rsid w:val="00817A71"/>
    <w:rsid w:val="008208C9"/>
    <w:rsid w:val="00821C05"/>
    <w:rsid w:val="00821F13"/>
    <w:rsid w:val="008242F4"/>
    <w:rsid w:val="0082659B"/>
    <w:rsid w:val="00826A84"/>
    <w:rsid w:val="00827B46"/>
    <w:rsid w:val="0083027C"/>
    <w:rsid w:val="00830EFD"/>
    <w:rsid w:val="00831409"/>
    <w:rsid w:val="00831685"/>
    <w:rsid w:val="00831738"/>
    <w:rsid w:val="00833A8B"/>
    <w:rsid w:val="0083502F"/>
    <w:rsid w:val="008352D1"/>
    <w:rsid w:val="008362D7"/>
    <w:rsid w:val="008369ED"/>
    <w:rsid w:val="008374F0"/>
    <w:rsid w:val="00837934"/>
    <w:rsid w:val="0083796D"/>
    <w:rsid w:val="00840577"/>
    <w:rsid w:val="00842155"/>
    <w:rsid w:val="00843187"/>
    <w:rsid w:val="008438FE"/>
    <w:rsid w:val="008444A8"/>
    <w:rsid w:val="008461F6"/>
    <w:rsid w:val="0084689D"/>
    <w:rsid w:val="00847926"/>
    <w:rsid w:val="00850C6D"/>
    <w:rsid w:val="00852379"/>
    <w:rsid w:val="008529A6"/>
    <w:rsid w:val="008531DC"/>
    <w:rsid w:val="00854993"/>
    <w:rsid w:val="008550D8"/>
    <w:rsid w:val="008554CE"/>
    <w:rsid w:val="00860436"/>
    <w:rsid w:val="00862643"/>
    <w:rsid w:val="008634D8"/>
    <w:rsid w:val="00863A1D"/>
    <w:rsid w:val="00864439"/>
    <w:rsid w:val="0086457E"/>
    <w:rsid w:val="008712D5"/>
    <w:rsid w:val="008712FD"/>
    <w:rsid w:val="00871714"/>
    <w:rsid w:val="008717F4"/>
    <w:rsid w:val="00873609"/>
    <w:rsid w:val="00873FD1"/>
    <w:rsid w:val="008748B2"/>
    <w:rsid w:val="008760A8"/>
    <w:rsid w:val="008771D5"/>
    <w:rsid w:val="0088018B"/>
    <w:rsid w:val="00880DD6"/>
    <w:rsid w:val="008815D9"/>
    <w:rsid w:val="00881666"/>
    <w:rsid w:val="00882AF1"/>
    <w:rsid w:val="00882DF0"/>
    <w:rsid w:val="0088514A"/>
    <w:rsid w:val="008851FC"/>
    <w:rsid w:val="00885AB6"/>
    <w:rsid w:val="00886784"/>
    <w:rsid w:val="008869F1"/>
    <w:rsid w:val="0088701C"/>
    <w:rsid w:val="00887889"/>
    <w:rsid w:val="00887E83"/>
    <w:rsid w:val="0089002D"/>
    <w:rsid w:val="00890472"/>
    <w:rsid w:val="00891EA2"/>
    <w:rsid w:val="00893752"/>
    <w:rsid w:val="008940FC"/>
    <w:rsid w:val="00894D68"/>
    <w:rsid w:val="0089521F"/>
    <w:rsid w:val="00895CED"/>
    <w:rsid w:val="00895DB1"/>
    <w:rsid w:val="008A050C"/>
    <w:rsid w:val="008A0666"/>
    <w:rsid w:val="008A1219"/>
    <w:rsid w:val="008A2230"/>
    <w:rsid w:val="008A3AF3"/>
    <w:rsid w:val="008A3C30"/>
    <w:rsid w:val="008A4F2A"/>
    <w:rsid w:val="008A51E8"/>
    <w:rsid w:val="008A56CF"/>
    <w:rsid w:val="008B0D79"/>
    <w:rsid w:val="008B1A48"/>
    <w:rsid w:val="008B1D55"/>
    <w:rsid w:val="008B3378"/>
    <w:rsid w:val="008B434A"/>
    <w:rsid w:val="008B713E"/>
    <w:rsid w:val="008B74CC"/>
    <w:rsid w:val="008C283D"/>
    <w:rsid w:val="008C3BAF"/>
    <w:rsid w:val="008C44E2"/>
    <w:rsid w:val="008C63A1"/>
    <w:rsid w:val="008C6F7B"/>
    <w:rsid w:val="008D02ED"/>
    <w:rsid w:val="008D090A"/>
    <w:rsid w:val="008D0F02"/>
    <w:rsid w:val="008D0F14"/>
    <w:rsid w:val="008D1285"/>
    <w:rsid w:val="008D1960"/>
    <w:rsid w:val="008D2114"/>
    <w:rsid w:val="008D21A2"/>
    <w:rsid w:val="008D3563"/>
    <w:rsid w:val="008D3C66"/>
    <w:rsid w:val="008D6EFA"/>
    <w:rsid w:val="008D6F84"/>
    <w:rsid w:val="008D6FD5"/>
    <w:rsid w:val="008E06F8"/>
    <w:rsid w:val="008E123E"/>
    <w:rsid w:val="008E15DF"/>
    <w:rsid w:val="008E2C83"/>
    <w:rsid w:val="008E3B70"/>
    <w:rsid w:val="008E42E4"/>
    <w:rsid w:val="008E4410"/>
    <w:rsid w:val="008E5702"/>
    <w:rsid w:val="008E5CAE"/>
    <w:rsid w:val="008E6CE0"/>
    <w:rsid w:val="008E76CF"/>
    <w:rsid w:val="008F20DD"/>
    <w:rsid w:val="008F2C60"/>
    <w:rsid w:val="008F3F4A"/>
    <w:rsid w:val="008F436D"/>
    <w:rsid w:val="008F43A9"/>
    <w:rsid w:val="008F50EC"/>
    <w:rsid w:val="008F548E"/>
    <w:rsid w:val="008F6BA7"/>
    <w:rsid w:val="009001D0"/>
    <w:rsid w:val="0090207F"/>
    <w:rsid w:val="00902AAC"/>
    <w:rsid w:val="00902CF8"/>
    <w:rsid w:val="00902FF1"/>
    <w:rsid w:val="00903F57"/>
    <w:rsid w:val="00906DED"/>
    <w:rsid w:val="009074E2"/>
    <w:rsid w:val="00910D9C"/>
    <w:rsid w:val="00911506"/>
    <w:rsid w:val="009133E2"/>
    <w:rsid w:val="00913F49"/>
    <w:rsid w:val="009148C3"/>
    <w:rsid w:val="0091502E"/>
    <w:rsid w:val="00915904"/>
    <w:rsid w:val="00917100"/>
    <w:rsid w:val="00917188"/>
    <w:rsid w:val="00917433"/>
    <w:rsid w:val="00917C68"/>
    <w:rsid w:val="009203F3"/>
    <w:rsid w:val="00920D4D"/>
    <w:rsid w:val="00922286"/>
    <w:rsid w:val="0092230B"/>
    <w:rsid w:val="00923B3D"/>
    <w:rsid w:val="009245DE"/>
    <w:rsid w:val="00924854"/>
    <w:rsid w:val="0092536E"/>
    <w:rsid w:val="0092549D"/>
    <w:rsid w:val="0092568B"/>
    <w:rsid w:val="00925BAB"/>
    <w:rsid w:val="00926483"/>
    <w:rsid w:val="00927331"/>
    <w:rsid w:val="00930725"/>
    <w:rsid w:val="00930C87"/>
    <w:rsid w:val="00930CF2"/>
    <w:rsid w:val="00930D2E"/>
    <w:rsid w:val="00931392"/>
    <w:rsid w:val="0093221D"/>
    <w:rsid w:val="0093226C"/>
    <w:rsid w:val="00933588"/>
    <w:rsid w:val="009338BD"/>
    <w:rsid w:val="00933C24"/>
    <w:rsid w:val="00934209"/>
    <w:rsid w:val="0093491D"/>
    <w:rsid w:val="0093510C"/>
    <w:rsid w:val="0093741A"/>
    <w:rsid w:val="00937EAF"/>
    <w:rsid w:val="009404F5"/>
    <w:rsid w:val="0094127A"/>
    <w:rsid w:val="009412D1"/>
    <w:rsid w:val="009424DD"/>
    <w:rsid w:val="009426BA"/>
    <w:rsid w:val="00943DE4"/>
    <w:rsid w:val="00945B67"/>
    <w:rsid w:val="00945BD5"/>
    <w:rsid w:val="00946D90"/>
    <w:rsid w:val="0094790F"/>
    <w:rsid w:val="00947A77"/>
    <w:rsid w:val="009504C5"/>
    <w:rsid w:val="00951615"/>
    <w:rsid w:val="00951CBD"/>
    <w:rsid w:val="00951EA2"/>
    <w:rsid w:val="009520D6"/>
    <w:rsid w:val="00952504"/>
    <w:rsid w:val="009534EB"/>
    <w:rsid w:val="0095423B"/>
    <w:rsid w:val="00954982"/>
    <w:rsid w:val="00954CC0"/>
    <w:rsid w:val="00954F8D"/>
    <w:rsid w:val="009550AD"/>
    <w:rsid w:val="00957955"/>
    <w:rsid w:val="00961C98"/>
    <w:rsid w:val="0096319D"/>
    <w:rsid w:val="009633DE"/>
    <w:rsid w:val="00965FA2"/>
    <w:rsid w:val="00967A80"/>
    <w:rsid w:val="0097103C"/>
    <w:rsid w:val="00971945"/>
    <w:rsid w:val="009741F4"/>
    <w:rsid w:val="009745AE"/>
    <w:rsid w:val="009757EB"/>
    <w:rsid w:val="00977234"/>
    <w:rsid w:val="009801E4"/>
    <w:rsid w:val="00980837"/>
    <w:rsid w:val="009819C0"/>
    <w:rsid w:val="00981C75"/>
    <w:rsid w:val="0098348B"/>
    <w:rsid w:val="00984D89"/>
    <w:rsid w:val="00986801"/>
    <w:rsid w:val="00990C52"/>
    <w:rsid w:val="009936A8"/>
    <w:rsid w:val="009941F1"/>
    <w:rsid w:val="009942D9"/>
    <w:rsid w:val="00994F12"/>
    <w:rsid w:val="00995637"/>
    <w:rsid w:val="00995712"/>
    <w:rsid w:val="00995A30"/>
    <w:rsid w:val="00995E8C"/>
    <w:rsid w:val="0099632F"/>
    <w:rsid w:val="009969D9"/>
    <w:rsid w:val="00996F98"/>
    <w:rsid w:val="009975CB"/>
    <w:rsid w:val="009A2199"/>
    <w:rsid w:val="009A2E06"/>
    <w:rsid w:val="009A2E7F"/>
    <w:rsid w:val="009A3561"/>
    <w:rsid w:val="009A4DED"/>
    <w:rsid w:val="009A5034"/>
    <w:rsid w:val="009A5576"/>
    <w:rsid w:val="009A670A"/>
    <w:rsid w:val="009A7CA1"/>
    <w:rsid w:val="009B228F"/>
    <w:rsid w:val="009B3516"/>
    <w:rsid w:val="009B373E"/>
    <w:rsid w:val="009B4172"/>
    <w:rsid w:val="009B43FF"/>
    <w:rsid w:val="009B45C4"/>
    <w:rsid w:val="009B4C3C"/>
    <w:rsid w:val="009B6E05"/>
    <w:rsid w:val="009C094A"/>
    <w:rsid w:val="009C16E9"/>
    <w:rsid w:val="009C17BF"/>
    <w:rsid w:val="009C30B4"/>
    <w:rsid w:val="009C50AC"/>
    <w:rsid w:val="009C52DE"/>
    <w:rsid w:val="009C5871"/>
    <w:rsid w:val="009C725E"/>
    <w:rsid w:val="009C77A1"/>
    <w:rsid w:val="009D0001"/>
    <w:rsid w:val="009D01EB"/>
    <w:rsid w:val="009D12CC"/>
    <w:rsid w:val="009D1ACB"/>
    <w:rsid w:val="009D2821"/>
    <w:rsid w:val="009D2C08"/>
    <w:rsid w:val="009D43CE"/>
    <w:rsid w:val="009D4AE9"/>
    <w:rsid w:val="009D4D75"/>
    <w:rsid w:val="009D5656"/>
    <w:rsid w:val="009D677E"/>
    <w:rsid w:val="009D6DDE"/>
    <w:rsid w:val="009D6E9C"/>
    <w:rsid w:val="009D706D"/>
    <w:rsid w:val="009E0581"/>
    <w:rsid w:val="009E15B3"/>
    <w:rsid w:val="009E1798"/>
    <w:rsid w:val="009E1EC0"/>
    <w:rsid w:val="009E3B66"/>
    <w:rsid w:val="009E51F6"/>
    <w:rsid w:val="009E5CD7"/>
    <w:rsid w:val="009E6D0A"/>
    <w:rsid w:val="009F2019"/>
    <w:rsid w:val="009F26D2"/>
    <w:rsid w:val="009F4496"/>
    <w:rsid w:val="009F4AAD"/>
    <w:rsid w:val="009F4AB1"/>
    <w:rsid w:val="009F56AE"/>
    <w:rsid w:val="009F57CA"/>
    <w:rsid w:val="009F72C9"/>
    <w:rsid w:val="009F77A7"/>
    <w:rsid w:val="009F7824"/>
    <w:rsid w:val="009F7D64"/>
    <w:rsid w:val="00A02CDF"/>
    <w:rsid w:val="00A0397F"/>
    <w:rsid w:val="00A03E57"/>
    <w:rsid w:val="00A0466D"/>
    <w:rsid w:val="00A05115"/>
    <w:rsid w:val="00A05F99"/>
    <w:rsid w:val="00A06362"/>
    <w:rsid w:val="00A06E5B"/>
    <w:rsid w:val="00A07794"/>
    <w:rsid w:val="00A114F2"/>
    <w:rsid w:val="00A126E0"/>
    <w:rsid w:val="00A141FC"/>
    <w:rsid w:val="00A14548"/>
    <w:rsid w:val="00A15C7C"/>
    <w:rsid w:val="00A16EC9"/>
    <w:rsid w:val="00A20017"/>
    <w:rsid w:val="00A21540"/>
    <w:rsid w:val="00A21E81"/>
    <w:rsid w:val="00A23C1D"/>
    <w:rsid w:val="00A26BD0"/>
    <w:rsid w:val="00A27B3E"/>
    <w:rsid w:val="00A31790"/>
    <w:rsid w:val="00A335B3"/>
    <w:rsid w:val="00A33CA2"/>
    <w:rsid w:val="00A34ED1"/>
    <w:rsid w:val="00A35BC4"/>
    <w:rsid w:val="00A35E2F"/>
    <w:rsid w:val="00A36101"/>
    <w:rsid w:val="00A362D7"/>
    <w:rsid w:val="00A36B2D"/>
    <w:rsid w:val="00A400EA"/>
    <w:rsid w:val="00A41A11"/>
    <w:rsid w:val="00A43F39"/>
    <w:rsid w:val="00A44C0C"/>
    <w:rsid w:val="00A451B3"/>
    <w:rsid w:val="00A456DC"/>
    <w:rsid w:val="00A464D7"/>
    <w:rsid w:val="00A50A9D"/>
    <w:rsid w:val="00A510E5"/>
    <w:rsid w:val="00A51454"/>
    <w:rsid w:val="00A51A41"/>
    <w:rsid w:val="00A51AE2"/>
    <w:rsid w:val="00A52163"/>
    <w:rsid w:val="00A52E34"/>
    <w:rsid w:val="00A52E3F"/>
    <w:rsid w:val="00A52E9D"/>
    <w:rsid w:val="00A539F8"/>
    <w:rsid w:val="00A54328"/>
    <w:rsid w:val="00A54C11"/>
    <w:rsid w:val="00A54F90"/>
    <w:rsid w:val="00A56074"/>
    <w:rsid w:val="00A56C3A"/>
    <w:rsid w:val="00A56D94"/>
    <w:rsid w:val="00A60C27"/>
    <w:rsid w:val="00A61566"/>
    <w:rsid w:val="00A6239D"/>
    <w:rsid w:val="00A640EE"/>
    <w:rsid w:val="00A64E0F"/>
    <w:rsid w:val="00A64EE7"/>
    <w:rsid w:val="00A67408"/>
    <w:rsid w:val="00A676E3"/>
    <w:rsid w:val="00A70633"/>
    <w:rsid w:val="00A70D5E"/>
    <w:rsid w:val="00A7110B"/>
    <w:rsid w:val="00A71599"/>
    <w:rsid w:val="00A74390"/>
    <w:rsid w:val="00A75A66"/>
    <w:rsid w:val="00A77F86"/>
    <w:rsid w:val="00A800D3"/>
    <w:rsid w:val="00A8028F"/>
    <w:rsid w:val="00A81154"/>
    <w:rsid w:val="00A84368"/>
    <w:rsid w:val="00A8442F"/>
    <w:rsid w:val="00A848AB"/>
    <w:rsid w:val="00A85B78"/>
    <w:rsid w:val="00A909D4"/>
    <w:rsid w:val="00A91CDB"/>
    <w:rsid w:val="00A92220"/>
    <w:rsid w:val="00A92649"/>
    <w:rsid w:val="00A94285"/>
    <w:rsid w:val="00A94366"/>
    <w:rsid w:val="00A965EE"/>
    <w:rsid w:val="00A97F0F"/>
    <w:rsid w:val="00AA03C2"/>
    <w:rsid w:val="00AA07AE"/>
    <w:rsid w:val="00AA0C29"/>
    <w:rsid w:val="00AA1D1A"/>
    <w:rsid w:val="00AA2792"/>
    <w:rsid w:val="00AA3B77"/>
    <w:rsid w:val="00AA3D89"/>
    <w:rsid w:val="00AA3DC2"/>
    <w:rsid w:val="00AA4223"/>
    <w:rsid w:val="00AA42C3"/>
    <w:rsid w:val="00AA42EB"/>
    <w:rsid w:val="00AA574B"/>
    <w:rsid w:val="00AA705A"/>
    <w:rsid w:val="00AA75F5"/>
    <w:rsid w:val="00AB04A4"/>
    <w:rsid w:val="00AB0633"/>
    <w:rsid w:val="00AB1D66"/>
    <w:rsid w:val="00AB269F"/>
    <w:rsid w:val="00AB28EB"/>
    <w:rsid w:val="00AB3C69"/>
    <w:rsid w:val="00AB449C"/>
    <w:rsid w:val="00AB4C9F"/>
    <w:rsid w:val="00AB513D"/>
    <w:rsid w:val="00AB5291"/>
    <w:rsid w:val="00AB53C6"/>
    <w:rsid w:val="00AB543E"/>
    <w:rsid w:val="00AB55E9"/>
    <w:rsid w:val="00AB56FE"/>
    <w:rsid w:val="00AB5717"/>
    <w:rsid w:val="00AB6410"/>
    <w:rsid w:val="00AB735E"/>
    <w:rsid w:val="00AC01BD"/>
    <w:rsid w:val="00AC1B77"/>
    <w:rsid w:val="00AC2144"/>
    <w:rsid w:val="00AC2F10"/>
    <w:rsid w:val="00AC35BB"/>
    <w:rsid w:val="00AC36D2"/>
    <w:rsid w:val="00AC685D"/>
    <w:rsid w:val="00AC6E8A"/>
    <w:rsid w:val="00AC7148"/>
    <w:rsid w:val="00AC77F6"/>
    <w:rsid w:val="00AC7E2C"/>
    <w:rsid w:val="00AD02A4"/>
    <w:rsid w:val="00AD0CB5"/>
    <w:rsid w:val="00AD1541"/>
    <w:rsid w:val="00AD3999"/>
    <w:rsid w:val="00AD42EE"/>
    <w:rsid w:val="00AD6109"/>
    <w:rsid w:val="00AD649E"/>
    <w:rsid w:val="00AD6ABB"/>
    <w:rsid w:val="00AD7109"/>
    <w:rsid w:val="00AD734C"/>
    <w:rsid w:val="00AE06B1"/>
    <w:rsid w:val="00AE097E"/>
    <w:rsid w:val="00AE0DED"/>
    <w:rsid w:val="00AE22E3"/>
    <w:rsid w:val="00AE4143"/>
    <w:rsid w:val="00AE4932"/>
    <w:rsid w:val="00AE5352"/>
    <w:rsid w:val="00AE5D51"/>
    <w:rsid w:val="00AE5F3A"/>
    <w:rsid w:val="00AE68DD"/>
    <w:rsid w:val="00AF0B12"/>
    <w:rsid w:val="00AF0C2D"/>
    <w:rsid w:val="00AF31CC"/>
    <w:rsid w:val="00AF3D6D"/>
    <w:rsid w:val="00AF4169"/>
    <w:rsid w:val="00AF45B6"/>
    <w:rsid w:val="00AF4D56"/>
    <w:rsid w:val="00AF5F77"/>
    <w:rsid w:val="00AF64D7"/>
    <w:rsid w:val="00B00087"/>
    <w:rsid w:val="00B00707"/>
    <w:rsid w:val="00B015A5"/>
    <w:rsid w:val="00B02201"/>
    <w:rsid w:val="00B02E85"/>
    <w:rsid w:val="00B056FE"/>
    <w:rsid w:val="00B05AF8"/>
    <w:rsid w:val="00B10CF4"/>
    <w:rsid w:val="00B114A7"/>
    <w:rsid w:val="00B12A8D"/>
    <w:rsid w:val="00B1337C"/>
    <w:rsid w:val="00B13F9D"/>
    <w:rsid w:val="00B1489C"/>
    <w:rsid w:val="00B14BEF"/>
    <w:rsid w:val="00B16D30"/>
    <w:rsid w:val="00B171AF"/>
    <w:rsid w:val="00B201CD"/>
    <w:rsid w:val="00B2052E"/>
    <w:rsid w:val="00B22F3D"/>
    <w:rsid w:val="00B23DBF"/>
    <w:rsid w:val="00B25765"/>
    <w:rsid w:val="00B261FC"/>
    <w:rsid w:val="00B26B65"/>
    <w:rsid w:val="00B3166B"/>
    <w:rsid w:val="00B317C4"/>
    <w:rsid w:val="00B317DF"/>
    <w:rsid w:val="00B3395D"/>
    <w:rsid w:val="00B33B5E"/>
    <w:rsid w:val="00B35C89"/>
    <w:rsid w:val="00B36BFF"/>
    <w:rsid w:val="00B36EEE"/>
    <w:rsid w:val="00B4052B"/>
    <w:rsid w:val="00B40E96"/>
    <w:rsid w:val="00B42777"/>
    <w:rsid w:val="00B42C76"/>
    <w:rsid w:val="00B4427C"/>
    <w:rsid w:val="00B44479"/>
    <w:rsid w:val="00B45921"/>
    <w:rsid w:val="00B501ED"/>
    <w:rsid w:val="00B52CFF"/>
    <w:rsid w:val="00B531D4"/>
    <w:rsid w:val="00B53B2D"/>
    <w:rsid w:val="00B542A6"/>
    <w:rsid w:val="00B54622"/>
    <w:rsid w:val="00B55042"/>
    <w:rsid w:val="00B55832"/>
    <w:rsid w:val="00B60192"/>
    <w:rsid w:val="00B6024C"/>
    <w:rsid w:val="00B60777"/>
    <w:rsid w:val="00B61C4B"/>
    <w:rsid w:val="00B6375F"/>
    <w:rsid w:val="00B63815"/>
    <w:rsid w:val="00B63B65"/>
    <w:rsid w:val="00B70BA1"/>
    <w:rsid w:val="00B71A11"/>
    <w:rsid w:val="00B71D93"/>
    <w:rsid w:val="00B7204A"/>
    <w:rsid w:val="00B725EB"/>
    <w:rsid w:val="00B75097"/>
    <w:rsid w:val="00B75A28"/>
    <w:rsid w:val="00B75FED"/>
    <w:rsid w:val="00B774A4"/>
    <w:rsid w:val="00B77B05"/>
    <w:rsid w:val="00B80492"/>
    <w:rsid w:val="00B827A1"/>
    <w:rsid w:val="00B82E5D"/>
    <w:rsid w:val="00B832A4"/>
    <w:rsid w:val="00B83ADC"/>
    <w:rsid w:val="00B83E91"/>
    <w:rsid w:val="00B84CF9"/>
    <w:rsid w:val="00B84D9A"/>
    <w:rsid w:val="00B86908"/>
    <w:rsid w:val="00B87800"/>
    <w:rsid w:val="00B87F9A"/>
    <w:rsid w:val="00B91B98"/>
    <w:rsid w:val="00B920C8"/>
    <w:rsid w:val="00B92C68"/>
    <w:rsid w:val="00B92EC8"/>
    <w:rsid w:val="00B96ED5"/>
    <w:rsid w:val="00BA09F8"/>
    <w:rsid w:val="00BA16CD"/>
    <w:rsid w:val="00BA1E51"/>
    <w:rsid w:val="00BA1FEC"/>
    <w:rsid w:val="00BA279A"/>
    <w:rsid w:val="00BA365B"/>
    <w:rsid w:val="00BA3AC1"/>
    <w:rsid w:val="00BA3D6B"/>
    <w:rsid w:val="00BA4D18"/>
    <w:rsid w:val="00BA6E7E"/>
    <w:rsid w:val="00BB07C8"/>
    <w:rsid w:val="00BB0DDE"/>
    <w:rsid w:val="00BB0EEF"/>
    <w:rsid w:val="00BB1127"/>
    <w:rsid w:val="00BB196A"/>
    <w:rsid w:val="00BB1DC9"/>
    <w:rsid w:val="00BB1EBD"/>
    <w:rsid w:val="00BB3EA8"/>
    <w:rsid w:val="00BB409B"/>
    <w:rsid w:val="00BB46D7"/>
    <w:rsid w:val="00BB51DE"/>
    <w:rsid w:val="00BB5BCA"/>
    <w:rsid w:val="00BB7290"/>
    <w:rsid w:val="00BB797F"/>
    <w:rsid w:val="00BC0346"/>
    <w:rsid w:val="00BC28A9"/>
    <w:rsid w:val="00BC2F99"/>
    <w:rsid w:val="00BC5139"/>
    <w:rsid w:val="00BC58FF"/>
    <w:rsid w:val="00BC7703"/>
    <w:rsid w:val="00BD01DA"/>
    <w:rsid w:val="00BD0323"/>
    <w:rsid w:val="00BD0348"/>
    <w:rsid w:val="00BD0C1E"/>
    <w:rsid w:val="00BD0D02"/>
    <w:rsid w:val="00BD0F13"/>
    <w:rsid w:val="00BD13D5"/>
    <w:rsid w:val="00BD3134"/>
    <w:rsid w:val="00BD3329"/>
    <w:rsid w:val="00BD44BF"/>
    <w:rsid w:val="00BD5EC4"/>
    <w:rsid w:val="00BD5ED5"/>
    <w:rsid w:val="00BD63D8"/>
    <w:rsid w:val="00BD6452"/>
    <w:rsid w:val="00BD7E19"/>
    <w:rsid w:val="00BE02EC"/>
    <w:rsid w:val="00BE1C11"/>
    <w:rsid w:val="00BE1C7A"/>
    <w:rsid w:val="00BE2CDC"/>
    <w:rsid w:val="00BE2F05"/>
    <w:rsid w:val="00BE352E"/>
    <w:rsid w:val="00BE3F9C"/>
    <w:rsid w:val="00BE655C"/>
    <w:rsid w:val="00BE7CCA"/>
    <w:rsid w:val="00BF04BF"/>
    <w:rsid w:val="00BF0547"/>
    <w:rsid w:val="00BF093A"/>
    <w:rsid w:val="00BF2405"/>
    <w:rsid w:val="00BF291B"/>
    <w:rsid w:val="00BF299C"/>
    <w:rsid w:val="00BF2A2B"/>
    <w:rsid w:val="00BF2F73"/>
    <w:rsid w:val="00BF478F"/>
    <w:rsid w:val="00BF49EC"/>
    <w:rsid w:val="00BF7E99"/>
    <w:rsid w:val="00C004CD"/>
    <w:rsid w:val="00C033D8"/>
    <w:rsid w:val="00C067A3"/>
    <w:rsid w:val="00C06987"/>
    <w:rsid w:val="00C06FDE"/>
    <w:rsid w:val="00C100C9"/>
    <w:rsid w:val="00C106AC"/>
    <w:rsid w:val="00C1079E"/>
    <w:rsid w:val="00C10938"/>
    <w:rsid w:val="00C111AD"/>
    <w:rsid w:val="00C11460"/>
    <w:rsid w:val="00C11E32"/>
    <w:rsid w:val="00C126C3"/>
    <w:rsid w:val="00C13A44"/>
    <w:rsid w:val="00C15D8A"/>
    <w:rsid w:val="00C1633A"/>
    <w:rsid w:val="00C16A6B"/>
    <w:rsid w:val="00C219C8"/>
    <w:rsid w:val="00C235FA"/>
    <w:rsid w:val="00C23F8F"/>
    <w:rsid w:val="00C2419C"/>
    <w:rsid w:val="00C24204"/>
    <w:rsid w:val="00C252EA"/>
    <w:rsid w:val="00C25C99"/>
    <w:rsid w:val="00C262FE"/>
    <w:rsid w:val="00C270EE"/>
    <w:rsid w:val="00C27341"/>
    <w:rsid w:val="00C30026"/>
    <w:rsid w:val="00C3122E"/>
    <w:rsid w:val="00C31C86"/>
    <w:rsid w:val="00C31EAD"/>
    <w:rsid w:val="00C32D53"/>
    <w:rsid w:val="00C331D0"/>
    <w:rsid w:val="00C33420"/>
    <w:rsid w:val="00C33595"/>
    <w:rsid w:val="00C33EC1"/>
    <w:rsid w:val="00C35891"/>
    <w:rsid w:val="00C3617B"/>
    <w:rsid w:val="00C364CA"/>
    <w:rsid w:val="00C365AB"/>
    <w:rsid w:val="00C371E3"/>
    <w:rsid w:val="00C4057A"/>
    <w:rsid w:val="00C40CF0"/>
    <w:rsid w:val="00C41187"/>
    <w:rsid w:val="00C411BF"/>
    <w:rsid w:val="00C41E9D"/>
    <w:rsid w:val="00C41F96"/>
    <w:rsid w:val="00C438A8"/>
    <w:rsid w:val="00C443FE"/>
    <w:rsid w:val="00C45F39"/>
    <w:rsid w:val="00C47609"/>
    <w:rsid w:val="00C50F42"/>
    <w:rsid w:val="00C532E5"/>
    <w:rsid w:val="00C53F5E"/>
    <w:rsid w:val="00C5417D"/>
    <w:rsid w:val="00C54F13"/>
    <w:rsid w:val="00C55101"/>
    <w:rsid w:val="00C551BC"/>
    <w:rsid w:val="00C5696A"/>
    <w:rsid w:val="00C57EBA"/>
    <w:rsid w:val="00C60930"/>
    <w:rsid w:val="00C62C5F"/>
    <w:rsid w:val="00C65B8F"/>
    <w:rsid w:val="00C65B96"/>
    <w:rsid w:val="00C65DAF"/>
    <w:rsid w:val="00C6675F"/>
    <w:rsid w:val="00C66C78"/>
    <w:rsid w:val="00C66E0B"/>
    <w:rsid w:val="00C67D05"/>
    <w:rsid w:val="00C71716"/>
    <w:rsid w:val="00C72563"/>
    <w:rsid w:val="00C73199"/>
    <w:rsid w:val="00C73EF6"/>
    <w:rsid w:val="00C75083"/>
    <w:rsid w:val="00C75667"/>
    <w:rsid w:val="00C75AB2"/>
    <w:rsid w:val="00C81499"/>
    <w:rsid w:val="00C81C58"/>
    <w:rsid w:val="00C82CDE"/>
    <w:rsid w:val="00C84CC7"/>
    <w:rsid w:val="00C85CCA"/>
    <w:rsid w:val="00C86B48"/>
    <w:rsid w:val="00C9011A"/>
    <w:rsid w:val="00C90DA2"/>
    <w:rsid w:val="00C945F0"/>
    <w:rsid w:val="00CA15DF"/>
    <w:rsid w:val="00CA2954"/>
    <w:rsid w:val="00CA3CC2"/>
    <w:rsid w:val="00CA3DBC"/>
    <w:rsid w:val="00CA443B"/>
    <w:rsid w:val="00CA63D2"/>
    <w:rsid w:val="00CA670F"/>
    <w:rsid w:val="00CA7D3B"/>
    <w:rsid w:val="00CB1117"/>
    <w:rsid w:val="00CB16E5"/>
    <w:rsid w:val="00CB1B11"/>
    <w:rsid w:val="00CB2581"/>
    <w:rsid w:val="00CB295B"/>
    <w:rsid w:val="00CB2A8B"/>
    <w:rsid w:val="00CB3475"/>
    <w:rsid w:val="00CB3CAC"/>
    <w:rsid w:val="00CB4432"/>
    <w:rsid w:val="00CB472D"/>
    <w:rsid w:val="00CB51E8"/>
    <w:rsid w:val="00CB5463"/>
    <w:rsid w:val="00CB7BA7"/>
    <w:rsid w:val="00CB7ED6"/>
    <w:rsid w:val="00CC1055"/>
    <w:rsid w:val="00CC1884"/>
    <w:rsid w:val="00CC1EF5"/>
    <w:rsid w:val="00CC2F8F"/>
    <w:rsid w:val="00CC3CC5"/>
    <w:rsid w:val="00CC41AA"/>
    <w:rsid w:val="00CC453A"/>
    <w:rsid w:val="00CC4D4F"/>
    <w:rsid w:val="00CC5ECD"/>
    <w:rsid w:val="00CC6F15"/>
    <w:rsid w:val="00CC769B"/>
    <w:rsid w:val="00CC7DAE"/>
    <w:rsid w:val="00CD0072"/>
    <w:rsid w:val="00CD3277"/>
    <w:rsid w:val="00CD3871"/>
    <w:rsid w:val="00CD4964"/>
    <w:rsid w:val="00CD657D"/>
    <w:rsid w:val="00CD6F4D"/>
    <w:rsid w:val="00CE0075"/>
    <w:rsid w:val="00CE11D6"/>
    <w:rsid w:val="00CE1445"/>
    <w:rsid w:val="00CE226C"/>
    <w:rsid w:val="00CE2A3D"/>
    <w:rsid w:val="00CE3823"/>
    <w:rsid w:val="00CE393F"/>
    <w:rsid w:val="00CE3E30"/>
    <w:rsid w:val="00CE4917"/>
    <w:rsid w:val="00CE70F6"/>
    <w:rsid w:val="00CE7143"/>
    <w:rsid w:val="00CE7D0D"/>
    <w:rsid w:val="00CE7D38"/>
    <w:rsid w:val="00CF0242"/>
    <w:rsid w:val="00CF079D"/>
    <w:rsid w:val="00CF1272"/>
    <w:rsid w:val="00CF18F4"/>
    <w:rsid w:val="00CF2D2E"/>
    <w:rsid w:val="00CF31F4"/>
    <w:rsid w:val="00CF3C4B"/>
    <w:rsid w:val="00CF5230"/>
    <w:rsid w:val="00CF71A5"/>
    <w:rsid w:val="00D00B96"/>
    <w:rsid w:val="00D00EBC"/>
    <w:rsid w:val="00D01696"/>
    <w:rsid w:val="00D016E2"/>
    <w:rsid w:val="00D01DB2"/>
    <w:rsid w:val="00D01FE8"/>
    <w:rsid w:val="00D023E1"/>
    <w:rsid w:val="00D032D2"/>
    <w:rsid w:val="00D03A37"/>
    <w:rsid w:val="00D04790"/>
    <w:rsid w:val="00D04D05"/>
    <w:rsid w:val="00D05B95"/>
    <w:rsid w:val="00D05FB1"/>
    <w:rsid w:val="00D07471"/>
    <w:rsid w:val="00D07937"/>
    <w:rsid w:val="00D102D0"/>
    <w:rsid w:val="00D10FA1"/>
    <w:rsid w:val="00D111A0"/>
    <w:rsid w:val="00D114C9"/>
    <w:rsid w:val="00D11FBD"/>
    <w:rsid w:val="00D14563"/>
    <w:rsid w:val="00D14AAE"/>
    <w:rsid w:val="00D15150"/>
    <w:rsid w:val="00D21712"/>
    <w:rsid w:val="00D245A3"/>
    <w:rsid w:val="00D257B3"/>
    <w:rsid w:val="00D2627F"/>
    <w:rsid w:val="00D279E9"/>
    <w:rsid w:val="00D27D01"/>
    <w:rsid w:val="00D30266"/>
    <w:rsid w:val="00D30911"/>
    <w:rsid w:val="00D30AB1"/>
    <w:rsid w:val="00D30F8D"/>
    <w:rsid w:val="00D31EBC"/>
    <w:rsid w:val="00D32A1A"/>
    <w:rsid w:val="00D32FE7"/>
    <w:rsid w:val="00D3314F"/>
    <w:rsid w:val="00D33388"/>
    <w:rsid w:val="00D33FA6"/>
    <w:rsid w:val="00D34208"/>
    <w:rsid w:val="00D3470B"/>
    <w:rsid w:val="00D34B52"/>
    <w:rsid w:val="00D34E6D"/>
    <w:rsid w:val="00D358CC"/>
    <w:rsid w:val="00D36A82"/>
    <w:rsid w:val="00D36BC4"/>
    <w:rsid w:val="00D379EA"/>
    <w:rsid w:val="00D4108B"/>
    <w:rsid w:val="00D41A1C"/>
    <w:rsid w:val="00D42C05"/>
    <w:rsid w:val="00D435BB"/>
    <w:rsid w:val="00D43814"/>
    <w:rsid w:val="00D440B5"/>
    <w:rsid w:val="00D47BA4"/>
    <w:rsid w:val="00D50585"/>
    <w:rsid w:val="00D5130D"/>
    <w:rsid w:val="00D518C5"/>
    <w:rsid w:val="00D520D8"/>
    <w:rsid w:val="00D527EA"/>
    <w:rsid w:val="00D52FA6"/>
    <w:rsid w:val="00D55128"/>
    <w:rsid w:val="00D56A15"/>
    <w:rsid w:val="00D56AEC"/>
    <w:rsid w:val="00D5796E"/>
    <w:rsid w:val="00D57DB6"/>
    <w:rsid w:val="00D62BBF"/>
    <w:rsid w:val="00D63288"/>
    <w:rsid w:val="00D6546D"/>
    <w:rsid w:val="00D66647"/>
    <w:rsid w:val="00D6688F"/>
    <w:rsid w:val="00D67147"/>
    <w:rsid w:val="00D67713"/>
    <w:rsid w:val="00D7044A"/>
    <w:rsid w:val="00D722FC"/>
    <w:rsid w:val="00D72547"/>
    <w:rsid w:val="00D72D84"/>
    <w:rsid w:val="00D74A41"/>
    <w:rsid w:val="00D74FBD"/>
    <w:rsid w:val="00D801C7"/>
    <w:rsid w:val="00D80B9E"/>
    <w:rsid w:val="00D81782"/>
    <w:rsid w:val="00D81CB4"/>
    <w:rsid w:val="00D82F28"/>
    <w:rsid w:val="00D842EB"/>
    <w:rsid w:val="00D85F1A"/>
    <w:rsid w:val="00D8631D"/>
    <w:rsid w:val="00D8697C"/>
    <w:rsid w:val="00D92EB0"/>
    <w:rsid w:val="00D94826"/>
    <w:rsid w:val="00D94E56"/>
    <w:rsid w:val="00DA0065"/>
    <w:rsid w:val="00DA22F1"/>
    <w:rsid w:val="00DA2652"/>
    <w:rsid w:val="00DA28FC"/>
    <w:rsid w:val="00DA35F6"/>
    <w:rsid w:val="00DA45AA"/>
    <w:rsid w:val="00DA4B18"/>
    <w:rsid w:val="00DA512C"/>
    <w:rsid w:val="00DA63C9"/>
    <w:rsid w:val="00DA69E5"/>
    <w:rsid w:val="00DB0892"/>
    <w:rsid w:val="00DB16FB"/>
    <w:rsid w:val="00DB2FF4"/>
    <w:rsid w:val="00DB39AD"/>
    <w:rsid w:val="00DB5413"/>
    <w:rsid w:val="00DB6306"/>
    <w:rsid w:val="00DC38A9"/>
    <w:rsid w:val="00DC3A30"/>
    <w:rsid w:val="00DC450E"/>
    <w:rsid w:val="00DC4549"/>
    <w:rsid w:val="00DC48DF"/>
    <w:rsid w:val="00DC5581"/>
    <w:rsid w:val="00DC5EA7"/>
    <w:rsid w:val="00DC66CB"/>
    <w:rsid w:val="00DC6A85"/>
    <w:rsid w:val="00DC7ABE"/>
    <w:rsid w:val="00DD067D"/>
    <w:rsid w:val="00DD11DC"/>
    <w:rsid w:val="00DD1C69"/>
    <w:rsid w:val="00DD469C"/>
    <w:rsid w:val="00DD597F"/>
    <w:rsid w:val="00DD61F7"/>
    <w:rsid w:val="00DD66FC"/>
    <w:rsid w:val="00DD7FD5"/>
    <w:rsid w:val="00DE11FC"/>
    <w:rsid w:val="00DE2DB9"/>
    <w:rsid w:val="00DE411F"/>
    <w:rsid w:val="00DE478B"/>
    <w:rsid w:val="00DE5581"/>
    <w:rsid w:val="00DE7245"/>
    <w:rsid w:val="00DE751B"/>
    <w:rsid w:val="00DF0097"/>
    <w:rsid w:val="00DF0F4C"/>
    <w:rsid w:val="00DF13CB"/>
    <w:rsid w:val="00DF1786"/>
    <w:rsid w:val="00DF19F9"/>
    <w:rsid w:val="00DF2498"/>
    <w:rsid w:val="00DF45EA"/>
    <w:rsid w:val="00DF4814"/>
    <w:rsid w:val="00DF4F89"/>
    <w:rsid w:val="00DF6531"/>
    <w:rsid w:val="00DF688D"/>
    <w:rsid w:val="00DF6C60"/>
    <w:rsid w:val="00E00C6B"/>
    <w:rsid w:val="00E01D76"/>
    <w:rsid w:val="00E01E25"/>
    <w:rsid w:val="00E038E8"/>
    <w:rsid w:val="00E0576C"/>
    <w:rsid w:val="00E064C3"/>
    <w:rsid w:val="00E10B9C"/>
    <w:rsid w:val="00E116A2"/>
    <w:rsid w:val="00E11BAC"/>
    <w:rsid w:val="00E11D7D"/>
    <w:rsid w:val="00E12286"/>
    <w:rsid w:val="00E1252B"/>
    <w:rsid w:val="00E126FB"/>
    <w:rsid w:val="00E135EB"/>
    <w:rsid w:val="00E138D8"/>
    <w:rsid w:val="00E1654C"/>
    <w:rsid w:val="00E16C05"/>
    <w:rsid w:val="00E17760"/>
    <w:rsid w:val="00E17A35"/>
    <w:rsid w:val="00E17C8B"/>
    <w:rsid w:val="00E17D6D"/>
    <w:rsid w:val="00E17FC2"/>
    <w:rsid w:val="00E20C14"/>
    <w:rsid w:val="00E210DA"/>
    <w:rsid w:val="00E222FF"/>
    <w:rsid w:val="00E23711"/>
    <w:rsid w:val="00E23F54"/>
    <w:rsid w:val="00E26093"/>
    <w:rsid w:val="00E261A9"/>
    <w:rsid w:val="00E27072"/>
    <w:rsid w:val="00E27B91"/>
    <w:rsid w:val="00E31003"/>
    <w:rsid w:val="00E31C6F"/>
    <w:rsid w:val="00E31CD9"/>
    <w:rsid w:val="00E320A2"/>
    <w:rsid w:val="00E344F2"/>
    <w:rsid w:val="00E349EF"/>
    <w:rsid w:val="00E34BE5"/>
    <w:rsid w:val="00E367EF"/>
    <w:rsid w:val="00E36B6D"/>
    <w:rsid w:val="00E40C48"/>
    <w:rsid w:val="00E4187E"/>
    <w:rsid w:val="00E42444"/>
    <w:rsid w:val="00E42C0B"/>
    <w:rsid w:val="00E43E1E"/>
    <w:rsid w:val="00E4568B"/>
    <w:rsid w:val="00E456C8"/>
    <w:rsid w:val="00E47243"/>
    <w:rsid w:val="00E472FD"/>
    <w:rsid w:val="00E50414"/>
    <w:rsid w:val="00E50E2B"/>
    <w:rsid w:val="00E54A86"/>
    <w:rsid w:val="00E57067"/>
    <w:rsid w:val="00E57387"/>
    <w:rsid w:val="00E6113D"/>
    <w:rsid w:val="00E61D53"/>
    <w:rsid w:val="00E625B9"/>
    <w:rsid w:val="00E62937"/>
    <w:rsid w:val="00E62BC2"/>
    <w:rsid w:val="00E631B4"/>
    <w:rsid w:val="00E6587E"/>
    <w:rsid w:val="00E67CD2"/>
    <w:rsid w:val="00E7071D"/>
    <w:rsid w:val="00E71ABA"/>
    <w:rsid w:val="00E71BAE"/>
    <w:rsid w:val="00E73337"/>
    <w:rsid w:val="00E73817"/>
    <w:rsid w:val="00E74825"/>
    <w:rsid w:val="00E74B4D"/>
    <w:rsid w:val="00E7684C"/>
    <w:rsid w:val="00E76AAD"/>
    <w:rsid w:val="00E770EC"/>
    <w:rsid w:val="00E81181"/>
    <w:rsid w:val="00E81BD5"/>
    <w:rsid w:val="00E81E9A"/>
    <w:rsid w:val="00E841F4"/>
    <w:rsid w:val="00E84220"/>
    <w:rsid w:val="00E84CA5"/>
    <w:rsid w:val="00E8582D"/>
    <w:rsid w:val="00E85BF6"/>
    <w:rsid w:val="00E85D99"/>
    <w:rsid w:val="00E861DC"/>
    <w:rsid w:val="00E90ECD"/>
    <w:rsid w:val="00E90ED2"/>
    <w:rsid w:val="00E92BF5"/>
    <w:rsid w:val="00E93FF9"/>
    <w:rsid w:val="00E943A8"/>
    <w:rsid w:val="00E94FFF"/>
    <w:rsid w:val="00E956A9"/>
    <w:rsid w:val="00E962B0"/>
    <w:rsid w:val="00EA1223"/>
    <w:rsid w:val="00EA1719"/>
    <w:rsid w:val="00EA19EC"/>
    <w:rsid w:val="00EA4E61"/>
    <w:rsid w:val="00EA4EAD"/>
    <w:rsid w:val="00EA5DB2"/>
    <w:rsid w:val="00EA5EED"/>
    <w:rsid w:val="00EA77AA"/>
    <w:rsid w:val="00EA7A28"/>
    <w:rsid w:val="00EB0A89"/>
    <w:rsid w:val="00EB0ADC"/>
    <w:rsid w:val="00EB1C9C"/>
    <w:rsid w:val="00EB2764"/>
    <w:rsid w:val="00EB2A6E"/>
    <w:rsid w:val="00EB63F4"/>
    <w:rsid w:val="00EB6C11"/>
    <w:rsid w:val="00EB73C5"/>
    <w:rsid w:val="00EB7ECE"/>
    <w:rsid w:val="00EB7F5F"/>
    <w:rsid w:val="00EC0480"/>
    <w:rsid w:val="00EC0E20"/>
    <w:rsid w:val="00EC1784"/>
    <w:rsid w:val="00EC24A6"/>
    <w:rsid w:val="00EC311A"/>
    <w:rsid w:val="00EC31EC"/>
    <w:rsid w:val="00EC4867"/>
    <w:rsid w:val="00EC6B3A"/>
    <w:rsid w:val="00EC73FB"/>
    <w:rsid w:val="00EC7A8F"/>
    <w:rsid w:val="00ED0167"/>
    <w:rsid w:val="00ED03BF"/>
    <w:rsid w:val="00ED08F8"/>
    <w:rsid w:val="00ED19DD"/>
    <w:rsid w:val="00ED20ED"/>
    <w:rsid w:val="00ED31B7"/>
    <w:rsid w:val="00ED3D7A"/>
    <w:rsid w:val="00ED3E08"/>
    <w:rsid w:val="00ED3ECF"/>
    <w:rsid w:val="00ED4A6F"/>
    <w:rsid w:val="00ED69D5"/>
    <w:rsid w:val="00ED7702"/>
    <w:rsid w:val="00EE0B72"/>
    <w:rsid w:val="00EE1211"/>
    <w:rsid w:val="00EE19F2"/>
    <w:rsid w:val="00EE2715"/>
    <w:rsid w:val="00EE2B54"/>
    <w:rsid w:val="00EE39F9"/>
    <w:rsid w:val="00EE48AD"/>
    <w:rsid w:val="00EE4B45"/>
    <w:rsid w:val="00EE5220"/>
    <w:rsid w:val="00EE57AF"/>
    <w:rsid w:val="00EE739B"/>
    <w:rsid w:val="00EF0D0C"/>
    <w:rsid w:val="00EF1116"/>
    <w:rsid w:val="00EF1331"/>
    <w:rsid w:val="00EF1E08"/>
    <w:rsid w:val="00EF3B62"/>
    <w:rsid w:val="00EF44C9"/>
    <w:rsid w:val="00EF458A"/>
    <w:rsid w:val="00EF4C6F"/>
    <w:rsid w:val="00EF539C"/>
    <w:rsid w:val="00EF5EFD"/>
    <w:rsid w:val="00F020D1"/>
    <w:rsid w:val="00F02405"/>
    <w:rsid w:val="00F03CFC"/>
    <w:rsid w:val="00F04828"/>
    <w:rsid w:val="00F04AA3"/>
    <w:rsid w:val="00F04C13"/>
    <w:rsid w:val="00F052C5"/>
    <w:rsid w:val="00F05CF1"/>
    <w:rsid w:val="00F05E9B"/>
    <w:rsid w:val="00F06152"/>
    <w:rsid w:val="00F07CE3"/>
    <w:rsid w:val="00F07EB2"/>
    <w:rsid w:val="00F07FA6"/>
    <w:rsid w:val="00F1084B"/>
    <w:rsid w:val="00F115DF"/>
    <w:rsid w:val="00F13A9E"/>
    <w:rsid w:val="00F13B2A"/>
    <w:rsid w:val="00F1433E"/>
    <w:rsid w:val="00F144E5"/>
    <w:rsid w:val="00F1451B"/>
    <w:rsid w:val="00F145ED"/>
    <w:rsid w:val="00F1471C"/>
    <w:rsid w:val="00F152D3"/>
    <w:rsid w:val="00F161A0"/>
    <w:rsid w:val="00F161A7"/>
    <w:rsid w:val="00F165B2"/>
    <w:rsid w:val="00F179F9"/>
    <w:rsid w:val="00F2027E"/>
    <w:rsid w:val="00F21C4E"/>
    <w:rsid w:val="00F220E4"/>
    <w:rsid w:val="00F2264D"/>
    <w:rsid w:val="00F2306F"/>
    <w:rsid w:val="00F239DF"/>
    <w:rsid w:val="00F24C41"/>
    <w:rsid w:val="00F25910"/>
    <w:rsid w:val="00F269D6"/>
    <w:rsid w:val="00F2767A"/>
    <w:rsid w:val="00F278A8"/>
    <w:rsid w:val="00F27B50"/>
    <w:rsid w:val="00F27F23"/>
    <w:rsid w:val="00F310D1"/>
    <w:rsid w:val="00F32404"/>
    <w:rsid w:val="00F3271F"/>
    <w:rsid w:val="00F3522B"/>
    <w:rsid w:val="00F353EB"/>
    <w:rsid w:val="00F356BC"/>
    <w:rsid w:val="00F35CD0"/>
    <w:rsid w:val="00F36A6F"/>
    <w:rsid w:val="00F377EA"/>
    <w:rsid w:val="00F37C44"/>
    <w:rsid w:val="00F40449"/>
    <w:rsid w:val="00F41283"/>
    <w:rsid w:val="00F413AC"/>
    <w:rsid w:val="00F42489"/>
    <w:rsid w:val="00F4459D"/>
    <w:rsid w:val="00F44BB1"/>
    <w:rsid w:val="00F45441"/>
    <w:rsid w:val="00F4556C"/>
    <w:rsid w:val="00F47099"/>
    <w:rsid w:val="00F475E9"/>
    <w:rsid w:val="00F5039F"/>
    <w:rsid w:val="00F50D7B"/>
    <w:rsid w:val="00F525B4"/>
    <w:rsid w:val="00F52986"/>
    <w:rsid w:val="00F52EAD"/>
    <w:rsid w:val="00F54225"/>
    <w:rsid w:val="00F5529B"/>
    <w:rsid w:val="00F57EB2"/>
    <w:rsid w:val="00F61234"/>
    <w:rsid w:val="00F61B97"/>
    <w:rsid w:val="00F62F36"/>
    <w:rsid w:val="00F63E00"/>
    <w:rsid w:val="00F67531"/>
    <w:rsid w:val="00F67F4E"/>
    <w:rsid w:val="00F70B17"/>
    <w:rsid w:val="00F70BF8"/>
    <w:rsid w:val="00F714C4"/>
    <w:rsid w:val="00F71D97"/>
    <w:rsid w:val="00F72672"/>
    <w:rsid w:val="00F7331B"/>
    <w:rsid w:val="00F73CD2"/>
    <w:rsid w:val="00F743C9"/>
    <w:rsid w:val="00F7440B"/>
    <w:rsid w:val="00F74DCC"/>
    <w:rsid w:val="00F753CE"/>
    <w:rsid w:val="00F75C12"/>
    <w:rsid w:val="00F76419"/>
    <w:rsid w:val="00F76C01"/>
    <w:rsid w:val="00F76C23"/>
    <w:rsid w:val="00F77D5C"/>
    <w:rsid w:val="00F8070C"/>
    <w:rsid w:val="00F80852"/>
    <w:rsid w:val="00F80F4C"/>
    <w:rsid w:val="00F81038"/>
    <w:rsid w:val="00F810F1"/>
    <w:rsid w:val="00F82CAF"/>
    <w:rsid w:val="00F831A1"/>
    <w:rsid w:val="00F83228"/>
    <w:rsid w:val="00F83FEA"/>
    <w:rsid w:val="00F868F8"/>
    <w:rsid w:val="00F90579"/>
    <w:rsid w:val="00F91E46"/>
    <w:rsid w:val="00F927D6"/>
    <w:rsid w:val="00F93E00"/>
    <w:rsid w:val="00F93E75"/>
    <w:rsid w:val="00F94571"/>
    <w:rsid w:val="00F96930"/>
    <w:rsid w:val="00F97FF4"/>
    <w:rsid w:val="00FA01D8"/>
    <w:rsid w:val="00FA24A6"/>
    <w:rsid w:val="00FA3160"/>
    <w:rsid w:val="00FA3710"/>
    <w:rsid w:val="00FA4649"/>
    <w:rsid w:val="00FA4C4E"/>
    <w:rsid w:val="00FA5EF5"/>
    <w:rsid w:val="00FA61CD"/>
    <w:rsid w:val="00FA6901"/>
    <w:rsid w:val="00FA6BF7"/>
    <w:rsid w:val="00FA6CF4"/>
    <w:rsid w:val="00FA7635"/>
    <w:rsid w:val="00FB0522"/>
    <w:rsid w:val="00FB0EA3"/>
    <w:rsid w:val="00FB26CE"/>
    <w:rsid w:val="00FB278D"/>
    <w:rsid w:val="00FB2A5F"/>
    <w:rsid w:val="00FB3451"/>
    <w:rsid w:val="00FB3E63"/>
    <w:rsid w:val="00FB7BE5"/>
    <w:rsid w:val="00FC040C"/>
    <w:rsid w:val="00FC0A21"/>
    <w:rsid w:val="00FC0CE2"/>
    <w:rsid w:val="00FC0ECA"/>
    <w:rsid w:val="00FC1623"/>
    <w:rsid w:val="00FC16D7"/>
    <w:rsid w:val="00FC2058"/>
    <w:rsid w:val="00FC20CB"/>
    <w:rsid w:val="00FC39AE"/>
    <w:rsid w:val="00FC3CD6"/>
    <w:rsid w:val="00FC3E5E"/>
    <w:rsid w:val="00FC41F8"/>
    <w:rsid w:val="00FC5CAA"/>
    <w:rsid w:val="00FC6806"/>
    <w:rsid w:val="00FD076F"/>
    <w:rsid w:val="00FD1159"/>
    <w:rsid w:val="00FD208F"/>
    <w:rsid w:val="00FD2635"/>
    <w:rsid w:val="00FD3BE9"/>
    <w:rsid w:val="00FD3C34"/>
    <w:rsid w:val="00FD5227"/>
    <w:rsid w:val="00FD6631"/>
    <w:rsid w:val="00FD6AE6"/>
    <w:rsid w:val="00FD6CF0"/>
    <w:rsid w:val="00FD7C32"/>
    <w:rsid w:val="00FE0010"/>
    <w:rsid w:val="00FE03D4"/>
    <w:rsid w:val="00FE07BB"/>
    <w:rsid w:val="00FE08CE"/>
    <w:rsid w:val="00FE1BA0"/>
    <w:rsid w:val="00FE1E25"/>
    <w:rsid w:val="00FE26E5"/>
    <w:rsid w:val="00FE2F68"/>
    <w:rsid w:val="00FE3186"/>
    <w:rsid w:val="00FE3AD2"/>
    <w:rsid w:val="00FE3EE4"/>
    <w:rsid w:val="00FE4FCC"/>
    <w:rsid w:val="00FE55E4"/>
    <w:rsid w:val="00FE65EB"/>
    <w:rsid w:val="00FE75D5"/>
    <w:rsid w:val="00FE7949"/>
    <w:rsid w:val="00FF00B0"/>
    <w:rsid w:val="00FF0E4E"/>
    <w:rsid w:val="00FF20AB"/>
    <w:rsid w:val="00FF2152"/>
    <w:rsid w:val="00FF273A"/>
    <w:rsid w:val="00FF2AA5"/>
    <w:rsid w:val="00FF3C5F"/>
    <w:rsid w:val="00FF47CE"/>
    <w:rsid w:val="00FF4E35"/>
    <w:rsid w:val="00FF5438"/>
    <w:rsid w:val="00FF5602"/>
    <w:rsid w:val="00FF62D6"/>
    <w:rsid w:val="00FF6517"/>
    <w:rsid w:val="00FF6658"/>
    <w:rsid w:val="00FF75AB"/>
    <w:rsid w:val="014EAE70"/>
    <w:rsid w:val="03C25FC8"/>
    <w:rsid w:val="047E94DA"/>
    <w:rsid w:val="05F41A3F"/>
    <w:rsid w:val="0602B6E3"/>
    <w:rsid w:val="0606725C"/>
    <w:rsid w:val="0777B3EA"/>
    <w:rsid w:val="082B2EC6"/>
    <w:rsid w:val="09950743"/>
    <w:rsid w:val="0A06174E"/>
    <w:rsid w:val="0B0D58B1"/>
    <w:rsid w:val="0B39CD1A"/>
    <w:rsid w:val="0B7CE683"/>
    <w:rsid w:val="0BA9CBD8"/>
    <w:rsid w:val="0ED39D5B"/>
    <w:rsid w:val="10FABD5B"/>
    <w:rsid w:val="13F3DDD4"/>
    <w:rsid w:val="14CC864B"/>
    <w:rsid w:val="18522509"/>
    <w:rsid w:val="18C475AB"/>
    <w:rsid w:val="19D1A37B"/>
    <w:rsid w:val="1A53E757"/>
    <w:rsid w:val="1B07F51D"/>
    <w:rsid w:val="1F7776DC"/>
    <w:rsid w:val="20727C2B"/>
    <w:rsid w:val="20E1EFC3"/>
    <w:rsid w:val="227243B5"/>
    <w:rsid w:val="22C0DC08"/>
    <w:rsid w:val="23840832"/>
    <w:rsid w:val="2567FE4D"/>
    <w:rsid w:val="25D7FA80"/>
    <w:rsid w:val="25EB2D95"/>
    <w:rsid w:val="279B9D64"/>
    <w:rsid w:val="29DC657C"/>
    <w:rsid w:val="2AF89E3B"/>
    <w:rsid w:val="2B58E01D"/>
    <w:rsid w:val="2CF0B850"/>
    <w:rsid w:val="2D778D35"/>
    <w:rsid w:val="2F2432B2"/>
    <w:rsid w:val="302E9E3B"/>
    <w:rsid w:val="3143548B"/>
    <w:rsid w:val="328D0566"/>
    <w:rsid w:val="39BDB359"/>
    <w:rsid w:val="3CF3F292"/>
    <w:rsid w:val="407BDDCF"/>
    <w:rsid w:val="414DEC60"/>
    <w:rsid w:val="414F9D18"/>
    <w:rsid w:val="435972C8"/>
    <w:rsid w:val="462DFDC1"/>
    <w:rsid w:val="4C59F262"/>
    <w:rsid w:val="4D10108E"/>
    <w:rsid w:val="4D8538BD"/>
    <w:rsid w:val="50618CE6"/>
    <w:rsid w:val="5214A755"/>
    <w:rsid w:val="523E90F0"/>
    <w:rsid w:val="527FE073"/>
    <w:rsid w:val="52F6E95F"/>
    <w:rsid w:val="546712F2"/>
    <w:rsid w:val="586F45C1"/>
    <w:rsid w:val="5908B993"/>
    <w:rsid w:val="5958452B"/>
    <w:rsid w:val="5D376179"/>
    <w:rsid w:val="5D888D4C"/>
    <w:rsid w:val="5F1EDE80"/>
    <w:rsid w:val="616B7ADF"/>
    <w:rsid w:val="62CDE6AF"/>
    <w:rsid w:val="656BA82B"/>
    <w:rsid w:val="65DC5AB8"/>
    <w:rsid w:val="66807F04"/>
    <w:rsid w:val="680B1154"/>
    <w:rsid w:val="6856E1CF"/>
    <w:rsid w:val="68CD0E6B"/>
    <w:rsid w:val="6B0B5B71"/>
    <w:rsid w:val="6C693BEB"/>
    <w:rsid w:val="6D946205"/>
    <w:rsid w:val="6F0AEE52"/>
    <w:rsid w:val="6FAE25B0"/>
    <w:rsid w:val="710EF6E0"/>
    <w:rsid w:val="71F271D7"/>
    <w:rsid w:val="724418BB"/>
    <w:rsid w:val="72E476AB"/>
    <w:rsid w:val="73DA9EC8"/>
    <w:rsid w:val="74FFB2C9"/>
    <w:rsid w:val="76492DFE"/>
    <w:rsid w:val="769746CF"/>
    <w:rsid w:val="77B89C8E"/>
    <w:rsid w:val="78856D7E"/>
    <w:rsid w:val="7996240E"/>
    <w:rsid w:val="7C758B8E"/>
    <w:rsid w:val="7EFEDF6C"/>
    <w:rsid w:val="7F83DFF3"/>
    <w:rsid w:val="7FFECEA7"/>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D3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3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A7635"/>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21"/>
      </w:numPr>
      <w:spacing w:before="120" w:after="120"/>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CERbullets"/>
    <w:link w:val="CERnumberingChar"/>
    <w:uiPriority w:val="8"/>
    <w:qFormat/>
    <w:rsid w:val="00FE2F68"/>
    <w:pPr>
      <w:numPr>
        <w:numId w:val="0"/>
      </w:numPr>
    </w:pPr>
    <w:rPr>
      <w:lang w:val="en-US"/>
    </w:r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FE2F68"/>
    <w:rPr>
      <w:rFonts w:asciiTheme="minorHAnsi" w:hAnsiTheme="minorHAnsi" w:cstheme="minorHAnsi"/>
      <w:sz w:val="22"/>
      <w:szCs w:val="24"/>
      <w:lang w:val="en-US"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9633DE"/>
    <w:rPr>
      <w:rFonts w:asciiTheme="minorHAnsi" w:hAnsiTheme="minorHAnsi"/>
      <w:b/>
      <w:color w:val="FF0000"/>
      <w:sz w:val="24"/>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F6B5F"/>
    <w:pPr>
      <w:tabs>
        <w:tab w:val="left" w:pos="880"/>
        <w:tab w:val="right" w:leader="dot" w:pos="9730"/>
      </w:tabs>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paragraph" w:styleId="ListParagraph">
    <w:name w:val="List Paragraph"/>
    <w:basedOn w:val="Normal"/>
    <w:uiPriority w:val="34"/>
    <w:rsid w:val="00235142"/>
    <w:pPr>
      <w:ind w:left="720"/>
      <w:contextualSpacing/>
    </w:pPr>
    <w:rPr>
      <w:lang w:val="en-GB"/>
    </w:rPr>
  </w:style>
  <w:style w:type="character" w:styleId="CommentReference">
    <w:name w:val="annotation reference"/>
    <w:basedOn w:val="DefaultParagraphFont"/>
    <w:uiPriority w:val="99"/>
    <w:unhideWhenUsed/>
    <w:rsid w:val="00235142"/>
    <w:rPr>
      <w:sz w:val="16"/>
      <w:szCs w:val="16"/>
    </w:rPr>
  </w:style>
  <w:style w:type="paragraph" w:styleId="CommentText">
    <w:name w:val="annotation text"/>
    <w:basedOn w:val="Normal"/>
    <w:link w:val="CommentTextChar"/>
    <w:uiPriority w:val="99"/>
    <w:unhideWhenUsed/>
    <w:rsid w:val="00235142"/>
    <w:rPr>
      <w:sz w:val="20"/>
      <w:szCs w:val="20"/>
      <w:lang w:val="en-GB"/>
    </w:rPr>
  </w:style>
  <w:style w:type="character" w:customStyle="1" w:styleId="CommentTextChar">
    <w:name w:val="Comment Text Char"/>
    <w:basedOn w:val="DefaultParagraphFont"/>
    <w:link w:val="CommentText"/>
    <w:uiPriority w:val="99"/>
    <w:rsid w:val="00235142"/>
    <w:rPr>
      <w:rFonts w:asciiTheme="minorHAnsi" w:hAnsiTheme="minorHAnsi" w:cstheme="minorHAnsi"/>
      <w:color w:val="000000" w:themeColor="text1"/>
      <w:lang w:val="en-GB" w:eastAsia="en-US"/>
    </w:rPr>
  </w:style>
  <w:style w:type="paragraph" w:styleId="FootnoteText">
    <w:name w:val="footnote text"/>
    <w:basedOn w:val="Normal"/>
    <w:link w:val="FootnoteTextChar"/>
    <w:uiPriority w:val="99"/>
    <w:semiHidden/>
    <w:unhideWhenUsed/>
    <w:rsid w:val="00235142"/>
    <w:pPr>
      <w:spacing w:after="0"/>
    </w:pPr>
    <w:rPr>
      <w:sz w:val="20"/>
      <w:szCs w:val="20"/>
      <w:lang w:val="en-GB"/>
    </w:rPr>
  </w:style>
  <w:style w:type="character" w:customStyle="1" w:styleId="FootnoteTextChar">
    <w:name w:val="Footnote Text Char"/>
    <w:basedOn w:val="DefaultParagraphFont"/>
    <w:link w:val="FootnoteText"/>
    <w:uiPriority w:val="99"/>
    <w:semiHidden/>
    <w:rsid w:val="00235142"/>
    <w:rPr>
      <w:rFonts w:asciiTheme="minorHAnsi" w:hAnsiTheme="minorHAnsi" w:cstheme="minorHAnsi"/>
      <w:color w:val="000000" w:themeColor="text1"/>
      <w:lang w:val="en-GB" w:eastAsia="en-US"/>
    </w:rPr>
  </w:style>
  <w:style w:type="character" w:styleId="FootnoteReference">
    <w:name w:val="footnote reference"/>
    <w:basedOn w:val="DefaultParagraphFont"/>
    <w:uiPriority w:val="99"/>
    <w:unhideWhenUsed/>
    <w:rsid w:val="00235142"/>
    <w:rPr>
      <w:vertAlign w:val="superscript"/>
    </w:rPr>
  </w:style>
  <w:style w:type="paragraph" w:styleId="TOCHeading">
    <w:name w:val="TOC Heading"/>
    <w:basedOn w:val="Heading1"/>
    <w:next w:val="Normal"/>
    <w:uiPriority w:val="39"/>
    <w:unhideWhenUsed/>
    <w:qFormat/>
    <w:rsid w:val="003D527E"/>
    <w:pPr>
      <w:keepNext/>
      <w:keepLines/>
      <w:spacing w:before="240"/>
      <w:outlineLvl w:val="9"/>
    </w:pPr>
    <w:rPr>
      <w:rFonts w:asciiTheme="majorHAnsi" w:eastAsiaTheme="majorEastAsia" w:hAnsiTheme="majorHAnsi" w:cstheme="majorBidi"/>
      <w:b w:val="0"/>
      <w:bCs w:val="0"/>
      <w:color w:val="7A9249" w:themeColor="accent1" w:themeShade="BF"/>
      <w:kern w:val="0"/>
      <w:sz w:val="32"/>
      <w:szCs w:val="32"/>
    </w:rPr>
  </w:style>
  <w:style w:type="paragraph" w:styleId="BalloonText">
    <w:name w:val="Balloon Text"/>
    <w:basedOn w:val="Normal"/>
    <w:link w:val="BalloonTextChar"/>
    <w:semiHidden/>
    <w:unhideWhenUsed/>
    <w:rsid w:val="003D527E"/>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D527E"/>
    <w:rPr>
      <w:rFonts w:ascii="Segoe UI" w:hAnsi="Segoe UI" w:cs="Segoe UI"/>
      <w:color w:val="000000" w:themeColor="text1"/>
      <w:sz w:val="18"/>
      <w:szCs w:val="18"/>
      <w:lang w:eastAsia="en-US"/>
    </w:rPr>
  </w:style>
  <w:style w:type="character" w:styleId="UnresolvedMention">
    <w:name w:val="Unresolved Mention"/>
    <w:basedOn w:val="DefaultParagraphFont"/>
    <w:uiPriority w:val="99"/>
    <w:semiHidden/>
    <w:unhideWhenUsed/>
    <w:rsid w:val="003D527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D527E"/>
    <w:rPr>
      <w:b/>
      <w:bCs/>
      <w:lang w:val="en-AU"/>
    </w:rPr>
  </w:style>
  <w:style w:type="character" w:customStyle="1" w:styleId="CommentSubjectChar">
    <w:name w:val="Comment Subject Char"/>
    <w:basedOn w:val="CommentTextChar"/>
    <w:link w:val="CommentSubject"/>
    <w:uiPriority w:val="99"/>
    <w:semiHidden/>
    <w:rsid w:val="003D527E"/>
    <w:rPr>
      <w:rFonts w:asciiTheme="minorHAnsi" w:hAnsiTheme="minorHAnsi" w:cstheme="minorHAnsi"/>
      <w:b/>
      <w:bCs/>
      <w:color w:val="000000" w:themeColor="text1"/>
      <w:lang w:val="en-GB" w:eastAsia="en-US"/>
    </w:rPr>
  </w:style>
  <w:style w:type="paragraph" w:styleId="Revision">
    <w:name w:val="Revision"/>
    <w:hidden/>
    <w:semiHidden/>
    <w:rsid w:val="003D527E"/>
    <w:rPr>
      <w:rFonts w:asciiTheme="minorHAnsi" w:hAnsiTheme="minorHAnsi" w:cstheme="minorHAnsi"/>
      <w:color w:val="000000" w:themeColor="text1"/>
      <w:sz w:val="22"/>
      <w:szCs w:val="24"/>
      <w:lang w:eastAsia="en-US"/>
    </w:rPr>
  </w:style>
  <w:style w:type="paragraph" w:styleId="TOC5">
    <w:name w:val="toc 5"/>
    <w:basedOn w:val="Normal"/>
    <w:next w:val="Normal"/>
    <w:autoRedefine/>
    <w:uiPriority w:val="39"/>
    <w:unhideWhenUsed/>
    <w:rsid w:val="003D527E"/>
    <w:pPr>
      <w:spacing w:after="100"/>
      <w:ind w:left="880"/>
    </w:pPr>
  </w:style>
  <w:style w:type="paragraph" w:customStyle="1" w:styleId="paragraph">
    <w:name w:val="paragraph"/>
    <w:basedOn w:val="Normal"/>
    <w:rsid w:val="003D527E"/>
    <w:pPr>
      <w:spacing w:before="100" w:beforeAutospacing="1" w:after="100" w:afterAutospacing="1"/>
    </w:pPr>
    <w:rPr>
      <w:rFonts w:ascii="Times New Roman" w:eastAsia="Times New Roman" w:hAnsi="Times New Roman" w:cs="Times New Roman"/>
      <w:color w:val="auto"/>
      <w:sz w:val="24"/>
      <w:lang w:eastAsia="en-AU"/>
    </w:rPr>
  </w:style>
  <w:style w:type="character" w:customStyle="1" w:styleId="normaltextrun">
    <w:name w:val="normaltextrun"/>
    <w:basedOn w:val="DefaultParagraphFont"/>
    <w:rsid w:val="003D527E"/>
  </w:style>
  <w:style w:type="character" w:customStyle="1" w:styleId="eop">
    <w:name w:val="eop"/>
    <w:basedOn w:val="DefaultParagraphFont"/>
    <w:rsid w:val="003D527E"/>
  </w:style>
  <w:style w:type="character" w:styleId="Mention">
    <w:name w:val="Mention"/>
    <w:basedOn w:val="DefaultParagraphFont"/>
    <w:uiPriority w:val="99"/>
    <w:unhideWhenUsed/>
    <w:rsid w:val="004E651F"/>
    <w:rPr>
      <w:color w:val="2B579A"/>
      <w:shd w:val="clear" w:color="auto" w:fill="E1DFDD"/>
    </w:rPr>
  </w:style>
  <w:style w:type="paragraph" w:customStyle="1" w:styleId="Default">
    <w:name w:val="Default"/>
    <w:rsid w:val="00C65B96"/>
    <w:pPr>
      <w:autoSpaceDE w:val="0"/>
      <w:autoSpaceDN w:val="0"/>
      <w:adjustRightInd w:val="0"/>
    </w:pPr>
    <w:rPr>
      <w:rFonts w:ascii="Times New Roman" w:hAnsi="Times New Roman"/>
      <w:color w:val="000000"/>
      <w:sz w:val="24"/>
      <w:szCs w:val="24"/>
    </w:rPr>
  </w:style>
  <w:style w:type="character" w:customStyle="1" w:styleId="ui-provider">
    <w:name w:val="ui-provider"/>
    <w:basedOn w:val="DefaultParagraphFont"/>
    <w:rsid w:val="00CF5230"/>
  </w:style>
  <w:style w:type="character" w:customStyle="1" w:styleId="scxw204179383">
    <w:name w:val="scxw204179383"/>
    <w:basedOn w:val="DefaultParagraphFont"/>
    <w:rsid w:val="002D4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668979">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9.svg"/><Relationship Id="rId26" Type="http://schemas.openxmlformats.org/officeDocument/2006/relationships/hyperlink" Target="https://www.legislation.gov.au/F2008L02230/latest/versions" TargetMode="External"/><Relationship Id="rId39" Type="http://schemas.openxmlformats.org/officeDocument/2006/relationships/hyperlink" Target="mailto:cer-nger-reporting@cer.gov.au" TargetMode="External"/><Relationship Id="rId21" Type="http://schemas.openxmlformats.org/officeDocument/2006/relationships/image" Target="media/image12.png"/><Relationship Id="rId34" Type="http://schemas.openxmlformats.org/officeDocument/2006/relationships/hyperlink" Target="https://cer.gov.au/document_page/methods-and-measurement-criteria-guideline"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7.svg"/><Relationship Id="rId29" Type="http://schemas.openxmlformats.org/officeDocument/2006/relationships/hyperlink" Target="https://cer.gov.au/schemes/national-greenhouse-and-energy-reporting-scheme/report-emissions-and-energy/amendmen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legislation.gov.au/help-and-resources/understanding-legislation/reading-legislation" TargetMode="External"/><Relationship Id="rId32" Type="http://schemas.openxmlformats.org/officeDocument/2006/relationships/hyperlink" Target="https://www.dcceew.gov.au/climate-change/publications/national-greenhouse-accounts-factors" TargetMode="External"/><Relationship Id="rId37" Type="http://schemas.openxmlformats.org/officeDocument/2006/relationships/hyperlink" Target="https://www.epa.gov/sites/default/files/2016-02/documents/measureprotocol.pdf" TargetMode="External"/><Relationship Id="rId40" Type="http://schemas.openxmlformats.org/officeDocument/2006/relationships/hyperlink" Target="https://cer.gov.au/" TargetMode="External"/><Relationship Id="rId45"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s://www.ipcc-nggip.iges.or.jp/public/2006gl/index.html" TargetMode="External"/><Relationship Id="rId28" Type="http://schemas.openxmlformats.org/officeDocument/2006/relationships/hyperlink" Target="https://cer.gov.au/schemes/national-greenhouse-and-energy-reporting-scheme" TargetMode="External"/><Relationship Id="rId36" Type="http://schemas.openxmlformats.org/officeDocument/2006/relationships/hyperlink" Target="https://cer.gov.au/document_page/guidance-aggregated-facility-reporting-percentage-estimates-and-incidental-emissions-and-energy" TargetMode="External"/><Relationship Id="rId10" Type="http://schemas.openxmlformats.org/officeDocument/2006/relationships/image" Target="media/image2.svg"/><Relationship Id="rId19" Type="http://schemas.openxmlformats.org/officeDocument/2006/relationships/image" Target="media/image10.png"/><Relationship Id="rId31" Type="http://schemas.openxmlformats.org/officeDocument/2006/relationships/hyperlink" Target="https://cer.gov.au/schemes/national-greenhouse-and-energy-reporting-scheme/report-emissions-and-energy/nger-reporting" TargetMode="External"/><Relationship Id="rId44"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microsoft.com/office/2007/relationships/hdphoto" Target="media/hdphoto1.wdp"/><Relationship Id="rId22" Type="http://schemas.openxmlformats.org/officeDocument/2006/relationships/hyperlink" Target="https://cer.gov.au/schemes/national-greenhouse-and-energy-reporting-scheme/assess-your-obligations" TargetMode="External"/><Relationship Id="rId27" Type="http://schemas.openxmlformats.org/officeDocument/2006/relationships/hyperlink" Target="https://www.legislation.gov.au/Series/F2008L02309" TargetMode="External"/><Relationship Id="rId30" Type="http://schemas.openxmlformats.org/officeDocument/2006/relationships/hyperlink" Target="http://www.legislation.gov.au/" TargetMode="External"/><Relationship Id="rId35" Type="http://schemas.openxmlformats.org/officeDocument/2006/relationships/hyperlink" Target="https://cer.gov.au/document_page/estimating-emissions-and-energy-fuel-combustion-guideline" TargetMode="External"/><Relationship Id="rId43"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svg"/><Relationship Id="rId17" Type="http://schemas.openxmlformats.org/officeDocument/2006/relationships/image" Target="media/image8.png"/><Relationship Id="rId25" Type="http://schemas.openxmlformats.org/officeDocument/2006/relationships/hyperlink" Target="https://www.legislation.gov.au/C2007A00175/latest/versions" TargetMode="External"/><Relationship Id="rId33" Type="http://schemas.openxmlformats.org/officeDocument/2006/relationships/hyperlink" Target="https://www.dcceew.gov.au/climate-change/publications/national-greenhouse-accounts-factors" TargetMode="External"/><Relationship Id="rId38" Type="http://schemas.openxmlformats.org/officeDocument/2006/relationships/hyperlink" Target="https://cer.gov.au/document_page/reporting-hydrofluorocarbons-and-sulphur-hexafluoride-gases-guideline" TargetMode="External"/><Relationship Id="rId46" Type="http://schemas.openxmlformats.org/officeDocument/2006/relationships/fontTable" Target="fontTable.xml"/><Relationship Id="rId20" Type="http://schemas.openxmlformats.org/officeDocument/2006/relationships/image" Target="media/image11.svg"/><Relationship Id="rId41"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CER-updated fonts and colours">
  <a:themeElements>
    <a:clrScheme name="CER colour palette">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FA9607"/>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96AE58-2B19-4446-A79E-9E0D10F28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7531</Words>
  <Characters>42930</Characters>
  <Application>Microsoft Office Word</Application>
  <DocSecurity>8</DocSecurity>
  <Lines>357</Lines>
  <Paragraphs>100</Paragraphs>
  <ScaleCrop>false</ScaleCrop>
  <HeadingPairs>
    <vt:vector size="2" baseType="variant">
      <vt:variant>
        <vt:lpstr>Title</vt:lpstr>
      </vt:variant>
      <vt:variant>
        <vt:i4>1</vt:i4>
      </vt:variant>
    </vt:vector>
  </HeadingPairs>
  <TitlesOfParts>
    <vt:vector size="1" baseType="lpstr">
      <vt:lpstr>Estimating emissions and energy from industrial processes guidance</vt:lpstr>
    </vt:vector>
  </TitlesOfParts>
  <Company/>
  <LinksUpToDate>false</LinksUpToDate>
  <CharactersWithSpaces>50361</CharactersWithSpaces>
  <SharedDoc>false</SharedDoc>
  <HLinks>
    <vt:vector size="234" baseType="variant">
      <vt:variant>
        <vt:i4>7208993</vt:i4>
      </vt:variant>
      <vt:variant>
        <vt:i4>201</vt:i4>
      </vt:variant>
      <vt:variant>
        <vt:i4>0</vt:i4>
      </vt:variant>
      <vt:variant>
        <vt:i4>5</vt:i4>
      </vt:variant>
      <vt:variant>
        <vt:lpwstr>https://cer.gov.au/</vt:lpwstr>
      </vt:variant>
      <vt:variant>
        <vt:lpwstr/>
      </vt:variant>
      <vt:variant>
        <vt:i4>7995400</vt:i4>
      </vt:variant>
      <vt:variant>
        <vt:i4>198</vt:i4>
      </vt:variant>
      <vt:variant>
        <vt:i4>0</vt:i4>
      </vt:variant>
      <vt:variant>
        <vt:i4>5</vt:i4>
      </vt:variant>
      <vt:variant>
        <vt:lpwstr>mailto:cer-nger-reporting@cer.gov.au</vt:lpwstr>
      </vt:variant>
      <vt:variant>
        <vt:lpwstr/>
      </vt:variant>
      <vt:variant>
        <vt:i4>1376357</vt:i4>
      </vt:variant>
      <vt:variant>
        <vt:i4>195</vt:i4>
      </vt:variant>
      <vt:variant>
        <vt:i4>0</vt:i4>
      </vt:variant>
      <vt:variant>
        <vt:i4>5</vt:i4>
      </vt:variant>
      <vt:variant>
        <vt:lpwstr>https://cer.gov.au/document_page/reporting-hydrofluorocarbons-and-sulphur-hexafluoride-gases-guideline</vt:lpwstr>
      </vt:variant>
      <vt:variant>
        <vt:lpwstr/>
      </vt:variant>
      <vt:variant>
        <vt:i4>1900629</vt:i4>
      </vt:variant>
      <vt:variant>
        <vt:i4>192</vt:i4>
      </vt:variant>
      <vt:variant>
        <vt:i4>0</vt:i4>
      </vt:variant>
      <vt:variant>
        <vt:i4>5</vt:i4>
      </vt:variant>
      <vt:variant>
        <vt:lpwstr>https://www.epa.gov/sites/default/files/2016-02/documents/measureprotocol.pdf</vt:lpwstr>
      </vt:variant>
      <vt:variant>
        <vt:lpwstr/>
      </vt:variant>
      <vt:variant>
        <vt:i4>4128850</vt:i4>
      </vt:variant>
      <vt:variant>
        <vt:i4>189</vt:i4>
      </vt:variant>
      <vt:variant>
        <vt:i4>0</vt:i4>
      </vt:variant>
      <vt:variant>
        <vt:i4>5</vt:i4>
      </vt:variant>
      <vt:variant>
        <vt:lpwstr/>
      </vt:variant>
      <vt:variant>
        <vt:lpwstr>_Iron,_steel_or</vt:lpwstr>
      </vt:variant>
      <vt:variant>
        <vt:i4>4849775</vt:i4>
      </vt:variant>
      <vt:variant>
        <vt:i4>186</vt:i4>
      </vt:variant>
      <vt:variant>
        <vt:i4>0</vt:i4>
      </vt:variant>
      <vt:variant>
        <vt:i4>5</vt:i4>
      </vt:variant>
      <vt:variant>
        <vt:lpwstr/>
      </vt:variant>
      <vt:variant>
        <vt:lpwstr>_Use_of_carbonates</vt:lpwstr>
      </vt:variant>
      <vt:variant>
        <vt:i4>5767203</vt:i4>
      </vt:variant>
      <vt:variant>
        <vt:i4>183</vt:i4>
      </vt:variant>
      <vt:variant>
        <vt:i4>0</vt:i4>
      </vt:variant>
      <vt:variant>
        <vt:i4>5</vt:i4>
      </vt:variant>
      <vt:variant>
        <vt:lpwstr>https://cer.gov.au/document_page/estimating-emissions-and-energy-fuel-combustion-guideline</vt:lpwstr>
      </vt:variant>
      <vt:variant>
        <vt:lpwstr/>
      </vt:variant>
      <vt:variant>
        <vt:i4>262247</vt:i4>
      </vt:variant>
      <vt:variant>
        <vt:i4>180</vt:i4>
      </vt:variant>
      <vt:variant>
        <vt:i4>0</vt:i4>
      </vt:variant>
      <vt:variant>
        <vt:i4>5</vt:i4>
      </vt:variant>
      <vt:variant>
        <vt:lpwstr>https://cer.gov.au/document_page/methods-and-measurement-criteria-guideline</vt:lpwstr>
      </vt:variant>
      <vt:variant>
        <vt:lpwstr/>
      </vt:variant>
      <vt:variant>
        <vt:i4>3145841</vt:i4>
      </vt:variant>
      <vt:variant>
        <vt:i4>174</vt:i4>
      </vt:variant>
      <vt:variant>
        <vt:i4>0</vt:i4>
      </vt:variant>
      <vt:variant>
        <vt:i4>5</vt:i4>
      </vt:variant>
      <vt:variant>
        <vt:lpwstr>https://www.dcceew.gov.au/climate-change/publications/national-greenhouse-accounts-factors</vt:lpwstr>
      </vt:variant>
      <vt:variant>
        <vt:lpwstr/>
      </vt:variant>
      <vt:variant>
        <vt:i4>4849775</vt:i4>
      </vt:variant>
      <vt:variant>
        <vt:i4>171</vt:i4>
      </vt:variant>
      <vt:variant>
        <vt:i4>0</vt:i4>
      </vt:variant>
      <vt:variant>
        <vt:i4>5</vt:i4>
      </vt:variant>
      <vt:variant>
        <vt:lpwstr/>
      </vt:variant>
      <vt:variant>
        <vt:lpwstr>_Use_of_carbonates</vt:lpwstr>
      </vt:variant>
      <vt:variant>
        <vt:i4>3145841</vt:i4>
      </vt:variant>
      <vt:variant>
        <vt:i4>168</vt:i4>
      </vt:variant>
      <vt:variant>
        <vt:i4>0</vt:i4>
      </vt:variant>
      <vt:variant>
        <vt:i4>5</vt:i4>
      </vt:variant>
      <vt:variant>
        <vt:lpwstr>https://www.dcceew.gov.au/climate-change/publications/national-greenhouse-accounts-factors</vt:lpwstr>
      </vt:variant>
      <vt:variant>
        <vt:lpwstr/>
      </vt:variant>
      <vt:variant>
        <vt:i4>5570632</vt:i4>
      </vt:variant>
      <vt:variant>
        <vt:i4>165</vt:i4>
      </vt:variant>
      <vt:variant>
        <vt:i4>0</vt:i4>
      </vt:variant>
      <vt:variant>
        <vt:i4>5</vt:i4>
      </vt:variant>
      <vt:variant>
        <vt:lpwstr>https://cer.gov.au/schemes/national-greenhouse-and-energy-reporting-scheme/report-emissions-and-energy/nger-reporting</vt:lpwstr>
      </vt:variant>
      <vt:variant>
        <vt:lpwstr/>
      </vt:variant>
      <vt:variant>
        <vt:i4>6946865</vt:i4>
      </vt:variant>
      <vt:variant>
        <vt:i4>162</vt:i4>
      </vt:variant>
      <vt:variant>
        <vt:i4>0</vt:i4>
      </vt:variant>
      <vt:variant>
        <vt:i4>5</vt:i4>
      </vt:variant>
      <vt:variant>
        <vt:lpwstr>http://www.legislation.gov.au/</vt:lpwstr>
      </vt:variant>
      <vt:variant>
        <vt:lpwstr/>
      </vt:variant>
      <vt:variant>
        <vt:i4>1179716</vt:i4>
      </vt:variant>
      <vt:variant>
        <vt:i4>159</vt:i4>
      </vt:variant>
      <vt:variant>
        <vt:i4>0</vt:i4>
      </vt:variant>
      <vt:variant>
        <vt:i4>5</vt:i4>
      </vt:variant>
      <vt:variant>
        <vt:lpwstr>https://cer.gov.au/schemes/national-greenhouse-and-energy-reporting-scheme/report-emissions-and-energy/amendments</vt:lpwstr>
      </vt:variant>
      <vt:variant>
        <vt:lpwstr/>
      </vt:variant>
      <vt:variant>
        <vt:i4>2883643</vt:i4>
      </vt:variant>
      <vt:variant>
        <vt:i4>156</vt:i4>
      </vt:variant>
      <vt:variant>
        <vt:i4>0</vt:i4>
      </vt:variant>
      <vt:variant>
        <vt:i4>5</vt:i4>
      </vt:variant>
      <vt:variant>
        <vt:lpwstr>https://cer.gov.au/schemes/national-greenhouse-and-energy-reporting-scheme</vt:lpwstr>
      </vt:variant>
      <vt:variant>
        <vt:lpwstr/>
      </vt:variant>
      <vt:variant>
        <vt:i4>917523</vt:i4>
      </vt:variant>
      <vt:variant>
        <vt:i4>153</vt:i4>
      </vt:variant>
      <vt:variant>
        <vt:i4>0</vt:i4>
      </vt:variant>
      <vt:variant>
        <vt:i4>5</vt:i4>
      </vt:variant>
      <vt:variant>
        <vt:lpwstr>https://www.legislation.gov.au/Series/F2008L02309</vt:lpwstr>
      </vt:variant>
      <vt:variant>
        <vt:lpwstr/>
      </vt:variant>
      <vt:variant>
        <vt:i4>3866674</vt:i4>
      </vt:variant>
      <vt:variant>
        <vt:i4>150</vt:i4>
      </vt:variant>
      <vt:variant>
        <vt:i4>0</vt:i4>
      </vt:variant>
      <vt:variant>
        <vt:i4>5</vt:i4>
      </vt:variant>
      <vt:variant>
        <vt:lpwstr>https://www.legislation.gov.au/F2008L02230/latest/versions</vt:lpwstr>
      </vt:variant>
      <vt:variant>
        <vt:lpwstr/>
      </vt:variant>
      <vt:variant>
        <vt:i4>3604537</vt:i4>
      </vt:variant>
      <vt:variant>
        <vt:i4>147</vt:i4>
      </vt:variant>
      <vt:variant>
        <vt:i4>0</vt:i4>
      </vt:variant>
      <vt:variant>
        <vt:i4>5</vt:i4>
      </vt:variant>
      <vt:variant>
        <vt:lpwstr>https://www.legislation.gov.au/C2007A00175/latest/versions</vt:lpwstr>
      </vt:variant>
      <vt:variant>
        <vt:lpwstr/>
      </vt:variant>
      <vt:variant>
        <vt:i4>2228337</vt:i4>
      </vt:variant>
      <vt:variant>
        <vt:i4>144</vt:i4>
      </vt:variant>
      <vt:variant>
        <vt:i4>0</vt:i4>
      </vt:variant>
      <vt:variant>
        <vt:i4>5</vt:i4>
      </vt:variant>
      <vt:variant>
        <vt:lpwstr>https://www.legislation.gov.au/help-and-resources/understanding-legislation/reading-legislation</vt:lpwstr>
      </vt:variant>
      <vt:variant>
        <vt:lpwstr/>
      </vt:variant>
      <vt:variant>
        <vt:i4>3801132</vt:i4>
      </vt:variant>
      <vt:variant>
        <vt:i4>141</vt:i4>
      </vt:variant>
      <vt:variant>
        <vt:i4>0</vt:i4>
      </vt:variant>
      <vt:variant>
        <vt:i4>5</vt:i4>
      </vt:variant>
      <vt:variant>
        <vt:lpwstr>https://www.ipcc-nggip.iges.or.jp/public/2006gl/index.html</vt:lpwstr>
      </vt:variant>
      <vt:variant>
        <vt:lpwstr/>
      </vt:variant>
      <vt:variant>
        <vt:i4>7929905</vt:i4>
      </vt:variant>
      <vt:variant>
        <vt:i4>138</vt:i4>
      </vt:variant>
      <vt:variant>
        <vt:i4>0</vt:i4>
      </vt:variant>
      <vt:variant>
        <vt:i4>5</vt:i4>
      </vt:variant>
      <vt:variant>
        <vt:lpwstr>https://cer.gov.au/schemes/national-greenhouse-and-energy-reporting-scheme/assess-your-obligations</vt:lpwstr>
      </vt:variant>
      <vt:variant>
        <vt:lpwstr>what-is-an-nger-facility</vt:lpwstr>
      </vt:variant>
      <vt:variant>
        <vt:i4>1376357</vt:i4>
      </vt:variant>
      <vt:variant>
        <vt:i4>54</vt:i4>
      </vt:variant>
      <vt:variant>
        <vt:i4>0</vt:i4>
      </vt:variant>
      <vt:variant>
        <vt:i4>5</vt:i4>
      </vt:variant>
      <vt:variant>
        <vt:lpwstr>https://cer.gov.au/document_page/reporting-hydrofluorocarbons-and-sulphur-hexafluoride-gases-guideline</vt:lpwstr>
      </vt:variant>
      <vt:variant>
        <vt:lpwstr/>
      </vt:variant>
      <vt:variant>
        <vt:i4>1900629</vt:i4>
      </vt:variant>
      <vt:variant>
        <vt:i4>48</vt:i4>
      </vt:variant>
      <vt:variant>
        <vt:i4>0</vt:i4>
      </vt:variant>
      <vt:variant>
        <vt:i4>5</vt:i4>
      </vt:variant>
      <vt:variant>
        <vt:lpwstr>https://www.epa.gov/sites/default/files/2016-02/documents/measureprotocol.pdf</vt:lpwstr>
      </vt:variant>
      <vt:variant>
        <vt:lpwstr/>
      </vt:variant>
      <vt:variant>
        <vt:i4>3342425</vt:i4>
      </vt:variant>
      <vt:variant>
        <vt:i4>45</vt:i4>
      </vt:variant>
      <vt:variant>
        <vt:i4>0</vt:i4>
      </vt:variant>
      <vt:variant>
        <vt:i4>5</vt:i4>
      </vt:variant>
      <vt:variant>
        <vt:lpwstr>https://cer.gov.au/document_page/guidance-aggregated-facility-reporting-percentage-estimates-and-incidental-emissions-and-energy</vt:lpwstr>
      </vt:variant>
      <vt:variant>
        <vt:lpwstr/>
      </vt:variant>
      <vt:variant>
        <vt:i4>5767203</vt:i4>
      </vt:variant>
      <vt:variant>
        <vt:i4>42</vt:i4>
      </vt:variant>
      <vt:variant>
        <vt:i4>0</vt:i4>
      </vt:variant>
      <vt:variant>
        <vt:i4>5</vt:i4>
      </vt:variant>
      <vt:variant>
        <vt:lpwstr>https://cer.gov.au/document_page/estimating-emissions-and-energy-fuel-combustion-guideline</vt:lpwstr>
      </vt:variant>
      <vt:variant>
        <vt:lpwstr/>
      </vt:variant>
      <vt:variant>
        <vt:i4>262247</vt:i4>
      </vt:variant>
      <vt:variant>
        <vt:i4>39</vt:i4>
      </vt:variant>
      <vt:variant>
        <vt:i4>0</vt:i4>
      </vt:variant>
      <vt:variant>
        <vt:i4>5</vt:i4>
      </vt:variant>
      <vt:variant>
        <vt:lpwstr>https://cer.gov.au/document_page/methods-and-measurement-criteria-guideline</vt:lpwstr>
      </vt:variant>
      <vt:variant>
        <vt:lpwstr/>
      </vt:variant>
      <vt:variant>
        <vt:i4>3145841</vt:i4>
      </vt:variant>
      <vt:variant>
        <vt:i4>36</vt:i4>
      </vt:variant>
      <vt:variant>
        <vt:i4>0</vt:i4>
      </vt:variant>
      <vt:variant>
        <vt:i4>5</vt:i4>
      </vt:variant>
      <vt:variant>
        <vt:lpwstr>https://www.dcceew.gov.au/climate-change/publications/national-greenhouse-accounts-factors</vt:lpwstr>
      </vt:variant>
      <vt:variant>
        <vt:lpwstr/>
      </vt:variant>
      <vt:variant>
        <vt:i4>3145841</vt:i4>
      </vt:variant>
      <vt:variant>
        <vt:i4>33</vt:i4>
      </vt:variant>
      <vt:variant>
        <vt:i4>0</vt:i4>
      </vt:variant>
      <vt:variant>
        <vt:i4>5</vt:i4>
      </vt:variant>
      <vt:variant>
        <vt:lpwstr>https://www.dcceew.gov.au/climate-change/publications/national-greenhouse-accounts-factors</vt:lpwstr>
      </vt:variant>
      <vt:variant>
        <vt:lpwstr/>
      </vt:variant>
      <vt:variant>
        <vt:i4>5570632</vt:i4>
      </vt:variant>
      <vt:variant>
        <vt:i4>30</vt:i4>
      </vt:variant>
      <vt:variant>
        <vt:i4>0</vt:i4>
      </vt:variant>
      <vt:variant>
        <vt:i4>5</vt:i4>
      </vt:variant>
      <vt:variant>
        <vt:lpwstr>https://cer.gov.au/schemes/national-greenhouse-and-energy-reporting-scheme/report-emissions-and-energy/nger-reporting</vt:lpwstr>
      </vt:variant>
      <vt:variant>
        <vt:lpwstr/>
      </vt:variant>
      <vt:variant>
        <vt:i4>6946865</vt:i4>
      </vt:variant>
      <vt:variant>
        <vt:i4>27</vt:i4>
      </vt:variant>
      <vt:variant>
        <vt:i4>0</vt:i4>
      </vt:variant>
      <vt:variant>
        <vt:i4>5</vt:i4>
      </vt:variant>
      <vt:variant>
        <vt:lpwstr>http://www.legislation.gov.au/</vt:lpwstr>
      </vt:variant>
      <vt:variant>
        <vt:lpwstr/>
      </vt:variant>
      <vt:variant>
        <vt:i4>1179716</vt:i4>
      </vt:variant>
      <vt:variant>
        <vt:i4>24</vt:i4>
      </vt:variant>
      <vt:variant>
        <vt:i4>0</vt:i4>
      </vt:variant>
      <vt:variant>
        <vt:i4>5</vt:i4>
      </vt:variant>
      <vt:variant>
        <vt:lpwstr>https://cer.gov.au/schemes/national-greenhouse-and-energy-reporting-scheme/report-emissions-and-energy/amendments</vt:lpwstr>
      </vt:variant>
      <vt:variant>
        <vt:lpwstr/>
      </vt:variant>
      <vt:variant>
        <vt:i4>2883643</vt:i4>
      </vt:variant>
      <vt:variant>
        <vt:i4>21</vt:i4>
      </vt:variant>
      <vt:variant>
        <vt:i4>0</vt:i4>
      </vt:variant>
      <vt:variant>
        <vt:i4>5</vt:i4>
      </vt:variant>
      <vt:variant>
        <vt:lpwstr>https://cer.gov.au/schemes/national-greenhouse-and-energy-reporting-scheme</vt:lpwstr>
      </vt:variant>
      <vt:variant>
        <vt:lpwstr/>
      </vt:variant>
      <vt:variant>
        <vt:i4>917523</vt:i4>
      </vt:variant>
      <vt:variant>
        <vt:i4>18</vt:i4>
      </vt:variant>
      <vt:variant>
        <vt:i4>0</vt:i4>
      </vt:variant>
      <vt:variant>
        <vt:i4>5</vt:i4>
      </vt:variant>
      <vt:variant>
        <vt:lpwstr>https://www.legislation.gov.au/Series/F2008L02309</vt:lpwstr>
      </vt:variant>
      <vt:variant>
        <vt:lpwstr/>
      </vt:variant>
      <vt:variant>
        <vt:i4>851986</vt:i4>
      </vt:variant>
      <vt:variant>
        <vt:i4>15</vt:i4>
      </vt:variant>
      <vt:variant>
        <vt:i4>0</vt:i4>
      </vt:variant>
      <vt:variant>
        <vt:i4>5</vt:i4>
      </vt:variant>
      <vt:variant>
        <vt:lpwstr>https://www.legislation.gov.au/Series/F2008L02230</vt:lpwstr>
      </vt:variant>
      <vt:variant>
        <vt:lpwstr/>
      </vt:variant>
      <vt:variant>
        <vt:i4>393243</vt:i4>
      </vt:variant>
      <vt:variant>
        <vt:i4>12</vt:i4>
      </vt:variant>
      <vt:variant>
        <vt:i4>0</vt:i4>
      </vt:variant>
      <vt:variant>
        <vt:i4>5</vt:i4>
      </vt:variant>
      <vt:variant>
        <vt:lpwstr>https://www.legislation.gov.au/Series/C2007A00175</vt:lpwstr>
      </vt:variant>
      <vt:variant>
        <vt:lpwstr/>
      </vt:variant>
      <vt:variant>
        <vt:i4>2228337</vt:i4>
      </vt:variant>
      <vt:variant>
        <vt:i4>9</vt:i4>
      </vt:variant>
      <vt:variant>
        <vt:i4>0</vt:i4>
      </vt:variant>
      <vt:variant>
        <vt:i4>5</vt:i4>
      </vt:variant>
      <vt:variant>
        <vt:lpwstr>https://www.legislation.gov.au/help-and-resources/understanding-legislation/reading-legislation</vt:lpwstr>
      </vt:variant>
      <vt:variant>
        <vt:lpwstr/>
      </vt:variant>
      <vt:variant>
        <vt:i4>3801132</vt:i4>
      </vt:variant>
      <vt:variant>
        <vt:i4>6</vt:i4>
      </vt:variant>
      <vt:variant>
        <vt:i4>0</vt:i4>
      </vt:variant>
      <vt:variant>
        <vt:i4>5</vt:i4>
      </vt:variant>
      <vt:variant>
        <vt:lpwstr>https://www.ipcc-nggip.iges.or.jp/public/2006gl/index.html</vt:lpwstr>
      </vt:variant>
      <vt:variant>
        <vt:lpwstr/>
      </vt:variant>
      <vt:variant>
        <vt:i4>7929905</vt:i4>
      </vt:variant>
      <vt:variant>
        <vt:i4>0</vt:i4>
      </vt:variant>
      <vt:variant>
        <vt:i4>0</vt:i4>
      </vt:variant>
      <vt:variant>
        <vt:i4>5</vt:i4>
      </vt:variant>
      <vt:variant>
        <vt:lpwstr>https://cer.gov.au/schemes/national-greenhouse-and-energy-reporting-scheme/assess-your-obligations</vt:lpwstr>
      </vt:variant>
      <vt:variant>
        <vt:lpwstr>what-is-an-nger-facility</vt:lpwstr>
      </vt:variant>
      <vt:variant>
        <vt:i4>6553612</vt:i4>
      </vt:variant>
      <vt:variant>
        <vt:i4>2</vt:i4>
      </vt:variant>
      <vt:variant>
        <vt:i4>0</vt:i4>
      </vt:variant>
      <vt:variant>
        <vt:i4>5</vt:i4>
      </vt:variant>
      <vt:variant>
        <vt:lpwstr>mailto:enquiries@cer.gov.au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Estimating emissions and energy from industrial processes guidance</dc:title>
  <dc:subject/>
  <dc:creator/>
  <cp:keywords/>
  <cp:lastModifiedBy/>
  <cp:revision>1</cp:revision>
  <dcterms:created xsi:type="dcterms:W3CDTF">2025-08-20T03:31:00Z</dcterms:created>
  <dcterms:modified xsi:type="dcterms:W3CDTF">2025-08-20T03:36:00Z</dcterms:modified>
  <cp:contentStatus/>
</cp:coreProperties>
</file>