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02C9" w14:textId="5BE4DD1A" w:rsidR="00977234" w:rsidRDefault="00B16D30" w:rsidP="00146FC8">
      <w:pPr>
        <w:pStyle w:val="CERcovertitle"/>
        <w:tabs>
          <w:tab w:val="left" w:pos="5103"/>
        </w:tabs>
        <w:spacing w:before="2520"/>
        <w:ind w:left="5103" w:right="-41"/>
      </w:pPr>
      <w:r>
        <w:drawing>
          <wp:anchor distT="0" distB="0" distL="114300" distR="114300" simplePos="0" relativeHeight="251658242" behindDoc="0" locked="0" layoutInCell="1" allowOverlap="1" wp14:anchorId="711A514B" wp14:editId="491A345E">
            <wp:simplePos x="0" y="0"/>
            <wp:positionH relativeFrom="column">
              <wp:posOffset>180975</wp:posOffset>
            </wp:positionH>
            <wp:positionV relativeFrom="page">
              <wp:posOffset>2381250</wp:posOffset>
            </wp:positionV>
            <wp:extent cx="2664000" cy="2664000"/>
            <wp:effectExtent l="0" t="0" r="0" b="0"/>
            <wp:wrapNone/>
            <wp:docPr id="22" name="Graphic 22" descr="Gear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ears outline">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2664000" cy="2664000"/>
                    </a:xfrm>
                    <a:prstGeom prst="rect">
                      <a:avLst/>
                    </a:prstGeom>
                  </pic:spPr>
                </pic:pic>
              </a:graphicData>
            </a:graphic>
            <wp14:sizeRelH relativeFrom="page">
              <wp14:pctWidth>0</wp14:pctWidth>
            </wp14:sizeRelH>
            <wp14:sizeRelV relativeFrom="page">
              <wp14:pctHeight>0</wp14:pctHeight>
            </wp14:sizeRelV>
          </wp:anchor>
        </w:drawing>
      </w:r>
      <w:r w:rsidR="001813DE" w:rsidRPr="001813DE">
        <w:rPr>
          <w:rFonts w:asciiTheme="minorHAnsi" w:hAnsiTheme="minorHAnsi"/>
        </w:rPr>
        <mc:AlternateContent>
          <mc:Choice Requires="wps">
            <w:drawing>
              <wp:anchor distT="0" distB="0" distL="114300" distR="114300" simplePos="0" relativeHeight="251658240" behindDoc="0" locked="0" layoutInCell="1" allowOverlap="1" wp14:anchorId="41A7BA9F" wp14:editId="6F84E9E6">
                <wp:simplePos x="0" y="0"/>
                <wp:positionH relativeFrom="column">
                  <wp:posOffset>-19050</wp:posOffset>
                </wp:positionH>
                <wp:positionV relativeFrom="paragraph">
                  <wp:posOffset>893445</wp:posOffset>
                </wp:positionV>
                <wp:extent cx="6192000" cy="6185230"/>
                <wp:effectExtent l="0" t="0" r="0" b="6350"/>
                <wp:wrapNone/>
                <wp:docPr id="15" name="Freeform: Shape 15">
                  <a:extLst xmlns:a="http://schemas.openxmlformats.org/drawingml/2006/main">
                    <a:ext uri="{FF2B5EF4-FFF2-40B4-BE49-F238E27FC236}">
                      <a16:creationId xmlns:a16="http://schemas.microsoft.com/office/drawing/2014/main" id="{833A9379-F33B-6747-102E-56A337149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2000" cy="6185230"/>
                        </a:xfrm>
                        <a:custGeom>
                          <a:avLst/>
                          <a:gdLst>
                            <a:gd name="connsiteX0" fmla="*/ 5805660 w 7550841"/>
                            <a:gd name="connsiteY0" fmla="*/ 5698644 h 7542959"/>
                            <a:gd name="connsiteX1" fmla="*/ 7449582 w 7550841"/>
                            <a:gd name="connsiteY1" fmla="*/ 5698644 h 7542959"/>
                            <a:gd name="connsiteX2" fmla="*/ 7550841 w 7550841"/>
                            <a:gd name="connsiteY2" fmla="*/ 5788610 h 7542959"/>
                            <a:gd name="connsiteX3" fmla="*/ 7550841 w 7550841"/>
                            <a:gd name="connsiteY3" fmla="*/ 7441836 h 7542959"/>
                            <a:gd name="connsiteX4" fmla="*/ 7449582 w 7550841"/>
                            <a:gd name="connsiteY4" fmla="*/ 7542959 h 7542959"/>
                            <a:gd name="connsiteX5" fmla="*/ 5805660 w 7550841"/>
                            <a:gd name="connsiteY5" fmla="*/ 7542959 h 7542959"/>
                            <a:gd name="connsiteX6" fmla="*/ 5704401 w 7550841"/>
                            <a:gd name="connsiteY6" fmla="*/ 7441836 h 7542959"/>
                            <a:gd name="connsiteX7" fmla="*/ 5704401 w 7550841"/>
                            <a:gd name="connsiteY7" fmla="*/ 5788610 h 7542959"/>
                            <a:gd name="connsiteX8" fmla="*/ 3894784 w 7550841"/>
                            <a:gd name="connsiteY8" fmla="*/ 5698644 h 7542959"/>
                            <a:gd name="connsiteX9" fmla="*/ 5559985 w 7550841"/>
                            <a:gd name="connsiteY9" fmla="*/ 5698644 h 7542959"/>
                            <a:gd name="connsiteX10" fmla="*/ 5650604 w 7550841"/>
                            <a:gd name="connsiteY10" fmla="*/ 5788610 h 7542959"/>
                            <a:gd name="connsiteX11" fmla="*/ 5650604 w 7550841"/>
                            <a:gd name="connsiteY11" fmla="*/ 7441836 h 7542959"/>
                            <a:gd name="connsiteX12" fmla="*/ 5559985 w 7550841"/>
                            <a:gd name="connsiteY12" fmla="*/ 7542959 h 7542959"/>
                            <a:gd name="connsiteX13" fmla="*/ 3894784 w 7550841"/>
                            <a:gd name="connsiteY13" fmla="*/ 7542959 h 7542959"/>
                            <a:gd name="connsiteX14" fmla="*/ 3804166 w 7550841"/>
                            <a:gd name="connsiteY14" fmla="*/ 7441836 h 7542959"/>
                            <a:gd name="connsiteX15" fmla="*/ 3804166 w 7550841"/>
                            <a:gd name="connsiteY15" fmla="*/ 5788610 h 7542959"/>
                            <a:gd name="connsiteX16" fmla="*/ 2001855 w 7550841"/>
                            <a:gd name="connsiteY16" fmla="*/ 5698644 h 7542959"/>
                            <a:gd name="connsiteX17" fmla="*/ 3645777 w 7550841"/>
                            <a:gd name="connsiteY17" fmla="*/ 5698644 h 7542959"/>
                            <a:gd name="connsiteX18" fmla="*/ 3747036 w 7550841"/>
                            <a:gd name="connsiteY18" fmla="*/ 5788610 h 7542959"/>
                            <a:gd name="connsiteX19" fmla="*/ 3747036 w 7550841"/>
                            <a:gd name="connsiteY19" fmla="*/ 7441836 h 7542959"/>
                            <a:gd name="connsiteX20" fmla="*/ 3645777 w 7550841"/>
                            <a:gd name="connsiteY20" fmla="*/ 7542959 h 7542959"/>
                            <a:gd name="connsiteX21" fmla="*/ 2001855 w 7550841"/>
                            <a:gd name="connsiteY21" fmla="*/ 7542959 h 7542959"/>
                            <a:gd name="connsiteX22" fmla="*/ 1900596 w 7550841"/>
                            <a:gd name="connsiteY22" fmla="*/ 7441836 h 7542959"/>
                            <a:gd name="connsiteX23" fmla="*/ 1900596 w 7550841"/>
                            <a:gd name="connsiteY23" fmla="*/ 5788610 h 7542959"/>
                            <a:gd name="connsiteX24" fmla="*/ 3894784 w 7550841"/>
                            <a:gd name="connsiteY24" fmla="*/ 3796819 h 7542959"/>
                            <a:gd name="connsiteX25" fmla="*/ 5115195 w 7550841"/>
                            <a:gd name="connsiteY25" fmla="*/ 3796819 h 7542959"/>
                            <a:gd name="connsiteX26" fmla="*/ 5559985 w 7550841"/>
                            <a:gd name="connsiteY26" fmla="*/ 3796819 h 7542959"/>
                            <a:gd name="connsiteX27" fmla="*/ 5805660 w 7550841"/>
                            <a:gd name="connsiteY27" fmla="*/ 3796819 h 7542959"/>
                            <a:gd name="connsiteX28" fmla="*/ 6759117 w 7550841"/>
                            <a:gd name="connsiteY28" fmla="*/ 3796819 h 7542959"/>
                            <a:gd name="connsiteX29" fmla="*/ 7449582 w 7550841"/>
                            <a:gd name="connsiteY29" fmla="*/ 3796819 h 7542959"/>
                            <a:gd name="connsiteX30" fmla="*/ 7550841 w 7550841"/>
                            <a:gd name="connsiteY30" fmla="*/ 3886786 h 7542959"/>
                            <a:gd name="connsiteX31" fmla="*/ 7550841 w 7550841"/>
                            <a:gd name="connsiteY31" fmla="*/ 5540012 h 7542959"/>
                            <a:gd name="connsiteX32" fmla="*/ 7449582 w 7550841"/>
                            <a:gd name="connsiteY32" fmla="*/ 5641134 h 7542959"/>
                            <a:gd name="connsiteX33" fmla="*/ 6759117 w 7550841"/>
                            <a:gd name="connsiteY33" fmla="*/ 5641134 h 7542959"/>
                            <a:gd name="connsiteX34" fmla="*/ 5805660 w 7550841"/>
                            <a:gd name="connsiteY34" fmla="*/ 5641134 h 7542959"/>
                            <a:gd name="connsiteX35" fmla="*/ 5559985 w 7550841"/>
                            <a:gd name="connsiteY35" fmla="*/ 5641134 h 7542959"/>
                            <a:gd name="connsiteX36" fmla="*/ 5115195 w 7550841"/>
                            <a:gd name="connsiteY36" fmla="*/ 5641134 h 7542959"/>
                            <a:gd name="connsiteX37" fmla="*/ 3894784 w 7550841"/>
                            <a:gd name="connsiteY37" fmla="*/ 5641134 h 7542959"/>
                            <a:gd name="connsiteX38" fmla="*/ 3804166 w 7550841"/>
                            <a:gd name="connsiteY38" fmla="*/ 5551150 h 7542959"/>
                            <a:gd name="connsiteX39" fmla="*/ 3804166 w 7550841"/>
                            <a:gd name="connsiteY39" fmla="*/ 3897961 h 7542959"/>
                            <a:gd name="connsiteX40" fmla="*/ 1991217 w 7550841"/>
                            <a:gd name="connsiteY40" fmla="*/ 3796819 h 7542959"/>
                            <a:gd name="connsiteX41" fmla="*/ 3656417 w 7550841"/>
                            <a:gd name="connsiteY41" fmla="*/ 3796819 h 7542959"/>
                            <a:gd name="connsiteX42" fmla="*/ 3747036 w 7550841"/>
                            <a:gd name="connsiteY42" fmla="*/ 3897961 h 7542959"/>
                            <a:gd name="connsiteX43" fmla="*/ 3747036 w 7550841"/>
                            <a:gd name="connsiteY43" fmla="*/ 5551150 h 7542959"/>
                            <a:gd name="connsiteX44" fmla="*/ 3656417 w 7550841"/>
                            <a:gd name="connsiteY44" fmla="*/ 5641134 h 7542959"/>
                            <a:gd name="connsiteX45" fmla="*/ 1991217 w 7550841"/>
                            <a:gd name="connsiteY45" fmla="*/ 5641134 h 7542959"/>
                            <a:gd name="connsiteX46" fmla="*/ 1900599 w 7550841"/>
                            <a:gd name="connsiteY46" fmla="*/ 5551150 h 7542959"/>
                            <a:gd name="connsiteX47" fmla="*/ 1900599 w 7550841"/>
                            <a:gd name="connsiteY47" fmla="*/ 3897961 h 7542959"/>
                            <a:gd name="connsiteX48" fmla="*/ 90980 w 7550841"/>
                            <a:gd name="connsiteY48" fmla="*/ 3796819 h 7542959"/>
                            <a:gd name="connsiteX49" fmla="*/ 1756180 w 7550841"/>
                            <a:gd name="connsiteY49" fmla="*/ 3796819 h 7542959"/>
                            <a:gd name="connsiteX50" fmla="*/ 1846799 w 7550841"/>
                            <a:gd name="connsiteY50" fmla="*/ 3886785 h 7542959"/>
                            <a:gd name="connsiteX51" fmla="*/ 1846799 w 7550841"/>
                            <a:gd name="connsiteY51" fmla="*/ 5540011 h 7542959"/>
                            <a:gd name="connsiteX52" fmla="*/ 1756180 w 7550841"/>
                            <a:gd name="connsiteY52" fmla="*/ 5641134 h 7542959"/>
                            <a:gd name="connsiteX53" fmla="*/ 90980 w 7550841"/>
                            <a:gd name="connsiteY53" fmla="*/ 5641134 h 7542959"/>
                            <a:gd name="connsiteX54" fmla="*/ 361 w 7550841"/>
                            <a:gd name="connsiteY54" fmla="*/ 5540011 h 7542959"/>
                            <a:gd name="connsiteX55" fmla="*/ 361 w 7550841"/>
                            <a:gd name="connsiteY55" fmla="*/ 3886785 h 7542959"/>
                            <a:gd name="connsiteX56" fmla="*/ 90009 w 7550841"/>
                            <a:gd name="connsiteY56" fmla="*/ 0 h 7542959"/>
                            <a:gd name="connsiteX57" fmla="*/ 3645017 w 7550841"/>
                            <a:gd name="connsiteY57" fmla="*/ 0 h 7542959"/>
                            <a:gd name="connsiteX58" fmla="*/ 3735026 w 7550841"/>
                            <a:gd name="connsiteY58" fmla="*/ 90009 h 7542959"/>
                            <a:gd name="connsiteX59" fmla="*/ 3735026 w 7550841"/>
                            <a:gd name="connsiteY59" fmla="*/ 1226288 h 7542959"/>
                            <a:gd name="connsiteX60" fmla="*/ 3735026 w 7550841"/>
                            <a:gd name="connsiteY60" fmla="*/ 1744021 h 7542959"/>
                            <a:gd name="connsiteX61" fmla="*/ 3735026 w 7550841"/>
                            <a:gd name="connsiteY61" fmla="*/ 1991367 h 7542959"/>
                            <a:gd name="connsiteX62" fmla="*/ 3735026 w 7550841"/>
                            <a:gd name="connsiteY62" fmla="*/ 2879939 h 7542959"/>
                            <a:gd name="connsiteX63" fmla="*/ 3735026 w 7550841"/>
                            <a:gd name="connsiteY63" fmla="*/ 3633858 h 7542959"/>
                            <a:gd name="connsiteX64" fmla="*/ 3645017 w 7550841"/>
                            <a:gd name="connsiteY64" fmla="*/ 3735028 h 7542959"/>
                            <a:gd name="connsiteX65" fmla="*/ 2689118 w 7550841"/>
                            <a:gd name="connsiteY65" fmla="*/ 3735028 h 7542959"/>
                            <a:gd name="connsiteX66" fmla="*/ 1991366 w 7550841"/>
                            <a:gd name="connsiteY66" fmla="*/ 3735028 h 7542959"/>
                            <a:gd name="connsiteX67" fmla="*/ 1744020 w 7550841"/>
                            <a:gd name="connsiteY67" fmla="*/ 3735028 h 7542959"/>
                            <a:gd name="connsiteX68" fmla="*/ 1035107 w 7550841"/>
                            <a:gd name="connsiteY68" fmla="*/ 3735028 h 7542959"/>
                            <a:gd name="connsiteX69" fmla="*/ 90009 w 7550841"/>
                            <a:gd name="connsiteY69" fmla="*/ 3735028 h 7542959"/>
                            <a:gd name="connsiteX70" fmla="*/ 0 w 7550841"/>
                            <a:gd name="connsiteY70" fmla="*/ 3633858 h 7542959"/>
                            <a:gd name="connsiteX71" fmla="*/ 0 w 7550841"/>
                            <a:gd name="connsiteY71" fmla="*/ 2879939 h 7542959"/>
                            <a:gd name="connsiteX72" fmla="*/ 0 w 7550841"/>
                            <a:gd name="connsiteY72" fmla="*/ 1991367 h 7542959"/>
                            <a:gd name="connsiteX73" fmla="*/ 0 w 7550841"/>
                            <a:gd name="connsiteY73" fmla="*/ 1744021 h 7542959"/>
                            <a:gd name="connsiteX74" fmla="*/ 0 w 7550841"/>
                            <a:gd name="connsiteY74" fmla="*/ 1226288 h 7542959"/>
                            <a:gd name="connsiteX75" fmla="*/ 0 w 7550841"/>
                            <a:gd name="connsiteY75" fmla="*/ 90009 h 754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7550841" h="7542959">
                              <a:moveTo>
                                <a:pt x="5805660" y="5698644"/>
                              </a:moveTo>
                              <a:lnTo>
                                <a:pt x="7449582" y="5698644"/>
                              </a:lnTo>
                              <a:lnTo>
                                <a:pt x="7550841" y="5788610"/>
                              </a:lnTo>
                              <a:lnTo>
                                <a:pt x="7550841" y="7441836"/>
                              </a:lnTo>
                              <a:lnTo>
                                <a:pt x="7449582" y="7542959"/>
                              </a:lnTo>
                              <a:lnTo>
                                <a:pt x="5805660" y="7542959"/>
                              </a:lnTo>
                              <a:lnTo>
                                <a:pt x="5704401" y="7441836"/>
                              </a:lnTo>
                              <a:lnTo>
                                <a:pt x="5704401" y="5788610"/>
                              </a:lnTo>
                              <a:close/>
                              <a:moveTo>
                                <a:pt x="3894784" y="5698644"/>
                              </a:moveTo>
                              <a:lnTo>
                                <a:pt x="5559985" y="5698644"/>
                              </a:lnTo>
                              <a:lnTo>
                                <a:pt x="5650604" y="5788610"/>
                              </a:lnTo>
                              <a:lnTo>
                                <a:pt x="5650604" y="7441836"/>
                              </a:lnTo>
                              <a:lnTo>
                                <a:pt x="5559985" y="7542959"/>
                              </a:lnTo>
                              <a:lnTo>
                                <a:pt x="3894784" y="7542959"/>
                              </a:lnTo>
                              <a:lnTo>
                                <a:pt x="3804166" y="7441836"/>
                              </a:lnTo>
                              <a:lnTo>
                                <a:pt x="3804166" y="5788610"/>
                              </a:lnTo>
                              <a:close/>
                              <a:moveTo>
                                <a:pt x="2001855" y="5698644"/>
                              </a:moveTo>
                              <a:lnTo>
                                <a:pt x="3645777" y="5698644"/>
                              </a:lnTo>
                              <a:lnTo>
                                <a:pt x="3747036" y="5788610"/>
                              </a:lnTo>
                              <a:lnTo>
                                <a:pt x="3747036" y="7441836"/>
                              </a:lnTo>
                              <a:lnTo>
                                <a:pt x="3645777" y="7542959"/>
                              </a:lnTo>
                              <a:lnTo>
                                <a:pt x="2001855" y="7542959"/>
                              </a:lnTo>
                              <a:lnTo>
                                <a:pt x="1900596" y="7441836"/>
                              </a:lnTo>
                              <a:lnTo>
                                <a:pt x="1900596" y="5788610"/>
                              </a:lnTo>
                              <a:close/>
                              <a:moveTo>
                                <a:pt x="3894784" y="3796819"/>
                              </a:moveTo>
                              <a:lnTo>
                                <a:pt x="5115195" y="3796819"/>
                              </a:lnTo>
                              <a:lnTo>
                                <a:pt x="5559985" y="3796819"/>
                              </a:lnTo>
                              <a:lnTo>
                                <a:pt x="5805660" y="3796819"/>
                              </a:lnTo>
                              <a:lnTo>
                                <a:pt x="6759117" y="3796819"/>
                              </a:lnTo>
                              <a:lnTo>
                                <a:pt x="7449582" y="3796819"/>
                              </a:lnTo>
                              <a:lnTo>
                                <a:pt x="7550841" y="3886786"/>
                              </a:lnTo>
                              <a:lnTo>
                                <a:pt x="7550841" y="5540012"/>
                              </a:lnTo>
                              <a:lnTo>
                                <a:pt x="7449582" y="5641134"/>
                              </a:lnTo>
                              <a:lnTo>
                                <a:pt x="6759117" y="5641134"/>
                              </a:lnTo>
                              <a:lnTo>
                                <a:pt x="5805660" y="5641134"/>
                              </a:lnTo>
                              <a:lnTo>
                                <a:pt x="5559985" y="5641134"/>
                              </a:lnTo>
                              <a:lnTo>
                                <a:pt x="5115195" y="5641134"/>
                              </a:lnTo>
                              <a:lnTo>
                                <a:pt x="3894784" y="5641134"/>
                              </a:lnTo>
                              <a:lnTo>
                                <a:pt x="3804166" y="5551150"/>
                              </a:lnTo>
                              <a:lnTo>
                                <a:pt x="3804166" y="3897961"/>
                              </a:lnTo>
                              <a:close/>
                              <a:moveTo>
                                <a:pt x="1991217" y="3796819"/>
                              </a:moveTo>
                              <a:lnTo>
                                <a:pt x="3656417" y="3796819"/>
                              </a:lnTo>
                              <a:lnTo>
                                <a:pt x="3747036" y="3897961"/>
                              </a:lnTo>
                              <a:lnTo>
                                <a:pt x="3747036" y="5551150"/>
                              </a:lnTo>
                              <a:lnTo>
                                <a:pt x="3656417" y="5641134"/>
                              </a:lnTo>
                              <a:lnTo>
                                <a:pt x="1991217" y="5641134"/>
                              </a:lnTo>
                              <a:lnTo>
                                <a:pt x="1900599" y="5551150"/>
                              </a:lnTo>
                              <a:lnTo>
                                <a:pt x="1900599" y="3897961"/>
                              </a:lnTo>
                              <a:close/>
                              <a:moveTo>
                                <a:pt x="90980" y="3796819"/>
                              </a:moveTo>
                              <a:lnTo>
                                <a:pt x="1756180" y="3796819"/>
                              </a:lnTo>
                              <a:lnTo>
                                <a:pt x="1846799" y="3886785"/>
                              </a:lnTo>
                              <a:lnTo>
                                <a:pt x="1846799" y="5540011"/>
                              </a:lnTo>
                              <a:lnTo>
                                <a:pt x="1756180" y="5641134"/>
                              </a:lnTo>
                              <a:lnTo>
                                <a:pt x="90980" y="5641134"/>
                              </a:lnTo>
                              <a:lnTo>
                                <a:pt x="361" y="5540011"/>
                              </a:lnTo>
                              <a:lnTo>
                                <a:pt x="361" y="3886785"/>
                              </a:lnTo>
                              <a:close/>
                              <a:moveTo>
                                <a:pt x="90009" y="0"/>
                              </a:moveTo>
                              <a:lnTo>
                                <a:pt x="3645017" y="0"/>
                              </a:lnTo>
                              <a:lnTo>
                                <a:pt x="3735026" y="90009"/>
                              </a:lnTo>
                              <a:lnTo>
                                <a:pt x="3735026" y="1226288"/>
                              </a:lnTo>
                              <a:lnTo>
                                <a:pt x="3735026" y="1744021"/>
                              </a:lnTo>
                              <a:lnTo>
                                <a:pt x="3735026" y="1991367"/>
                              </a:lnTo>
                              <a:lnTo>
                                <a:pt x="3735026" y="2879939"/>
                              </a:lnTo>
                              <a:lnTo>
                                <a:pt x="3735026" y="3633858"/>
                              </a:lnTo>
                              <a:lnTo>
                                <a:pt x="3645017" y="3735028"/>
                              </a:lnTo>
                              <a:lnTo>
                                <a:pt x="2689118" y="3735028"/>
                              </a:lnTo>
                              <a:lnTo>
                                <a:pt x="1991366" y="3735028"/>
                              </a:lnTo>
                              <a:lnTo>
                                <a:pt x="1744020"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rgbClr val="D9E696"/>
                        </a:solidFill>
                        <a:ln>
                          <a:noFill/>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687BFB8C" id="Freeform: Shape 15" o:spid="_x0000_s1026" alt="&quot;&quot;" style="position:absolute;margin-left:-1.5pt;margin-top:70.35pt;width:487.55pt;height:48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0841,754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" path="m5805660,5698644r1643922,l7550841,5788610r,1653226l7449582,7542959r-1643922,l5704401,7441836r,-1653226l5805660,5698644xm3894784,5698644r1665201,l5650604,5788610r,1653226l5559985,7542959r-1665201,l3804166,7441836r,-1653226l3894784,5698644xm2001855,5698644r1643922,l3747036,5788610r,1653226l3645777,7542959r-1643922,l1900596,7441836r,-1653226l2001855,5698644xm3894784,3796819r1220411,l5559985,3796819r245675,l6759117,3796819r690465,l7550841,3886786r,1653226l7449582,5641134r-690465,l5805660,5641134r-245675,l5115195,5641134r-1220411,l3804166,5551150r,-1653189l3894784,3796819xm1991217,3796819r1665200,l3747036,3897961r,1653189l3656417,5641134r-1665200,l1900599,5551150r,-1653189l1991217,3796819xm90980,3796819r1665200,l1846799,3886785r,1653226l1756180,5641134r-1665200,l361,5540011r,-1653226l90980,3796819xm90009,l3645017,r90009,90009l3735026,1226288r,517733l3735026,1991367r,888572l3735026,3633858r-90009,101170l2689118,3735028r-697752,l1744020,3735028r-708913,l90009,3735028,,3633858,,2879939,,1991367,,1744021,,1226288,,90009,90009,xe" fillcolor="#d9e696" stroked="f">
                <v:path arrowok="t" o:connecttype="custom" o:connectlocs="4760880,4672891;6108963,4672891;6192000,4746663;6192000,6102309;6108963,6185230;4760880,6185230;4677843,6102309;4677843,4746663;3193883,4672891;4559416,4672891;4633728,4746663;4633728,6102309;4559416,6185230;3193883,6185230;3119572,6102309;3119572,4746663;1641603,4672891;2989687,4672891;3072724,4746663;3072724,6102309;2989687,6185230;1641603,6185230;1558567,6102309;1558567,4746663;3193883,3113393;4194670,3113393;4559416,3113393;4760880,3113393;5542754,3113393;6108963,3113393;6192000,3187166;6192000,4542812;6108963,4625733;5542754,4625733;4760880,4625733;4559416,4625733;4194670,4625733;3193883,4625733;3119572,4551946;3119572,3196330;1632880,3113393;2998412,3113393;3072724,3196330;3072724,4551946;2998412,4625733;1632880,4625733;1558569,4551946;1558569,3196330;74607,3113393;1440140,3113393;1514451,3187166;1514451,4542812;1440140,4625733;74607,4625733;296,4542812;296,3187166;73811,0;2989064,0;3062875,73807;3062875,1005557;3062875,1430098;3062875,1632922;3062875,2361551;3062875,2979765;2989064,3062725;2205187,3062725;1633002,3062725;1430168,3062725;848830,3062725;73811,3062725;0,2979765;0,2361551;0,1632922;0,1430098;0,1005557;0,73807" o:connectangles="0,0,0,0,0,0,0,0,0,0,0,0,0,0,0,0,0,0,0,0,0,0,0,0,0,0,0,0,0,0,0,0,0,0,0,0,0,0,0,0,0,0,0,0,0,0,0,0,0,0,0,0,0,0,0,0,0,0,0,0,0,0,0,0,0,0,0,0,0,0,0,0,0,0,0,0"/>
                <o:lock v:ext="edit" aspectratio="t"/>
              </v:shape>
            </w:pict>
          </mc:Fallback>
        </mc:AlternateContent>
      </w:r>
      <w:r w:rsidR="000F2006" w:rsidRPr="74698ED5">
        <w:rPr>
          <w:rFonts w:asciiTheme="minorHAnsi" w:hAnsiTheme="minorHAnsi"/>
          <w:sz w:val="54"/>
          <w:szCs w:val="54"/>
        </w:rPr>
        <w:t>Estimating emissions and energy from fuel combustion guideline</w:t>
      </w:r>
    </w:p>
    <w:p w14:paraId="3B543F96" w14:textId="33856AAD" w:rsidR="003A5739" w:rsidRPr="00531F3B" w:rsidRDefault="00455364" w:rsidP="001813DE">
      <w:pPr>
        <w:pStyle w:val="BodyText1"/>
        <w:tabs>
          <w:tab w:val="left" w:pos="3969"/>
        </w:tabs>
        <w:ind w:left="5103" w:right="101"/>
      </w:pPr>
      <w:r>
        <w:t xml:space="preserve">July </w:t>
      </w:r>
      <w:r w:rsidR="0068486A">
        <w:t>202</w:t>
      </w:r>
      <w:r>
        <w:t>5</w:t>
      </w:r>
    </w:p>
    <w:p w14:paraId="6519C78F" w14:textId="03C371E9" w:rsidR="00235142" w:rsidRPr="00874B8F" w:rsidRDefault="00346AEF" w:rsidP="005B2609">
      <w:pPr>
        <w:pStyle w:val="Heading1"/>
      </w:pPr>
      <w:bookmarkStart w:id="0" w:name="_Toc108022489"/>
      <w:bookmarkStart w:id="1" w:name="_Toc140507356"/>
      <w:bookmarkStart w:id="2" w:name="_Toc141864080"/>
      <w:bookmarkStart w:id="3" w:name="_Toc204158977"/>
      <w:r>
        <w:rPr>
          <w:noProof/>
        </w:rPr>
        <w:drawing>
          <wp:anchor distT="0" distB="0" distL="114300" distR="114300" simplePos="0" relativeHeight="251658243" behindDoc="0" locked="0" layoutInCell="1" allowOverlap="1" wp14:anchorId="68F54FFC" wp14:editId="5A2FA83C">
            <wp:simplePos x="0" y="0"/>
            <wp:positionH relativeFrom="column">
              <wp:posOffset>1619250</wp:posOffset>
            </wp:positionH>
            <wp:positionV relativeFrom="page">
              <wp:posOffset>6944995</wp:posOffset>
            </wp:positionV>
            <wp:extent cx="1327785" cy="130619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1">
                      <a:duotone>
                        <a:prstClr val="black"/>
                        <a:schemeClr val="accent1">
                          <a:lumMod val="60000"/>
                          <a:lumOff val="40000"/>
                          <a:tint val="45000"/>
                          <a:satMod val="400000"/>
                        </a:schemeClr>
                      </a:duotone>
                      <a:extLst>
                        <a:ext uri="{BEBA8EAE-BF5A-486C-A8C5-ECC9F3942E4B}">
                          <a14:imgProps xmlns:a14="http://schemas.microsoft.com/office/drawing/2010/main">
                            <a14:imgLayer r:embed="rId12">
                              <a14:imgEffect>
                                <a14:colorTemperature colorTemp="11200"/>
                              </a14:imgEffect>
                              <a14:imgEffect>
                                <a14:saturation sat="400000"/>
                              </a14:imgEffect>
                            </a14:imgLayer>
                          </a14:imgProps>
                        </a:ext>
                      </a:extLst>
                    </a:blip>
                    <a:stretch>
                      <a:fillRect/>
                    </a:stretch>
                  </pic:blipFill>
                  <pic:spPr>
                    <a:xfrm>
                      <a:off x="0" y="0"/>
                      <a:ext cx="1327785" cy="1306195"/>
                    </a:xfrm>
                    <a:prstGeom prst="rect">
                      <a:avLst/>
                    </a:prstGeom>
                  </pic:spPr>
                </pic:pic>
              </a:graphicData>
            </a:graphic>
            <wp14:sizeRelH relativeFrom="page">
              <wp14:pctWidth>0</wp14:pctWidth>
            </wp14:sizeRelH>
            <wp14:sizeRelV relativeFrom="page">
              <wp14:pctHeight>0</wp14:pctHeight>
            </wp14:sizeRelV>
          </wp:anchor>
        </w:drawing>
      </w:r>
      <w:r w:rsidR="00166FC1">
        <w:rPr>
          <w:noProof/>
        </w:rPr>
        <w:drawing>
          <wp:anchor distT="0" distB="0" distL="114300" distR="114300" simplePos="0" relativeHeight="251658247" behindDoc="0" locked="0" layoutInCell="1" allowOverlap="1" wp14:anchorId="1F99CBE1" wp14:editId="639DA6C4">
            <wp:simplePos x="0" y="0"/>
            <wp:positionH relativeFrom="column">
              <wp:posOffset>4772025</wp:posOffset>
            </wp:positionH>
            <wp:positionV relativeFrom="page">
              <wp:posOffset>6929120</wp:posOffset>
            </wp:positionV>
            <wp:extent cx="1328400" cy="1328400"/>
            <wp:effectExtent l="0" t="0" r="5715" b="0"/>
            <wp:wrapNone/>
            <wp:docPr id="27" name="Graphic 27" descr="Bulldozer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Bulldozer outline">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48085B">
        <w:rPr>
          <w:noProof/>
        </w:rPr>
        <w:drawing>
          <wp:anchor distT="0" distB="0" distL="114300" distR="114300" simplePos="0" relativeHeight="251658246" behindDoc="0" locked="0" layoutInCell="1" allowOverlap="1" wp14:anchorId="321350E1" wp14:editId="4D7A4014">
            <wp:simplePos x="0" y="0"/>
            <wp:positionH relativeFrom="column">
              <wp:posOffset>3848100</wp:posOffset>
            </wp:positionH>
            <wp:positionV relativeFrom="page">
              <wp:posOffset>5262245</wp:posOffset>
            </wp:positionV>
            <wp:extent cx="1419860" cy="1419860"/>
            <wp:effectExtent l="0" t="0" r="8890" b="0"/>
            <wp:wrapNone/>
            <wp:docPr id="20" name="Graphic 20" descr="Solar Panel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olar Panels outline">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1419860" cy="1419860"/>
                    </a:xfrm>
                    <a:prstGeom prst="rect">
                      <a:avLst/>
                    </a:prstGeom>
                  </pic:spPr>
                </pic:pic>
              </a:graphicData>
            </a:graphic>
            <wp14:sizeRelH relativeFrom="page">
              <wp14:pctWidth>0</wp14:pctWidth>
            </wp14:sizeRelH>
            <wp14:sizeRelV relativeFrom="page">
              <wp14:pctHeight>0</wp14:pctHeight>
            </wp14:sizeRelV>
          </wp:anchor>
        </w:drawing>
      </w:r>
      <w:r w:rsidR="00B45921">
        <w:rPr>
          <w:noProof/>
        </w:rPr>
        <w:drawing>
          <wp:anchor distT="0" distB="0" distL="114300" distR="114300" simplePos="0" relativeHeight="251658245" behindDoc="0" locked="0" layoutInCell="1" allowOverlap="1" wp14:anchorId="51D0E73D" wp14:editId="4687BAD5">
            <wp:simplePos x="0" y="0"/>
            <wp:positionH relativeFrom="column">
              <wp:posOffset>1657350</wp:posOffset>
            </wp:positionH>
            <wp:positionV relativeFrom="page">
              <wp:posOffset>5367020</wp:posOffset>
            </wp:positionV>
            <wp:extent cx="1327785" cy="1327785"/>
            <wp:effectExtent l="0" t="0" r="0" b="0"/>
            <wp:wrapNone/>
            <wp:docPr id="18" name="Graphic 18" descr="Factory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actory outline">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1" behindDoc="0" locked="0" layoutInCell="1" allowOverlap="1" wp14:anchorId="4B5271F4" wp14:editId="35E4E506">
            <wp:simplePos x="0" y="0"/>
            <wp:positionH relativeFrom="column">
              <wp:posOffset>76200</wp:posOffset>
            </wp:positionH>
            <wp:positionV relativeFrom="page">
              <wp:posOffset>5372100</wp:posOffset>
            </wp:positionV>
            <wp:extent cx="1327785" cy="1327785"/>
            <wp:effectExtent l="0" t="0" r="5715" b="0"/>
            <wp:wrapNone/>
            <wp:docPr id="16" name="Graphic 16" descr="Power Plant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wer Plant outline">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4" behindDoc="0" locked="0" layoutInCell="1" allowOverlap="1" wp14:anchorId="27AA53C8" wp14:editId="3178DEBE">
            <wp:simplePos x="0" y="0"/>
            <wp:positionH relativeFrom="column">
              <wp:posOffset>3197923</wp:posOffset>
            </wp:positionH>
            <wp:positionV relativeFrom="page">
              <wp:posOffset>6931025</wp:posOffset>
            </wp:positionV>
            <wp:extent cx="1328400" cy="132840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21">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3A5739" w:rsidRPr="00531F3B">
        <w:br w:type="page"/>
      </w:r>
      <w:bookmarkStart w:id="4" w:name="_Toc447009035"/>
      <w:bookmarkStart w:id="5" w:name="_Toc413749884"/>
      <w:r w:rsidR="00235142" w:rsidRPr="00874B8F">
        <w:lastRenderedPageBreak/>
        <w:t>Contents</w:t>
      </w:r>
      <w:bookmarkEnd w:id="0"/>
      <w:bookmarkEnd w:id="1"/>
      <w:bookmarkEnd w:id="2"/>
      <w:bookmarkEnd w:id="3"/>
    </w:p>
    <w:p w14:paraId="60C155B3" w14:textId="7312E48D" w:rsidR="00E03F55" w:rsidRDefault="00235142">
      <w:pPr>
        <w:pStyle w:val="TOC1"/>
        <w:rPr>
          <w:rFonts w:eastAsiaTheme="minorEastAsia" w:cstheme="minorBidi"/>
          <w:b w:val="0"/>
          <w:noProof/>
          <w:color w:val="auto"/>
          <w:kern w:val="2"/>
          <w:sz w:val="24"/>
          <w:lang w:eastAsia="en-AU"/>
          <w14:ligatures w14:val="standardContextual"/>
        </w:rPr>
      </w:pPr>
      <w:r>
        <w:fldChar w:fldCharType="begin"/>
      </w:r>
      <w:r>
        <w:instrText xml:space="preserve"> TOC  \* MERGEFORMAT </w:instrText>
      </w:r>
      <w:r>
        <w:fldChar w:fldCharType="separate"/>
      </w:r>
      <w:r w:rsidR="00E03F55">
        <w:rPr>
          <w:noProof/>
        </w:rPr>
        <w:t>Contents</w:t>
      </w:r>
      <w:r w:rsidR="00E03F55">
        <w:rPr>
          <w:noProof/>
        </w:rPr>
        <w:tab/>
      </w:r>
      <w:r w:rsidR="00E03F55">
        <w:rPr>
          <w:noProof/>
        </w:rPr>
        <w:fldChar w:fldCharType="begin"/>
      </w:r>
      <w:r w:rsidR="00E03F55">
        <w:rPr>
          <w:noProof/>
        </w:rPr>
        <w:instrText xml:space="preserve"> PAGEREF _Toc204158977 \h </w:instrText>
      </w:r>
      <w:r w:rsidR="00E03F55">
        <w:rPr>
          <w:noProof/>
        </w:rPr>
      </w:r>
      <w:r w:rsidR="00E03F55">
        <w:rPr>
          <w:noProof/>
        </w:rPr>
        <w:fldChar w:fldCharType="separate"/>
      </w:r>
      <w:r w:rsidR="00DB7B65">
        <w:rPr>
          <w:noProof/>
        </w:rPr>
        <w:t>1</w:t>
      </w:r>
      <w:r w:rsidR="00E03F55">
        <w:rPr>
          <w:noProof/>
        </w:rPr>
        <w:fldChar w:fldCharType="end"/>
      </w:r>
    </w:p>
    <w:p w14:paraId="740195A8" w14:textId="70B47B34" w:rsidR="00E03F55" w:rsidRDefault="00E03F55">
      <w:pPr>
        <w:pStyle w:val="TOC1"/>
        <w:rPr>
          <w:rFonts w:eastAsiaTheme="minorEastAsia" w:cstheme="minorBidi"/>
          <w:b w:val="0"/>
          <w:noProof/>
          <w:color w:val="auto"/>
          <w:kern w:val="2"/>
          <w:sz w:val="24"/>
          <w:lang w:eastAsia="en-AU"/>
          <w14:ligatures w14:val="standardContextual"/>
        </w:rPr>
      </w:pPr>
      <w:r w:rsidRPr="00A709B2">
        <w:rPr>
          <w:noProof/>
          <w:lang w:val="en-GB"/>
        </w:rPr>
        <w:t>Definitions and abbreviations</w:t>
      </w:r>
      <w:r>
        <w:rPr>
          <w:noProof/>
        </w:rPr>
        <w:tab/>
      </w:r>
      <w:r>
        <w:rPr>
          <w:noProof/>
        </w:rPr>
        <w:fldChar w:fldCharType="begin"/>
      </w:r>
      <w:r>
        <w:rPr>
          <w:noProof/>
        </w:rPr>
        <w:instrText xml:space="preserve"> PAGEREF _Toc204158978 \h </w:instrText>
      </w:r>
      <w:r>
        <w:rPr>
          <w:noProof/>
        </w:rPr>
      </w:r>
      <w:r>
        <w:rPr>
          <w:noProof/>
        </w:rPr>
        <w:fldChar w:fldCharType="separate"/>
      </w:r>
      <w:r w:rsidR="00DB7B65">
        <w:rPr>
          <w:noProof/>
        </w:rPr>
        <w:t>4</w:t>
      </w:r>
      <w:r>
        <w:rPr>
          <w:noProof/>
        </w:rPr>
        <w:fldChar w:fldCharType="end"/>
      </w:r>
    </w:p>
    <w:p w14:paraId="7BD741DE" w14:textId="0A0FD35D" w:rsidR="00E03F55" w:rsidRDefault="00E03F55">
      <w:pPr>
        <w:pStyle w:val="TOC1"/>
        <w:rPr>
          <w:rFonts w:eastAsiaTheme="minorEastAsia" w:cstheme="minorBidi"/>
          <w:b w:val="0"/>
          <w:noProof/>
          <w:color w:val="auto"/>
          <w:kern w:val="2"/>
          <w:sz w:val="24"/>
          <w:lang w:eastAsia="en-AU"/>
          <w14:ligatures w14:val="standardContextual"/>
        </w:rPr>
      </w:pPr>
      <w:r w:rsidRPr="00A709B2">
        <w:rPr>
          <w:noProof/>
          <w:lang w:val="en-GB"/>
        </w:rPr>
        <w:t>Disclaimer</w:t>
      </w:r>
      <w:r>
        <w:rPr>
          <w:noProof/>
        </w:rPr>
        <w:tab/>
      </w:r>
      <w:r>
        <w:rPr>
          <w:noProof/>
        </w:rPr>
        <w:fldChar w:fldCharType="begin"/>
      </w:r>
      <w:r>
        <w:rPr>
          <w:noProof/>
        </w:rPr>
        <w:instrText xml:space="preserve"> PAGEREF _Toc204158979 \h </w:instrText>
      </w:r>
      <w:r>
        <w:rPr>
          <w:noProof/>
        </w:rPr>
      </w:r>
      <w:r>
        <w:rPr>
          <w:noProof/>
        </w:rPr>
        <w:fldChar w:fldCharType="separate"/>
      </w:r>
      <w:r w:rsidR="00DB7B65">
        <w:rPr>
          <w:noProof/>
        </w:rPr>
        <w:t>6</w:t>
      </w:r>
      <w:r>
        <w:rPr>
          <w:noProof/>
        </w:rPr>
        <w:fldChar w:fldCharType="end"/>
      </w:r>
    </w:p>
    <w:p w14:paraId="0C06DAF6" w14:textId="6894703F" w:rsidR="00E03F55" w:rsidRDefault="00E03F55">
      <w:pPr>
        <w:pStyle w:val="TOC1"/>
        <w:rPr>
          <w:rFonts w:eastAsiaTheme="minorEastAsia" w:cstheme="minorBidi"/>
          <w:b w:val="0"/>
          <w:noProof/>
          <w:color w:val="auto"/>
          <w:kern w:val="2"/>
          <w:sz w:val="24"/>
          <w:lang w:eastAsia="en-AU"/>
          <w14:ligatures w14:val="standardContextual"/>
        </w:rPr>
      </w:pPr>
      <w:r>
        <w:rPr>
          <w:noProof/>
        </w:rPr>
        <w:t>2024–25 updates</w:t>
      </w:r>
      <w:r>
        <w:rPr>
          <w:noProof/>
        </w:rPr>
        <w:tab/>
      </w:r>
      <w:r>
        <w:rPr>
          <w:noProof/>
        </w:rPr>
        <w:fldChar w:fldCharType="begin"/>
      </w:r>
      <w:r>
        <w:rPr>
          <w:noProof/>
        </w:rPr>
        <w:instrText xml:space="preserve"> PAGEREF _Toc204158980 \h </w:instrText>
      </w:r>
      <w:r>
        <w:rPr>
          <w:noProof/>
        </w:rPr>
      </w:r>
      <w:r>
        <w:rPr>
          <w:noProof/>
        </w:rPr>
        <w:fldChar w:fldCharType="separate"/>
      </w:r>
      <w:r w:rsidR="00DB7B65">
        <w:rPr>
          <w:noProof/>
        </w:rPr>
        <w:t>7</w:t>
      </w:r>
      <w:r>
        <w:rPr>
          <w:noProof/>
        </w:rPr>
        <w:fldChar w:fldCharType="end"/>
      </w:r>
    </w:p>
    <w:p w14:paraId="7E0AC5D6" w14:textId="053FDA53" w:rsidR="00E03F55" w:rsidRDefault="00E03F55">
      <w:pPr>
        <w:pStyle w:val="TOC1"/>
        <w:rPr>
          <w:rFonts w:eastAsiaTheme="minorEastAsia" w:cstheme="minorBidi"/>
          <w:b w:val="0"/>
          <w:noProof/>
          <w:color w:val="auto"/>
          <w:kern w:val="2"/>
          <w:sz w:val="24"/>
          <w:lang w:eastAsia="en-AU"/>
          <w14:ligatures w14:val="standardContextual"/>
        </w:rPr>
      </w:pPr>
      <w:r w:rsidRPr="00A709B2">
        <w:rPr>
          <w:noProof/>
          <w:lang w:val="en-GB"/>
        </w:rPr>
        <w:t>1.</w:t>
      </w:r>
      <w:r>
        <w:rPr>
          <w:rFonts w:eastAsiaTheme="minorEastAsia" w:cstheme="minorBidi"/>
          <w:b w:val="0"/>
          <w:noProof/>
          <w:color w:val="auto"/>
          <w:kern w:val="2"/>
          <w:sz w:val="24"/>
          <w:lang w:eastAsia="en-AU"/>
          <w14:ligatures w14:val="standardContextual"/>
        </w:rPr>
        <w:tab/>
      </w:r>
      <w:r w:rsidRPr="00A709B2">
        <w:rPr>
          <w:noProof/>
          <w:lang w:val="en-GB"/>
        </w:rPr>
        <w:t>Purpose of this information</w:t>
      </w:r>
      <w:r>
        <w:rPr>
          <w:noProof/>
        </w:rPr>
        <w:tab/>
      </w:r>
      <w:r>
        <w:rPr>
          <w:noProof/>
        </w:rPr>
        <w:fldChar w:fldCharType="begin"/>
      </w:r>
      <w:r>
        <w:rPr>
          <w:noProof/>
        </w:rPr>
        <w:instrText xml:space="preserve"> PAGEREF _Toc204158981 \h </w:instrText>
      </w:r>
      <w:r>
        <w:rPr>
          <w:noProof/>
        </w:rPr>
      </w:r>
      <w:r>
        <w:rPr>
          <w:noProof/>
        </w:rPr>
        <w:fldChar w:fldCharType="separate"/>
      </w:r>
      <w:r w:rsidR="00DB7B65">
        <w:rPr>
          <w:noProof/>
        </w:rPr>
        <w:t>7</w:t>
      </w:r>
      <w:r>
        <w:rPr>
          <w:noProof/>
        </w:rPr>
        <w:fldChar w:fldCharType="end"/>
      </w:r>
    </w:p>
    <w:p w14:paraId="7E54A4F7" w14:textId="151D0F3A" w:rsidR="00E03F55" w:rsidRDefault="00E03F55">
      <w:pPr>
        <w:pStyle w:val="TOC2"/>
        <w:tabs>
          <w:tab w:val="left" w:pos="880"/>
          <w:tab w:val="right" w:leader="dot" w:pos="9730"/>
        </w:tabs>
        <w:rPr>
          <w:rFonts w:eastAsiaTheme="minorEastAsia" w:cstheme="minorBidi"/>
          <w:noProof/>
          <w:color w:val="auto"/>
          <w:kern w:val="2"/>
          <w:sz w:val="24"/>
          <w:lang w:eastAsia="en-AU"/>
          <w14:ligatures w14:val="standardContextual"/>
        </w:rPr>
      </w:pPr>
      <w:r>
        <w:rPr>
          <w:noProof/>
        </w:rPr>
        <w:t>1.1.</w:t>
      </w:r>
      <w:r>
        <w:rPr>
          <w:rFonts w:eastAsiaTheme="minorEastAsia" w:cstheme="minorBidi"/>
          <w:noProof/>
          <w:color w:val="auto"/>
          <w:kern w:val="2"/>
          <w:sz w:val="24"/>
          <w:lang w:eastAsia="en-AU"/>
          <w14:ligatures w14:val="standardContextual"/>
        </w:rPr>
        <w:tab/>
      </w:r>
      <w:r>
        <w:rPr>
          <w:noProof/>
        </w:rPr>
        <w:t>Focus of this guideline</w:t>
      </w:r>
      <w:r>
        <w:rPr>
          <w:noProof/>
        </w:rPr>
        <w:tab/>
      </w:r>
      <w:r>
        <w:rPr>
          <w:noProof/>
        </w:rPr>
        <w:fldChar w:fldCharType="begin"/>
      </w:r>
      <w:r>
        <w:rPr>
          <w:noProof/>
        </w:rPr>
        <w:instrText xml:space="preserve"> PAGEREF _Toc204158982 \h </w:instrText>
      </w:r>
      <w:r>
        <w:rPr>
          <w:noProof/>
        </w:rPr>
      </w:r>
      <w:r>
        <w:rPr>
          <w:noProof/>
        </w:rPr>
        <w:fldChar w:fldCharType="separate"/>
      </w:r>
      <w:r w:rsidR="00DB7B65">
        <w:rPr>
          <w:noProof/>
        </w:rPr>
        <w:t>7</w:t>
      </w:r>
      <w:r>
        <w:rPr>
          <w:noProof/>
        </w:rPr>
        <w:fldChar w:fldCharType="end"/>
      </w:r>
    </w:p>
    <w:p w14:paraId="10498C3F" w14:textId="595D939D" w:rsidR="00E03F55" w:rsidRDefault="00E03F55">
      <w:pPr>
        <w:pStyle w:val="TOC1"/>
        <w:rPr>
          <w:rFonts w:eastAsiaTheme="minorEastAsia" w:cstheme="minorBidi"/>
          <w:b w:val="0"/>
          <w:noProof/>
          <w:color w:val="auto"/>
          <w:kern w:val="2"/>
          <w:sz w:val="24"/>
          <w:lang w:eastAsia="en-AU"/>
          <w14:ligatures w14:val="standardContextual"/>
        </w:rPr>
      </w:pPr>
      <w:r w:rsidRPr="00A709B2">
        <w:rPr>
          <w:noProof/>
          <w:lang w:val="en-GB"/>
        </w:rPr>
        <w:t>2.</w:t>
      </w:r>
      <w:r>
        <w:rPr>
          <w:rFonts w:eastAsiaTheme="minorEastAsia" w:cstheme="minorBidi"/>
          <w:b w:val="0"/>
          <w:noProof/>
          <w:color w:val="auto"/>
          <w:kern w:val="2"/>
          <w:sz w:val="24"/>
          <w:lang w:eastAsia="en-AU"/>
          <w14:ligatures w14:val="standardContextual"/>
        </w:rPr>
        <w:tab/>
      </w:r>
      <w:r w:rsidRPr="00A709B2">
        <w:rPr>
          <w:noProof/>
          <w:lang w:val="en-GB"/>
        </w:rPr>
        <w:t>Good practices in NGER reporting</w:t>
      </w:r>
      <w:r>
        <w:rPr>
          <w:noProof/>
        </w:rPr>
        <w:tab/>
      </w:r>
      <w:r>
        <w:rPr>
          <w:noProof/>
        </w:rPr>
        <w:fldChar w:fldCharType="begin"/>
      </w:r>
      <w:r>
        <w:rPr>
          <w:noProof/>
        </w:rPr>
        <w:instrText xml:space="preserve"> PAGEREF _Toc204158983 \h </w:instrText>
      </w:r>
      <w:r>
        <w:rPr>
          <w:noProof/>
        </w:rPr>
      </w:r>
      <w:r>
        <w:rPr>
          <w:noProof/>
        </w:rPr>
        <w:fldChar w:fldCharType="separate"/>
      </w:r>
      <w:r w:rsidR="00DB7B65">
        <w:rPr>
          <w:noProof/>
        </w:rPr>
        <w:t>8</w:t>
      </w:r>
      <w:r>
        <w:rPr>
          <w:noProof/>
        </w:rPr>
        <w:fldChar w:fldCharType="end"/>
      </w:r>
    </w:p>
    <w:p w14:paraId="709611BE" w14:textId="4D34108F" w:rsidR="00E03F55" w:rsidRDefault="00E03F55">
      <w:pPr>
        <w:pStyle w:val="TOC2"/>
        <w:tabs>
          <w:tab w:val="right" w:leader="dot" w:pos="9730"/>
        </w:tabs>
        <w:rPr>
          <w:rFonts w:eastAsiaTheme="minorEastAsia" w:cstheme="minorBidi"/>
          <w:noProof/>
          <w:color w:val="auto"/>
          <w:kern w:val="2"/>
          <w:sz w:val="24"/>
          <w:lang w:eastAsia="en-AU"/>
          <w14:ligatures w14:val="standardContextual"/>
        </w:rPr>
      </w:pPr>
      <w:r>
        <w:rPr>
          <w:noProof/>
        </w:rPr>
        <w:t>2.1. Temporary unavailability of method</w:t>
      </w:r>
      <w:r>
        <w:rPr>
          <w:noProof/>
        </w:rPr>
        <w:tab/>
      </w:r>
      <w:r>
        <w:rPr>
          <w:noProof/>
        </w:rPr>
        <w:fldChar w:fldCharType="begin"/>
      </w:r>
      <w:r>
        <w:rPr>
          <w:noProof/>
        </w:rPr>
        <w:instrText xml:space="preserve"> PAGEREF _Toc204158984 \h </w:instrText>
      </w:r>
      <w:r>
        <w:rPr>
          <w:noProof/>
        </w:rPr>
      </w:r>
      <w:r>
        <w:rPr>
          <w:noProof/>
        </w:rPr>
        <w:fldChar w:fldCharType="separate"/>
      </w:r>
      <w:r w:rsidR="00DB7B65">
        <w:rPr>
          <w:noProof/>
        </w:rPr>
        <w:t>11</w:t>
      </w:r>
      <w:r>
        <w:rPr>
          <w:noProof/>
        </w:rPr>
        <w:fldChar w:fldCharType="end"/>
      </w:r>
    </w:p>
    <w:p w14:paraId="4833A374" w14:textId="0DB950F3" w:rsidR="00E03F55" w:rsidRDefault="00E03F55">
      <w:pPr>
        <w:pStyle w:val="TOC1"/>
        <w:rPr>
          <w:rFonts w:eastAsiaTheme="minorEastAsia" w:cstheme="minorBidi"/>
          <w:b w:val="0"/>
          <w:noProof/>
          <w:color w:val="auto"/>
          <w:kern w:val="2"/>
          <w:sz w:val="24"/>
          <w:lang w:eastAsia="en-AU"/>
          <w14:ligatures w14:val="standardContextual"/>
        </w:rPr>
      </w:pPr>
      <w:r>
        <w:rPr>
          <w:noProof/>
        </w:rPr>
        <w:t>3.</w:t>
      </w:r>
      <w:r>
        <w:rPr>
          <w:rFonts w:eastAsiaTheme="minorEastAsia" w:cstheme="minorBidi"/>
          <w:b w:val="0"/>
          <w:noProof/>
          <w:color w:val="auto"/>
          <w:kern w:val="2"/>
          <w:sz w:val="24"/>
          <w:lang w:eastAsia="en-AU"/>
          <w14:ligatures w14:val="standardContextual"/>
        </w:rPr>
        <w:tab/>
      </w:r>
      <w:r>
        <w:rPr>
          <w:noProof/>
        </w:rPr>
        <w:t>Fuel combustion emissions</w:t>
      </w:r>
      <w:r>
        <w:rPr>
          <w:noProof/>
        </w:rPr>
        <w:tab/>
      </w:r>
      <w:r>
        <w:rPr>
          <w:noProof/>
        </w:rPr>
        <w:fldChar w:fldCharType="begin"/>
      </w:r>
      <w:r>
        <w:rPr>
          <w:noProof/>
        </w:rPr>
        <w:instrText xml:space="preserve"> PAGEREF _Toc204158985 \h </w:instrText>
      </w:r>
      <w:r>
        <w:rPr>
          <w:noProof/>
        </w:rPr>
      </w:r>
      <w:r>
        <w:rPr>
          <w:noProof/>
        </w:rPr>
        <w:fldChar w:fldCharType="separate"/>
      </w:r>
      <w:r w:rsidR="00DB7B65">
        <w:rPr>
          <w:noProof/>
        </w:rPr>
        <w:t>12</w:t>
      </w:r>
      <w:r>
        <w:rPr>
          <w:noProof/>
        </w:rPr>
        <w:fldChar w:fldCharType="end"/>
      </w:r>
    </w:p>
    <w:p w14:paraId="001275AE" w14:textId="0FADB675" w:rsidR="00E03F55" w:rsidRDefault="00E03F55">
      <w:pPr>
        <w:pStyle w:val="TOC2"/>
        <w:tabs>
          <w:tab w:val="right" w:leader="dot" w:pos="9730"/>
        </w:tabs>
        <w:rPr>
          <w:rFonts w:eastAsiaTheme="minorEastAsia" w:cstheme="minorBidi"/>
          <w:noProof/>
          <w:color w:val="auto"/>
          <w:kern w:val="2"/>
          <w:sz w:val="24"/>
          <w:lang w:eastAsia="en-AU"/>
          <w14:ligatures w14:val="standardContextual"/>
        </w:rPr>
      </w:pPr>
      <w:r>
        <w:rPr>
          <w:noProof/>
        </w:rPr>
        <w:t>3.1. Reporting context</w:t>
      </w:r>
      <w:r>
        <w:rPr>
          <w:noProof/>
        </w:rPr>
        <w:tab/>
      </w:r>
      <w:r>
        <w:rPr>
          <w:noProof/>
        </w:rPr>
        <w:fldChar w:fldCharType="begin"/>
      </w:r>
      <w:r>
        <w:rPr>
          <w:noProof/>
        </w:rPr>
        <w:instrText xml:space="preserve"> PAGEREF _Toc204158986 \h </w:instrText>
      </w:r>
      <w:r>
        <w:rPr>
          <w:noProof/>
        </w:rPr>
      </w:r>
      <w:r>
        <w:rPr>
          <w:noProof/>
        </w:rPr>
        <w:fldChar w:fldCharType="separate"/>
      </w:r>
      <w:r w:rsidR="00DB7B65">
        <w:rPr>
          <w:noProof/>
        </w:rPr>
        <w:t>12</w:t>
      </w:r>
      <w:r>
        <w:rPr>
          <w:noProof/>
        </w:rPr>
        <w:fldChar w:fldCharType="end"/>
      </w:r>
    </w:p>
    <w:p w14:paraId="5F395433" w14:textId="4B753B10" w:rsidR="00E03F55" w:rsidRDefault="00E03F55">
      <w:pPr>
        <w:pStyle w:val="TOC2"/>
        <w:tabs>
          <w:tab w:val="right" w:leader="dot" w:pos="9730"/>
        </w:tabs>
        <w:rPr>
          <w:rFonts w:eastAsiaTheme="minorEastAsia" w:cstheme="minorBidi"/>
          <w:noProof/>
          <w:color w:val="auto"/>
          <w:kern w:val="2"/>
          <w:sz w:val="24"/>
          <w:lang w:eastAsia="en-AU"/>
          <w14:ligatures w14:val="standardContextual"/>
        </w:rPr>
      </w:pPr>
      <w:r>
        <w:rPr>
          <w:noProof/>
        </w:rPr>
        <w:t>3.2. Estimating emissions released from the combustion of solid fuels</w:t>
      </w:r>
      <w:r>
        <w:rPr>
          <w:noProof/>
        </w:rPr>
        <w:tab/>
      </w:r>
      <w:r>
        <w:rPr>
          <w:noProof/>
        </w:rPr>
        <w:fldChar w:fldCharType="begin"/>
      </w:r>
      <w:r>
        <w:rPr>
          <w:noProof/>
        </w:rPr>
        <w:instrText xml:space="preserve"> PAGEREF _Toc204158987 \h </w:instrText>
      </w:r>
      <w:r>
        <w:rPr>
          <w:noProof/>
        </w:rPr>
      </w:r>
      <w:r>
        <w:rPr>
          <w:noProof/>
        </w:rPr>
        <w:fldChar w:fldCharType="separate"/>
      </w:r>
      <w:r w:rsidR="00DB7B65">
        <w:rPr>
          <w:noProof/>
        </w:rPr>
        <w:t>13</w:t>
      </w:r>
      <w:r>
        <w:rPr>
          <w:noProof/>
        </w:rPr>
        <w:fldChar w:fldCharType="end"/>
      </w:r>
    </w:p>
    <w:p w14:paraId="35600704" w14:textId="01D2634B" w:rsidR="00E03F55" w:rsidRDefault="00E03F55">
      <w:pPr>
        <w:pStyle w:val="TOC3"/>
        <w:rPr>
          <w:rFonts w:eastAsiaTheme="minorEastAsia" w:cstheme="minorBidi"/>
          <w:noProof/>
          <w:color w:val="auto"/>
          <w:kern w:val="2"/>
          <w:sz w:val="24"/>
          <w:lang w:eastAsia="en-AU"/>
          <w14:ligatures w14:val="standardContextual"/>
        </w:rPr>
      </w:pPr>
      <w:r>
        <w:rPr>
          <w:noProof/>
        </w:rPr>
        <w:t>3.2.1. Method 1—emissions of carbon dioxide, methane and nitrous oxide from solid fuels</w:t>
      </w:r>
      <w:r>
        <w:rPr>
          <w:noProof/>
        </w:rPr>
        <w:tab/>
      </w:r>
      <w:r>
        <w:rPr>
          <w:noProof/>
        </w:rPr>
        <w:fldChar w:fldCharType="begin"/>
      </w:r>
      <w:r>
        <w:rPr>
          <w:noProof/>
        </w:rPr>
        <w:instrText xml:space="preserve"> PAGEREF _Toc204158988 \h </w:instrText>
      </w:r>
      <w:r>
        <w:rPr>
          <w:noProof/>
        </w:rPr>
      </w:r>
      <w:r>
        <w:rPr>
          <w:noProof/>
        </w:rPr>
        <w:fldChar w:fldCharType="separate"/>
      </w:r>
      <w:r w:rsidR="00DB7B65">
        <w:rPr>
          <w:noProof/>
        </w:rPr>
        <w:t>14</w:t>
      </w:r>
      <w:r>
        <w:rPr>
          <w:noProof/>
        </w:rPr>
        <w:fldChar w:fldCharType="end"/>
      </w:r>
    </w:p>
    <w:p w14:paraId="3FF9E770" w14:textId="21005C05" w:rsidR="00E03F55" w:rsidRDefault="00E03F55">
      <w:pPr>
        <w:pStyle w:val="TOC3"/>
        <w:rPr>
          <w:rFonts w:eastAsiaTheme="minorEastAsia" w:cstheme="minorBidi"/>
          <w:noProof/>
          <w:color w:val="auto"/>
          <w:kern w:val="2"/>
          <w:sz w:val="24"/>
          <w:lang w:eastAsia="en-AU"/>
          <w14:ligatures w14:val="standardContextual"/>
        </w:rPr>
      </w:pPr>
      <w:r w:rsidRPr="00A709B2">
        <w:rPr>
          <w:b/>
          <w:noProof/>
        </w:rPr>
        <w:t>Example 1</w:t>
      </w:r>
      <w:r>
        <w:rPr>
          <w:noProof/>
        </w:rPr>
        <w:tab/>
      </w:r>
      <w:r>
        <w:rPr>
          <w:noProof/>
        </w:rPr>
        <w:fldChar w:fldCharType="begin"/>
      </w:r>
      <w:r>
        <w:rPr>
          <w:noProof/>
        </w:rPr>
        <w:instrText xml:space="preserve"> PAGEREF _Toc204158989 \h </w:instrText>
      </w:r>
      <w:r>
        <w:rPr>
          <w:noProof/>
        </w:rPr>
      </w:r>
      <w:r>
        <w:rPr>
          <w:noProof/>
        </w:rPr>
        <w:fldChar w:fldCharType="separate"/>
      </w:r>
      <w:r w:rsidR="00DB7B65">
        <w:rPr>
          <w:noProof/>
        </w:rPr>
        <w:t>15</w:t>
      </w:r>
      <w:r>
        <w:rPr>
          <w:noProof/>
        </w:rPr>
        <w:fldChar w:fldCharType="end"/>
      </w:r>
    </w:p>
    <w:p w14:paraId="71309C5C" w14:textId="3FDC4AEF" w:rsidR="00E03F55" w:rsidRDefault="00E03F55">
      <w:pPr>
        <w:pStyle w:val="TOC3"/>
        <w:rPr>
          <w:rFonts w:eastAsiaTheme="minorEastAsia" w:cstheme="minorBidi"/>
          <w:noProof/>
          <w:color w:val="auto"/>
          <w:kern w:val="2"/>
          <w:sz w:val="24"/>
          <w:lang w:eastAsia="en-AU"/>
          <w14:ligatures w14:val="standardContextual"/>
        </w:rPr>
      </w:pPr>
      <w:r>
        <w:rPr>
          <w:noProof/>
        </w:rPr>
        <w:t>3.2.2. Method 2—estimating emissions of carbon dioxide using default oxidation factor</w:t>
      </w:r>
      <w:r>
        <w:rPr>
          <w:noProof/>
        </w:rPr>
        <w:tab/>
      </w:r>
      <w:r>
        <w:rPr>
          <w:noProof/>
        </w:rPr>
        <w:fldChar w:fldCharType="begin"/>
      </w:r>
      <w:r>
        <w:rPr>
          <w:noProof/>
        </w:rPr>
        <w:instrText xml:space="preserve"> PAGEREF _Toc204158990 \h </w:instrText>
      </w:r>
      <w:r>
        <w:rPr>
          <w:noProof/>
        </w:rPr>
      </w:r>
      <w:r>
        <w:rPr>
          <w:noProof/>
        </w:rPr>
        <w:fldChar w:fldCharType="separate"/>
      </w:r>
      <w:r w:rsidR="00DB7B65">
        <w:rPr>
          <w:noProof/>
        </w:rPr>
        <w:t>16</w:t>
      </w:r>
      <w:r>
        <w:rPr>
          <w:noProof/>
        </w:rPr>
        <w:fldChar w:fldCharType="end"/>
      </w:r>
    </w:p>
    <w:p w14:paraId="70EB6C1B" w14:textId="32BC1B04" w:rsidR="00E03F55" w:rsidRDefault="00E03F55">
      <w:pPr>
        <w:pStyle w:val="TOC5"/>
        <w:tabs>
          <w:tab w:val="right" w:leader="dot" w:pos="9730"/>
        </w:tabs>
        <w:rPr>
          <w:rFonts w:eastAsiaTheme="minorEastAsia" w:cstheme="minorBidi"/>
          <w:noProof/>
          <w:color w:val="auto"/>
          <w:kern w:val="2"/>
          <w:sz w:val="24"/>
          <w:lang w:eastAsia="en-AU"/>
          <w14:ligatures w14:val="standardContextual"/>
        </w:rPr>
      </w:pPr>
      <w:r w:rsidRPr="00A709B2">
        <w:rPr>
          <w:b/>
          <w:noProof/>
          <w:lang w:eastAsia="en-AU"/>
        </w:rPr>
        <w:t>Example 2</w:t>
      </w:r>
      <w:r>
        <w:rPr>
          <w:noProof/>
        </w:rPr>
        <w:tab/>
      </w:r>
      <w:r>
        <w:rPr>
          <w:noProof/>
        </w:rPr>
        <w:fldChar w:fldCharType="begin"/>
      </w:r>
      <w:r>
        <w:rPr>
          <w:noProof/>
        </w:rPr>
        <w:instrText xml:space="preserve"> PAGEREF _Toc204158991 \h </w:instrText>
      </w:r>
      <w:r>
        <w:rPr>
          <w:noProof/>
        </w:rPr>
      </w:r>
      <w:r>
        <w:rPr>
          <w:noProof/>
        </w:rPr>
        <w:fldChar w:fldCharType="separate"/>
      </w:r>
      <w:r w:rsidR="00DB7B65">
        <w:rPr>
          <w:noProof/>
        </w:rPr>
        <w:t>17</w:t>
      </w:r>
      <w:r>
        <w:rPr>
          <w:noProof/>
        </w:rPr>
        <w:fldChar w:fldCharType="end"/>
      </w:r>
    </w:p>
    <w:p w14:paraId="129F3D39" w14:textId="46CFE9E3" w:rsidR="00E03F55" w:rsidRDefault="00E03F55">
      <w:pPr>
        <w:pStyle w:val="TOC4"/>
        <w:tabs>
          <w:tab w:val="right" w:leader="dot" w:pos="9730"/>
        </w:tabs>
        <w:rPr>
          <w:rFonts w:eastAsiaTheme="minorEastAsia" w:cstheme="minorBidi"/>
          <w:noProof/>
          <w:color w:val="auto"/>
          <w:kern w:val="2"/>
          <w:sz w:val="24"/>
          <w:lang w:eastAsia="en-AU"/>
          <w14:ligatures w14:val="standardContextual"/>
        </w:rPr>
      </w:pPr>
      <w:r>
        <w:rPr>
          <w:noProof/>
        </w:rPr>
        <w:t>3.2.2.1. Method 2—estimating carbon dioxide using an estimated oxidation factor</w:t>
      </w:r>
      <w:r>
        <w:rPr>
          <w:noProof/>
        </w:rPr>
        <w:tab/>
      </w:r>
      <w:r>
        <w:rPr>
          <w:noProof/>
        </w:rPr>
        <w:fldChar w:fldCharType="begin"/>
      </w:r>
      <w:r>
        <w:rPr>
          <w:noProof/>
        </w:rPr>
        <w:instrText xml:space="preserve"> PAGEREF _Toc204158992 \h </w:instrText>
      </w:r>
      <w:r>
        <w:rPr>
          <w:noProof/>
        </w:rPr>
      </w:r>
      <w:r>
        <w:rPr>
          <w:noProof/>
        </w:rPr>
        <w:fldChar w:fldCharType="separate"/>
      </w:r>
      <w:r w:rsidR="00DB7B65">
        <w:rPr>
          <w:noProof/>
        </w:rPr>
        <w:t>19</w:t>
      </w:r>
      <w:r>
        <w:rPr>
          <w:noProof/>
        </w:rPr>
        <w:fldChar w:fldCharType="end"/>
      </w:r>
    </w:p>
    <w:p w14:paraId="01FC7F77" w14:textId="60810B8E" w:rsidR="00E03F55" w:rsidRDefault="00E03F55">
      <w:pPr>
        <w:pStyle w:val="TOC4"/>
        <w:tabs>
          <w:tab w:val="right" w:leader="dot" w:pos="9730"/>
        </w:tabs>
        <w:rPr>
          <w:rFonts w:eastAsiaTheme="minorEastAsia" w:cstheme="minorBidi"/>
          <w:noProof/>
          <w:color w:val="auto"/>
          <w:kern w:val="2"/>
          <w:sz w:val="24"/>
          <w:lang w:eastAsia="en-AU"/>
          <w14:ligatures w14:val="standardContextual"/>
        </w:rPr>
      </w:pPr>
      <w:r>
        <w:rPr>
          <w:noProof/>
        </w:rPr>
        <w:t>3.2.2.2. Sampling and analysis for Method 2</w:t>
      </w:r>
      <w:r>
        <w:rPr>
          <w:noProof/>
        </w:rPr>
        <w:tab/>
      </w:r>
      <w:r>
        <w:rPr>
          <w:noProof/>
        </w:rPr>
        <w:fldChar w:fldCharType="begin"/>
      </w:r>
      <w:r>
        <w:rPr>
          <w:noProof/>
        </w:rPr>
        <w:instrText xml:space="preserve"> PAGEREF _Toc204158993 \h </w:instrText>
      </w:r>
      <w:r>
        <w:rPr>
          <w:noProof/>
        </w:rPr>
      </w:r>
      <w:r>
        <w:rPr>
          <w:noProof/>
        </w:rPr>
        <w:fldChar w:fldCharType="separate"/>
      </w:r>
      <w:r w:rsidR="00DB7B65">
        <w:rPr>
          <w:noProof/>
        </w:rPr>
        <w:t>19</w:t>
      </w:r>
      <w:r>
        <w:rPr>
          <w:noProof/>
        </w:rPr>
        <w:fldChar w:fldCharType="end"/>
      </w:r>
    </w:p>
    <w:p w14:paraId="4EB29DD8" w14:textId="4B8B5136" w:rsidR="00E03F55" w:rsidRDefault="00E03F55">
      <w:pPr>
        <w:pStyle w:val="TOC4"/>
        <w:tabs>
          <w:tab w:val="right" w:leader="dot" w:pos="9730"/>
        </w:tabs>
        <w:rPr>
          <w:rFonts w:eastAsiaTheme="minorEastAsia" w:cstheme="minorBidi"/>
          <w:noProof/>
          <w:color w:val="auto"/>
          <w:kern w:val="2"/>
          <w:sz w:val="24"/>
          <w:lang w:eastAsia="en-AU"/>
          <w14:ligatures w14:val="standardContextual"/>
        </w:rPr>
      </w:pPr>
      <w:r>
        <w:rPr>
          <w:noProof/>
        </w:rPr>
        <w:t>3.2.2.3. Requirements for analysis of furnace ash and fly ash</w:t>
      </w:r>
      <w:r>
        <w:rPr>
          <w:noProof/>
        </w:rPr>
        <w:tab/>
      </w:r>
      <w:r>
        <w:rPr>
          <w:noProof/>
        </w:rPr>
        <w:fldChar w:fldCharType="begin"/>
      </w:r>
      <w:r>
        <w:rPr>
          <w:noProof/>
        </w:rPr>
        <w:instrText xml:space="preserve"> PAGEREF _Toc204158994 \h </w:instrText>
      </w:r>
      <w:r>
        <w:rPr>
          <w:noProof/>
        </w:rPr>
      </w:r>
      <w:r>
        <w:rPr>
          <w:noProof/>
        </w:rPr>
        <w:fldChar w:fldCharType="separate"/>
      </w:r>
      <w:r w:rsidR="00DB7B65">
        <w:rPr>
          <w:noProof/>
        </w:rPr>
        <w:t>20</w:t>
      </w:r>
      <w:r>
        <w:rPr>
          <w:noProof/>
        </w:rPr>
        <w:fldChar w:fldCharType="end"/>
      </w:r>
    </w:p>
    <w:p w14:paraId="355E485B" w14:textId="282DFA7D" w:rsidR="00E03F55" w:rsidRDefault="00E03F55">
      <w:pPr>
        <w:pStyle w:val="TOC3"/>
        <w:rPr>
          <w:rFonts w:eastAsiaTheme="minorEastAsia" w:cstheme="minorBidi"/>
          <w:noProof/>
          <w:color w:val="auto"/>
          <w:kern w:val="2"/>
          <w:sz w:val="24"/>
          <w:lang w:eastAsia="en-AU"/>
          <w14:ligatures w14:val="standardContextual"/>
        </w:rPr>
      </w:pPr>
      <w:r>
        <w:rPr>
          <w:noProof/>
        </w:rPr>
        <w:t>3.2.3. Method 3—Solid fuels</w:t>
      </w:r>
      <w:r>
        <w:rPr>
          <w:noProof/>
        </w:rPr>
        <w:tab/>
      </w:r>
      <w:r>
        <w:rPr>
          <w:noProof/>
        </w:rPr>
        <w:fldChar w:fldCharType="begin"/>
      </w:r>
      <w:r>
        <w:rPr>
          <w:noProof/>
        </w:rPr>
        <w:instrText xml:space="preserve"> PAGEREF _Toc204158995 \h </w:instrText>
      </w:r>
      <w:r>
        <w:rPr>
          <w:noProof/>
        </w:rPr>
      </w:r>
      <w:r>
        <w:rPr>
          <w:noProof/>
        </w:rPr>
        <w:fldChar w:fldCharType="separate"/>
      </w:r>
      <w:r w:rsidR="00DB7B65">
        <w:rPr>
          <w:noProof/>
        </w:rPr>
        <w:t>21</w:t>
      </w:r>
      <w:r>
        <w:rPr>
          <w:noProof/>
        </w:rPr>
        <w:fldChar w:fldCharType="end"/>
      </w:r>
    </w:p>
    <w:p w14:paraId="7D0A9037" w14:textId="251A44CF" w:rsidR="00E03F55" w:rsidRDefault="00E03F55">
      <w:pPr>
        <w:pStyle w:val="TOC2"/>
        <w:tabs>
          <w:tab w:val="right" w:leader="dot" w:pos="9730"/>
        </w:tabs>
        <w:rPr>
          <w:rFonts w:eastAsiaTheme="minorEastAsia" w:cstheme="minorBidi"/>
          <w:noProof/>
          <w:color w:val="auto"/>
          <w:kern w:val="2"/>
          <w:sz w:val="24"/>
          <w:lang w:eastAsia="en-AU"/>
          <w14:ligatures w14:val="standardContextual"/>
        </w:rPr>
      </w:pPr>
      <w:r>
        <w:rPr>
          <w:noProof/>
        </w:rPr>
        <w:t>3.3. Emissions released from the combustion of gaseous fuels</w:t>
      </w:r>
      <w:r>
        <w:rPr>
          <w:noProof/>
        </w:rPr>
        <w:tab/>
      </w:r>
      <w:r>
        <w:rPr>
          <w:noProof/>
        </w:rPr>
        <w:fldChar w:fldCharType="begin"/>
      </w:r>
      <w:r>
        <w:rPr>
          <w:noProof/>
        </w:rPr>
        <w:instrText xml:space="preserve"> PAGEREF _Toc204158996 \h </w:instrText>
      </w:r>
      <w:r>
        <w:rPr>
          <w:noProof/>
        </w:rPr>
      </w:r>
      <w:r>
        <w:rPr>
          <w:noProof/>
        </w:rPr>
        <w:fldChar w:fldCharType="separate"/>
      </w:r>
      <w:r w:rsidR="00DB7B65">
        <w:rPr>
          <w:noProof/>
        </w:rPr>
        <w:t>21</w:t>
      </w:r>
      <w:r>
        <w:rPr>
          <w:noProof/>
        </w:rPr>
        <w:fldChar w:fldCharType="end"/>
      </w:r>
    </w:p>
    <w:p w14:paraId="194B80EC" w14:textId="3C95D334" w:rsidR="00E03F55" w:rsidRDefault="00E03F55">
      <w:pPr>
        <w:pStyle w:val="TOC3"/>
        <w:rPr>
          <w:rFonts w:eastAsiaTheme="minorEastAsia" w:cstheme="minorBidi"/>
          <w:noProof/>
          <w:color w:val="auto"/>
          <w:kern w:val="2"/>
          <w:sz w:val="24"/>
          <w:lang w:eastAsia="en-AU"/>
          <w14:ligatures w14:val="standardContextual"/>
        </w:rPr>
      </w:pPr>
      <w:r>
        <w:rPr>
          <w:noProof/>
        </w:rPr>
        <w:t>3.3.1. Method 1—emissions of carbon dioxide, methane and nitrous oxide</w:t>
      </w:r>
      <w:r>
        <w:rPr>
          <w:noProof/>
        </w:rPr>
        <w:tab/>
      </w:r>
      <w:r>
        <w:rPr>
          <w:noProof/>
        </w:rPr>
        <w:fldChar w:fldCharType="begin"/>
      </w:r>
      <w:r>
        <w:rPr>
          <w:noProof/>
        </w:rPr>
        <w:instrText xml:space="preserve"> PAGEREF _Toc204158997 \h </w:instrText>
      </w:r>
      <w:r>
        <w:rPr>
          <w:noProof/>
        </w:rPr>
      </w:r>
      <w:r>
        <w:rPr>
          <w:noProof/>
        </w:rPr>
        <w:fldChar w:fldCharType="separate"/>
      </w:r>
      <w:r w:rsidR="00DB7B65">
        <w:rPr>
          <w:noProof/>
        </w:rPr>
        <w:t>22</w:t>
      </w:r>
      <w:r>
        <w:rPr>
          <w:noProof/>
        </w:rPr>
        <w:fldChar w:fldCharType="end"/>
      </w:r>
    </w:p>
    <w:p w14:paraId="009DA9CA" w14:textId="1F58805D" w:rsidR="00E03F55" w:rsidRDefault="00E03F55">
      <w:pPr>
        <w:pStyle w:val="TOC3"/>
        <w:rPr>
          <w:rFonts w:eastAsiaTheme="minorEastAsia" w:cstheme="minorBidi"/>
          <w:noProof/>
          <w:color w:val="auto"/>
          <w:kern w:val="2"/>
          <w:sz w:val="24"/>
          <w:lang w:eastAsia="en-AU"/>
          <w14:ligatures w14:val="standardContextual"/>
        </w:rPr>
      </w:pPr>
      <w:r>
        <w:rPr>
          <w:noProof/>
        </w:rPr>
        <w:t>3.3.2. Method 2—emissions of carbon dioxide from the combustion of gaseous fuels</w:t>
      </w:r>
      <w:r>
        <w:rPr>
          <w:noProof/>
        </w:rPr>
        <w:tab/>
      </w:r>
      <w:r>
        <w:rPr>
          <w:noProof/>
        </w:rPr>
        <w:fldChar w:fldCharType="begin"/>
      </w:r>
      <w:r>
        <w:rPr>
          <w:noProof/>
        </w:rPr>
        <w:instrText xml:space="preserve"> PAGEREF _Toc204158998 \h </w:instrText>
      </w:r>
      <w:r>
        <w:rPr>
          <w:noProof/>
        </w:rPr>
      </w:r>
      <w:r>
        <w:rPr>
          <w:noProof/>
        </w:rPr>
        <w:fldChar w:fldCharType="separate"/>
      </w:r>
      <w:r w:rsidR="00DB7B65">
        <w:rPr>
          <w:noProof/>
        </w:rPr>
        <w:t>22</w:t>
      </w:r>
      <w:r>
        <w:rPr>
          <w:noProof/>
        </w:rPr>
        <w:fldChar w:fldCharType="end"/>
      </w:r>
    </w:p>
    <w:p w14:paraId="3B876BDF" w14:textId="5DE3B120" w:rsidR="00E03F55" w:rsidRDefault="00E03F55">
      <w:pPr>
        <w:pStyle w:val="TOC4"/>
        <w:tabs>
          <w:tab w:val="right" w:leader="dot" w:pos="9730"/>
        </w:tabs>
        <w:rPr>
          <w:rFonts w:eastAsiaTheme="minorEastAsia" w:cstheme="minorBidi"/>
          <w:noProof/>
          <w:color w:val="auto"/>
          <w:kern w:val="2"/>
          <w:sz w:val="24"/>
          <w:lang w:eastAsia="en-AU"/>
          <w14:ligatures w14:val="standardContextual"/>
        </w:rPr>
      </w:pPr>
      <w:r>
        <w:rPr>
          <w:noProof/>
        </w:rPr>
        <w:t>3.3.2.1. Sampling and analysis</w:t>
      </w:r>
      <w:r>
        <w:rPr>
          <w:noProof/>
        </w:rPr>
        <w:tab/>
      </w:r>
      <w:r>
        <w:rPr>
          <w:noProof/>
        </w:rPr>
        <w:fldChar w:fldCharType="begin"/>
      </w:r>
      <w:r>
        <w:rPr>
          <w:noProof/>
        </w:rPr>
        <w:instrText xml:space="preserve"> PAGEREF _Toc204158999 \h </w:instrText>
      </w:r>
      <w:r>
        <w:rPr>
          <w:noProof/>
        </w:rPr>
      </w:r>
      <w:r>
        <w:rPr>
          <w:noProof/>
        </w:rPr>
        <w:fldChar w:fldCharType="separate"/>
      </w:r>
      <w:r w:rsidR="00DB7B65">
        <w:rPr>
          <w:noProof/>
        </w:rPr>
        <w:t>22</w:t>
      </w:r>
      <w:r>
        <w:rPr>
          <w:noProof/>
        </w:rPr>
        <w:fldChar w:fldCharType="end"/>
      </w:r>
    </w:p>
    <w:p w14:paraId="55421A69" w14:textId="74525908" w:rsidR="00E03F55" w:rsidRDefault="00E03F55">
      <w:pPr>
        <w:pStyle w:val="TOC3"/>
        <w:rPr>
          <w:rFonts w:eastAsiaTheme="minorEastAsia" w:cstheme="minorBidi"/>
          <w:noProof/>
          <w:color w:val="auto"/>
          <w:kern w:val="2"/>
          <w:sz w:val="24"/>
          <w:lang w:eastAsia="en-AU"/>
          <w14:ligatures w14:val="standardContextual"/>
        </w:rPr>
      </w:pPr>
      <w:r>
        <w:rPr>
          <w:noProof/>
        </w:rPr>
        <w:t>3.3.3. Method 3—emissions of carbon dioxide released from the combustion of gaseous fuels</w:t>
      </w:r>
      <w:r>
        <w:rPr>
          <w:noProof/>
        </w:rPr>
        <w:tab/>
      </w:r>
      <w:r>
        <w:rPr>
          <w:noProof/>
        </w:rPr>
        <w:fldChar w:fldCharType="begin"/>
      </w:r>
      <w:r>
        <w:rPr>
          <w:noProof/>
        </w:rPr>
        <w:instrText xml:space="preserve"> PAGEREF _Toc204159000 \h </w:instrText>
      </w:r>
      <w:r>
        <w:rPr>
          <w:noProof/>
        </w:rPr>
      </w:r>
      <w:r>
        <w:rPr>
          <w:noProof/>
        </w:rPr>
        <w:fldChar w:fldCharType="separate"/>
      </w:r>
      <w:r w:rsidR="00DB7B65">
        <w:rPr>
          <w:noProof/>
        </w:rPr>
        <w:t>23</w:t>
      </w:r>
      <w:r>
        <w:rPr>
          <w:noProof/>
        </w:rPr>
        <w:fldChar w:fldCharType="end"/>
      </w:r>
    </w:p>
    <w:p w14:paraId="63FC0FA0" w14:textId="0FC15E87" w:rsidR="00E03F55" w:rsidRDefault="00E03F55">
      <w:pPr>
        <w:pStyle w:val="TOC3"/>
        <w:rPr>
          <w:rFonts w:eastAsiaTheme="minorEastAsia" w:cstheme="minorBidi"/>
          <w:noProof/>
          <w:color w:val="auto"/>
          <w:kern w:val="2"/>
          <w:sz w:val="24"/>
          <w:lang w:eastAsia="en-AU"/>
          <w14:ligatures w14:val="standardContextual"/>
        </w:rPr>
      </w:pPr>
      <w:r>
        <w:rPr>
          <w:noProof/>
        </w:rPr>
        <w:t>3.3.4. Method 2—emissions of methane from the combustion of gaseous fuels</w:t>
      </w:r>
      <w:r>
        <w:rPr>
          <w:noProof/>
        </w:rPr>
        <w:tab/>
      </w:r>
      <w:r>
        <w:rPr>
          <w:noProof/>
        </w:rPr>
        <w:fldChar w:fldCharType="begin"/>
      </w:r>
      <w:r>
        <w:rPr>
          <w:noProof/>
        </w:rPr>
        <w:instrText xml:space="preserve"> PAGEREF _Toc204159001 \h </w:instrText>
      </w:r>
      <w:r>
        <w:rPr>
          <w:noProof/>
        </w:rPr>
      </w:r>
      <w:r>
        <w:rPr>
          <w:noProof/>
        </w:rPr>
        <w:fldChar w:fldCharType="separate"/>
      </w:r>
      <w:r w:rsidR="00DB7B65">
        <w:rPr>
          <w:noProof/>
        </w:rPr>
        <w:t>23</w:t>
      </w:r>
      <w:r>
        <w:rPr>
          <w:noProof/>
        </w:rPr>
        <w:fldChar w:fldCharType="end"/>
      </w:r>
    </w:p>
    <w:p w14:paraId="57F05307" w14:textId="1B25B531" w:rsidR="00E03F55" w:rsidRDefault="00E03F55">
      <w:pPr>
        <w:pStyle w:val="TOC2"/>
        <w:tabs>
          <w:tab w:val="right" w:leader="dot" w:pos="9730"/>
        </w:tabs>
        <w:rPr>
          <w:rFonts w:eastAsiaTheme="minorEastAsia" w:cstheme="minorBidi"/>
          <w:noProof/>
          <w:color w:val="auto"/>
          <w:kern w:val="2"/>
          <w:sz w:val="24"/>
          <w:lang w:eastAsia="en-AU"/>
          <w14:ligatures w14:val="standardContextual"/>
        </w:rPr>
      </w:pPr>
      <w:r>
        <w:rPr>
          <w:noProof/>
        </w:rPr>
        <w:t>3.4. Emissions released from the combustion of liquid fuels</w:t>
      </w:r>
      <w:r>
        <w:rPr>
          <w:noProof/>
        </w:rPr>
        <w:tab/>
      </w:r>
      <w:r>
        <w:rPr>
          <w:noProof/>
        </w:rPr>
        <w:fldChar w:fldCharType="begin"/>
      </w:r>
      <w:r>
        <w:rPr>
          <w:noProof/>
        </w:rPr>
        <w:instrText xml:space="preserve"> PAGEREF _Toc204159002 \h </w:instrText>
      </w:r>
      <w:r>
        <w:rPr>
          <w:noProof/>
        </w:rPr>
      </w:r>
      <w:r>
        <w:rPr>
          <w:noProof/>
        </w:rPr>
        <w:fldChar w:fldCharType="separate"/>
      </w:r>
      <w:r w:rsidR="00DB7B65">
        <w:rPr>
          <w:noProof/>
        </w:rPr>
        <w:t>23</w:t>
      </w:r>
      <w:r>
        <w:rPr>
          <w:noProof/>
        </w:rPr>
        <w:fldChar w:fldCharType="end"/>
      </w:r>
    </w:p>
    <w:p w14:paraId="39AE0E95" w14:textId="1ED2DF3B" w:rsidR="00E03F55" w:rsidRDefault="00E03F55">
      <w:pPr>
        <w:pStyle w:val="TOC3"/>
        <w:rPr>
          <w:rFonts w:eastAsiaTheme="minorEastAsia" w:cstheme="minorBidi"/>
          <w:noProof/>
          <w:color w:val="auto"/>
          <w:kern w:val="2"/>
          <w:sz w:val="24"/>
          <w:lang w:eastAsia="en-AU"/>
          <w14:ligatures w14:val="standardContextual"/>
        </w:rPr>
      </w:pPr>
      <w:r>
        <w:rPr>
          <w:noProof/>
        </w:rPr>
        <w:t>3.4.1. Method 1—emissions of carbon dioxide, methane and nitrous oxide from liquid fuels other than petroleum-based oils or greases</w:t>
      </w:r>
      <w:r>
        <w:rPr>
          <w:noProof/>
        </w:rPr>
        <w:tab/>
      </w:r>
      <w:r>
        <w:rPr>
          <w:noProof/>
        </w:rPr>
        <w:fldChar w:fldCharType="begin"/>
      </w:r>
      <w:r>
        <w:rPr>
          <w:noProof/>
        </w:rPr>
        <w:instrText xml:space="preserve"> PAGEREF _Toc204159003 \h </w:instrText>
      </w:r>
      <w:r>
        <w:rPr>
          <w:noProof/>
        </w:rPr>
      </w:r>
      <w:r>
        <w:rPr>
          <w:noProof/>
        </w:rPr>
        <w:fldChar w:fldCharType="separate"/>
      </w:r>
      <w:r w:rsidR="00DB7B65">
        <w:rPr>
          <w:noProof/>
        </w:rPr>
        <w:t>24</w:t>
      </w:r>
      <w:r>
        <w:rPr>
          <w:noProof/>
        </w:rPr>
        <w:fldChar w:fldCharType="end"/>
      </w:r>
    </w:p>
    <w:p w14:paraId="65723834" w14:textId="6C89DD93" w:rsidR="00E03F55" w:rsidRDefault="00E03F55">
      <w:pPr>
        <w:pStyle w:val="TOC3"/>
        <w:rPr>
          <w:rFonts w:eastAsiaTheme="minorEastAsia" w:cstheme="minorBidi"/>
          <w:noProof/>
          <w:color w:val="auto"/>
          <w:kern w:val="2"/>
          <w:sz w:val="24"/>
          <w:lang w:eastAsia="en-AU"/>
          <w14:ligatures w14:val="standardContextual"/>
        </w:rPr>
      </w:pPr>
      <w:r>
        <w:rPr>
          <w:noProof/>
        </w:rPr>
        <w:t>3.4.2. Method 2—emissions of carbon dioxide from liquid fuels other than petroleum-based oils or greases</w:t>
      </w:r>
      <w:r>
        <w:rPr>
          <w:noProof/>
        </w:rPr>
        <w:tab/>
      </w:r>
      <w:r>
        <w:rPr>
          <w:noProof/>
        </w:rPr>
        <w:fldChar w:fldCharType="begin"/>
      </w:r>
      <w:r>
        <w:rPr>
          <w:noProof/>
        </w:rPr>
        <w:instrText xml:space="preserve"> PAGEREF _Toc204159004 \h </w:instrText>
      </w:r>
      <w:r>
        <w:rPr>
          <w:noProof/>
        </w:rPr>
      </w:r>
      <w:r>
        <w:rPr>
          <w:noProof/>
        </w:rPr>
        <w:fldChar w:fldCharType="separate"/>
      </w:r>
      <w:r w:rsidR="00DB7B65">
        <w:rPr>
          <w:noProof/>
        </w:rPr>
        <w:t>25</w:t>
      </w:r>
      <w:r>
        <w:rPr>
          <w:noProof/>
        </w:rPr>
        <w:fldChar w:fldCharType="end"/>
      </w:r>
    </w:p>
    <w:p w14:paraId="69E30711" w14:textId="0B86108C" w:rsidR="00E03F55" w:rsidRDefault="00E03F55">
      <w:pPr>
        <w:pStyle w:val="TOC4"/>
        <w:tabs>
          <w:tab w:val="right" w:leader="dot" w:pos="9730"/>
        </w:tabs>
        <w:rPr>
          <w:rFonts w:eastAsiaTheme="minorEastAsia" w:cstheme="minorBidi"/>
          <w:noProof/>
          <w:color w:val="auto"/>
          <w:kern w:val="2"/>
          <w:sz w:val="24"/>
          <w:lang w:eastAsia="en-AU"/>
          <w14:ligatures w14:val="standardContextual"/>
        </w:rPr>
      </w:pPr>
      <w:r>
        <w:rPr>
          <w:noProof/>
        </w:rPr>
        <w:t>3.4.2.1. Sampling and analysis</w:t>
      </w:r>
      <w:r>
        <w:rPr>
          <w:noProof/>
        </w:rPr>
        <w:tab/>
      </w:r>
      <w:r>
        <w:rPr>
          <w:noProof/>
        </w:rPr>
        <w:fldChar w:fldCharType="begin"/>
      </w:r>
      <w:r>
        <w:rPr>
          <w:noProof/>
        </w:rPr>
        <w:instrText xml:space="preserve"> PAGEREF _Toc204159005 \h </w:instrText>
      </w:r>
      <w:r>
        <w:rPr>
          <w:noProof/>
        </w:rPr>
      </w:r>
      <w:r>
        <w:rPr>
          <w:noProof/>
        </w:rPr>
        <w:fldChar w:fldCharType="separate"/>
      </w:r>
      <w:r w:rsidR="00DB7B65">
        <w:rPr>
          <w:noProof/>
        </w:rPr>
        <w:t>25</w:t>
      </w:r>
      <w:r>
        <w:rPr>
          <w:noProof/>
        </w:rPr>
        <w:fldChar w:fldCharType="end"/>
      </w:r>
    </w:p>
    <w:p w14:paraId="459311C2" w14:textId="6CA1240A" w:rsidR="00E03F55" w:rsidRDefault="00E03F55">
      <w:pPr>
        <w:pStyle w:val="TOC3"/>
        <w:rPr>
          <w:rFonts w:eastAsiaTheme="minorEastAsia" w:cstheme="minorBidi"/>
          <w:noProof/>
          <w:color w:val="auto"/>
          <w:kern w:val="2"/>
          <w:sz w:val="24"/>
          <w:lang w:eastAsia="en-AU"/>
          <w14:ligatures w14:val="standardContextual"/>
        </w:rPr>
      </w:pPr>
      <w:r>
        <w:rPr>
          <w:noProof/>
        </w:rPr>
        <w:t>3.4.3. Method 3—emissions of carbon dioxide from liquid fuels other than petroleum-based oils or greases</w:t>
      </w:r>
      <w:r>
        <w:rPr>
          <w:noProof/>
        </w:rPr>
        <w:tab/>
      </w:r>
      <w:r>
        <w:rPr>
          <w:noProof/>
        </w:rPr>
        <w:fldChar w:fldCharType="begin"/>
      </w:r>
      <w:r>
        <w:rPr>
          <w:noProof/>
        </w:rPr>
        <w:instrText xml:space="preserve"> PAGEREF _Toc204159006 \h </w:instrText>
      </w:r>
      <w:r>
        <w:rPr>
          <w:noProof/>
        </w:rPr>
      </w:r>
      <w:r>
        <w:rPr>
          <w:noProof/>
        </w:rPr>
        <w:fldChar w:fldCharType="separate"/>
      </w:r>
      <w:r w:rsidR="00DB7B65">
        <w:rPr>
          <w:noProof/>
        </w:rPr>
        <w:t>25</w:t>
      </w:r>
      <w:r>
        <w:rPr>
          <w:noProof/>
        </w:rPr>
        <w:fldChar w:fldCharType="end"/>
      </w:r>
    </w:p>
    <w:p w14:paraId="361D1F9C" w14:textId="34DD050F" w:rsidR="00E03F55" w:rsidRDefault="00E03F55">
      <w:pPr>
        <w:pStyle w:val="TOC3"/>
        <w:rPr>
          <w:rFonts w:eastAsiaTheme="minorEastAsia" w:cstheme="minorBidi"/>
          <w:noProof/>
          <w:color w:val="auto"/>
          <w:kern w:val="2"/>
          <w:sz w:val="24"/>
          <w:lang w:eastAsia="en-AU"/>
          <w14:ligatures w14:val="standardContextual"/>
        </w:rPr>
      </w:pPr>
      <w:r>
        <w:rPr>
          <w:noProof/>
        </w:rPr>
        <w:t>3.4.4. Method 2—emissions of methane and nitrous oxide from liquid fuels other than petroleum-based oils or greases</w:t>
      </w:r>
      <w:r>
        <w:rPr>
          <w:noProof/>
        </w:rPr>
        <w:tab/>
      </w:r>
      <w:r>
        <w:rPr>
          <w:noProof/>
        </w:rPr>
        <w:fldChar w:fldCharType="begin"/>
      </w:r>
      <w:r>
        <w:rPr>
          <w:noProof/>
        </w:rPr>
        <w:instrText xml:space="preserve"> PAGEREF _Toc204159007 \h </w:instrText>
      </w:r>
      <w:r>
        <w:rPr>
          <w:noProof/>
        </w:rPr>
      </w:r>
      <w:r>
        <w:rPr>
          <w:noProof/>
        </w:rPr>
        <w:fldChar w:fldCharType="separate"/>
      </w:r>
      <w:r w:rsidR="00DB7B65">
        <w:rPr>
          <w:noProof/>
        </w:rPr>
        <w:t>25</w:t>
      </w:r>
      <w:r>
        <w:rPr>
          <w:noProof/>
        </w:rPr>
        <w:fldChar w:fldCharType="end"/>
      </w:r>
    </w:p>
    <w:p w14:paraId="16527F3D" w14:textId="148FC10F" w:rsidR="00E03F55" w:rsidRDefault="00E03F55">
      <w:pPr>
        <w:pStyle w:val="TOC5"/>
        <w:tabs>
          <w:tab w:val="right" w:leader="dot" w:pos="9730"/>
        </w:tabs>
        <w:rPr>
          <w:rFonts w:eastAsiaTheme="minorEastAsia" w:cstheme="minorBidi"/>
          <w:noProof/>
          <w:color w:val="auto"/>
          <w:kern w:val="2"/>
          <w:sz w:val="24"/>
          <w:lang w:eastAsia="en-AU"/>
          <w14:ligatures w14:val="standardContextual"/>
        </w:rPr>
      </w:pPr>
      <w:r w:rsidRPr="00A709B2">
        <w:rPr>
          <w:b/>
          <w:noProof/>
        </w:rPr>
        <w:t>Example 3</w:t>
      </w:r>
      <w:r>
        <w:rPr>
          <w:noProof/>
        </w:rPr>
        <w:tab/>
      </w:r>
      <w:r>
        <w:rPr>
          <w:noProof/>
        </w:rPr>
        <w:fldChar w:fldCharType="begin"/>
      </w:r>
      <w:r>
        <w:rPr>
          <w:noProof/>
        </w:rPr>
        <w:instrText xml:space="preserve"> PAGEREF _Toc204159008 \h </w:instrText>
      </w:r>
      <w:r>
        <w:rPr>
          <w:noProof/>
        </w:rPr>
      </w:r>
      <w:r>
        <w:rPr>
          <w:noProof/>
        </w:rPr>
        <w:fldChar w:fldCharType="separate"/>
      </w:r>
      <w:r w:rsidR="00DB7B65">
        <w:rPr>
          <w:noProof/>
        </w:rPr>
        <w:t>27</w:t>
      </w:r>
      <w:r>
        <w:rPr>
          <w:noProof/>
        </w:rPr>
        <w:fldChar w:fldCharType="end"/>
      </w:r>
    </w:p>
    <w:p w14:paraId="75E7F949" w14:textId="70CE1BC3" w:rsidR="00E03F55" w:rsidRDefault="00E03F55">
      <w:pPr>
        <w:pStyle w:val="TOC3"/>
        <w:tabs>
          <w:tab w:val="left" w:pos="1200"/>
        </w:tabs>
        <w:rPr>
          <w:rFonts w:eastAsiaTheme="minorEastAsia" w:cstheme="minorBidi"/>
          <w:noProof/>
          <w:color w:val="auto"/>
          <w:kern w:val="2"/>
          <w:sz w:val="24"/>
          <w:lang w:eastAsia="en-AU"/>
          <w14:ligatures w14:val="standardContextual"/>
        </w:rPr>
      </w:pPr>
      <w:r>
        <w:rPr>
          <w:noProof/>
        </w:rPr>
        <w:t>3.4.5.</w:t>
      </w:r>
      <w:r>
        <w:rPr>
          <w:rFonts w:eastAsiaTheme="minorEastAsia" w:cstheme="minorBidi"/>
          <w:noProof/>
          <w:color w:val="auto"/>
          <w:kern w:val="2"/>
          <w:sz w:val="24"/>
          <w:lang w:eastAsia="en-AU"/>
          <w14:ligatures w14:val="standardContextual"/>
        </w:rPr>
        <w:tab/>
      </w:r>
      <w:r>
        <w:rPr>
          <w:noProof/>
        </w:rPr>
        <w:t>Methods for estimating emissions from petroleum-based oils when used as fuel</w:t>
      </w:r>
      <w:r>
        <w:rPr>
          <w:noProof/>
        </w:rPr>
        <w:tab/>
      </w:r>
      <w:r>
        <w:rPr>
          <w:noProof/>
        </w:rPr>
        <w:fldChar w:fldCharType="begin"/>
      </w:r>
      <w:r>
        <w:rPr>
          <w:noProof/>
        </w:rPr>
        <w:instrText xml:space="preserve"> PAGEREF _Toc204159009 \h </w:instrText>
      </w:r>
      <w:r>
        <w:rPr>
          <w:noProof/>
        </w:rPr>
      </w:r>
      <w:r>
        <w:rPr>
          <w:noProof/>
        </w:rPr>
        <w:fldChar w:fldCharType="separate"/>
      </w:r>
      <w:r w:rsidR="00DB7B65">
        <w:rPr>
          <w:noProof/>
        </w:rPr>
        <w:t>28</w:t>
      </w:r>
      <w:r>
        <w:rPr>
          <w:noProof/>
        </w:rPr>
        <w:fldChar w:fldCharType="end"/>
      </w:r>
    </w:p>
    <w:p w14:paraId="5F535337" w14:textId="1C58B9DF" w:rsidR="00E03F55" w:rsidRDefault="00E03F55">
      <w:pPr>
        <w:pStyle w:val="TOC2"/>
        <w:tabs>
          <w:tab w:val="right" w:leader="dot" w:pos="9730"/>
        </w:tabs>
        <w:rPr>
          <w:rFonts w:eastAsiaTheme="minorEastAsia" w:cstheme="minorBidi"/>
          <w:noProof/>
          <w:color w:val="auto"/>
          <w:kern w:val="2"/>
          <w:sz w:val="24"/>
          <w:lang w:eastAsia="en-AU"/>
          <w14:ligatures w14:val="standardContextual"/>
        </w:rPr>
      </w:pPr>
      <w:r>
        <w:rPr>
          <w:noProof/>
        </w:rPr>
        <w:t>3.5. Amount of energy consumed in a cogeneration process</w:t>
      </w:r>
      <w:r>
        <w:rPr>
          <w:noProof/>
        </w:rPr>
        <w:tab/>
      </w:r>
      <w:r>
        <w:rPr>
          <w:noProof/>
        </w:rPr>
        <w:fldChar w:fldCharType="begin"/>
      </w:r>
      <w:r>
        <w:rPr>
          <w:noProof/>
        </w:rPr>
        <w:instrText xml:space="preserve"> PAGEREF _Toc204159010 \h </w:instrText>
      </w:r>
      <w:r>
        <w:rPr>
          <w:noProof/>
        </w:rPr>
      </w:r>
      <w:r>
        <w:rPr>
          <w:noProof/>
        </w:rPr>
        <w:fldChar w:fldCharType="separate"/>
      </w:r>
      <w:r w:rsidR="00DB7B65">
        <w:rPr>
          <w:noProof/>
        </w:rPr>
        <w:t>29</w:t>
      </w:r>
      <w:r>
        <w:rPr>
          <w:noProof/>
        </w:rPr>
        <w:fldChar w:fldCharType="end"/>
      </w:r>
    </w:p>
    <w:p w14:paraId="1AAC3BD3" w14:textId="1BD21CC0" w:rsidR="00E03F55" w:rsidRDefault="00E03F55">
      <w:pPr>
        <w:pStyle w:val="TOC2"/>
        <w:tabs>
          <w:tab w:val="right" w:leader="dot" w:pos="9730"/>
        </w:tabs>
        <w:rPr>
          <w:rFonts w:eastAsiaTheme="minorEastAsia" w:cstheme="minorBidi"/>
          <w:noProof/>
          <w:color w:val="auto"/>
          <w:kern w:val="2"/>
          <w:sz w:val="24"/>
          <w:lang w:eastAsia="en-AU"/>
          <w14:ligatures w14:val="standardContextual"/>
        </w:rPr>
      </w:pPr>
      <w:r>
        <w:rPr>
          <w:noProof/>
        </w:rPr>
        <w:lastRenderedPageBreak/>
        <w:t>3.6. Apportionment of energy consumed for electricity, transport and for stationary energy</w:t>
      </w:r>
      <w:r>
        <w:rPr>
          <w:noProof/>
        </w:rPr>
        <w:tab/>
      </w:r>
      <w:r>
        <w:rPr>
          <w:noProof/>
        </w:rPr>
        <w:fldChar w:fldCharType="begin"/>
      </w:r>
      <w:r>
        <w:rPr>
          <w:noProof/>
        </w:rPr>
        <w:instrText xml:space="preserve"> PAGEREF _Toc204159011 \h </w:instrText>
      </w:r>
      <w:r>
        <w:rPr>
          <w:noProof/>
        </w:rPr>
      </w:r>
      <w:r>
        <w:rPr>
          <w:noProof/>
        </w:rPr>
        <w:fldChar w:fldCharType="separate"/>
      </w:r>
      <w:r w:rsidR="00DB7B65">
        <w:rPr>
          <w:noProof/>
        </w:rPr>
        <w:t>29</w:t>
      </w:r>
      <w:r>
        <w:rPr>
          <w:noProof/>
        </w:rPr>
        <w:fldChar w:fldCharType="end"/>
      </w:r>
    </w:p>
    <w:p w14:paraId="5C7FD522" w14:textId="7CD18774" w:rsidR="00E03F55" w:rsidRDefault="00E03F55">
      <w:pPr>
        <w:pStyle w:val="TOC1"/>
        <w:rPr>
          <w:rFonts w:eastAsiaTheme="minorEastAsia" w:cstheme="minorBidi"/>
          <w:b w:val="0"/>
          <w:noProof/>
          <w:color w:val="auto"/>
          <w:kern w:val="2"/>
          <w:sz w:val="24"/>
          <w:lang w:eastAsia="en-AU"/>
          <w14:ligatures w14:val="standardContextual"/>
        </w:rPr>
      </w:pPr>
      <w:r>
        <w:rPr>
          <w:noProof/>
        </w:rPr>
        <w:t>4.</w:t>
      </w:r>
      <w:r>
        <w:rPr>
          <w:rFonts w:eastAsiaTheme="minorEastAsia" w:cstheme="minorBidi"/>
          <w:b w:val="0"/>
          <w:noProof/>
          <w:color w:val="auto"/>
          <w:kern w:val="2"/>
          <w:sz w:val="24"/>
          <w:lang w:eastAsia="en-AU"/>
          <w14:ligatures w14:val="standardContextual"/>
        </w:rPr>
        <w:tab/>
      </w:r>
      <w:r>
        <w:rPr>
          <w:noProof/>
        </w:rPr>
        <w:t>Uncertainty</w:t>
      </w:r>
      <w:r>
        <w:rPr>
          <w:noProof/>
        </w:rPr>
        <w:tab/>
      </w:r>
      <w:r>
        <w:rPr>
          <w:noProof/>
        </w:rPr>
        <w:fldChar w:fldCharType="begin"/>
      </w:r>
      <w:r>
        <w:rPr>
          <w:noProof/>
        </w:rPr>
        <w:instrText xml:space="preserve"> PAGEREF _Toc204159012 \h </w:instrText>
      </w:r>
      <w:r>
        <w:rPr>
          <w:noProof/>
        </w:rPr>
      </w:r>
      <w:r>
        <w:rPr>
          <w:noProof/>
        </w:rPr>
        <w:fldChar w:fldCharType="separate"/>
      </w:r>
      <w:r w:rsidR="00DB7B65">
        <w:rPr>
          <w:noProof/>
        </w:rPr>
        <w:t>29</w:t>
      </w:r>
      <w:r>
        <w:rPr>
          <w:noProof/>
        </w:rPr>
        <w:fldChar w:fldCharType="end"/>
      </w:r>
    </w:p>
    <w:p w14:paraId="2F205E22" w14:textId="609E88FE" w:rsidR="00E03F55" w:rsidRDefault="00E03F55">
      <w:pPr>
        <w:pStyle w:val="TOC1"/>
        <w:rPr>
          <w:rFonts w:eastAsiaTheme="minorEastAsia" w:cstheme="minorBidi"/>
          <w:b w:val="0"/>
          <w:noProof/>
          <w:color w:val="auto"/>
          <w:kern w:val="2"/>
          <w:sz w:val="24"/>
          <w:lang w:eastAsia="en-AU"/>
          <w14:ligatures w14:val="standardContextual"/>
        </w:rPr>
      </w:pPr>
      <w:r>
        <w:rPr>
          <w:noProof/>
        </w:rPr>
        <w:t>5.</w:t>
      </w:r>
      <w:r>
        <w:rPr>
          <w:rFonts w:eastAsiaTheme="minorEastAsia" w:cstheme="minorBidi"/>
          <w:b w:val="0"/>
          <w:noProof/>
          <w:color w:val="auto"/>
          <w:kern w:val="2"/>
          <w:sz w:val="24"/>
          <w:lang w:eastAsia="en-AU"/>
          <w14:ligatures w14:val="standardContextual"/>
        </w:rPr>
        <w:tab/>
      </w:r>
      <w:r>
        <w:rPr>
          <w:noProof/>
        </w:rPr>
        <w:t>More information and references</w:t>
      </w:r>
      <w:r>
        <w:rPr>
          <w:noProof/>
        </w:rPr>
        <w:tab/>
      </w:r>
      <w:r>
        <w:rPr>
          <w:noProof/>
        </w:rPr>
        <w:fldChar w:fldCharType="begin"/>
      </w:r>
      <w:r>
        <w:rPr>
          <w:noProof/>
        </w:rPr>
        <w:instrText xml:space="preserve"> PAGEREF _Toc204159013 \h </w:instrText>
      </w:r>
      <w:r>
        <w:rPr>
          <w:noProof/>
        </w:rPr>
      </w:r>
      <w:r>
        <w:rPr>
          <w:noProof/>
        </w:rPr>
        <w:fldChar w:fldCharType="separate"/>
      </w:r>
      <w:r w:rsidR="00DB7B65">
        <w:rPr>
          <w:noProof/>
        </w:rPr>
        <w:t>30</w:t>
      </w:r>
      <w:r>
        <w:rPr>
          <w:noProof/>
        </w:rPr>
        <w:fldChar w:fldCharType="end"/>
      </w:r>
    </w:p>
    <w:p w14:paraId="07C7FD98" w14:textId="6F6B57CF" w:rsidR="00E03F55" w:rsidRDefault="00E03F55">
      <w:pPr>
        <w:pStyle w:val="TOC2"/>
        <w:tabs>
          <w:tab w:val="right" w:leader="dot" w:pos="9730"/>
        </w:tabs>
        <w:rPr>
          <w:rFonts w:eastAsiaTheme="minorEastAsia" w:cstheme="minorBidi"/>
          <w:noProof/>
          <w:color w:val="auto"/>
          <w:kern w:val="2"/>
          <w:sz w:val="24"/>
          <w:lang w:eastAsia="en-AU"/>
          <w14:ligatures w14:val="standardContextual"/>
        </w:rPr>
      </w:pPr>
      <w:r>
        <w:rPr>
          <w:noProof/>
        </w:rPr>
        <w:t>More information</w:t>
      </w:r>
      <w:r>
        <w:rPr>
          <w:noProof/>
        </w:rPr>
        <w:tab/>
      </w:r>
      <w:r>
        <w:rPr>
          <w:noProof/>
        </w:rPr>
        <w:fldChar w:fldCharType="begin"/>
      </w:r>
      <w:r>
        <w:rPr>
          <w:noProof/>
        </w:rPr>
        <w:instrText xml:space="preserve"> PAGEREF _Toc204159014 \h </w:instrText>
      </w:r>
      <w:r>
        <w:rPr>
          <w:noProof/>
        </w:rPr>
      </w:r>
      <w:r>
        <w:rPr>
          <w:noProof/>
        </w:rPr>
        <w:fldChar w:fldCharType="separate"/>
      </w:r>
      <w:r w:rsidR="00DB7B65">
        <w:rPr>
          <w:noProof/>
        </w:rPr>
        <w:t>30</w:t>
      </w:r>
      <w:r>
        <w:rPr>
          <w:noProof/>
        </w:rPr>
        <w:fldChar w:fldCharType="end"/>
      </w:r>
    </w:p>
    <w:p w14:paraId="1E586F63" w14:textId="2554CCDC" w:rsidR="00E03F55" w:rsidRDefault="00E03F55">
      <w:pPr>
        <w:pStyle w:val="TOC2"/>
        <w:tabs>
          <w:tab w:val="right" w:leader="dot" w:pos="9730"/>
        </w:tabs>
        <w:rPr>
          <w:rFonts w:eastAsiaTheme="minorEastAsia" w:cstheme="minorBidi"/>
          <w:noProof/>
          <w:color w:val="auto"/>
          <w:kern w:val="2"/>
          <w:sz w:val="24"/>
          <w:lang w:eastAsia="en-AU"/>
          <w14:ligatures w14:val="standardContextual"/>
        </w:rPr>
      </w:pPr>
      <w:r>
        <w:rPr>
          <w:noProof/>
        </w:rPr>
        <w:t>References</w:t>
      </w:r>
      <w:r>
        <w:rPr>
          <w:noProof/>
        </w:rPr>
        <w:tab/>
      </w:r>
      <w:r>
        <w:rPr>
          <w:noProof/>
        </w:rPr>
        <w:fldChar w:fldCharType="begin"/>
      </w:r>
      <w:r>
        <w:rPr>
          <w:noProof/>
        </w:rPr>
        <w:instrText xml:space="preserve"> PAGEREF _Toc204159015 \h </w:instrText>
      </w:r>
      <w:r>
        <w:rPr>
          <w:noProof/>
        </w:rPr>
      </w:r>
      <w:r>
        <w:rPr>
          <w:noProof/>
        </w:rPr>
        <w:fldChar w:fldCharType="separate"/>
      </w:r>
      <w:r w:rsidR="00DB7B65">
        <w:rPr>
          <w:noProof/>
        </w:rPr>
        <w:t>30</w:t>
      </w:r>
      <w:r>
        <w:rPr>
          <w:noProof/>
        </w:rPr>
        <w:fldChar w:fldCharType="end"/>
      </w:r>
    </w:p>
    <w:p w14:paraId="6DE689B6" w14:textId="78EA6E4C" w:rsidR="001C3815" w:rsidRDefault="00235142" w:rsidP="00A924CA">
      <w:pPr>
        <w:pStyle w:val="Heading1"/>
        <w:rPr>
          <w:lang w:val="en-GB"/>
        </w:rPr>
      </w:pPr>
      <w:r>
        <w:fldChar w:fldCharType="end"/>
      </w:r>
      <w:r>
        <w:br w:type="page"/>
      </w:r>
      <w:bookmarkStart w:id="6" w:name="_Toc76565684"/>
      <w:bookmarkStart w:id="7" w:name="_Toc204158978"/>
      <w:bookmarkEnd w:id="4"/>
      <w:bookmarkEnd w:id="5"/>
      <w:r w:rsidR="001C3815" w:rsidRPr="00CB5245">
        <w:rPr>
          <w:lang w:val="en-GB"/>
        </w:rPr>
        <w:lastRenderedPageBreak/>
        <w:t>Definitions and abbreviations</w:t>
      </w:r>
      <w:bookmarkEnd w:id="6"/>
      <w:bookmarkEnd w:id="7"/>
    </w:p>
    <w:tbl>
      <w:tblPr>
        <w:tblStyle w:val="CERTable"/>
        <w:tblW w:w="5000" w:type="pct"/>
        <w:tblLook w:val="04A0" w:firstRow="1" w:lastRow="0" w:firstColumn="1" w:lastColumn="0" w:noHBand="0" w:noVBand="1"/>
      </w:tblPr>
      <w:tblGrid>
        <w:gridCol w:w="2227"/>
        <w:gridCol w:w="7513"/>
      </w:tblGrid>
      <w:tr w:rsidR="001C3815" w14:paraId="7FC9CC2F" w14:textId="77777777" w:rsidTr="001966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43" w:type="pct"/>
            <w:hideMark/>
          </w:tcPr>
          <w:p w14:paraId="403E046D" w14:textId="77777777" w:rsidR="001C3815" w:rsidRPr="002F613A" w:rsidRDefault="001C3815" w:rsidP="001C3815">
            <w:pPr>
              <w:pStyle w:val="Body"/>
              <w:numPr>
                <w:ilvl w:val="0"/>
                <w:numId w:val="21"/>
              </w:numPr>
              <w:ind w:left="0"/>
              <w:rPr>
                <w:rFonts w:asciiTheme="minorHAnsi" w:hAnsiTheme="minorHAnsi" w:cs="Times New Roman"/>
                <w:color w:val="000000" w:themeColor="text1"/>
                <w:sz w:val="22"/>
                <w:szCs w:val="22"/>
              </w:rPr>
            </w:pPr>
            <w:r w:rsidRPr="002F613A">
              <w:rPr>
                <w:rFonts w:asciiTheme="minorHAnsi" w:hAnsiTheme="minorHAnsi"/>
                <w:color w:val="000000" w:themeColor="text1"/>
                <w:sz w:val="22"/>
                <w:szCs w:val="22"/>
              </w:rPr>
              <w:t>Term</w:t>
            </w:r>
          </w:p>
        </w:tc>
        <w:tc>
          <w:tcPr>
            <w:tcW w:w="3857" w:type="pct"/>
            <w:hideMark/>
          </w:tcPr>
          <w:p w14:paraId="263CA670" w14:textId="77777777" w:rsidR="001C3815" w:rsidRPr="002F613A" w:rsidRDefault="001C3815" w:rsidP="001C3815">
            <w:pPr>
              <w:pStyle w:val="Body"/>
              <w:numPr>
                <w:ilvl w:val="0"/>
                <w:numId w:val="21"/>
              </w:numPr>
              <w:ind w:left="0"/>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2F613A">
              <w:rPr>
                <w:rFonts w:asciiTheme="minorHAnsi" w:hAnsiTheme="minorHAnsi"/>
                <w:color w:val="000000" w:themeColor="text1"/>
                <w:sz w:val="22"/>
                <w:szCs w:val="22"/>
              </w:rPr>
              <w:t>Meaning</w:t>
            </w:r>
          </w:p>
        </w:tc>
      </w:tr>
      <w:tr w:rsidR="001C3815" w14:paraId="6CBC53D7" w14:textId="77777777" w:rsidTr="005E2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hideMark/>
          </w:tcPr>
          <w:p w14:paraId="7BAB1B6F" w14:textId="77777777" w:rsidR="001C3815" w:rsidRPr="002F613A" w:rsidRDefault="001C3815" w:rsidP="001C3815">
            <w:pPr>
              <w:pStyle w:val="Body"/>
              <w:numPr>
                <w:ilvl w:val="0"/>
                <w:numId w:val="21"/>
              </w:numPr>
              <w:ind w:left="0"/>
              <w:rPr>
                <w:rFonts w:asciiTheme="minorHAnsi" w:hAnsiTheme="minorHAnsi"/>
                <w:b w:val="0"/>
                <w:color w:val="000000" w:themeColor="text1"/>
                <w:sz w:val="22"/>
                <w:szCs w:val="22"/>
              </w:rPr>
            </w:pPr>
            <w:r w:rsidRPr="002F613A">
              <w:rPr>
                <w:rFonts w:asciiTheme="minorHAnsi" w:hAnsiTheme="minorHAnsi"/>
                <w:color w:val="000000"/>
                <w:sz w:val="22"/>
                <w:szCs w:val="22"/>
              </w:rPr>
              <w:t>ANZSIC</w:t>
            </w:r>
          </w:p>
        </w:tc>
        <w:tc>
          <w:tcPr>
            <w:tcW w:w="3857" w:type="pct"/>
            <w:hideMark/>
          </w:tcPr>
          <w:p w14:paraId="6E4874F9" w14:textId="77777777" w:rsidR="001C3815" w:rsidRPr="002F613A" w:rsidRDefault="001C3815" w:rsidP="001C3815">
            <w:pPr>
              <w:pStyle w:val="Body"/>
              <w:numPr>
                <w:ilvl w:val="0"/>
                <w:numId w:val="21"/>
              </w:numPr>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2F613A">
              <w:rPr>
                <w:rFonts w:asciiTheme="minorHAnsi" w:hAnsiTheme="minorHAnsi"/>
                <w:color w:val="000000"/>
                <w:sz w:val="22"/>
                <w:szCs w:val="22"/>
              </w:rPr>
              <w:t>Australian and New Zealand Standard Industrial Classification</w:t>
            </w:r>
          </w:p>
        </w:tc>
      </w:tr>
      <w:tr w:rsidR="001C3815" w14:paraId="0E029BDB" w14:textId="77777777" w:rsidTr="005E21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tcPr>
          <w:p w14:paraId="0FE941CA" w14:textId="77777777" w:rsidR="001C3815" w:rsidRPr="002F613A" w:rsidRDefault="001C3815" w:rsidP="001C3815">
            <w:pPr>
              <w:pStyle w:val="Body"/>
              <w:numPr>
                <w:ilvl w:val="0"/>
                <w:numId w:val="21"/>
              </w:numPr>
              <w:ind w:left="0"/>
              <w:rPr>
                <w:rFonts w:asciiTheme="minorHAnsi" w:hAnsiTheme="minorHAnsi"/>
                <w:b w:val="0"/>
                <w:color w:val="000000"/>
                <w:sz w:val="22"/>
                <w:szCs w:val="22"/>
              </w:rPr>
            </w:pPr>
            <w:r w:rsidRPr="002F613A">
              <w:rPr>
                <w:rFonts w:asciiTheme="minorHAnsi" w:hAnsiTheme="minorHAnsi"/>
                <w:color w:val="000000"/>
                <w:sz w:val="22"/>
                <w:szCs w:val="22"/>
              </w:rPr>
              <w:t>BoP</w:t>
            </w:r>
          </w:p>
        </w:tc>
        <w:tc>
          <w:tcPr>
            <w:tcW w:w="3857" w:type="pct"/>
          </w:tcPr>
          <w:p w14:paraId="028D9E68" w14:textId="77777777" w:rsidR="001C3815" w:rsidRPr="002F613A" w:rsidRDefault="001C3815" w:rsidP="001C3815">
            <w:pPr>
              <w:pStyle w:val="Body"/>
              <w:numPr>
                <w:ilvl w:val="0"/>
                <w:numId w:val="21"/>
              </w:numPr>
              <w:ind w:left="0"/>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2"/>
                <w:szCs w:val="22"/>
              </w:rPr>
            </w:pPr>
            <w:r w:rsidRPr="002F613A">
              <w:rPr>
                <w:rFonts w:asciiTheme="minorHAnsi" w:hAnsiTheme="minorHAnsi"/>
                <w:color w:val="000000"/>
                <w:sz w:val="22"/>
                <w:szCs w:val="22"/>
              </w:rPr>
              <w:t>Basis of preparation</w:t>
            </w:r>
          </w:p>
        </w:tc>
      </w:tr>
      <w:tr w:rsidR="001C3815" w14:paraId="6DC98BAB" w14:textId="77777777" w:rsidTr="005E2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hideMark/>
          </w:tcPr>
          <w:p w14:paraId="1521CA26" w14:textId="77777777" w:rsidR="001C3815" w:rsidRPr="002F613A" w:rsidRDefault="001C3815" w:rsidP="001C3815">
            <w:pPr>
              <w:pStyle w:val="Body"/>
              <w:numPr>
                <w:ilvl w:val="0"/>
                <w:numId w:val="21"/>
              </w:numPr>
              <w:ind w:left="0"/>
              <w:rPr>
                <w:rFonts w:asciiTheme="minorHAnsi" w:hAnsiTheme="minorHAnsi"/>
                <w:b w:val="0"/>
                <w:color w:val="000000" w:themeColor="text1"/>
                <w:sz w:val="22"/>
                <w:szCs w:val="22"/>
              </w:rPr>
            </w:pPr>
            <w:r w:rsidRPr="002F613A">
              <w:rPr>
                <w:rFonts w:asciiTheme="minorHAnsi" w:hAnsiTheme="minorHAnsi"/>
                <w:color w:val="000000"/>
                <w:sz w:val="22"/>
                <w:szCs w:val="22"/>
              </w:rPr>
              <w:t>CEM</w:t>
            </w:r>
          </w:p>
        </w:tc>
        <w:tc>
          <w:tcPr>
            <w:tcW w:w="3857" w:type="pct"/>
            <w:hideMark/>
          </w:tcPr>
          <w:p w14:paraId="4C54D704" w14:textId="3DE4A18B" w:rsidR="001C3815" w:rsidRPr="002F613A" w:rsidRDefault="001C3815" w:rsidP="001C3815">
            <w:pPr>
              <w:pStyle w:val="Body"/>
              <w:numPr>
                <w:ilvl w:val="0"/>
                <w:numId w:val="21"/>
              </w:numPr>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2F613A">
              <w:rPr>
                <w:rFonts w:asciiTheme="minorHAnsi" w:hAnsiTheme="minorHAnsi"/>
                <w:color w:val="000000"/>
                <w:sz w:val="22"/>
                <w:szCs w:val="22"/>
              </w:rPr>
              <w:t>Continuous emission</w:t>
            </w:r>
            <w:r w:rsidR="002B3BFC">
              <w:rPr>
                <w:rFonts w:asciiTheme="minorHAnsi" w:hAnsiTheme="minorHAnsi"/>
                <w:color w:val="000000"/>
                <w:sz w:val="22"/>
                <w:szCs w:val="22"/>
              </w:rPr>
              <w:t>s</w:t>
            </w:r>
            <w:r w:rsidRPr="002F613A">
              <w:rPr>
                <w:rFonts w:asciiTheme="minorHAnsi" w:hAnsiTheme="minorHAnsi"/>
                <w:color w:val="000000"/>
                <w:sz w:val="22"/>
                <w:szCs w:val="22"/>
              </w:rPr>
              <w:t xml:space="preserve"> monitoring </w:t>
            </w:r>
          </w:p>
        </w:tc>
      </w:tr>
      <w:tr w:rsidR="001C3815" w14:paraId="4AAC83D7" w14:textId="77777777" w:rsidTr="005E21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tcPr>
          <w:p w14:paraId="68000971" w14:textId="77777777" w:rsidR="001C3815" w:rsidRPr="002F613A" w:rsidRDefault="001C3815" w:rsidP="001C3815">
            <w:pPr>
              <w:pStyle w:val="Body"/>
              <w:numPr>
                <w:ilvl w:val="0"/>
                <w:numId w:val="21"/>
              </w:numPr>
              <w:ind w:left="0"/>
              <w:rPr>
                <w:rFonts w:asciiTheme="minorHAnsi" w:hAnsiTheme="minorHAnsi"/>
                <w:b w:val="0"/>
                <w:color w:val="000000"/>
                <w:sz w:val="22"/>
                <w:szCs w:val="22"/>
              </w:rPr>
            </w:pPr>
            <w:r w:rsidRPr="002F613A">
              <w:rPr>
                <w:rFonts w:asciiTheme="minorHAnsi" w:hAnsiTheme="minorHAnsi"/>
                <w:color w:val="000000"/>
                <w:sz w:val="22"/>
                <w:szCs w:val="22"/>
              </w:rPr>
              <w:t>CH</w:t>
            </w:r>
            <w:r w:rsidRPr="002F613A">
              <w:rPr>
                <w:rFonts w:asciiTheme="minorHAnsi" w:hAnsiTheme="minorHAnsi"/>
                <w:color w:val="000000"/>
                <w:sz w:val="22"/>
                <w:szCs w:val="22"/>
                <w:vertAlign w:val="subscript"/>
              </w:rPr>
              <w:t>4</w:t>
            </w:r>
          </w:p>
        </w:tc>
        <w:tc>
          <w:tcPr>
            <w:tcW w:w="3857" w:type="pct"/>
          </w:tcPr>
          <w:p w14:paraId="64772AA9" w14:textId="77777777" w:rsidR="001C3815" w:rsidRPr="002F613A" w:rsidRDefault="001C3815" w:rsidP="001C3815">
            <w:pPr>
              <w:pStyle w:val="Body"/>
              <w:numPr>
                <w:ilvl w:val="0"/>
                <w:numId w:val="21"/>
              </w:numPr>
              <w:ind w:left="0"/>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2"/>
                <w:szCs w:val="22"/>
              </w:rPr>
            </w:pPr>
            <w:r w:rsidRPr="002F613A">
              <w:rPr>
                <w:rFonts w:asciiTheme="minorHAnsi" w:hAnsiTheme="minorHAnsi"/>
                <w:color w:val="000000"/>
                <w:sz w:val="22"/>
                <w:szCs w:val="22"/>
              </w:rPr>
              <w:t>Methane</w:t>
            </w:r>
          </w:p>
        </w:tc>
      </w:tr>
      <w:tr w:rsidR="001C3815" w14:paraId="0BE06F89" w14:textId="77777777" w:rsidTr="005E2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tcPr>
          <w:p w14:paraId="574A9EE7" w14:textId="77777777" w:rsidR="001C3815" w:rsidRPr="002F613A" w:rsidRDefault="001C3815" w:rsidP="001C3815">
            <w:pPr>
              <w:pStyle w:val="Body"/>
              <w:numPr>
                <w:ilvl w:val="0"/>
                <w:numId w:val="21"/>
              </w:numPr>
              <w:ind w:left="0"/>
              <w:rPr>
                <w:rFonts w:asciiTheme="minorHAnsi" w:hAnsiTheme="minorHAnsi"/>
                <w:b w:val="0"/>
                <w:color w:val="000000"/>
                <w:sz w:val="22"/>
                <w:szCs w:val="22"/>
              </w:rPr>
            </w:pPr>
            <w:r w:rsidRPr="002F613A">
              <w:rPr>
                <w:rFonts w:asciiTheme="minorHAnsi" w:hAnsiTheme="minorHAnsi"/>
                <w:color w:val="000000"/>
                <w:sz w:val="22"/>
                <w:szCs w:val="22"/>
              </w:rPr>
              <w:t>CO</w:t>
            </w:r>
            <w:r w:rsidRPr="002F613A">
              <w:rPr>
                <w:rFonts w:asciiTheme="minorHAnsi" w:hAnsiTheme="minorHAnsi"/>
                <w:color w:val="000000"/>
                <w:sz w:val="22"/>
                <w:szCs w:val="22"/>
                <w:vertAlign w:val="subscript"/>
              </w:rPr>
              <w:t>2</w:t>
            </w:r>
          </w:p>
        </w:tc>
        <w:tc>
          <w:tcPr>
            <w:tcW w:w="3857" w:type="pct"/>
          </w:tcPr>
          <w:p w14:paraId="64BEEEEA" w14:textId="77777777" w:rsidR="001C3815" w:rsidRPr="002F613A" w:rsidRDefault="001C3815" w:rsidP="001C3815">
            <w:pPr>
              <w:pStyle w:val="Body"/>
              <w:numPr>
                <w:ilvl w:val="0"/>
                <w:numId w:val="21"/>
              </w:numPr>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2F613A">
              <w:rPr>
                <w:rFonts w:asciiTheme="minorHAnsi" w:hAnsiTheme="minorHAnsi"/>
                <w:color w:val="000000"/>
                <w:sz w:val="22"/>
                <w:szCs w:val="22"/>
              </w:rPr>
              <w:t>Carbon dioxide</w:t>
            </w:r>
          </w:p>
        </w:tc>
      </w:tr>
      <w:tr w:rsidR="001C3815" w14:paraId="62810F94" w14:textId="77777777" w:rsidTr="005E21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tcPr>
          <w:p w14:paraId="3C239D28" w14:textId="77777777" w:rsidR="001C3815" w:rsidRPr="002F613A" w:rsidRDefault="001C3815" w:rsidP="001C3815">
            <w:pPr>
              <w:pStyle w:val="Body"/>
              <w:numPr>
                <w:ilvl w:val="0"/>
                <w:numId w:val="21"/>
              </w:numPr>
              <w:ind w:left="0"/>
              <w:rPr>
                <w:rFonts w:asciiTheme="minorHAnsi" w:hAnsiTheme="minorHAnsi"/>
                <w:b w:val="0"/>
                <w:color w:val="000000"/>
                <w:sz w:val="22"/>
                <w:szCs w:val="22"/>
              </w:rPr>
            </w:pPr>
            <w:r w:rsidRPr="002F613A">
              <w:rPr>
                <w:rFonts w:asciiTheme="minorHAnsi" w:hAnsiTheme="minorHAnsi"/>
                <w:color w:val="000000"/>
                <w:sz w:val="22"/>
                <w:szCs w:val="22"/>
              </w:rPr>
              <w:t>CO</w:t>
            </w:r>
            <w:r w:rsidRPr="002F613A">
              <w:rPr>
                <w:rFonts w:asciiTheme="minorHAnsi" w:hAnsiTheme="minorHAnsi"/>
                <w:color w:val="000000"/>
                <w:sz w:val="22"/>
                <w:szCs w:val="22"/>
                <w:vertAlign w:val="subscript"/>
              </w:rPr>
              <w:t>2</w:t>
            </w:r>
            <w:r w:rsidRPr="002F613A">
              <w:rPr>
                <w:rFonts w:asciiTheme="minorHAnsi" w:hAnsiTheme="minorHAnsi"/>
                <w:color w:val="000000"/>
                <w:sz w:val="22"/>
                <w:szCs w:val="22"/>
              </w:rPr>
              <w:t>-e</w:t>
            </w:r>
          </w:p>
        </w:tc>
        <w:tc>
          <w:tcPr>
            <w:tcW w:w="3857" w:type="pct"/>
          </w:tcPr>
          <w:p w14:paraId="3D50DED3" w14:textId="77777777" w:rsidR="001C3815" w:rsidRPr="002F613A" w:rsidRDefault="001C3815" w:rsidP="001C3815">
            <w:pPr>
              <w:pStyle w:val="Body"/>
              <w:numPr>
                <w:ilvl w:val="0"/>
                <w:numId w:val="21"/>
              </w:numPr>
              <w:ind w:left="0"/>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2"/>
                <w:szCs w:val="22"/>
              </w:rPr>
            </w:pPr>
            <w:r w:rsidRPr="002F613A">
              <w:rPr>
                <w:rFonts w:asciiTheme="minorHAnsi" w:hAnsiTheme="minorHAnsi"/>
                <w:color w:val="000000"/>
                <w:sz w:val="22"/>
                <w:szCs w:val="22"/>
              </w:rPr>
              <w:t>Carbon dioxide equivalence</w:t>
            </w:r>
          </w:p>
        </w:tc>
      </w:tr>
      <w:tr w:rsidR="001C3815" w14:paraId="1C0CEBB7" w14:textId="77777777" w:rsidTr="005E2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tcPr>
          <w:p w14:paraId="0C3F932F" w14:textId="77777777" w:rsidR="001C3815" w:rsidRPr="002F613A" w:rsidRDefault="001C3815" w:rsidP="001C3815">
            <w:pPr>
              <w:pStyle w:val="Body"/>
              <w:numPr>
                <w:ilvl w:val="0"/>
                <w:numId w:val="21"/>
              </w:numPr>
              <w:ind w:left="0"/>
              <w:rPr>
                <w:rFonts w:asciiTheme="minorHAnsi" w:hAnsiTheme="minorHAnsi"/>
                <w:b w:val="0"/>
                <w:color w:val="000000"/>
                <w:sz w:val="22"/>
                <w:szCs w:val="22"/>
              </w:rPr>
            </w:pPr>
            <w:r w:rsidRPr="002F613A">
              <w:rPr>
                <w:rFonts w:asciiTheme="minorHAnsi" w:hAnsiTheme="minorHAnsi"/>
                <w:color w:val="000000"/>
                <w:sz w:val="22"/>
                <w:szCs w:val="22"/>
              </w:rPr>
              <w:t>Department</w:t>
            </w:r>
          </w:p>
        </w:tc>
        <w:tc>
          <w:tcPr>
            <w:tcW w:w="3857" w:type="pct"/>
          </w:tcPr>
          <w:p w14:paraId="7DFE338F" w14:textId="58020F61" w:rsidR="001C3815" w:rsidRPr="002F613A" w:rsidRDefault="001C3815" w:rsidP="001C3815">
            <w:pPr>
              <w:pStyle w:val="Body"/>
              <w:numPr>
                <w:ilvl w:val="0"/>
                <w:numId w:val="21"/>
              </w:numPr>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2F613A">
              <w:rPr>
                <w:rFonts w:asciiTheme="minorHAnsi" w:hAnsiTheme="minorHAnsi"/>
                <w:color w:val="000000"/>
                <w:sz w:val="22"/>
                <w:szCs w:val="22"/>
              </w:rPr>
              <w:t xml:space="preserve">Department of </w:t>
            </w:r>
            <w:r>
              <w:rPr>
                <w:rFonts w:asciiTheme="minorHAnsi" w:hAnsiTheme="minorHAnsi"/>
                <w:color w:val="000000"/>
                <w:sz w:val="22"/>
                <w:szCs w:val="22"/>
              </w:rPr>
              <w:t xml:space="preserve">Climate Change, Energy, the Environment and </w:t>
            </w:r>
            <w:r w:rsidRPr="0024437A">
              <w:rPr>
                <w:rFonts w:asciiTheme="minorHAnsi" w:hAnsiTheme="minorHAnsi"/>
                <w:color w:val="000000"/>
                <w:sz w:val="22"/>
                <w:szCs w:val="22"/>
              </w:rPr>
              <w:t>Water</w:t>
            </w:r>
            <w:r>
              <w:rPr>
                <w:rFonts w:asciiTheme="minorHAnsi" w:hAnsiTheme="minorHAnsi"/>
                <w:color w:val="000000"/>
                <w:sz w:val="22"/>
                <w:szCs w:val="22"/>
              </w:rPr>
              <w:t xml:space="preserve"> </w:t>
            </w:r>
          </w:p>
        </w:tc>
      </w:tr>
      <w:tr w:rsidR="001C3815" w14:paraId="33D06DB4" w14:textId="77777777" w:rsidTr="005E21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hideMark/>
          </w:tcPr>
          <w:p w14:paraId="36BB7B36" w14:textId="77777777" w:rsidR="001C3815" w:rsidRPr="002F613A" w:rsidRDefault="001C3815" w:rsidP="001C3815">
            <w:pPr>
              <w:pStyle w:val="Body"/>
              <w:numPr>
                <w:ilvl w:val="0"/>
                <w:numId w:val="21"/>
              </w:numPr>
              <w:ind w:left="0"/>
              <w:rPr>
                <w:rFonts w:asciiTheme="minorHAnsi" w:hAnsiTheme="minorHAnsi" w:cs="Times New Roman"/>
                <w:b w:val="0"/>
                <w:color w:val="000000" w:themeColor="text1"/>
                <w:sz w:val="22"/>
                <w:szCs w:val="22"/>
              </w:rPr>
            </w:pPr>
            <w:r w:rsidRPr="002F613A">
              <w:rPr>
                <w:rFonts w:asciiTheme="minorHAnsi" w:hAnsiTheme="minorHAnsi"/>
                <w:color w:val="000000"/>
                <w:sz w:val="22"/>
                <w:szCs w:val="22"/>
              </w:rPr>
              <w:t>EO</w:t>
            </w:r>
          </w:p>
        </w:tc>
        <w:tc>
          <w:tcPr>
            <w:tcW w:w="3857" w:type="pct"/>
            <w:hideMark/>
          </w:tcPr>
          <w:p w14:paraId="51729524" w14:textId="77777777" w:rsidR="001C3815" w:rsidRPr="002F613A" w:rsidRDefault="001C3815" w:rsidP="001C3815">
            <w:pPr>
              <w:pStyle w:val="Body"/>
              <w:numPr>
                <w:ilvl w:val="0"/>
                <w:numId w:val="21"/>
              </w:numPr>
              <w:ind w:left="0"/>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themeColor="text1"/>
                <w:sz w:val="22"/>
                <w:szCs w:val="22"/>
              </w:rPr>
            </w:pPr>
            <w:r w:rsidRPr="002F613A">
              <w:rPr>
                <w:rFonts w:asciiTheme="minorHAnsi" w:hAnsiTheme="minorHAnsi"/>
                <w:color w:val="000000"/>
                <w:sz w:val="22"/>
                <w:szCs w:val="22"/>
              </w:rPr>
              <w:t xml:space="preserve">Executive officer </w:t>
            </w:r>
          </w:p>
        </w:tc>
      </w:tr>
      <w:tr w:rsidR="001C3815" w14:paraId="15B95880" w14:textId="77777777" w:rsidTr="005E2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tcPr>
          <w:p w14:paraId="5E0D743F" w14:textId="77777777" w:rsidR="001C3815" w:rsidRPr="002F613A" w:rsidRDefault="001C3815" w:rsidP="001C3815">
            <w:pPr>
              <w:pStyle w:val="Body"/>
              <w:numPr>
                <w:ilvl w:val="0"/>
                <w:numId w:val="21"/>
              </w:numPr>
              <w:ind w:left="0"/>
              <w:rPr>
                <w:rFonts w:asciiTheme="minorHAnsi" w:hAnsiTheme="minorHAnsi"/>
                <w:color w:val="000000"/>
                <w:sz w:val="22"/>
                <w:szCs w:val="22"/>
              </w:rPr>
            </w:pPr>
            <w:r>
              <w:rPr>
                <w:rFonts w:asciiTheme="minorHAnsi" w:hAnsiTheme="minorHAnsi"/>
                <w:color w:val="000000"/>
                <w:sz w:val="22"/>
                <w:szCs w:val="22"/>
              </w:rPr>
              <w:t>GJ</w:t>
            </w:r>
          </w:p>
        </w:tc>
        <w:tc>
          <w:tcPr>
            <w:tcW w:w="3857" w:type="pct"/>
          </w:tcPr>
          <w:p w14:paraId="45317744" w14:textId="77777777" w:rsidR="001C3815" w:rsidRPr="002F613A" w:rsidRDefault="001C3815" w:rsidP="001C3815">
            <w:pPr>
              <w:pStyle w:val="Body"/>
              <w:numPr>
                <w:ilvl w:val="0"/>
                <w:numId w:val="21"/>
              </w:numPr>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G</w:t>
            </w:r>
            <w:r w:rsidRPr="00CD726F">
              <w:rPr>
                <w:rFonts w:asciiTheme="minorHAnsi" w:hAnsiTheme="minorHAnsi"/>
                <w:color w:val="000000"/>
                <w:sz w:val="22"/>
                <w:szCs w:val="22"/>
              </w:rPr>
              <w:t>igajoule</w:t>
            </w:r>
          </w:p>
        </w:tc>
      </w:tr>
      <w:tr w:rsidR="00581534" w14:paraId="2F24FE41" w14:textId="77777777" w:rsidTr="005E21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tcPr>
          <w:p w14:paraId="6A2BA297" w14:textId="6386CD1B" w:rsidR="00581534" w:rsidRDefault="009B7A58" w:rsidP="001C3815">
            <w:pPr>
              <w:pStyle w:val="Body"/>
              <w:numPr>
                <w:ilvl w:val="0"/>
                <w:numId w:val="21"/>
              </w:numPr>
              <w:ind w:left="0"/>
              <w:rPr>
                <w:rFonts w:asciiTheme="minorHAnsi" w:hAnsiTheme="minorHAnsi"/>
                <w:color w:val="000000"/>
                <w:sz w:val="22"/>
                <w:szCs w:val="22"/>
              </w:rPr>
            </w:pPr>
            <w:r>
              <w:rPr>
                <w:rFonts w:asciiTheme="minorHAnsi" w:hAnsiTheme="minorHAnsi"/>
                <w:color w:val="000000"/>
                <w:sz w:val="22"/>
                <w:szCs w:val="22"/>
              </w:rPr>
              <w:t>Gross vehicle mass</w:t>
            </w:r>
          </w:p>
        </w:tc>
        <w:tc>
          <w:tcPr>
            <w:tcW w:w="3857" w:type="pct"/>
          </w:tcPr>
          <w:p w14:paraId="2709699A" w14:textId="3AC4C357" w:rsidR="00581534" w:rsidRDefault="008D5725" w:rsidP="001C3815">
            <w:pPr>
              <w:pStyle w:val="Body"/>
              <w:numPr>
                <w:ilvl w:val="0"/>
                <w:numId w:val="21"/>
              </w:numPr>
              <w:ind w:left="0"/>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 xml:space="preserve">Gross vehicle </w:t>
            </w:r>
            <w:r w:rsidR="00633B22">
              <w:rPr>
                <w:rFonts w:asciiTheme="minorHAnsi" w:hAnsiTheme="minorHAnsi"/>
                <w:color w:val="000000"/>
                <w:sz w:val="22"/>
                <w:szCs w:val="22"/>
              </w:rPr>
              <w:t>mass means the maximum loaded mass of a vehicle as specified by the manufacturer.</w:t>
            </w:r>
          </w:p>
        </w:tc>
      </w:tr>
      <w:tr w:rsidR="00016F53" w14:paraId="3AB8B540" w14:textId="77777777" w:rsidTr="005E2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tcPr>
          <w:p w14:paraId="0F87EABF" w14:textId="5FAB3E8F" w:rsidR="00016F53" w:rsidRDefault="00016F53" w:rsidP="001C3815">
            <w:pPr>
              <w:pStyle w:val="Body"/>
              <w:numPr>
                <w:ilvl w:val="0"/>
                <w:numId w:val="21"/>
              </w:numPr>
              <w:ind w:left="0"/>
              <w:rPr>
                <w:rFonts w:asciiTheme="minorHAnsi" w:hAnsiTheme="minorHAnsi"/>
                <w:color w:val="000000"/>
                <w:sz w:val="22"/>
                <w:szCs w:val="22"/>
              </w:rPr>
            </w:pPr>
            <w:r>
              <w:rPr>
                <w:rFonts w:asciiTheme="minorHAnsi" w:hAnsiTheme="minorHAnsi"/>
                <w:color w:val="000000"/>
                <w:sz w:val="22"/>
                <w:szCs w:val="22"/>
              </w:rPr>
              <w:t>Heavy duty vehicle</w:t>
            </w:r>
          </w:p>
        </w:tc>
        <w:tc>
          <w:tcPr>
            <w:tcW w:w="3857" w:type="pct"/>
          </w:tcPr>
          <w:p w14:paraId="6C45541C" w14:textId="3766A91F" w:rsidR="00016F53" w:rsidRDefault="00016F53" w:rsidP="001C3815">
            <w:pPr>
              <w:pStyle w:val="Body"/>
              <w:numPr>
                <w:ilvl w:val="0"/>
                <w:numId w:val="21"/>
              </w:numPr>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Heavy duty vehicle means a vehicle with a gross vehicle mass of more than 4.5 tonnes</w:t>
            </w:r>
            <w:r w:rsidR="00D36B1B">
              <w:rPr>
                <w:rFonts w:asciiTheme="minorHAnsi" w:hAnsiTheme="minorHAnsi"/>
                <w:color w:val="000000"/>
                <w:sz w:val="22"/>
                <w:szCs w:val="22"/>
              </w:rPr>
              <w:t>.</w:t>
            </w:r>
          </w:p>
        </w:tc>
      </w:tr>
      <w:tr w:rsidR="00E561D9" w14:paraId="7D9CD2BB" w14:textId="77777777" w:rsidTr="005E21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tcPr>
          <w:p w14:paraId="5F845C0D" w14:textId="30E94D78" w:rsidR="00E561D9" w:rsidRDefault="0059657E" w:rsidP="001C3815">
            <w:pPr>
              <w:pStyle w:val="Body"/>
              <w:numPr>
                <w:ilvl w:val="0"/>
                <w:numId w:val="21"/>
              </w:numPr>
              <w:ind w:left="0"/>
              <w:rPr>
                <w:rFonts w:asciiTheme="minorHAnsi" w:hAnsiTheme="minorHAnsi"/>
                <w:color w:val="000000"/>
                <w:sz w:val="22"/>
                <w:szCs w:val="22"/>
              </w:rPr>
            </w:pPr>
            <w:r>
              <w:rPr>
                <w:rFonts w:asciiTheme="minorHAnsi" w:hAnsiTheme="minorHAnsi"/>
                <w:color w:val="000000"/>
                <w:sz w:val="22"/>
                <w:szCs w:val="22"/>
              </w:rPr>
              <w:t>Light duty vehicle</w:t>
            </w:r>
          </w:p>
        </w:tc>
        <w:tc>
          <w:tcPr>
            <w:tcW w:w="3857" w:type="pct"/>
          </w:tcPr>
          <w:p w14:paraId="73CC3F14" w14:textId="50B539D9" w:rsidR="00E561D9" w:rsidRDefault="00812F34" w:rsidP="001C3815">
            <w:pPr>
              <w:pStyle w:val="Body"/>
              <w:numPr>
                <w:ilvl w:val="0"/>
                <w:numId w:val="21"/>
              </w:numPr>
              <w:ind w:left="0"/>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 xml:space="preserve">Light duty vehicle means a vehicle other than a </w:t>
            </w:r>
            <w:r w:rsidR="00016F53">
              <w:rPr>
                <w:rFonts w:asciiTheme="minorHAnsi" w:hAnsiTheme="minorHAnsi"/>
                <w:color w:val="000000"/>
                <w:sz w:val="22"/>
                <w:szCs w:val="22"/>
              </w:rPr>
              <w:t>heavy duty vehicle.</w:t>
            </w:r>
          </w:p>
        </w:tc>
      </w:tr>
      <w:tr w:rsidR="001C3815" w14:paraId="191C729F" w14:textId="77777777" w:rsidTr="005E2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hideMark/>
          </w:tcPr>
          <w:p w14:paraId="0284F674" w14:textId="77777777" w:rsidR="001C3815" w:rsidRPr="002F613A" w:rsidRDefault="001C3815" w:rsidP="001C3815">
            <w:pPr>
              <w:pStyle w:val="Body"/>
              <w:numPr>
                <w:ilvl w:val="0"/>
                <w:numId w:val="21"/>
              </w:numPr>
              <w:ind w:left="0"/>
              <w:rPr>
                <w:rFonts w:asciiTheme="minorHAnsi" w:hAnsiTheme="minorHAnsi" w:cs="Times New Roman"/>
                <w:b w:val="0"/>
                <w:color w:val="000000" w:themeColor="text1"/>
                <w:sz w:val="22"/>
                <w:szCs w:val="22"/>
              </w:rPr>
            </w:pPr>
            <w:r w:rsidRPr="002F613A">
              <w:rPr>
                <w:rFonts w:asciiTheme="minorHAnsi" w:hAnsiTheme="minorHAnsi"/>
                <w:color w:val="000000"/>
                <w:sz w:val="22"/>
                <w:szCs w:val="22"/>
              </w:rPr>
              <w:t>NA</w:t>
            </w:r>
          </w:p>
        </w:tc>
        <w:tc>
          <w:tcPr>
            <w:tcW w:w="3857" w:type="pct"/>
            <w:hideMark/>
          </w:tcPr>
          <w:p w14:paraId="41EF6C59" w14:textId="77777777" w:rsidR="001C3815" w:rsidRPr="002F613A" w:rsidRDefault="001C3815" w:rsidP="001C3815">
            <w:pPr>
              <w:pStyle w:val="Body"/>
              <w:numPr>
                <w:ilvl w:val="0"/>
                <w:numId w:val="21"/>
              </w:numPr>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2F613A">
              <w:rPr>
                <w:rFonts w:asciiTheme="minorHAnsi" w:hAnsiTheme="minorHAnsi"/>
                <w:color w:val="000000"/>
                <w:sz w:val="22"/>
                <w:szCs w:val="22"/>
              </w:rPr>
              <w:t>Not available, referring to an emission calculation method</w:t>
            </w:r>
          </w:p>
        </w:tc>
      </w:tr>
      <w:tr w:rsidR="001C3815" w14:paraId="1A95A67C" w14:textId="77777777" w:rsidTr="005E21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tcPr>
          <w:p w14:paraId="7365F189" w14:textId="77777777" w:rsidR="001C3815" w:rsidRPr="002F613A" w:rsidRDefault="001C3815" w:rsidP="001C3815">
            <w:pPr>
              <w:pStyle w:val="Body"/>
              <w:numPr>
                <w:ilvl w:val="0"/>
                <w:numId w:val="21"/>
              </w:numPr>
              <w:ind w:left="0"/>
              <w:rPr>
                <w:rFonts w:asciiTheme="minorHAnsi" w:hAnsiTheme="minorHAnsi"/>
                <w:b w:val="0"/>
                <w:color w:val="000000"/>
                <w:sz w:val="22"/>
                <w:szCs w:val="22"/>
              </w:rPr>
            </w:pPr>
            <w:r w:rsidRPr="002F613A">
              <w:rPr>
                <w:rFonts w:asciiTheme="minorHAnsi" w:hAnsiTheme="minorHAnsi"/>
                <w:color w:val="000000"/>
                <w:sz w:val="22"/>
                <w:szCs w:val="22"/>
              </w:rPr>
              <w:t>N</w:t>
            </w:r>
            <w:r w:rsidRPr="002F613A">
              <w:rPr>
                <w:rFonts w:asciiTheme="minorHAnsi" w:hAnsiTheme="minorHAnsi"/>
                <w:color w:val="000000"/>
                <w:sz w:val="22"/>
                <w:szCs w:val="22"/>
                <w:vertAlign w:val="subscript"/>
              </w:rPr>
              <w:t>2</w:t>
            </w:r>
            <w:r w:rsidRPr="002F613A">
              <w:rPr>
                <w:rFonts w:asciiTheme="minorHAnsi" w:hAnsiTheme="minorHAnsi"/>
                <w:color w:val="000000"/>
                <w:sz w:val="22"/>
                <w:szCs w:val="22"/>
              </w:rPr>
              <w:t>O</w:t>
            </w:r>
          </w:p>
        </w:tc>
        <w:tc>
          <w:tcPr>
            <w:tcW w:w="3857" w:type="pct"/>
          </w:tcPr>
          <w:p w14:paraId="28F00251" w14:textId="77777777" w:rsidR="001C3815" w:rsidRPr="002F613A" w:rsidRDefault="001C3815" w:rsidP="001C3815">
            <w:pPr>
              <w:pStyle w:val="Body"/>
              <w:numPr>
                <w:ilvl w:val="0"/>
                <w:numId w:val="21"/>
              </w:numPr>
              <w:ind w:left="0"/>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2"/>
                <w:szCs w:val="22"/>
              </w:rPr>
            </w:pPr>
            <w:r w:rsidRPr="002F613A">
              <w:rPr>
                <w:rFonts w:asciiTheme="minorHAnsi" w:hAnsiTheme="minorHAnsi"/>
                <w:color w:val="000000"/>
                <w:sz w:val="22"/>
                <w:szCs w:val="22"/>
              </w:rPr>
              <w:t>Nitrous oxide</w:t>
            </w:r>
          </w:p>
        </w:tc>
      </w:tr>
      <w:tr w:rsidR="001C3815" w14:paraId="2C8CC296" w14:textId="77777777" w:rsidTr="005E2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hideMark/>
          </w:tcPr>
          <w:p w14:paraId="7A209A57" w14:textId="77777777" w:rsidR="001C3815" w:rsidRPr="002F613A" w:rsidRDefault="001C3815" w:rsidP="001C3815">
            <w:pPr>
              <w:pStyle w:val="Body"/>
              <w:numPr>
                <w:ilvl w:val="0"/>
                <w:numId w:val="21"/>
              </w:numPr>
              <w:ind w:left="0"/>
              <w:rPr>
                <w:rFonts w:asciiTheme="minorHAnsi" w:hAnsiTheme="minorHAnsi" w:cs="Times New Roman"/>
                <w:b w:val="0"/>
                <w:color w:val="000000" w:themeColor="text1"/>
                <w:sz w:val="22"/>
                <w:szCs w:val="22"/>
              </w:rPr>
            </w:pPr>
            <w:r w:rsidRPr="002F613A">
              <w:rPr>
                <w:rFonts w:asciiTheme="minorHAnsi" w:hAnsiTheme="minorHAnsi"/>
                <w:color w:val="000000"/>
                <w:sz w:val="22"/>
                <w:szCs w:val="22"/>
              </w:rPr>
              <w:t>NGER</w:t>
            </w:r>
          </w:p>
        </w:tc>
        <w:tc>
          <w:tcPr>
            <w:tcW w:w="3857" w:type="pct"/>
            <w:hideMark/>
          </w:tcPr>
          <w:p w14:paraId="4FCDFDC1" w14:textId="77777777" w:rsidR="001C3815" w:rsidRPr="002F613A" w:rsidRDefault="001C3815" w:rsidP="001C3815">
            <w:pPr>
              <w:pStyle w:val="Body"/>
              <w:numPr>
                <w:ilvl w:val="0"/>
                <w:numId w:val="21"/>
              </w:numPr>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2F613A">
              <w:rPr>
                <w:rFonts w:asciiTheme="minorHAnsi" w:hAnsiTheme="minorHAnsi"/>
                <w:color w:val="000000"/>
                <w:sz w:val="22"/>
                <w:szCs w:val="22"/>
              </w:rPr>
              <w:t>National Greenhouse and Energy Reporting</w:t>
            </w:r>
          </w:p>
        </w:tc>
      </w:tr>
      <w:tr w:rsidR="001C3815" w14:paraId="20D15B7E" w14:textId="77777777" w:rsidTr="005E21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hideMark/>
          </w:tcPr>
          <w:p w14:paraId="2F11B66E" w14:textId="77777777" w:rsidR="001C3815" w:rsidRPr="002F613A" w:rsidRDefault="001C3815" w:rsidP="001C3815">
            <w:pPr>
              <w:pStyle w:val="Body"/>
              <w:numPr>
                <w:ilvl w:val="0"/>
                <w:numId w:val="21"/>
              </w:numPr>
              <w:ind w:left="0"/>
              <w:rPr>
                <w:rFonts w:asciiTheme="minorHAnsi" w:hAnsiTheme="minorHAnsi" w:cs="Times New Roman"/>
                <w:b w:val="0"/>
                <w:color w:val="000000" w:themeColor="text1"/>
                <w:sz w:val="22"/>
                <w:szCs w:val="22"/>
              </w:rPr>
            </w:pPr>
            <w:r w:rsidRPr="002F613A">
              <w:rPr>
                <w:rFonts w:asciiTheme="minorHAnsi" w:hAnsiTheme="minorHAnsi"/>
                <w:color w:val="000000"/>
                <w:sz w:val="22"/>
                <w:szCs w:val="22"/>
              </w:rPr>
              <w:t>NGER Act</w:t>
            </w:r>
          </w:p>
        </w:tc>
        <w:tc>
          <w:tcPr>
            <w:tcW w:w="3857" w:type="pct"/>
            <w:hideMark/>
          </w:tcPr>
          <w:p w14:paraId="55906DCE" w14:textId="77777777" w:rsidR="001C3815" w:rsidRPr="002F613A" w:rsidRDefault="001C3815" w:rsidP="001C3815">
            <w:pPr>
              <w:pStyle w:val="Body"/>
              <w:numPr>
                <w:ilvl w:val="0"/>
                <w:numId w:val="21"/>
              </w:numPr>
              <w:ind w:left="0"/>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themeColor="text1"/>
                <w:sz w:val="22"/>
                <w:szCs w:val="22"/>
              </w:rPr>
            </w:pPr>
            <w:r w:rsidRPr="002F613A">
              <w:rPr>
                <w:rFonts w:asciiTheme="minorHAnsi" w:hAnsiTheme="minorHAnsi"/>
                <w:i/>
                <w:color w:val="000000"/>
                <w:sz w:val="22"/>
                <w:szCs w:val="22"/>
              </w:rPr>
              <w:t>National Greenhouse and Energy Reporting Act 2007</w:t>
            </w:r>
          </w:p>
        </w:tc>
      </w:tr>
      <w:tr w:rsidR="001C3815" w14:paraId="1FB7068B" w14:textId="77777777" w:rsidTr="005E2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tcPr>
          <w:p w14:paraId="1AAFBA95" w14:textId="77777777" w:rsidR="001C3815" w:rsidRPr="002F613A" w:rsidRDefault="001C3815" w:rsidP="001C3815">
            <w:pPr>
              <w:pStyle w:val="Body"/>
              <w:numPr>
                <w:ilvl w:val="0"/>
                <w:numId w:val="21"/>
              </w:numPr>
              <w:ind w:left="0"/>
              <w:rPr>
                <w:rFonts w:asciiTheme="minorHAnsi" w:hAnsiTheme="minorHAnsi"/>
                <w:b w:val="0"/>
                <w:color w:val="000000"/>
                <w:sz w:val="22"/>
                <w:szCs w:val="22"/>
              </w:rPr>
            </w:pPr>
            <w:r w:rsidRPr="002F613A">
              <w:rPr>
                <w:rFonts w:asciiTheme="minorHAnsi" w:hAnsiTheme="minorHAnsi"/>
                <w:color w:val="000000"/>
                <w:sz w:val="22"/>
                <w:szCs w:val="22"/>
              </w:rPr>
              <w:t>NGER Legislation</w:t>
            </w:r>
          </w:p>
        </w:tc>
        <w:tc>
          <w:tcPr>
            <w:tcW w:w="3857" w:type="pct"/>
          </w:tcPr>
          <w:p w14:paraId="62959662" w14:textId="77777777" w:rsidR="001C3815" w:rsidRPr="001F278E" w:rsidRDefault="001C3815" w:rsidP="001C3815">
            <w:pPr>
              <w:pStyle w:val="Body"/>
              <w:numPr>
                <w:ilvl w:val="0"/>
                <w:numId w:val="21"/>
              </w:numPr>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1F278E">
              <w:rPr>
                <w:rFonts w:asciiTheme="minorHAnsi" w:hAnsiTheme="minorHAnsi"/>
                <w:color w:val="000000"/>
                <w:sz w:val="22"/>
                <w:szCs w:val="22"/>
              </w:rPr>
              <w:t>The NGER Act, the NGER Regulations and the NGER Measurement Determination</w:t>
            </w:r>
          </w:p>
        </w:tc>
      </w:tr>
      <w:tr w:rsidR="001C3815" w14:paraId="391FE660" w14:textId="77777777" w:rsidTr="005E21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hideMark/>
          </w:tcPr>
          <w:p w14:paraId="4B82CD46" w14:textId="77777777" w:rsidR="001C3815" w:rsidRPr="002F613A" w:rsidRDefault="001C3815" w:rsidP="001C3815">
            <w:pPr>
              <w:pStyle w:val="Body"/>
              <w:numPr>
                <w:ilvl w:val="0"/>
                <w:numId w:val="21"/>
              </w:numPr>
              <w:ind w:left="0"/>
              <w:rPr>
                <w:rFonts w:asciiTheme="minorHAnsi" w:hAnsiTheme="minorHAnsi" w:cs="Times New Roman"/>
                <w:b w:val="0"/>
                <w:color w:val="000000" w:themeColor="text1"/>
                <w:sz w:val="22"/>
                <w:szCs w:val="22"/>
              </w:rPr>
            </w:pPr>
            <w:r w:rsidRPr="002F613A">
              <w:rPr>
                <w:rFonts w:asciiTheme="minorHAnsi" w:hAnsiTheme="minorHAnsi"/>
                <w:color w:val="000000"/>
                <w:sz w:val="22"/>
                <w:szCs w:val="22"/>
              </w:rPr>
              <w:t>NGER Measurement Determination</w:t>
            </w:r>
          </w:p>
        </w:tc>
        <w:tc>
          <w:tcPr>
            <w:tcW w:w="3857" w:type="pct"/>
            <w:hideMark/>
          </w:tcPr>
          <w:p w14:paraId="7409DAE8" w14:textId="77777777" w:rsidR="001C3815" w:rsidRPr="00C07131" w:rsidRDefault="001C3815" w:rsidP="001C3815">
            <w:pPr>
              <w:pStyle w:val="Body"/>
              <w:numPr>
                <w:ilvl w:val="0"/>
                <w:numId w:val="21"/>
              </w:numPr>
              <w:ind w:left="0"/>
              <w:cnfStyle w:val="000000010000" w:firstRow="0" w:lastRow="0" w:firstColumn="0" w:lastColumn="0" w:oddVBand="0" w:evenVBand="0" w:oddHBand="0" w:evenHBand="1" w:firstRowFirstColumn="0" w:firstRowLastColumn="0" w:lastRowFirstColumn="0" w:lastRowLastColumn="0"/>
              <w:rPr>
                <w:rFonts w:asciiTheme="minorHAnsi" w:hAnsiTheme="minorHAnsi"/>
                <w:iCs/>
                <w:color w:val="000000" w:themeColor="text1"/>
                <w:sz w:val="22"/>
                <w:szCs w:val="22"/>
              </w:rPr>
            </w:pPr>
            <w:r w:rsidRPr="00F149D6">
              <w:rPr>
                <w:rFonts w:asciiTheme="minorHAnsi" w:hAnsiTheme="minorHAnsi"/>
                <w:iCs/>
                <w:color w:val="000000"/>
                <w:sz w:val="22"/>
                <w:szCs w:val="22"/>
              </w:rPr>
              <w:t>National Greenhouse and Energy Reporting (Measurement) Determination 2008</w:t>
            </w:r>
          </w:p>
        </w:tc>
      </w:tr>
      <w:tr w:rsidR="001C3815" w14:paraId="1F7A906E" w14:textId="77777777" w:rsidTr="005E2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hideMark/>
          </w:tcPr>
          <w:p w14:paraId="17D5C087" w14:textId="77777777" w:rsidR="001C3815" w:rsidRPr="002F613A" w:rsidRDefault="001C3815" w:rsidP="001C3815">
            <w:pPr>
              <w:pStyle w:val="Body"/>
              <w:numPr>
                <w:ilvl w:val="0"/>
                <w:numId w:val="21"/>
              </w:numPr>
              <w:ind w:left="0"/>
              <w:rPr>
                <w:rFonts w:asciiTheme="minorHAnsi" w:hAnsiTheme="minorHAnsi" w:cs="Times New Roman"/>
                <w:b w:val="0"/>
                <w:color w:val="000000" w:themeColor="text1"/>
                <w:sz w:val="22"/>
                <w:szCs w:val="22"/>
              </w:rPr>
            </w:pPr>
            <w:r w:rsidRPr="002F613A">
              <w:rPr>
                <w:rFonts w:asciiTheme="minorHAnsi" w:hAnsiTheme="minorHAnsi"/>
                <w:color w:val="000000"/>
                <w:sz w:val="22"/>
                <w:szCs w:val="22"/>
              </w:rPr>
              <w:t>NGER Regulations</w:t>
            </w:r>
          </w:p>
        </w:tc>
        <w:tc>
          <w:tcPr>
            <w:tcW w:w="3857" w:type="pct"/>
            <w:hideMark/>
          </w:tcPr>
          <w:p w14:paraId="7E47B1BD" w14:textId="77777777" w:rsidR="001C3815" w:rsidRPr="00C07131" w:rsidRDefault="001C3815" w:rsidP="001C3815">
            <w:pPr>
              <w:pStyle w:val="Body"/>
              <w:numPr>
                <w:ilvl w:val="0"/>
                <w:numId w:val="21"/>
              </w:numPr>
              <w:ind w:left="0"/>
              <w:cnfStyle w:val="000000100000" w:firstRow="0" w:lastRow="0" w:firstColumn="0" w:lastColumn="0" w:oddVBand="0" w:evenVBand="0" w:oddHBand="1" w:evenHBand="0" w:firstRowFirstColumn="0" w:firstRowLastColumn="0" w:lastRowFirstColumn="0" w:lastRowLastColumn="0"/>
              <w:rPr>
                <w:rFonts w:asciiTheme="minorHAnsi" w:hAnsiTheme="minorHAnsi"/>
                <w:iCs/>
                <w:color w:val="000000" w:themeColor="text1"/>
                <w:sz w:val="22"/>
                <w:szCs w:val="22"/>
              </w:rPr>
            </w:pPr>
            <w:r w:rsidRPr="00F149D6">
              <w:rPr>
                <w:rFonts w:asciiTheme="minorHAnsi" w:hAnsiTheme="minorHAnsi"/>
                <w:iCs/>
                <w:color w:val="000000"/>
                <w:sz w:val="22"/>
                <w:szCs w:val="22"/>
              </w:rPr>
              <w:t>National Greenhouse and Energy Reporting Regulations 2008</w:t>
            </w:r>
          </w:p>
        </w:tc>
      </w:tr>
      <w:tr w:rsidR="001C3815" w14:paraId="267BE30A" w14:textId="77777777" w:rsidTr="005E21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hideMark/>
          </w:tcPr>
          <w:p w14:paraId="3C038DAC" w14:textId="77777777" w:rsidR="001C3815" w:rsidRPr="002F613A" w:rsidRDefault="001C3815" w:rsidP="001C3815">
            <w:pPr>
              <w:pStyle w:val="Body"/>
              <w:numPr>
                <w:ilvl w:val="0"/>
                <w:numId w:val="21"/>
              </w:numPr>
              <w:ind w:left="0"/>
              <w:rPr>
                <w:rFonts w:asciiTheme="minorHAnsi" w:hAnsiTheme="minorHAnsi" w:cs="Times New Roman"/>
                <w:b w:val="0"/>
                <w:color w:val="000000" w:themeColor="text1"/>
                <w:sz w:val="22"/>
                <w:szCs w:val="22"/>
              </w:rPr>
            </w:pPr>
            <w:r w:rsidRPr="002F613A">
              <w:rPr>
                <w:rFonts w:asciiTheme="minorHAnsi" w:hAnsiTheme="minorHAnsi"/>
                <w:color w:val="000000"/>
                <w:sz w:val="22"/>
                <w:szCs w:val="22"/>
              </w:rPr>
              <w:t>NO</w:t>
            </w:r>
          </w:p>
        </w:tc>
        <w:tc>
          <w:tcPr>
            <w:tcW w:w="3857" w:type="pct"/>
            <w:hideMark/>
          </w:tcPr>
          <w:p w14:paraId="6F5EE4C9" w14:textId="77777777" w:rsidR="001C3815" w:rsidRPr="002F613A" w:rsidRDefault="001C3815" w:rsidP="001C3815">
            <w:pPr>
              <w:pStyle w:val="Body"/>
              <w:numPr>
                <w:ilvl w:val="0"/>
                <w:numId w:val="21"/>
              </w:numPr>
              <w:ind w:left="0"/>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themeColor="text1"/>
                <w:sz w:val="22"/>
                <w:szCs w:val="22"/>
              </w:rPr>
            </w:pPr>
            <w:r w:rsidRPr="002F613A">
              <w:rPr>
                <w:rFonts w:asciiTheme="minorHAnsi" w:hAnsiTheme="minorHAnsi"/>
                <w:color w:val="000000"/>
                <w:sz w:val="22"/>
                <w:szCs w:val="22"/>
              </w:rPr>
              <w:t>Not occurring, referring to the emission of a greenhouse gas</w:t>
            </w:r>
          </w:p>
        </w:tc>
      </w:tr>
      <w:tr w:rsidR="0033229F" w14:paraId="000AB59A" w14:textId="77777777" w:rsidTr="005E2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tcPr>
          <w:p w14:paraId="4C3523F4" w14:textId="4F8BE365" w:rsidR="0033229F" w:rsidRPr="002F613A" w:rsidRDefault="0033229F" w:rsidP="0033229F">
            <w:pPr>
              <w:pStyle w:val="Body"/>
              <w:numPr>
                <w:ilvl w:val="0"/>
                <w:numId w:val="21"/>
              </w:numPr>
              <w:ind w:left="0"/>
              <w:rPr>
                <w:rFonts w:asciiTheme="minorHAnsi" w:hAnsiTheme="minorHAnsi"/>
                <w:color w:val="000000"/>
                <w:sz w:val="22"/>
                <w:szCs w:val="22"/>
              </w:rPr>
            </w:pPr>
            <w:r>
              <w:rPr>
                <w:rFonts w:asciiTheme="minorHAnsi" w:hAnsiTheme="minorHAnsi"/>
                <w:color w:val="000000"/>
                <w:sz w:val="22"/>
                <w:szCs w:val="22"/>
              </w:rPr>
              <w:t>PEM</w:t>
            </w:r>
          </w:p>
        </w:tc>
        <w:tc>
          <w:tcPr>
            <w:tcW w:w="3857" w:type="pct"/>
          </w:tcPr>
          <w:p w14:paraId="2DB125FA" w14:textId="2AF080FA" w:rsidR="0033229F" w:rsidRPr="002F613A" w:rsidRDefault="0033229F" w:rsidP="0033229F">
            <w:pPr>
              <w:pStyle w:val="Body"/>
              <w:numPr>
                <w:ilvl w:val="0"/>
                <w:numId w:val="21"/>
              </w:numPr>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Periodic emissions monitoring</w:t>
            </w:r>
          </w:p>
        </w:tc>
      </w:tr>
      <w:tr w:rsidR="00493215" w14:paraId="71B32DBF" w14:textId="77777777" w:rsidTr="005E21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tcPr>
          <w:p w14:paraId="2F567472" w14:textId="1CC0BB4C" w:rsidR="00493215" w:rsidRDefault="00493215" w:rsidP="00493215">
            <w:pPr>
              <w:pStyle w:val="Body"/>
              <w:numPr>
                <w:ilvl w:val="0"/>
                <w:numId w:val="21"/>
              </w:numPr>
              <w:ind w:left="0"/>
              <w:rPr>
                <w:rFonts w:asciiTheme="minorHAnsi" w:hAnsiTheme="minorHAnsi"/>
                <w:color w:val="000000"/>
                <w:sz w:val="22"/>
                <w:szCs w:val="22"/>
              </w:rPr>
            </w:pPr>
            <w:r>
              <w:rPr>
                <w:rFonts w:asciiTheme="minorHAnsi" w:hAnsiTheme="minorHAnsi"/>
                <w:color w:val="000000"/>
                <w:sz w:val="22"/>
                <w:szCs w:val="22"/>
              </w:rPr>
              <w:lastRenderedPageBreak/>
              <w:t>Safeguard Mechanism</w:t>
            </w:r>
          </w:p>
        </w:tc>
        <w:tc>
          <w:tcPr>
            <w:tcW w:w="3857" w:type="pct"/>
          </w:tcPr>
          <w:p w14:paraId="22BE1833" w14:textId="2F5407F5" w:rsidR="00493215" w:rsidRDefault="00493215" w:rsidP="00493215">
            <w:pPr>
              <w:pStyle w:val="Body"/>
              <w:numPr>
                <w:ilvl w:val="0"/>
                <w:numId w:val="21"/>
              </w:numPr>
              <w:ind w:left="0"/>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 xml:space="preserve">The Australian Government’s mechanism to contribute to the achievement of Australia’s greenhouse gas emissions reduction targets. See </w:t>
            </w:r>
            <w:hyperlink r:id="rId22" w:tooltip="A link to the Safeguard Mechanism scheme page on the Clean Energy Regulator webpage" w:history="1">
              <w:r w:rsidRPr="00BF28DD">
                <w:rPr>
                  <w:rStyle w:val="Hyperlink"/>
                  <w:rFonts w:asciiTheme="minorHAnsi" w:hAnsiTheme="minorHAnsi"/>
                  <w:szCs w:val="22"/>
                </w:rPr>
                <w:t>the Safeguard Mechanism</w:t>
              </w:r>
            </w:hyperlink>
            <w:r>
              <w:rPr>
                <w:rFonts w:asciiTheme="minorHAnsi" w:hAnsiTheme="minorHAnsi"/>
                <w:color w:val="000000"/>
                <w:sz w:val="22"/>
                <w:szCs w:val="22"/>
              </w:rPr>
              <w:t xml:space="preserve"> for more information</w:t>
            </w:r>
            <w:r>
              <w:rPr>
                <w:rStyle w:val="FootnoteReference"/>
                <w:rFonts w:asciiTheme="minorHAnsi" w:hAnsiTheme="minorHAnsi"/>
                <w:color w:val="000000"/>
                <w:sz w:val="22"/>
                <w:szCs w:val="22"/>
              </w:rPr>
              <w:footnoteReference w:id="2"/>
            </w:r>
            <w:r>
              <w:rPr>
                <w:rFonts w:asciiTheme="minorHAnsi" w:hAnsiTheme="minorHAnsi"/>
                <w:color w:val="000000"/>
                <w:sz w:val="22"/>
                <w:szCs w:val="22"/>
              </w:rPr>
              <w:t>.</w:t>
            </w:r>
          </w:p>
        </w:tc>
      </w:tr>
      <w:tr w:rsidR="00493215" w14:paraId="49B793E3" w14:textId="77777777" w:rsidTr="005E2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tcPr>
          <w:p w14:paraId="1F91C51A" w14:textId="2FC9C4C3" w:rsidR="00493215" w:rsidRDefault="00493215" w:rsidP="00493215">
            <w:pPr>
              <w:pStyle w:val="Body"/>
              <w:numPr>
                <w:ilvl w:val="0"/>
                <w:numId w:val="21"/>
              </w:numPr>
              <w:ind w:left="0"/>
              <w:rPr>
                <w:rFonts w:asciiTheme="minorHAnsi" w:hAnsiTheme="minorHAnsi"/>
                <w:color w:val="000000"/>
                <w:sz w:val="22"/>
                <w:szCs w:val="22"/>
              </w:rPr>
            </w:pPr>
            <w:r>
              <w:rPr>
                <w:rFonts w:asciiTheme="minorHAnsi" w:hAnsiTheme="minorHAnsi"/>
                <w:color w:val="000000"/>
                <w:sz w:val="22"/>
                <w:szCs w:val="22"/>
              </w:rPr>
              <w:t>Scope 1 emissions</w:t>
            </w:r>
          </w:p>
        </w:tc>
        <w:tc>
          <w:tcPr>
            <w:tcW w:w="3857" w:type="pct"/>
          </w:tcPr>
          <w:p w14:paraId="36432A39" w14:textId="52FC3C92" w:rsidR="00493215" w:rsidRDefault="00493215" w:rsidP="00493215">
            <w:pPr>
              <w:pStyle w:val="Body"/>
              <w:numPr>
                <w:ilvl w:val="0"/>
                <w:numId w:val="21"/>
              </w:numPr>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Per 2.23 of the NGER Regulation</w:t>
            </w:r>
            <w:r w:rsidR="00163285">
              <w:rPr>
                <w:rFonts w:asciiTheme="minorHAnsi" w:hAnsiTheme="minorHAnsi"/>
                <w:color w:val="000000"/>
                <w:sz w:val="22"/>
                <w:szCs w:val="22"/>
              </w:rPr>
              <w:t>s</w:t>
            </w:r>
            <w:r>
              <w:rPr>
                <w:rFonts w:asciiTheme="minorHAnsi" w:hAnsiTheme="minorHAnsi"/>
                <w:color w:val="000000"/>
                <w:sz w:val="22"/>
                <w:szCs w:val="22"/>
              </w:rPr>
              <w:t>, means the release of greenhouse gas into the atmosphere as a direct result of an activity or series of activities (including ancillary activities) that constitute the facility</w:t>
            </w:r>
          </w:p>
        </w:tc>
      </w:tr>
      <w:tr w:rsidR="004D13A2" w14:paraId="1B2035EF" w14:textId="77777777" w:rsidTr="005E21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tcPr>
          <w:p w14:paraId="74C00173" w14:textId="2A5B4C3F" w:rsidR="004D13A2" w:rsidRDefault="004D13A2" w:rsidP="004D13A2">
            <w:pPr>
              <w:pStyle w:val="Body"/>
              <w:numPr>
                <w:ilvl w:val="0"/>
                <w:numId w:val="21"/>
              </w:numPr>
              <w:ind w:left="0"/>
              <w:rPr>
                <w:rFonts w:asciiTheme="minorHAnsi" w:hAnsiTheme="minorHAnsi"/>
                <w:color w:val="000000"/>
                <w:sz w:val="22"/>
                <w:szCs w:val="22"/>
              </w:rPr>
            </w:pPr>
            <w:r>
              <w:rPr>
                <w:rFonts w:asciiTheme="minorHAnsi" w:hAnsiTheme="minorHAnsi"/>
                <w:color w:val="000000"/>
                <w:sz w:val="22"/>
                <w:szCs w:val="22"/>
              </w:rPr>
              <w:t>SNG</w:t>
            </w:r>
          </w:p>
        </w:tc>
        <w:tc>
          <w:tcPr>
            <w:tcW w:w="3857" w:type="pct"/>
          </w:tcPr>
          <w:p w14:paraId="0504904B" w14:textId="6411226C" w:rsidR="004D13A2" w:rsidRDefault="004D13A2" w:rsidP="004D13A2">
            <w:pPr>
              <w:pStyle w:val="Body"/>
              <w:numPr>
                <w:ilvl w:val="0"/>
                <w:numId w:val="21"/>
              </w:numPr>
              <w:ind w:left="0"/>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 xml:space="preserve">Simulated natural gas </w:t>
            </w:r>
            <w:r w:rsidR="00FD3B44">
              <w:rPr>
                <w:rFonts w:asciiTheme="minorHAnsi" w:hAnsiTheme="minorHAnsi"/>
                <w:color w:val="000000"/>
                <w:sz w:val="22"/>
                <w:szCs w:val="22"/>
              </w:rPr>
              <w:t>(also known as</w:t>
            </w:r>
            <w:r w:rsidR="00DB11AE">
              <w:rPr>
                <w:rFonts w:asciiTheme="minorHAnsi" w:hAnsiTheme="minorHAnsi"/>
                <w:color w:val="000000"/>
                <w:sz w:val="22"/>
                <w:szCs w:val="22"/>
              </w:rPr>
              <w:t xml:space="preserve"> ‘synthetic natural gas’), </w:t>
            </w:r>
            <w:r>
              <w:rPr>
                <w:rFonts w:asciiTheme="minorHAnsi" w:hAnsiTheme="minorHAnsi"/>
                <w:color w:val="000000"/>
                <w:sz w:val="22"/>
                <w:szCs w:val="22"/>
              </w:rPr>
              <w:t xml:space="preserve">means a mixture of vapourised ‘liquefied petroleum gas’ and compressed air. See </w:t>
            </w:r>
            <w:hyperlink r:id="rId23" w:anchor="nger-quick-help-topics" w:tooltip="A link to the Quick help topics page on the Clean Energy Regulator webpage" w:history="1">
              <w:r w:rsidR="00C155A1" w:rsidRPr="004871F7">
                <w:rPr>
                  <w:rStyle w:val="Hyperlink"/>
                  <w:rFonts w:asciiTheme="minorHAnsi" w:hAnsiTheme="minorHAnsi"/>
                  <w:color w:val="006C93"/>
                  <w:szCs w:val="22"/>
                </w:rPr>
                <w:t>N</w:t>
              </w:r>
              <w:r w:rsidR="00C155A1" w:rsidRPr="004871F7">
                <w:rPr>
                  <w:rStyle w:val="Hyperlink"/>
                  <w:color w:val="006C93"/>
                </w:rPr>
                <w:t>GER quic</w:t>
              </w:r>
              <w:r w:rsidR="00C155A1" w:rsidRPr="004871F7">
                <w:rPr>
                  <w:rStyle w:val="Hyperlink"/>
                  <w:color w:val="006C93"/>
                </w:rPr>
                <w:t>k</w:t>
              </w:r>
              <w:r w:rsidR="00C155A1" w:rsidRPr="004871F7">
                <w:rPr>
                  <w:rStyle w:val="Hyperlink"/>
                  <w:color w:val="006C93"/>
                </w:rPr>
                <w:t xml:space="preserve"> help topic</w:t>
              </w:r>
              <w:r w:rsidRPr="004871F7">
                <w:rPr>
                  <w:rStyle w:val="Hyperlink"/>
                  <w:rFonts w:asciiTheme="minorHAnsi" w:hAnsiTheme="minorHAnsi"/>
                  <w:color w:val="006C93"/>
                  <w:szCs w:val="22"/>
                </w:rPr>
                <w:t>s</w:t>
              </w:r>
              <w:r w:rsidRPr="004871F7">
                <w:rPr>
                  <w:rStyle w:val="Hyperlink"/>
                  <w:rFonts w:asciiTheme="minorHAnsi" w:hAnsiTheme="minorHAnsi"/>
                  <w:color w:val="auto"/>
                  <w:szCs w:val="22"/>
                  <w:u w:val="none"/>
                  <w:vertAlign w:val="superscript"/>
                </w:rPr>
                <w:footnoteReference w:id="3"/>
              </w:r>
            </w:hyperlink>
            <w:r w:rsidRPr="004871F7">
              <w:rPr>
                <w:rFonts w:asciiTheme="minorHAnsi" w:hAnsiTheme="minorHAnsi"/>
                <w:sz w:val="22"/>
                <w:szCs w:val="22"/>
              </w:rPr>
              <w:t xml:space="preserve"> </w:t>
            </w:r>
            <w:r>
              <w:rPr>
                <w:rFonts w:asciiTheme="minorHAnsi" w:hAnsiTheme="minorHAnsi"/>
                <w:color w:val="000000"/>
                <w:sz w:val="22"/>
                <w:szCs w:val="22"/>
              </w:rPr>
              <w:t>for more information.</w:t>
            </w:r>
          </w:p>
        </w:tc>
      </w:tr>
      <w:tr w:rsidR="004D13A2" w14:paraId="29570A8F" w14:textId="77777777" w:rsidTr="005E2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tcPr>
          <w:p w14:paraId="487B48BA" w14:textId="0A8440BF" w:rsidR="004D13A2" w:rsidRDefault="004D13A2" w:rsidP="004D13A2">
            <w:pPr>
              <w:pStyle w:val="Body"/>
              <w:numPr>
                <w:ilvl w:val="0"/>
                <w:numId w:val="21"/>
              </w:numPr>
              <w:ind w:left="0"/>
              <w:rPr>
                <w:rFonts w:asciiTheme="minorHAnsi" w:hAnsiTheme="minorHAnsi"/>
                <w:color w:val="000000"/>
                <w:sz w:val="22"/>
                <w:szCs w:val="22"/>
              </w:rPr>
            </w:pPr>
            <w:r>
              <w:rPr>
                <w:rFonts w:asciiTheme="minorHAnsi" w:hAnsiTheme="minorHAnsi"/>
                <w:color w:val="000000"/>
                <w:sz w:val="22"/>
                <w:szCs w:val="22"/>
              </w:rPr>
              <w:t>t</w:t>
            </w:r>
          </w:p>
        </w:tc>
        <w:tc>
          <w:tcPr>
            <w:tcW w:w="3857" w:type="pct"/>
          </w:tcPr>
          <w:p w14:paraId="3CA1E18F" w14:textId="0EB48F32" w:rsidR="004D13A2" w:rsidRDefault="004D13A2" w:rsidP="004D13A2">
            <w:pPr>
              <w:pStyle w:val="Body"/>
              <w:numPr>
                <w:ilvl w:val="0"/>
                <w:numId w:val="21"/>
              </w:numPr>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Tonne</w:t>
            </w:r>
          </w:p>
        </w:tc>
      </w:tr>
    </w:tbl>
    <w:p w14:paraId="33BEEE37" w14:textId="77777777" w:rsidR="00016DDD" w:rsidRPr="00F8076C" w:rsidRDefault="00016DDD" w:rsidP="00016DDD">
      <w:pPr>
        <w:pStyle w:val="BodyText1"/>
      </w:pPr>
      <w:bookmarkStart w:id="8" w:name="_Toc508361542"/>
      <w:bookmarkStart w:id="9" w:name="_Toc508363218"/>
      <w:bookmarkStart w:id="10" w:name="_Toc508363372"/>
      <w:bookmarkStart w:id="11" w:name="_Toc508364161"/>
      <w:bookmarkStart w:id="12" w:name="_Toc509935565"/>
      <w:bookmarkStart w:id="13" w:name="_Toc43983101"/>
      <w:r w:rsidRPr="00F8076C">
        <w:t xml:space="preserve">Terms in NGER legislation may have specific meanings within the law. These key words and phrases are normally identified under a heading such as Definitions, Interpretation or Dictionary or in other parts of the document. </w:t>
      </w:r>
    </w:p>
    <w:p w14:paraId="3EC57A43" w14:textId="2405D335" w:rsidR="00016DDD" w:rsidRPr="00F8076C" w:rsidRDefault="00016DDD" w:rsidP="00016DDD">
      <w:pPr>
        <w:pStyle w:val="BodyText1"/>
      </w:pPr>
      <w:r w:rsidRPr="00F8076C">
        <w:t xml:space="preserve">For more information on interpreting legislation see </w:t>
      </w:r>
      <w:hyperlink r:id="rId24" w:tooltip="A link to the Australian Government site - Understanding Federal Legislation" w:history="1">
        <w:r w:rsidRPr="00F8076C">
          <w:rPr>
            <w:rStyle w:val="Hyperlink"/>
            <w:rFonts w:asciiTheme="minorHAnsi" w:hAnsiTheme="minorHAnsi"/>
          </w:rPr>
          <w:t>Federal Register of Legislation - Understanding Legislation</w:t>
        </w:r>
      </w:hyperlink>
      <w:r>
        <w:rPr>
          <w:rStyle w:val="FootnoteReference"/>
          <w:lang w:val="en-GB"/>
        </w:rPr>
        <w:footnoteReference w:id="4"/>
      </w:r>
      <w:r w:rsidRPr="00F8076C">
        <w:t>.</w:t>
      </w:r>
    </w:p>
    <w:p w14:paraId="3BB7E73C" w14:textId="77777777" w:rsidR="00BB491A" w:rsidRDefault="00BB491A" w:rsidP="00BB491A">
      <w:pPr>
        <w:spacing w:after="0"/>
        <w:rPr>
          <w:rFonts w:eastAsia="Times New Roman"/>
          <w:b/>
          <w:bCs/>
          <w:color w:val="005874"/>
          <w:kern w:val="32"/>
          <w:sz w:val="40"/>
        </w:rPr>
      </w:pPr>
      <w:r>
        <w:br w:type="page"/>
      </w:r>
    </w:p>
    <w:p w14:paraId="08BCD638" w14:textId="77777777" w:rsidR="001C3815" w:rsidRPr="002C556E" w:rsidRDefault="001C3815" w:rsidP="001C3815">
      <w:pPr>
        <w:pStyle w:val="Heading1"/>
        <w:rPr>
          <w:lang w:val="en-GB"/>
        </w:rPr>
      </w:pPr>
      <w:bookmarkStart w:id="14" w:name="_Toc76565685"/>
      <w:bookmarkStart w:id="15" w:name="_Toc204158979"/>
      <w:r w:rsidRPr="002C556E">
        <w:rPr>
          <w:lang w:val="en-GB"/>
        </w:rPr>
        <w:lastRenderedPageBreak/>
        <w:t>Disclaime</w:t>
      </w:r>
      <w:bookmarkEnd w:id="8"/>
      <w:bookmarkEnd w:id="9"/>
      <w:bookmarkEnd w:id="10"/>
      <w:bookmarkEnd w:id="11"/>
      <w:bookmarkEnd w:id="12"/>
      <w:r w:rsidRPr="002C556E">
        <w:rPr>
          <w:lang w:val="en-GB"/>
        </w:rPr>
        <w:t>r</w:t>
      </w:r>
      <w:bookmarkEnd w:id="13"/>
      <w:bookmarkEnd w:id="14"/>
      <w:bookmarkEnd w:id="15"/>
    </w:p>
    <w:p w14:paraId="4F72CCD4" w14:textId="018B8F42" w:rsidR="001C3815" w:rsidRPr="000B3301" w:rsidRDefault="001C3815" w:rsidP="00793B33">
      <w:pPr>
        <w:autoSpaceDE w:val="0"/>
        <w:autoSpaceDN w:val="0"/>
        <w:adjustRightInd w:val="0"/>
        <w:spacing w:after="0"/>
        <w:rPr>
          <w:lang w:eastAsia="en-AU"/>
        </w:rPr>
      </w:pPr>
      <w:bookmarkStart w:id="16" w:name="_Toc509935568"/>
      <w:r w:rsidRPr="000B3301">
        <w:rPr>
          <w:lang w:eastAsia="en-AU"/>
        </w:rPr>
        <w:t>This</w:t>
      </w:r>
      <w:r w:rsidRPr="000B3301">
        <w:rPr>
          <w:i/>
          <w:iCs/>
          <w:lang w:eastAsia="en-AU"/>
        </w:rPr>
        <w:t xml:space="preserve"> </w:t>
      </w:r>
      <w:r w:rsidRPr="000B3301">
        <w:rPr>
          <w:lang w:eastAsia="en-AU"/>
        </w:rPr>
        <w:t>guideline has been developed by the Clean Energy Regulator (</w:t>
      </w:r>
      <w:r w:rsidR="001E2090">
        <w:rPr>
          <w:lang w:eastAsia="en-AU"/>
        </w:rPr>
        <w:t>CER</w:t>
      </w:r>
      <w:r w:rsidRPr="000B3301">
        <w:rPr>
          <w:lang w:eastAsia="en-AU"/>
        </w:rPr>
        <w:t xml:space="preserve">) to assist entities to comply with their reporting obligations under the </w:t>
      </w:r>
      <w:hyperlink r:id="rId25" w:tooltip="Link to the National Greenhouse and Energy Reporting Act 2007 on the Australian Government Federal Register of Legislation" w:history="1">
        <w:r w:rsidRPr="000B3301">
          <w:rPr>
            <w:rStyle w:val="Hyperlink"/>
            <w:i/>
            <w:iCs/>
            <w:lang w:eastAsia="en-AU"/>
          </w:rPr>
          <w:t>National Greenhouse and Energy Reporting Act 2007</w:t>
        </w:r>
      </w:hyperlink>
      <w:bookmarkStart w:id="17" w:name="_Ref105748531"/>
      <w:r w:rsidRPr="00A469D7">
        <w:rPr>
          <w:rStyle w:val="FootnoteReference"/>
          <w:color w:val="000000"/>
          <w:lang w:eastAsia="en-AU"/>
        </w:rPr>
        <w:footnoteReference w:id="5"/>
      </w:r>
      <w:bookmarkEnd w:id="17"/>
      <w:r w:rsidRPr="000B3301">
        <w:rPr>
          <w:i/>
          <w:iCs/>
          <w:lang w:eastAsia="en-AU"/>
        </w:rPr>
        <w:t xml:space="preserve"> </w:t>
      </w:r>
      <w:r w:rsidRPr="000B3301">
        <w:rPr>
          <w:iCs/>
          <w:lang w:eastAsia="en-AU"/>
        </w:rPr>
        <w:t>(NGER Act)</w:t>
      </w:r>
      <w:r w:rsidRPr="000B3301">
        <w:rPr>
          <w:i/>
          <w:iCs/>
          <w:lang w:eastAsia="en-AU"/>
        </w:rPr>
        <w:t xml:space="preserve"> </w:t>
      </w:r>
      <w:r w:rsidRPr="000B3301">
        <w:rPr>
          <w:lang w:eastAsia="en-AU"/>
        </w:rPr>
        <w:t>and associated legislation.</w:t>
      </w:r>
    </w:p>
    <w:p w14:paraId="0228BA7C" w14:textId="77777777" w:rsidR="001C3815" w:rsidRPr="000B3301" w:rsidRDefault="001C3815" w:rsidP="00793B33">
      <w:pPr>
        <w:autoSpaceDE w:val="0"/>
        <w:autoSpaceDN w:val="0"/>
        <w:adjustRightInd w:val="0"/>
        <w:spacing w:after="0"/>
        <w:rPr>
          <w:lang w:eastAsia="en-AU"/>
        </w:rPr>
      </w:pPr>
    </w:p>
    <w:p w14:paraId="6F86D5E0" w14:textId="38C374E4" w:rsidR="001C3815" w:rsidRPr="000B3301" w:rsidRDefault="001C3815" w:rsidP="00793B33">
      <w:pPr>
        <w:autoSpaceDE w:val="0"/>
        <w:autoSpaceDN w:val="0"/>
        <w:adjustRightInd w:val="0"/>
        <w:spacing w:after="0"/>
        <w:rPr>
          <w:lang w:eastAsia="en-AU"/>
        </w:rPr>
      </w:pPr>
      <w:r w:rsidRPr="004C131A">
        <w:rPr>
          <w:lang w:eastAsia="en-AU"/>
        </w:rPr>
        <w:t xml:space="preserve">This guideline only applies to the </w:t>
      </w:r>
      <w:r w:rsidR="00455364">
        <w:rPr>
          <w:lang w:eastAsia="en-AU"/>
        </w:rPr>
        <w:t>2024</w:t>
      </w:r>
      <w:r w:rsidR="00A43FC2">
        <w:rPr>
          <w:lang w:eastAsia="en-AU"/>
        </w:rPr>
        <w:t>–</w:t>
      </w:r>
      <w:r w:rsidR="00455364">
        <w:rPr>
          <w:lang w:eastAsia="en-AU"/>
        </w:rPr>
        <w:t>25</w:t>
      </w:r>
      <w:r w:rsidRPr="004C131A">
        <w:rPr>
          <w:lang w:eastAsia="en-AU"/>
        </w:rPr>
        <w:t xml:space="preserve"> NGER reporting year and should be read in conjunction with the</w:t>
      </w:r>
      <w:r>
        <w:rPr>
          <w:lang w:eastAsia="en-AU"/>
        </w:rPr>
        <w:t xml:space="preserve"> </w:t>
      </w:r>
      <w:r w:rsidRPr="004C131A">
        <w:rPr>
          <w:lang w:eastAsia="en-AU"/>
        </w:rPr>
        <w:t xml:space="preserve">NGER </w:t>
      </w:r>
      <w:r w:rsidRPr="00D41EB0">
        <w:rPr>
          <w:lang w:eastAsia="en-AU"/>
        </w:rPr>
        <w:t xml:space="preserve">Act, </w:t>
      </w:r>
      <w:hyperlink r:id="rId26" w:tooltip="Link to the National Greenhouse and Energy regulations on the Australian Government Federal Register of Legislation" w:history="1">
        <w:r w:rsidRPr="00D41EB0">
          <w:rPr>
            <w:rStyle w:val="Hyperlink"/>
            <w:lang w:eastAsia="en-AU"/>
          </w:rPr>
          <w:t>National Greenhouse and Energy Regulations 2008</w:t>
        </w:r>
      </w:hyperlink>
      <w:r w:rsidRPr="00D41EB0">
        <w:rPr>
          <w:rStyle w:val="FootnoteReference"/>
          <w:color w:val="000000"/>
          <w:lang w:eastAsia="en-AU"/>
        </w:rPr>
        <w:footnoteReference w:id="6"/>
      </w:r>
      <w:r w:rsidRPr="00D41EB0">
        <w:rPr>
          <w:color w:val="000000"/>
          <w:lang w:eastAsia="en-AU"/>
        </w:rPr>
        <w:t xml:space="preserve"> (</w:t>
      </w:r>
      <w:r w:rsidRPr="00D41EB0">
        <w:rPr>
          <w:lang w:eastAsia="en-AU"/>
        </w:rPr>
        <w:t xml:space="preserve">NGER Regulations), and </w:t>
      </w:r>
      <w:hyperlink r:id="rId27" w:tooltip="Link to the National Greenhouse and Energy Reporting Measurement Determination on the Australian Government Federal Register of Legislation" w:history="1">
        <w:r w:rsidRPr="00D41EB0">
          <w:rPr>
            <w:rStyle w:val="Hyperlink"/>
            <w:lang w:eastAsia="en-AU"/>
          </w:rPr>
          <w:t>National Greenhouse and Energy Reporting (Measurement) Determination 2008</w:t>
        </w:r>
      </w:hyperlink>
      <w:r w:rsidRPr="00D41EB0">
        <w:rPr>
          <w:rStyle w:val="FootnoteReference"/>
          <w:color w:val="000000"/>
          <w:lang w:eastAsia="en-AU"/>
        </w:rPr>
        <w:footnoteReference w:id="7"/>
      </w:r>
      <w:r w:rsidRPr="00D41EB0">
        <w:rPr>
          <w:lang w:eastAsia="en-AU"/>
        </w:rPr>
        <w:t xml:space="preserve"> (NGER Measurement Determination), as i</w:t>
      </w:r>
      <w:r w:rsidRPr="004C131A">
        <w:rPr>
          <w:lang w:eastAsia="en-AU"/>
        </w:rPr>
        <w:t>n force for this reporting period. These</w:t>
      </w:r>
      <w:r w:rsidRPr="000B3301">
        <w:rPr>
          <w:lang w:eastAsia="en-AU"/>
        </w:rPr>
        <w:t xml:space="preserve"> laws and their interpretation are subject to change, which may affect the accuracy of the information contained in the guideline. </w:t>
      </w:r>
    </w:p>
    <w:p w14:paraId="22C7E060" w14:textId="77777777" w:rsidR="001C3815" w:rsidRPr="000B3301" w:rsidRDefault="001C3815" w:rsidP="00793B33">
      <w:pPr>
        <w:autoSpaceDE w:val="0"/>
        <w:autoSpaceDN w:val="0"/>
        <w:adjustRightInd w:val="0"/>
        <w:spacing w:after="0"/>
        <w:rPr>
          <w:lang w:eastAsia="en-AU"/>
        </w:rPr>
      </w:pPr>
    </w:p>
    <w:p w14:paraId="68F77FF0" w14:textId="654AF9F7" w:rsidR="001C3815" w:rsidRPr="000B3301" w:rsidRDefault="001C3815" w:rsidP="00793B33">
      <w:pPr>
        <w:autoSpaceDE w:val="0"/>
        <w:autoSpaceDN w:val="0"/>
        <w:adjustRightInd w:val="0"/>
        <w:spacing w:after="0"/>
        <w:rPr>
          <w:lang w:eastAsia="en-AU"/>
        </w:rPr>
      </w:pPr>
      <w:r w:rsidRPr="000B3301">
        <w:rPr>
          <w:lang w:eastAsia="en-AU"/>
        </w:rPr>
        <w:t>The guidance provided in this document is not exhaustive, nor does it consider all circumstances applicable to all entities. Th</w:t>
      </w:r>
      <w:r>
        <w:rPr>
          <w:lang w:eastAsia="en-AU"/>
        </w:rPr>
        <w:t>is</w:t>
      </w:r>
      <w:r w:rsidRPr="000B3301">
        <w:rPr>
          <w:lang w:eastAsia="en-AU"/>
        </w:rPr>
        <w:t xml:space="preserve"> </w:t>
      </w:r>
      <w:r>
        <w:rPr>
          <w:lang w:eastAsia="en-AU"/>
        </w:rPr>
        <w:t>guidance</w:t>
      </w:r>
      <w:r w:rsidRPr="000B3301">
        <w:rPr>
          <w:lang w:eastAsia="en-AU"/>
        </w:rPr>
        <w:t xml:space="preserve"> is not intended to comprehensively deal with its subject area, and it is not a substitute for independent legal advice. Although entities are not bound to follow the guidance provided in this document, they must ensure they meet their obligations under the </w:t>
      </w:r>
      <w:hyperlink r:id="rId28" w:tooltip="A link to National Greenhouse and Energy Reporting scheme page on the Clean Energy Regulator webpage" w:history="1">
        <w:r w:rsidRPr="00452C2E">
          <w:rPr>
            <w:rStyle w:val="Hyperlink"/>
            <w:lang w:eastAsia="en-AU"/>
          </w:rPr>
          <w:t xml:space="preserve">National Greenhouse and Energy Reporting (NGER) </w:t>
        </w:r>
        <w:r w:rsidR="00455364">
          <w:rPr>
            <w:rStyle w:val="Hyperlink"/>
            <w:lang w:eastAsia="en-AU"/>
          </w:rPr>
          <w:t>S</w:t>
        </w:r>
        <w:r w:rsidRPr="00452C2E">
          <w:rPr>
            <w:rStyle w:val="Hyperlink"/>
            <w:lang w:eastAsia="en-AU"/>
          </w:rPr>
          <w:t>cheme</w:t>
        </w:r>
      </w:hyperlink>
      <w:r>
        <w:rPr>
          <w:rStyle w:val="FootnoteReference"/>
          <w:lang w:eastAsia="en-AU"/>
        </w:rPr>
        <w:footnoteReference w:id="8"/>
      </w:r>
      <w:r w:rsidRPr="000B3301">
        <w:rPr>
          <w:lang w:eastAsia="en-AU"/>
        </w:rPr>
        <w:t xml:space="preserve"> at all times. </w:t>
      </w:r>
      <w:r w:rsidR="004966E7">
        <w:rPr>
          <w:lang w:eastAsia="en-AU"/>
        </w:rPr>
        <w:t xml:space="preserve">The </w:t>
      </w:r>
      <w:r w:rsidR="001E2090">
        <w:rPr>
          <w:lang w:eastAsia="en-AU"/>
        </w:rPr>
        <w:t>CER</w:t>
      </w:r>
      <w:r w:rsidRPr="000B3301">
        <w:rPr>
          <w:lang w:eastAsia="en-AU"/>
        </w:rPr>
        <w:t xml:space="preserve"> encourages all users of this </w:t>
      </w:r>
      <w:r>
        <w:rPr>
          <w:lang w:eastAsia="en-AU"/>
        </w:rPr>
        <w:t>guidance</w:t>
      </w:r>
      <w:r w:rsidRPr="000B3301">
        <w:rPr>
          <w:lang w:eastAsia="en-AU"/>
        </w:rPr>
        <w:t xml:space="preserve"> to seek independent legal advice before taking any action or decision </w:t>
      </w:r>
      <w:r w:rsidR="007755FF" w:rsidRPr="000B3301">
        <w:rPr>
          <w:lang w:eastAsia="en-AU"/>
        </w:rPr>
        <w:t>based on</w:t>
      </w:r>
      <w:r w:rsidRPr="000B3301">
        <w:rPr>
          <w:lang w:eastAsia="en-AU"/>
        </w:rPr>
        <w:t xml:space="preserve"> this </w:t>
      </w:r>
      <w:r>
        <w:rPr>
          <w:lang w:eastAsia="en-AU"/>
        </w:rPr>
        <w:t>guidance</w:t>
      </w:r>
      <w:r w:rsidRPr="000B3301">
        <w:rPr>
          <w:lang w:eastAsia="en-AU"/>
        </w:rPr>
        <w:t>.</w:t>
      </w:r>
    </w:p>
    <w:p w14:paraId="79F41BCF" w14:textId="77777777" w:rsidR="001C3815" w:rsidRPr="000B3301" w:rsidRDefault="001C3815" w:rsidP="00793B33">
      <w:pPr>
        <w:autoSpaceDE w:val="0"/>
        <w:autoSpaceDN w:val="0"/>
        <w:adjustRightInd w:val="0"/>
        <w:spacing w:after="0"/>
        <w:rPr>
          <w:lang w:eastAsia="en-AU"/>
        </w:rPr>
      </w:pPr>
    </w:p>
    <w:p w14:paraId="24DBDD8B" w14:textId="5654DAE0" w:rsidR="001C3815" w:rsidRPr="000B3301" w:rsidRDefault="004966E7" w:rsidP="00793B33">
      <w:pPr>
        <w:autoSpaceDE w:val="0"/>
        <w:autoSpaceDN w:val="0"/>
        <w:adjustRightInd w:val="0"/>
        <w:spacing w:after="0"/>
        <w:rPr>
          <w:lang w:eastAsia="en-AU"/>
        </w:rPr>
      </w:pPr>
      <w:r>
        <w:rPr>
          <w:lang w:eastAsia="en-AU"/>
        </w:rPr>
        <w:t xml:space="preserve">The </w:t>
      </w:r>
      <w:r w:rsidR="001E2090">
        <w:rPr>
          <w:lang w:eastAsia="en-AU"/>
        </w:rPr>
        <w:t>CER</w:t>
      </w:r>
      <w:r w:rsidR="001C3815" w:rsidRPr="000B3301">
        <w:rPr>
          <w:lang w:eastAsia="en-AU"/>
        </w:rPr>
        <w:t xml:space="preserve"> and the Australian Government will not be liable for any loss or damage from any cause (including negligence) whether arising directly, </w:t>
      </w:r>
      <w:r w:rsidR="007755FF" w:rsidRPr="000B3301">
        <w:rPr>
          <w:lang w:eastAsia="en-AU"/>
        </w:rPr>
        <w:t>incidentally,</w:t>
      </w:r>
      <w:r w:rsidR="001C3815" w:rsidRPr="000B3301">
        <w:rPr>
          <w:lang w:eastAsia="en-AU"/>
        </w:rPr>
        <w:t xml:space="preserve"> or as consequential loss, out of or in connection with, any use of this guideline or reliance on it, for any purpose.</w:t>
      </w:r>
    </w:p>
    <w:p w14:paraId="21CEF564" w14:textId="77777777" w:rsidR="001C3815" w:rsidRPr="000B3301" w:rsidRDefault="001C3815" w:rsidP="00793B33">
      <w:pPr>
        <w:autoSpaceDE w:val="0"/>
        <w:autoSpaceDN w:val="0"/>
        <w:adjustRightInd w:val="0"/>
        <w:spacing w:after="0"/>
        <w:rPr>
          <w:lang w:eastAsia="en-AU"/>
        </w:rPr>
      </w:pPr>
    </w:p>
    <w:p w14:paraId="29918BA1" w14:textId="3648FB8B" w:rsidR="001C3815" w:rsidRDefault="001C3815" w:rsidP="001C3815">
      <w:pPr>
        <w:spacing w:after="0"/>
        <w:rPr>
          <w:rFonts w:ascii="Calibri" w:hAnsi="Calibri" w:cs="Calibri"/>
          <w:szCs w:val="22"/>
          <w:lang w:eastAsia="en-AU"/>
        </w:rPr>
      </w:pPr>
      <w:r w:rsidRPr="000B3301">
        <w:rPr>
          <w:lang w:eastAsia="en-AU"/>
        </w:rPr>
        <w:t xml:space="preserve">If an entity chooses to meet their obligations under the NGER scheme in a manner that is inconsistent with the guidance provided in this document, </w:t>
      </w:r>
      <w:r w:rsidR="004966E7">
        <w:rPr>
          <w:lang w:eastAsia="en-AU"/>
        </w:rPr>
        <w:t xml:space="preserve">the </w:t>
      </w:r>
      <w:r w:rsidR="001E2090">
        <w:rPr>
          <w:lang w:eastAsia="en-AU"/>
        </w:rPr>
        <w:t>CER</w:t>
      </w:r>
      <w:r w:rsidRPr="000B3301">
        <w:rPr>
          <w:lang w:eastAsia="en-AU"/>
        </w:rPr>
        <w:t>, or an independent auditor, may require the entity to demonstrate that they are compliant with requirements of the NGER Act, NGER Regulations, and/or the NGER Measurement Determination. Entities are responsible for determining their obligations under the law and for applying the law to their individual circumstances.</w:t>
      </w:r>
    </w:p>
    <w:p w14:paraId="4FA67176" w14:textId="77777777" w:rsidR="001C3815" w:rsidRDefault="001C3815" w:rsidP="001C3815">
      <w:pPr>
        <w:spacing w:after="0"/>
        <w:rPr>
          <w:rFonts w:eastAsia="Times New Roman"/>
          <w:b/>
          <w:bCs/>
          <w:color w:val="005874"/>
          <w:kern w:val="32"/>
          <w:sz w:val="40"/>
        </w:rPr>
      </w:pPr>
      <w:r>
        <w:br w:type="page"/>
      </w:r>
    </w:p>
    <w:p w14:paraId="3F5B8AC4" w14:textId="3E6B28BE" w:rsidR="001C3815" w:rsidRPr="00FA7635" w:rsidRDefault="00455364" w:rsidP="001C3815">
      <w:pPr>
        <w:pStyle w:val="Heading1"/>
      </w:pPr>
      <w:bookmarkStart w:id="18" w:name="_Toc204158980"/>
      <w:r>
        <w:lastRenderedPageBreak/>
        <w:t>2024–25</w:t>
      </w:r>
      <w:r w:rsidR="001C3815">
        <w:t xml:space="preserve"> updates</w:t>
      </w:r>
      <w:bookmarkEnd w:id="18"/>
    </w:p>
    <w:p w14:paraId="35E7654F" w14:textId="7D399AF2" w:rsidR="001C3815" w:rsidRDefault="001C3815" w:rsidP="001C3815">
      <w:r>
        <w:t xml:space="preserve">Changes in this document for the </w:t>
      </w:r>
      <w:r w:rsidR="00455364">
        <w:t>2024–25</w:t>
      </w:r>
      <w:r>
        <w:t xml:space="preserve"> reporting year:</w:t>
      </w:r>
    </w:p>
    <w:p w14:paraId="18186F10" w14:textId="68FB0674" w:rsidR="00411ECB" w:rsidRDefault="00EB6200" w:rsidP="002671C4">
      <w:pPr>
        <w:pStyle w:val="CERbullets"/>
        <w:rPr>
          <w:lang w:eastAsia="en-AU"/>
        </w:rPr>
      </w:pPr>
      <w:r w:rsidRPr="00411ECB">
        <w:rPr>
          <w:lang w:eastAsia="en-AU"/>
        </w:rPr>
        <w:t>Minor stylistic and formatting changes have been made to this document</w:t>
      </w:r>
      <w:r w:rsidR="002671C4">
        <w:rPr>
          <w:lang w:eastAsia="en-AU"/>
        </w:rPr>
        <w:t>.</w:t>
      </w:r>
      <w:r w:rsidRPr="00411ECB">
        <w:rPr>
          <w:lang w:eastAsia="en-AU"/>
        </w:rPr>
        <w:t> </w:t>
      </w:r>
    </w:p>
    <w:p w14:paraId="42AF1F78" w14:textId="2D84B206" w:rsidR="00014C46" w:rsidRDefault="00027A9C" w:rsidP="002671C4">
      <w:pPr>
        <w:pStyle w:val="CERbullets"/>
        <w:rPr>
          <w:lang w:eastAsia="en-AU"/>
        </w:rPr>
      </w:pPr>
      <w:r>
        <w:rPr>
          <w:rStyle w:val="scxw121805585"/>
          <w:rFonts w:ascii="Calibri" w:hAnsi="Calibri" w:cs="Calibri"/>
          <w:szCs w:val="22"/>
        </w:rPr>
        <w:t xml:space="preserve">Definitions and abbreviations </w:t>
      </w:r>
      <w:r w:rsidR="001F035C">
        <w:rPr>
          <w:lang w:eastAsia="en-AU"/>
        </w:rPr>
        <w:t xml:space="preserve">– </w:t>
      </w:r>
      <w:r w:rsidR="00A96DE2">
        <w:rPr>
          <w:lang w:eastAsia="en-AU"/>
        </w:rPr>
        <w:t xml:space="preserve">added definitions for </w:t>
      </w:r>
      <w:r w:rsidR="000D5090">
        <w:rPr>
          <w:lang w:eastAsia="en-AU"/>
        </w:rPr>
        <w:t>gross vehicle mass, heavy duty vehicle, and light duty vehicle.</w:t>
      </w:r>
      <w:r w:rsidR="001F035C">
        <w:rPr>
          <w:lang w:eastAsia="en-AU"/>
        </w:rPr>
        <w:t xml:space="preserve"> </w:t>
      </w:r>
    </w:p>
    <w:p w14:paraId="4F807D27" w14:textId="0AD45891" w:rsidR="006E0542" w:rsidRDefault="00EC50D1" w:rsidP="002671C4">
      <w:pPr>
        <w:pStyle w:val="CERbullets"/>
        <w:rPr>
          <w:lang w:eastAsia="en-AU"/>
        </w:rPr>
      </w:pPr>
      <w:r>
        <w:rPr>
          <w:lang w:eastAsia="en-AU"/>
        </w:rPr>
        <w:t>Section 2</w:t>
      </w:r>
      <w:r w:rsidR="006E0542">
        <w:rPr>
          <w:lang w:eastAsia="en-AU"/>
        </w:rPr>
        <w:t xml:space="preserve"> – added </w:t>
      </w:r>
      <w:r w:rsidR="00F802FE">
        <w:rPr>
          <w:lang w:eastAsia="en-AU"/>
        </w:rPr>
        <w:t>furt</w:t>
      </w:r>
      <w:r w:rsidR="003A7D4F">
        <w:rPr>
          <w:lang w:eastAsia="en-AU"/>
        </w:rPr>
        <w:t xml:space="preserve">her guidance on </w:t>
      </w:r>
      <w:r w:rsidR="008D5437">
        <w:rPr>
          <w:lang w:eastAsia="en-AU"/>
        </w:rPr>
        <w:t>good pr</w:t>
      </w:r>
      <w:r w:rsidR="00CC5C35">
        <w:rPr>
          <w:lang w:eastAsia="en-AU"/>
        </w:rPr>
        <w:t>actices in NGER reporting</w:t>
      </w:r>
      <w:r w:rsidR="003954B7">
        <w:rPr>
          <w:lang w:eastAsia="en-AU"/>
        </w:rPr>
        <w:t>.</w:t>
      </w:r>
    </w:p>
    <w:p w14:paraId="66573D0B" w14:textId="7D584ED3" w:rsidR="00A410EC" w:rsidRDefault="00EC50D1" w:rsidP="002671C4">
      <w:pPr>
        <w:pStyle w:val="CERbullets"/>
        <w:rPr>
          <w:lang w:eastAsia="en-AU"/>
        </w:rPr>
      </w:pPr>
      <w:r>
        <w:rPr>
          <w:lang w:eastAsia="en-AU"/>
        </w:rPr>
        <w:t>Section 3.2.1</w:t>
      </w:r>
      <w:r w:rsidR="00A410EC">
        <w:rPr>
          <w:lang w:eastAsia="en-AU"/>
        </w:rPr>
        <w:t xml:space="preserve"> – added </w:t>
      </w:r>
      <w:r w:rsidR="00F73127">
        <w:rPr>
          <w:lang w:eastAsia="en-AU"/>
        </w:rPr>
        <w:t>‘</w:t>
      </w:r>
      <w:r w:rsidR="00FC7476">
        <w:rPr>
          <w:lang w:eastAsia="en-AU"/>
        </w:rPr>
        <w:t>blended fuels</w:t>
      </w:r>
      <w:r w:rsidR="00F73127">
        <w:rPr>
          <w:lang w:eastAsia="en-AU"/>
        </w:rPr>
        <w:t xml:space="preserve">’ to the </w:t>
      </w:r>
      <w:r w:rsidR="00A94D08">
        <w:rPr>
          <w:lang w:eastAsia="en-AU"/>
        </w:rPr>
        <w:t>list of reportable</w:t>
      </w:r>
      <w:r w:rsidR="00857343">
        <w:rPr>
          <w:lang w:eastAsia="en-AU"/>
        </w:rPr>
        <w:t xml:space="preserve"> </w:t>
      </w:r>
      <w:r w:rsidR="0055598C">
        <w:rPr>
          <w:lang w:eastAsia="en-AU"/>
        </w:rPr>
        <w:t xml:space="preserve">items for </w:t>
      </w:r>
      <w:r w:rsidR="00047AE7">
        <w:rPr>
          <w:lang w:eastAsia="en-AU"/>
        </w:rPr>
        <w:t>each energy type</w:t>
      </w:r>
      <w:r w:rsidR="006F2A57">
        <w:rPr>
          <w:lang w:eastAsia="en-AU"/>
        </w:rPr>
        <w:t xml:space="preserve"> reported</w:t>
      </w:r>
      <w:r w:rsidR="00FC7476">
        <w:rPr>
          <w:lang w:eastAsia="en-AU"/>
        </w:rPr>
        <w:t>.</w:t>
      </w:r>
    </w:p>
    <w:p w14:paraId="18CD412D" w14:textId="23D36250" w:rsidR="007A6BDE" w:rsidRDefault="00EC50D1" w:rsidP="002671C4">
      <w:pPr>
        <w:pStyle w:val="CERbullets"/>
        <w:rPr>
          <w:lang w:eastAsia="en-AU"/>
        </w:rPr>
      </w:pPr>
      <w:r>
        <w:rPr>
          <w:lang w:eastAsia="en-AU"/>
        </w:rPr>
        <w:t>Section 3.6</w:t>
      </w:r>
      <w:r w:rsidR="007A6BDE">
        <w:rPr>
          <w:lang w:eastAsia="en-AU"/>
        </w:rPr>
        <w:t xml:space="preserve"> </w:t>
      </w:r>
      <w:r w:rsidR="001A29F3">
        <w:rPr>
          <w:lang w:eastAsia="en-AU"/>
        </w:rPr>
        <w:t>–</w:t>
      </w:r>
      <w:r w:rsidR="007A6BDE">
        <w:rPr>
          <w:lang w:eastAsia="en-AU"/>
        </w:rPr>
        <w:t xml:space="preserve"> </w:t>
      </w:r>
      <w:r w:rsidR="001A29F3">
        <w:rPr>
          <w:lang w:eastAsia="en-AU"/>
        </w:rPr>
        <w:t>updated wording on</w:t>
      </w:r>
      <w:r w:rsidR="0079317C">
        <w:rPr>
          <w:lang w:eastAsia="en-AU"/>
        </w:rPr>
        <w:t xml:space="preserve"> the</w:t>
      </w:r>
      <w:r w:rsidR="001A29F3">
        <w:rPr>
          <w:lang w:eastAsia="en-AU"/>
        </w:rPr>
        <w:t xml:space="preserve"> </w:t>
      </w:r>
      <w:r w:rsidR="00E32BDF">
        <w:rPr>
          <w:lang w:eastAsia="en-AU"/>
        </w:rPr>
        <w:t>apportionment of energy consumed for electricity, transport and for stationary energy.</w:t>
      </w:r>
    </w:p>
    <w:p w14:paraId="6F9D4A17" w14:textId="088D70FE" w:rsidR="006C7477" w:rsidRPr="00D23E5F" w:rsidRDefault="00D23E5F" w:rsidP="00906484">
      <w:pPr>
        <w:rPr>
          <w:lang w:eastAsia="en-AU"/>
        </w:rPr>
      </w:pPr>
      <w:r w:rsidRPr="003C2B22">
        <w:rPr>
          <w:rFonts w:ascii="Calibri" w:eastAsia="Times New Roman" w:hAnsi="Calibri" w:cs="Calibri"/>
          <w:color w:val="auto"/>
          <w:szCs w:val="22"/>
          <w:lang w:val="en-GB" w:eastAsia="en-AU"/>
        </w:rPr>
        <w:br/>
      </w:r>
      <w:r w:rsidR="00EB6200" w:rsidRPr="00411ECB">
        <w:rPr>
          <w:lang w:eastAsia="en-AU"/>
        </w:rPr>
        <w:t xml:space="preserve">Read about the </w:t>
      </w:r>
      <w:hyperlink r:id="rId29" w:tooltip="A link to the 2024-25 NGER legislation changes section on the Clean Energy Regulator webpage" w:history="1">
        <w:r w:rsidR="004F4464" w:rsidRPr="00411ECB">
          <w:rPr>
            <w:color w:val="006C93"/>
            <w:u w:val="single"/>
            <w:lang w:eastAsia="en-AU"/>
          </w:rPr>
          <w:t xml:space="preserve">changes to the NGER Legislation for the </w:t>
        </w:r>
        <w:r w:rsidR="00455364">
          <w:rPr>
            <w:color w:val="006C93"/>
            <w:u w:val="single"/>
            <w:lang w:eastAsia="en-AU"/>
          </w:rPr>
          <w:t>2024–25</w:t>
        </w:r>
        <w:r w:rsidR="004F4464" w:rsidRPr="00411ECB">
          <w:rPr>
            <w:color w:val="006C93"/>
            <w:u w:val="single"/>
            <w:lang w:eastAsia="en-AU"/>
          </w:rPr>
          <w:t xml:space="preserve"> reporting period</w:t>
        </w:r>
      </w:hyperlink>
      <w:r w:rsidR="004F4464">
        <w:rPr>
          <w:rStyle w:val="FootnoteReference"/>
          <w:rFonts w:ascii="Calibri" w:eastAsia="Times New Roman" w:hAnsi="Calibri" w:cs="Calibri"/>
          <w:color w:val="auto"/>
          <w:szCs w:val="22"/>
          <w:lang w:eastAsia="en-AU"/>
        </w:rPr>
        <w:footnoteReference w:id="9"/>
      </w:r>
      <w:r w:rsidR="00EB6200" w:rsidRPr="00411ECB">
        <w:rPr>
          <w:lang w:eastAsia="en-AU"/>
        </w:rPr>
        <w:t>.   </w:t>
      </w:r>
    </w:p>
    <w:p w14:paraId="169B2060" w14:textId="77777777" w:rsidR="001C3815" w:rsidRPr="002C556E" w:rsidRDefault="001C3815" w:rsidP="001C3815">
      <w:pPr>
        <w:pStyle w:val="Heading1"/>
        <w:keepNext/>
        <w:numPr>
          <w:ilvl w:val="0"/>
          <w:numId w:val="49"/>
        </w:numPr>
        <w:spacing w:before="280" w:after="200"/>
        <w:rPr>
          <w:lang w:val="en-GB"/>
        </w:rPr>
      </w:pPr>
      <w:bookmarkStart w:id="19" w:name="_Toc138939423"/>
      <w:bookmarkStart w:id="20" w:name="_Toc140507231"/>
      <w:bookmarkStart w:id="21" w:name="_Toc140507360"/>
      <w:bookmarkStart w:id="22" w:name="_Toc43983102"/>
      <w:bookmarkStart w:id="23" w:name="_Toc76565686"/>
      <w:bookmarkStart w:id="24" w:name="_Toc204158981"/>
      <w:bookmarkEnd w:id="19"/>
      <w:bookmarkEnd w:id="20"/>
      <w:bookmarkEnd w:id="21"/>
      <w:r w:rsidRPr="002C556E">
        <w:rPr>
          <w:lang w:val="en-GB"/>
        </w:rPr>
        <w:t xml:space="preserve">Purpose of this </w:t>
      </w:r>
      <w:bookmarkEnd w:id="16"/>
      <w:r>
        <w:rPr>
          <w:lang w:val="en-GB"/>
        </w:rPr>
        <w:t>information</w:t>
      </w:r>
      <w:bookmarkEnd w:id="22"/>
      <w:bookmarkEnd w:id="23"/>
      <w:bookmarkEnd w:id="24"/>
    </w:p>
    <w:p w14:paraId="5835B17B" w14:textId="77777777" w:rsidR="001C3815" w:rsidRPr="002C556E" w:rsidRDefault="001C3815" w:rsidP="001C3815">
      <w:r>
        <w:t>Corporations</w:t>
      </w:r>
      <w:r w:rsidRPr="002C556E">
        <w:t xml:space="preserve"> have reporting obligations under the </w:t>
      </w:r>
      <w:r>
        <w:t>NGER Legislation</w:t>
      </w:r>
      <w:r w:rsidRPr="002C556E">
        <w:t xml:space="preserve">, comprising the </w:t>
      </w:r>
      <w:r>
        <w:t>NGER Act</w:t>
      </w:r>
      <w:r w:rsidRPr="002C556E">
        <w:t xml:space="preserve">, the </w:t>
      </w:r>
      <w:r>
        <w:t>NGER Regulations</w:t>
      </w:r>
      <w:r w:rsidRPr="002C556E">
        <w:t xml:space="preserve"> and the</w:t>
      </w:r>
      <w:r>
        <w:rPr>
          <w:i/>
        </w:rPr>
        <w:t xml:space="preserve"> </w:t>
      </w:r>
      <w:r>
        <w:t>NGER Measurement Determination</w:t>
      </w:r>
      <w:r w:rsidRPr="002C556E">
        <w:t>.</w:t>
      </w:r>
    </w:p>
    <w:p w14:paraId="6234E168" w14:textId="050A8ACB" w:rsidR="001C3815" w:rsidRPr="002C556E" w:rsidRDefault="001C3815" w:rsidP="00906484">
      <w:r w:rsidRPr="002C556E">
        <w:t xml:space="preserve">It is important that data relating to greenhouse gas emissions, energy consumption and energy production of corporations, provided under the </w:t>
      </w:r>
      <w:r>
        <w:t>NGER</w:t>
      </w:r>
      <w:r w:rsidRPr="002C556E">
        <w:t xml:space="preserve"> </w:t>
      </w:r>
      <w:r w:rsidR="00C6715F">
        <w:t>S</w:t>
      </w:r>
      <w:r w:rsidRPr="002C556E">
        <w:t xml:space="preserve">cheme, is accurate and complies with the requirements of the legislation. </w:t>
      </w:r>
    </w:p>
    <w:p w14:paraId="21B82D12" w14:textId="201B61C6" w:rsidR="001C3815" w:rsidRDefault="001C3815" w:rsidP="001C3815">
      <w:r>
        <w:t>The following information has been compiled to provide stakeholders with an understanding of how</w:t>
      </w:r>
      <w:r w:rsidR="004966E7">
        <w:t xml:space="preserve"> the</w:t>
      </w:r>
      <w:r>
        <w:t xml:space="preserve"> </w:t>
      </w:r>
      <w:r w:rsidR="001E2090">
        <w:t>CER</w:t>
      </w:r>
      <w:r>
        <w:t xml:space="preserve"> will apply legislation for some fuel combustion methods through worked examples and elaborations. I</w:t>
      </w:r>
      <w:r w:rsidRPr="00DB244C">
        <w:t>t is intended to assist stakeholders to comply with NGER reporting requirements.</w:t>
      </w:r>
    </w:p>
    <w:p w14:paraId="31A5E0A9" w14:textId="77777777" w:rsidR="001C3815" w:rsidRPr="002C556E" w:rsidRDefault="001C3815" w:rsidP="001C3815">
      <w:r>
        <w:t>Reporters are responsible for ensuring they meet the legislative requirements.</w:t>
      </w:r>
    </w:p>
    <w:p w14:paraId="43A8740F" w14:textId="77777777" w:rsidR="001C3815" w:rsidRPr="00C54C7E" w:rsidRDefault="001C3815" w:rsidP="001C3815">
      <w:pPr>
        <w:pStyle w:val="Heading2"/>
        <w:numPr>
          <w:ilvl w:val="1"/>
          <w:numId w:val="49"/>
        </w:numPr>
        <w:spacing w:after="200"/>
      </w:pPr>
      <w:bookmarkStart w:id="25" w:name="_Toc43983103"/>
      <w:bookmarkStart w:id="26" w:name="_Toc76565687"/>
      <w:bookmarkStart w:id="27" w:name="_Toc204158982"/>
      <w:r w:rsidRPr="00C54C7E">
        <w:t xml:space="preserve">Focus of this </w:t>
      </w:r>
      <w:r>
        <w:t>guideline</w:t>
      </w:r>
      <w:bookmarkEnd w:id="25"/>
      <w:bookmarkEnd w:id="26"/>
      <w:bookmarkEnd w:id="27"/>
    </w:p>
    <w:p w14:paraId="307933EC" w14:textId="77777777" w:rsidR="001C3815" w:rsidRDefault="001C3815" w:rsidP="001C3815">
      <w:bookmarkStart w:id="28" w:name="_Hlk43987715"/>
      <w:bookmarkStart w:id="29" w:name="_Ref509934061"/>
      <w:bookmarkStart w:id="30" w:name="_Toc509935570"/>
      <w:r>
        <w:t xml:space="preserve">The NGER Measurement Determination and the NGER Regulations contain the requirements for estimation and reporting of emissions and energy from fuel combustion. </w:t>
      </w:r>
    </w:p>
    <w:p w14:paraId="34C9C1B9" w14:textId="10CEC652" w:rsidR="001C3815" w:rsidRPr="002C556E" w:rsidRDefault="001C3815" w:rsidP="001C3815">
      <w:bookmarkStart w:id="31" w:name="_Hlk43987783"/>
      <w:bookmarkEnd w:id="28"/>
      <w:r>
        <w:t xml:space="preserve">This guideline focuses on providing guidance on the appropriate application of the methods defined in the NGER Measurement Determination, to reporting entities who report fuel combustion. See </w:t>
      </w:r>
      <w:hyperlink r:id="rId30" w:tooltip="A link to the NGER reporting guides on the Clean Energy Regulator webpage" w:history="1">
        <w:r w:rsidR="005057AE">
          <w:rPr>
            <w:rStyle w:val="Hyperlink"/>
            <w:rFonts w:asciiTheme="minorHAnsi" w:hAnsiTheme="minorHAnsi"/>
          </w:rPr>
          <w:t>NGER Reporting Guides</w:t>
        </w:r>
      </w:hyperlink>
      <w:r w:rsidRPr="00FF338C">
        <w:rPr>
          <w:rStyle w:val="FootnoteReference"/>
        </w:rPr>
        <w:footnoteReference w:id="10"/>
      </w:r>
      <w:r>
        <w:t xml:space="preserve"> for more guidance.</w:t>
      </w:r>
      <w:r w:rsidRPr="00FF338C">
        <w:rPr>
          <w:rFonts w:ascii="Times New Roman" w:hAnsi="Times New Roman" w:cs="Times New Roman"/>
          <w:sz w:val="24"/>
          <w:lang w:eastAsia="en-AU"/>
        </w:rPr>
        <w:t xml:space="preserve"> </w:t>
      </w:r>
      <w:r w:rsidRPr="00FF338C">
        <w:t xml:space="preserve"> </w:t>
      </w:r>
      <w:bookmarkEnd w:id="31"/>
      <w:r w:rsidRPr="002C556E">
        <w:br w:type="page"/>
      </w:r>
    </w:p>
    <w:p w14:paraId="3B1999A5" w14:textId="7858883C" w:rsidR="001C3815" w:rsidRPr="002C556E" w:rsidRDefault="001C3815" w:rsidP="001C3815">
      <w:pPr>
        <w:pStyle w:val="Heading1"/>
        <w:keepNext/>
        <w:numPr>
          <w:ilvl w:val="0"/>
          <w:numId w:val="49"/>
        </w:numPr>
        <w:spacing w:before="280" w:after="200"/>
        <w:rPr>
          <w:lang w:val="en-GB"/>
        </w:rPr>
      </w:pPr>
      <w:bookmarkStart w:id="33" w:name="_Toc43983104"/>
      <w:bookmarkStart w:id="34" w:name="_Toc76565688"/>
      <w:bookmarkStart w:id="35" w:name="_Toc204158983"/>
      <w:r w:rsidRPr="002C556E">
        <w:rPr>
          <w:lang w:val="en-GB"/>
        </w:rPr>
        <w:lastRenderedPageBreak/>
        <w:t>Good practice</w:t>
      </w:r>
      <w:r w:rsidR="00196966">
        <w:rPr>
          <w:lang w:val="en-GB"/>
        </w:rPr>
        <w:t>s in</w:t>
      </w:r>
      <w:r w:rsidRPr="002C556E">
        <w:rPr>
          <w:lang w:val="en-GB"/>
        </w:rPr>
        <w:t xml:space="preserve"> NGER reporting</w:t>
      </w:r>
      <w:bookmarkEnd w:id="33"/>
      <w:bookmarkEnd w:id="34"/>
      <w:bookmarkEnd w:id="35"/>
      <w:r w:rsidRPr="002C556E">
        <w:rPr>
          <w:lang w:val="en-GB"/>
        </w:rPr>
        <w:t xml:space="preserve"> </w:t>
      </w:r>
      <w:bookmarkEnd w:id="29"/>
      <w:bookmarkEnd w:id="30"/>
    </w:p>
    <w:p w14:paraId="6C16447E" w14:textId="77777777" w:rsidR="00DA4A65" w:rsidRDefault="001C3815" w:rsidP="00DA4A65">
      <w:r w:rsidRPr="002C556E">
        <w:t xml:space="preserve">Registered reporters must keep records of the group-wide facility and NGER data used for reporting in accordance with the NGER Act. </w:t>
      </w:r>
    </w:p>
    <w:p w14:paraId="57C0FBD9" w14:textId="77777777" w:rsidR="00DA4A65" w:rsidRDefault="00DA4A65" w:rsidP="00DA4A65">
      <w:r>
        <w:t xml:space="preserve">As per section 22 of the NGER Act, a registered corporation must keep records that: </w:t>
      </w:r>
    </w:p>
    <w:p w14:paraId="218AA700" w14:textId="0EB1BED2" w:rsidR="00DA4A65" w:rsidRDefault="00DA4A65" w:rsidP="001F7FDF">
      <w:pPr>
        <w:pStyle w:val="CERbullets"/>
      </w:pPr>
      <w:r>
        <w:t xml:space="preserve">allow it to report accurately under the NGER Act </w:t>
      </w:r>
    </w:p>
    <w:p w14:paraId="5F356571" w14:textId="3DC2D19E" w:rsidR="00DA4A65" w:rsidRDefault="00DA4A65" w:rsidP="001F7FDF">
      <w:pPr>
        <w:pStyle w:val="CERbullets"/>
      </w:pPr>
      <w:r>
        <w:t xml:space="preserve">enable the CER to ascertain whether the corporation has complied with its obligations under the NGER Act. </w:t>
      </w:r>
    </w:p>
    <w:p w14:paraId="602814B3" w14:textId="31E246AA" w:rsidR="001C3815" w:rsidRPr="002C556E" w:rsidRDefault="002245B1" w:rsidP="00DA4A65">
      <w:r>
        <w:t>R</w:t>
      </w:r>
      <w:r w:rsidR="00DA4A65">
        <w:t xml:space="preserve">ecords must be kept in a form that is easily and quickly accessible for inspection and audit. </w:t>
      </w:r>
      <w:r w:rsidR="00DC3881">
        <w:t>They also</w:t>
      </w:r>
      <w:r w:rsidR="00DA4A65">
        <w:t xml:space="preserve"> must </w:t>
      </w:r>
      <w:r w:rsidR="00DC3881">
        <w:t xml:space="preserve">be </w:t>
      </w:r>
      <w:r w:rsidR="00DA4A65">
        <w:t>kep</w:t>
      </w:r>
      <w:r w:rsidR="00DC3881">
        <w:t>t</w:t>
      </w:r>
      <w:r w:rsidR="00DA4A65">
        <w:t xml:space="preserve"> for 5 years from the end of the financial year in which the relevant activity took place.</w:t>
      </w:r>
    </w:p>
    <w:p w14:paraId="7CAEF4FC" w14:textId="23571312" w:rsidR="001C3815" w:rsidRPr="002C556E" w:rsidRDefault="001C3815" w:rsidP="001C3815">
      <w:r>
        <w:t>Records should</w:t>
      </w:r>
      <w:r w:rsidRPr="002C556E">
        <w:t xml:space="preserve"> </w:t>
      </w:r>
      <w:r w:rsidR="00592E0A">
        <w:t>capture</w:t>
      </w:r>
      <w:r w:rsidRPr="002C556E">
        <w:t xml:space="preserve"> source</w:t>
      </w:r>
      <w:r w:rsidR="00852E76">
        <w:t>,</w:t>
      </w:r>
      <w:r w:rsidRPr="002C556E">
        <w:t xml:space="preserve"> </w:t>
      </w:r>
      <w:proofErr w:type="gramStart"/>
      <w:r w:rsidRPr="002C556E">
        <w:t>activity ,</w:t>
      </w:r>
      <w:proofErr w:type="gramEnd"/>
      <w:r w:rsidRPr="002C556E">
        <w:t xml:space="preserve"> and processing data using the general estimation principles in section 1.13 of the </w:t>
      </w:r>
      <w:r>
        <w:t>NGER Measurement Determination</w:t>
      </w:r>
      <w:r w:rsidRPr="002C556E">
        <w:t xml:space="preserve">, </w:t>
      </w:r>
      <w:r>
        <w:t>see</w:t>
      </w:r>
      <w:r w:rsidRPr="002C556E">
        <w:t xml:space="preserve"> </w:t>
      </w:r>
      <w:r w:rsidRPr="002C556E">
        <w:fldChar w:fldCharType="begin"/>
      </w:r>
      <w:r w:rsidRPr="002C556E">
        <w:instrText xml:space="preserve"> REF _Ref510507983 \h </w:instrText>
      </w:r>
      <w:r>
        <w:instrText xml:space="preserve"> \* MERGEFORMAT </w:instrText>
      </w:r>
      <w:r w:rsidRPr="002C556E">
        <w:fldChar w:fldCharType="separate"/>
      </w:r>
      <w:r w:rsidR="00DB7B65" w:rsidRPr="002C556E">
        <w:t xml:space="preserve">Table </w:t>
      </w:r>
      <w:r w:rsidR="00DB7B65">
        <w:rPr>
          <w:noProof/>
        </w:rPr>
        <w:t>1</w:t>
      </w:r>
      <w:r w:rsidRPr="002C556E">
        <w:fldChar w:fldCharType="end"/>
      </w:r>
      <w:r>
        <w:t xml:space="preserve"> below</w:t>
      </w:r>
      <w:r w:rsidRPr="002C556E">
        <w:t>.</w:t>
      </w:r>
    </w:p>
    <w:p w14:paraId="5EF95F35" w14:textId="1ED2E326" w:rsidR="001C3815" w:rsidRPr="002C556E" w:rsidRDefault="001C3815" w:rsidP="001C3815">
      <w:pPr>
        <w:pStyle w:val="Caption"/>
        <w:keepNext/>
      </w:pPr>
      <w:bookmarkStart w:id="36" w:name="_Ref510507983"/>
      <w:r w:rsidRPr="002C556E">
        <w:t xml:space="preserve">Table </w:t>
      </w:r>
      <w:r w:rsidR="00343929">
        <w:fldChar w:fldCharType="begin"/>
      </w:r>
      <w:r w:rsidR="00343929">
        <w:instrText xml:space="preserve"> SEQ Table \* ARABIC </w:instrText>
      </w:r>
      <w:r w:rsidR="00343929">
        <w:fldChar w:fldCharType="separate"/>
      </w:r>
      <w:r w:rsidR="00DB7B65">
        <w:rPr>
          <w:noProof/>
        </w:rPr>
        <w:t>1</w:t>
      </w:r>
      <w:r w:rsidR="00343929">
        <w:rPr>
          <w:noProof/>
        </w:rPr>
        <w:fldChar w:fldCharType="end"/>
      </w:r>
      <w:bookmarkEnd w:id="36"/>
      <w:r>
        <w:t>:</w:t>
      </w:r>
      <w:r w:rsidRPr="002C556E">
        <w:t xml:space="preserve"> General estimation principles in s1.13 </w:t>
      </w:r>
      <w:r>
        <w:t>of the NGER Measurement Determination</w:t>
      </w:r>
      <w:r w:rsidR="00E0301C">
        <w:t>.</w:t>
      </w:r>
      <w:r w:rsidRPr="002C556E">
        <w:t xml:space="preserve"> </w:t>
      </w:r>
    </w:p>
    <w:tbl>
      <w:tblPr>
        <w:tblStyle w:val="CERTable"/>
        <w:tblW w:w="5000" w:type="pct"/>
        <w:tblLook w:val="00A0" w:firstRow="1" w:lastRow="0" w:firstColumn="1" w:lastColumn="0" w:noHBand="0" w:noVBand="0"/>
      </w:tblPr>
      <w:tblGrid>
        <w:gridCol w:w="3243"/>
        <w:gridCol w:w="6497"/>
      </w:tblGrid>
      <w:tr w:rsidR="001C3815" w:rsidRPr="003E5D50" w14:paraId="03A4F521" w14:textId="77777777" w:rsidTr="005E213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5" w:type="pct"/>
            <w:vAlign w:val="center"/>
          </w:tcPr>
          <w:p w14:paraId="1FC6513E" w14:textId="77777777" w:rsidR="001C3815" w:rsidRPr="003E5D50" w:rsidRDefault="001C3815" w:rsidP="00793B33">
            <w:r w:rsidRPr="003E5D50">
              <w:t>General estimation principles</w:t>
            </w:r>
          </w:p>
        </w:tc>
        <w:tc>
          <w:tcPr>
            <w:tcW w:w="3335" w:type="pct"/>
          </w:tcPr>
          <w:p w14:paraId="16277AF6" w14:textId="77777777" w:rsidR="001C3815" w:rsidRPr="003E5D50" w:rsidRDefault="001C3815" w:rsidP="00793B33">
            <w:pPr>
              <w:cnfStyle w:val="100000000000" w:firstRow="1" w:lastRow="0" w:firstColumn="0" w:lastColumn="0" w:oddVBand="0" w:evenVBand="0" w:oddHBand="0" w:evenHBand="0" w:firstRowFirstColumn="0" w:firstRowLastColumn="0" w:lastRowFirstColumn="0" w:lastRowLastColumn="0"/>
            </w:pPr>
            <w:r w:rsidRPr="003E5D50">
              <w:t>Example implication for NGER reporting</w:t>
            </w:r>
          </w:p>
        </w:tc>
      </w:tr>
      <w:tr w:rsidR="001C3815" w:rsidRPr="003E5D50" w14:paraId="5BE069DB" w14:textId="77777777" w:rsidTr="005E2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pct"/>
          </w:tcPr>
          <w:p w14:paraId="6A5CAA95" w14:textId="77777777" w:rsidR="001C3815" w:rsidRPr="00793B33" w:rsidRDefault="001C3815" w:rsidP="00793B33">
            <w:r w:rsidRPr="00793B33">
              <w:t>Transparency</w:t>
            </w:r>
          </w:p>
          <w:p w14:paraId="00090DCB" w14:textId="77777777" w:rsidR="001C3815" w:rsidRPr="00833CD6" w:rsidRDefault="001C3815" w:rsidP="00793B33">
            <w:pPr>
              <w:rPr>
                <w:b w:val="0"/>
                <w:bCs/>
              </w:rPr>
            </w:pPr>
            <w:r w:rsidRPr="00833CD6">
              <w:rPr>
                <w:b w:val="0"/>
                <w:bCs/>
              </w:rPr>
              <w:t>Emission estimates must be documented and verifiable.</w:t>
            </w:r>
          </w:p>
        </w:tc>
        <w:tc>
          <w:tcPr>
            <w:tcW w:w="3335" w:type="pct"/>
          </w:tcPr>
          <w:p w14:paraId="1785046C" w14:textId="7C083E5E" w:rsidR="00621C74" w:rsidRDefault="004E5E6F" w:rsidP="00793B33">
            <w:pPr>
              <w:cnfStyle w:val="000000100000" w:firstRow="0" w:lastRow="0" w:firstColumn="0" w:lastColumn="0" w:oddVBand="0" w:evenVBand="0" w:oddHBand="1" w:evenHBand="0" w:firstRowFirstColumn="0" w:firstRowLastColumn="0" w:lastRowFirstColumn="0" w:lastRowLastColumn="0"/>
            </w:pPr>
            <w:r>
              <w:t xml:space="preserve">The creation of a </w:t>
            </w:r>
            <w:r w:rsidR="00305CDA">
              <w:t>‘Basis of Preparation’ (</w:t>
            </w:r>
            <w:r>
              <w:t>BoP</w:t>
            </w:r>
            <w:r w:rsidR="00305CDA">
              <w:t>)</w:t>
            </w:r>
            <w:r>
              <w:t xml:space="preserve"> helps </w:t>
            </w:r>
            <w:r w:rsidR="00B20C6D">
              <w:t>reporters</w:t>
            </w:r>
            <w:r>
              <w:t xml:space="preserve"> to meet </w:t>
            </w:r>
            <w:r w:rsidR="005820E2">
              <w:t>their</w:t>
            </w:r>
            <w:r>
              <w:t xml:space="preserve"> NGER record-keeping requirements.</w:t>
            </w:r>
          </w:p>
          <w:p w14:paraId="28CED9A5" w14:textId="3CB03933" w:rsidR="00621C74" w:rsidRDefault="0039440A" w:rsidP="00793B33">
            <w:pPr>
              <w:cnfStyle w:val="000000100000" w:firstRow="0" w:lastRow="0" w:firstColumn="0" w:lastColumn="0" w:oddVBand="0" w:evenVBand="0" w:oddHBand="1" w:evenHBand="0" w:firstRowFirstColumn="0" w:firstRowLastColumn="0" w:lastRowFirstColumn="0" w:lastRowLastColumn="0"/>
            </w:pPr>
            <w:r>
              <w:t xml:space="preserve">The </w:t>
            </w:r>
            <w:r w:rsidR="00932E12">
              <w:t>BoP</w:t>
            </w:r>
            <w:r w:rsidR="009E6F5D">
              <w:t xml:space="preserve"> </w:t>
            </w:r>
            <w:r>
              <w:t xml:space="preserve">is </w:t>
            </w:r>
            <w:r w:rsidR="007C4C49">
              <w:t xml:space="preserve">designed </w:t>
            </w:r>
            <w:r>
              <w:t xml:space="preserve">to </w:t>
            </w:r>
            <w:r w:rsidR="009E6F5D">
              <w:t xml:space="preserve">capture all </w:t>
            </w:r>
            <w:r w:rsidR="009E6F5D" w:rsidRPr="00793B33">
              <w:t xml:space="preserve">key decisions and assumptions made </w:t>
            </w:r>
            <w:r w:rsidR="00015D28">
              <w:t>in prep</w:t>
            </w:r>
            <w:r w:rsidR="00012FE4">
              <w:t>aring</w:t>
            </w:r>
            <w:r w:rsidR="009E6F5D">
              <w:t xml:space="preserve"> </w:t>
            </w:r>
            <w:r w:rsidR="005820E2">
              <w:t>the</w:t>
            </w:r>
            <w:r w:rsidR="009E6F5D" w:rsidRPr="00793B33">
              <w:t xml:space="preserve"> NGER report</w:t>
            </w:r>
            <w:r w:rsidR="001E1E08">
              <w:t>.</w:t>
            </w:r>
          </w:p>
          <w:p w14:paraId="4983AF14" w14:textId="50DA8931" w:rsidR="001C3815" w:rsidRPr="00793B33" w:rsidRDefault="004E5E6F" w:rsidP="00793B33">
            <w:pPr>
              <w:cnfStyle w:val="000000100000" w:firstRow="0" w:lastRow="0" w:firstColumn="0" w:lastColumn="0" w:oddVBand="0" w:evenVBand="0" w:oddHBand="1" w:evenHBand="0" w:firstRowFirstColumn="0" w:firstRowLastColumn="0" w:lastRowFirstColumn="0" w:lastRowLastColumn="0"/>
            </w:pPr>
            <w:r>
              <w:t xml:space="preserve">We encourage </w:t>
            </w:r>
            <w:r w:rsidR="005820E2">
              <w:t>reporters</w:t>
            </w:r>
            <w:r>
              <w:t xml:space="preserve"> to submit </w:t>
            </w:r>
            <w:r w:rsidR="0047523D">
              <w:t>their</w:t>
            </w:r>
            <w:r>
              <w:t xml:space="preserve"> BoP (or summary) with each year’s NGER report to clarify key assumptions and decisions. </w:t>
            </w:r>
          </w:p>
        </w:tc>
      </w:tr>
      <w:tr w:rsidR="001C3815" w:rsidRPr="003E5D50" w14:paraId="14E7C6A0" w14:textId="77777777" w:rsidTr="005E21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pct"/>
          </w:tcPr>
          <w:p w14:paraId="4B49DD5C" w14:textId="77777777" w:rsidR="001C3815" w:rsidRPr="00833CD6" w:rsidRDefault="001C3815" w:rsidP="00793B33">
            <w:r w:rsidRPr="00833CD6">
              <w:t>Comparability</w:t>
            </w:r>
          </w:p>
          <w:p w14:paraId="6BBDF45A" w14:textId="0FEA1ABE" w:rsidR="001C3815" w:rsidRPr="00833CD6" w:rsidRDefault="001C3815" w:rsidP="00793B33">
            <w:pPr>
              <w:rPr>
                <w:b w:val="0"/>
                <w:bCs/>
              </w:rPr>
            </w:pPr>
            <w:r w:rsidRPr="00833CD6">
              <w:rPr>
                <w:b w:val="0"/>
                <w:bCs/>
              </w:rPr>
              <w:t xml:space="preserve">Emission estimates using a particular method and produced by a registered corporation in an industry sector must be comparable with emission estimates produced by similar corporations in that industry sector using the same method and be consistent with the emission estimates published by the Department in the Australia’s </w:t>
            </w:r>
            <w:hyperlink r:id="rId31" w:tooltip="A link to the Tracking and reporting greenhouse gas emissions page on the Department of Climate Change Energy the Environment and Water's website" w:history="1">
              <w:r w:rsidRPr="00833CD6">
                <w:rPr>
                  <w:rStyle w:val="Hyperlink"/>
                  <w:b w:val="0"/>
                  <w:bCs/>
                </w:rPr>
                <w:t>National Greenhouse Accounts</w:t>
              </w:r>
            </w:hyperlink>
            <w:r w:rsidRPr="00873709">
              <w:rPr>
                <w:vertAlign w:val="superscript"/>
              </w:rPr>
              <w:footnoteReference w:id="11"/>
            </w:r>
            <w:r w:rsidRPr="00833CD6">
              <w:rPr>
                <w:b w:val="0"/>
                <w:bCs/>
              </w:rPr>
              <w:t>.</w:t>
            </w:r>
          </w:p>
        </w:tc>
        <w:tc>
          <w:tcPr>
            <w:tcW w:w="3335" w:type="pct"/>
          </w:tcPr>
          <w:p w14:paraId="71540A0B" w14:textId="77777777" w:rsidR="001C3815" w:rsidRPr="00793B33" w:rsidRDefault="001C3815" w:rsidP="00793B33">
            <w:pPr>
              <w:cnfStyle w:val="000000010000" w:firstRow="0" w:lastRow="0" w:firstColumn="0" w:lastColumn="0" w:oddVBand="0" w:evenVBand="0" w:oddHBand="0" w:evenHBand="1" w:firstRowFirstColumn="0" w:firstRowLastColumn="0" w:lastRowFirstColumn="0" w:lastRowLastColumn="0"/>
            </w:pPr>
            <w:r w:rsidRPr="00793B33">
              <w:t>Appropriately applying the rules and requirements of the NGER Measurement Determination will achieve this for most activity data and emissions estimates when reporting fuel combustion.</w:t>
            </w:r>
          </w:p>
          <w:p w14:paraId="401230D2" w14:textId="77777777" w:rsidR="001C3815" w:rsidRPr="00793B33" w:rsidRDefault="001C3815" w:rsidP="00793B33">
            <w:pPr>
              <w:cnfStyle w:val="000000010000" w:firstRow="0" w:lastRow="0" w:firstColumn="0" w:lastColumn="0" w:oddVBand="0" w:evenVBand="0" w:oddHBand="0" w:evenHBand="1" w:firstRowFirstColumn="0" w:firstRowLastColumn="0" w:lastRowFirstColumn="0" w:lastRowLastColumn="0"/>
            </w:pPr>
            <w:r w:rsidRPr="00793B33">
              <w:t>When using industry practice approaches, for example when estimating the quantity of gaseous fuel combusted that was not acquired though commercial transaction, following industry practice is a minimum but it should also meet other requirements, such as ‘Transparency’ and ‘Accuracy’. Using industry practice can only be accepted if it also meets the other principles and requirements set out in the NGER Measurement Determination.</w:t>
            </w:r>
          </w:p>
        </w:tc>
      </w:tr>
      <w:tr w:rsidR="001C3815" w:rsidRPr="003E5D50" w14:paraId="070D903F" w14:textId="77777777" w:rsidTr="005E2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pct"/>
          </w:tcPr>
          <w:p w14:paraId="1ABBB5E7" w14:textId="77777777" w:rsidR="001C3815" w:rsidRPr="00793B33" w:rsidRDefault="001C3815" w:rsidP="00793B33">
            <w:r w:rsidRPr="00793B33">
              <w:lastRenderedPageBreak/>
              <w:t>Accuracy</w:t>
            </w:r>
          </w:p>
          <w:p w14:paraId="2E3E273A" w14:textId="77777777" w:rsidR="001C3815" w:rsidRPr="00833CD6" w:rsidRDefault="001C3815" w:rsidP="00793B33">
            <w:pPr>
              <w:rPr>
                <w:b w:val="0"/>
                <w:bCs/>
              </w:rPr>
            </w:pPr>
            <w:r w:rsidRPr="00833CD6">
              <w:rPr>
                <w:b w:val="0"/>
                <w:bCs/>
              </w:rPr>
              <w:t>Having regard to the availability of reasonable resources by a registered corporation and the requirements of the NGER Measurement Determination, uncertainties in emission estimates must be minimised and any estimates must be neither over nor under estimates of the true values at a 95% confidence level</w:t>
            </w:r>
            <w:r w:rsidRPr="00873709">
              <w:rPr>
                <w:vertAlign w:val="superscript"/>
              </w:rPr>
              <w:footnoteReference w:id="12"/>
            </w:r>
            <w:r w:rsidRPr="00833CD6">
              <w:rPr>
                <w:b w:val="0"/>
                <w:bCs/>
              </w:rPr>
              <w:t>.</w:t>
            </w:r>
          </w:p>
        </w:tc>
        <w:tc>
          <w:tcPr>
            <w:tcW w:w="3335" w:type="pct"/>
          </w:tcPr>
          <w:p w14:paraId="21739A6A" w14:textId="77777777" w:rsidR="001C3815" w:rsidRPr="00793B33" w:rsidRDefault="001C3815" w:rsidP="00793B33">
            <w:pPr>
              <w:cnfStyle w:val="000000100000" w:firstRow="0" w:lastRow="0" w:firstColumn="0" w:lastColumn="0" w:oddVBand="0" w:evenVBand="0" w:oddHBand="1" w:evenHBand="0" w:firstRowFirstColumn="0" w:firstRowLastColumn="0" w:lastRowFirstColumn="0" w:lastRowLastColumn="0"/>
            </w:pPr>
            <w:r w:rsidRPr="00793B33">
              <w:t>Sampling, for example for energy content or emissions factors, should be performed for a duration and frequency to enable reliable data. This is particularly relevant:</w:t>
            </w:r>
          </w:p>
          <w:p w14:paraId="6AF78CC7" w14:textId="77777777" w:rsidR="001C3815" w:rsidRPr="00793B33" w:rsidRDefault="001C3815" w:rsidP="00793B33">
            <w:pPr>
              <w:cnfStyle w:val="000000100000" w:firstRow="0" w:lastRow="0" w:firstColumn="0" w:lastColumn="0" w:oddVBand="0" w:evenVBand="0" w:oddHBand="1" w:evenHBand="0" w:firstRowFirstColumn="0" w:firstRowLastColumn="0" w:lastRowFirstColumn="0" w:lastRowLastColumn="0"/>
            </w:pPr>
            <w:r w:rsidRPr="00793B33">
              <w:t>Where higher order methods are used, for example Method 4 for fugitive emissions, sampling frequency should support an appropriate 95% confidence interval.</w:t>
            </w:r>
          </w:p>
          <w:p w14:paraId="35E097F1" w14:textId="77777777" w:rsidR="001C3815" w:rsidRPr="00793B33" w:rsidRDefault="001C3815" w:rsidP="00793B33">
            <w:pPr>
              <w:cnfStyle w:val="000000100000" w:firstRow="0" w:lastRow="0" w:firstColumn="0" w:lastColumn="0" w:oddVBand="0" w:evenVBand="0" w:oddHBand="1" w:evenHBand="0" w:firstRowFirstColumn="0" w:firstRowLastColumn="0" w:lastRowFirstColumn="0" w:lastRowLastColumn="0"/>
            </w:pPr>
            <w:r w:rsidRPr="00793B33">
              <w:t>Where industry practice may be used to capture data, for example if used for flaring emissions.</w:t>
            </w:r>
          </w:p>
          <w:p w14:paraId="0431D6E4" w14:textId="77777777" w:rsidR="001C3815" w:rsidRPr="00793B33" w:rsidRDefault="001C3815" w:rsidP="00793B33">
            <w:pPr>
              <w:cnfStyle w:val="000000100000" w:firstRow="0" w:lastRow="0" w:firstColumn="0" w:lastColumn="0" w:oddVBand="0" w:evenVBand="0" w:oddHBand="1" w:evenHBand="0" w:firstRowFirstColumn="0" w:firstRowLastColumn="0" w:lastRowFirstColumn="0" w:lastRowLastColumn="0"/>
            </w:pPr>
            <w:r w:rsidRPr="00793B33">
              <w:t>Estimates should be neutral without bias – use of a ‘conservative’ estimate, for example overstating or understating emissions when compared to the likely true value is not allowed.</w:t>
            </w:r>
          </w:p>
        </w:tc>
      </w:tr>
      <w:tr w:rsidR="001C3815" w:rsidRPr="003E5D50" w14:paraId="6672DD47" w14:textId="77777777" w:rsidTr="005E21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pct"/>
          </w:tcPr>
          <w:p w14:paraId="2E6362D5" w14:textId="77777777" w:rsidR="001C3815" w:rsidRPr="00793B33" w:rsidRDefault="001C3815" w:rsidP="00793B33">
            <w:r w:rsidRPr="00793B33">
              <w:t>Completeness</w:t>
            </w:r>
          </w:p>
          <w:p w14:paraId="35D343B8" w14:textId="77777777" w:rsidR="001C3815" w:rsidRPr="00833CD6" w:rsidRDefault="001C3815" w:rsidP="00793B33">
            <w:pPr>
              <w:rPr>
                <w:b w:val="0"/>
                <w:bCs/>
              </w:rPr>
            </w:pPr>
            <w:r w:rsidRPr="00833CD6">
              <w:rPr>
                <w:b w:val="0"/>
                <w:bCs/>
              </w:rPr>
              <w:t xml:space="preserve">Subject to any applicable reporting thresholds, all emission sources identified in section 1.10 of the NGER Measurement Determination, and production and consumption of all fuels and energy commodities listed in schedule 1 of the NGER Regulations, must be accounted for. </w:t>
            </w:r>
          </w:p>
        </w:tc>
        <w:tc>
          <w:tcPr>
            <w:tcW w:w="3335" w:type="pct"/>
          </w:tcPr>
          <w:p w14:paraId="04D9C87B" w14:textId="77777777" w:rsidR="001C3815" w:rsidRPr="00793B33" w:rsidRDefault="001C3815" w:rsidP="00793B33">
            <w:pPr>
              <w:cnfStyle w:val="000000010000" w:firstRow="0" w:lastRow="0" w:firstColumn="0" w:lastColumn="0" w:oddVBand="0" w:evenVBand="0" w:oddHBand="0" w:evenHBand="1" w:firstRowFirstColumn="0" w:firstRowLastColumn="0" w:lastRowFirstColumn="0" w:lastRowLastColumn="0"/>
            </w:pPr>
            <w:r w:rsidRPr="00793B33">
              <w:t>All typical source types for fuel combustion as defined by the NGER Measurement Determination appropriately identified and reported.</w:t>
            </w:r>
          </w:p>
          <w:p w14:paraId="31ECD9F8" w14:textId="77777777" w:rsidR="001C3815" w:rsidRPr="00793B33" w:rsidRDefault="001C3815" w:rsidP="00793B33">
            <w:pPr>
              <w:cnfStyle w:val="000000010000" w:firstRow="0" w:lastRow="0" w:firstColumn="0" w:lastColumn="0" w:oddVBand="0" w:evenVBand="0" w:oddHBand="0" w:evenHBand="1" w:firstRowFirstColumn="0" w:firstRowLastColumn="0" w:lastRowFirstColumn="0" w:lastRowLastColumn="0"/>
            </w:pPr>
            <w:r w:rsidRPr="00793B33">
              <w:t>Identifying and documenting all instances and occurrences of relevant sources, for example if additional activity data needs to be captured, such as for fuel usage of contractors on-site or electricity generation and consumption.</w:t>
            </w:r>
          </w:p>
        </w:tc>
      </w:tr>
    </w:tbl>
    <w:p w14:paraId="5F9FD2FE" w14:textId="77777777" w:rsidR="001C3815" w:rsidRDefault="001C3815" w:rsidP="001C3815"/>
    <w:p w14:paraId="116E5130" w14:textId="394921BF" w:rsidR="001C3815" w:rsidRPr="002C556E" w:rsidRDefault="001C3815" w:rsidP="001C3815">
      <w:r w:rsidRPr="002C556E">
        <w:t xml:space="preserve">An </w:t>
      </w:r>
      <w:r>
        <w:t>Executive Officer (EO)</w:t>
      </w:r>
      <w:r w:rsidRPr="002C556E">
        <w:t xml:space="preserve"> must approve the report</w:t>
      </w:r>
      <w:r>
        <w:t>’s submission</w:t>
      </w:r>
      <w:r w:rsidRPr="002C556E">
        <w:t xml:space="preserve"> to </w:t>
      </w:r>
      <w:r w:rsidR="001E2090">
        <w:t>CER</w:t>
      </w:r>
      <w:r w:rsidRPr="002C556E">
        <w:t xml:space="preserve">, confirming that </w:t>
      </w:r>
      <w:r>
        <w:t>it</w:t>
      </w:r>
      <w:r w:rsidRPr="002C556E">
        <w:t xml:space="preserve"> has been prepared in accordance with the </w:t>
      </w:r>
      <w:r>
        <w:t>NGER l</w:t>
      </w:r>
      <w:r w:rsidRPr="002C556E">
        <w:t xml:space="preserve">egislation, including that the general principles have been appropriately applied. </w:t>
      </w:r>
      <w:r>
        <w:t>It is up to reporters to determine</w:t>
      </w:r>
      <w:r w:rsidRPr="002C556E">
        <w:t xml:space="preserve"> the appropriate processes and internal controls to </w:t>
      </w:r>
      <w:r>
        <w:t>ensure that a compliant report is submitted on time, supported by adequate records</w:t>
      </w:r>
      <w:r w:rsidRPr="002C556E">
        <w:t xml:space="preserve">. </w:t>
      </w:r>
      <w:r>
        <w:t>This process should be</w:t>
      </w:r>
      <w:r w:rsidRPr="002C556E">
        <w:t xml:space="preserve"> formalised and repeatable.</w:t>
      </w:r>
    </w:p>
    <w:p w14:paraId="502D5C07" w14:textId="77777777" w:rsidR="001C3815" w:rsidRPr="002C556E" w:rsidRDefault="001C3815" w:rsidP="001C3815">
      <w:pPr>
        <w:spacing w:after="0"/>
      </w:pPr>
      <w:r w:rsidRPr="002C556E">
        <w:t>Recommendations for compliant NGER reporting include the following:</w:t>
      </w:r>
    </w:p>
    <w:p w14:paraId="77305E38" w14:textId="77777777" w:rsidR="001C3815" w:rsidRPr="002C556E" w:rsidRDefault="001C3815" w:rsidP="001C3815">
      <w:pPr>
        <w:pStyle w:val="CERbullets"/>
      </w:pPr>
      <w:bookmarkStart w:id="37" w:name="_Hlk48306300"/>
      <w:r w:rsidRPr="002C556E">
        <w:rPr>
          <w:b/>
        </w:rPr>
        <w:t>Formalising NGER reporting governance</w:t>
      </w:r>
      <w:r w:rsidRPr="002C556E">
        <w:t xml:space="preserve"> – due to the complexity for many corporations, formalising the governance arrangements may be important. This may include:</w:t>
      </w:r>
    </w:p>
    <w:p w14:paraId="159B76D8" w14:textId="4DBED500" w:rsidR="001C3815" w:rsidRPr="002C556E" w:rsidRDefault="001C3815" w:rsidP="005E2132">
      <w:pPr>
        <w:pStyle w:val="CERbullets"/>
      </w:pPr>
      <w:r w:rsidRPr="002C556E">
        <w:rPr>
          <w:b/>
        </w:rPr>
        <w:lastRenderedPageBreak/>
        <w:t>Accountable (senior) manager</w:t>
      </w:r>
      <w:r w:rsidRPr="002C556E">
        <w:t xml:space="preserve"> – accountable for executing the annual reporting process and preparing it for the </w:t>
      </w:r>
      <w:r>
        <w:t>EO</w:t>
      </w:r>
      <w:r w:rsidRPr="002C556E">
        <w:t>’s signature. Th</w:t>
      </w:r>
      <w:r>
        <w:t>is</w:t>
      </w:r>
      <w:r w:rsidRPr="002C556E">
        <w:t xml:space="preserve"> could include:</w:t>
      </w:r>
    </w:p>
    <w:p w14:paraId="082AF08C" w14:textId="77777777" w:rsidR="001C3815" w:rsidRPr="00F149D6" w:rsidRDefault="001C3815" w:rsidP="001C3815">
      <w:pPr>
        <w:numPr>
          <w:ilvl w:val="2"/>
          <w:numId w:val="21"/>
        </w:numPr>
        <w:spacing w:before="120" w:after="120"/>
        <w:rPr>
          <w:rFonts w:ascii="Calibri" w:hAnsi="Calibri" w:cs="Calibri"/>
          <w:color w:val="000000"/>
        </w:rPr>
      </w:pPr>
      <w:r w:rsidRPr="00F149D6">
        <w:rPr>
          <w:rFonts w:ascii="Calibri" w:hAnsi="Calibri" w:cs="Calibri"/>
          <w:color w:val="000000"/>
        </w:rPr>
        <w:t>accountability for ensuring the process and documentation complies with the requirements of NGER Legislation</w:t>
      </w:r>
    </w:p>
    <w:p w14:paraId="725AE78C" w14:textId="77777777" w:rsidR="001C3815" w:rsidRPr="00F149D6" w:rsidRDefault="001C3815" w:rsidP="001C3815">
      <w:pPr>
        <w:numPr>
          <w:ilvl w:val="2"/>
          <w:numId w:val="21"/>
        </w:numPr>
        <w:spacing w:before="120" w:after="120"/>
        <w:rPr>
          <w:rFonts w:ascii="Calibri" w:hAnsi="Calibri" w:cs="Calibri"/>
          <w:color w:val="000000"/>
        </w:rPr>
      </w:pPr>
      <w:r w:rsidRPr="00F149D6">
        <w:rPr>
          <w:rFonts w:ascii="Calibri" w:hAnsi="Calibri" w:cs="Calibri"/>
          <w:color w:val="000000"/>
        </w:rPr>
        <w:t>allocating sufficient resources to execute the process, including ability to instruct appropriate people to perform duties defined under the NGER reporting process – either directly, or via reference to the signing EO.</w:t>
      </w:r>
    </w:p>
    <w:bookmarkEnd w:id="37"/>
    <w:p w14:paraId="2471EB02" w14:textId="4CAC0BB8" w:rsidR="001C3815" w:rsidRPr="002C556E" w:rsidRDefault="001C3815" w:rsidP="005E2132">
      <w:pPr>
        <w:pStyle w:val="CERbullets"/>
      </w:pPr>
      <w:r w:rsidRPr="002C556E">
        <w:rPr>
          <w:b/>
        </w:rPr>
        <w:t>Responsible NGER process owner</w:t>
      </w:r>
      <w:r w:rsidRPr="002C556E">
        <w:t xml:space="preserve"> – responsible for designing, updating and implementing the annual reporting process, with reference to the accountable (senior) manager. It includes updating the annual basis of preparation (BoP) and collaborating with data owners to define data requirements that comply with the requirements of the NGER </w:t>
      </w:r>
      <w:r>
        <w:t>L</w:t>
      </w:r>
      <w:r w:rsidRPr="002C556E">
        <w:t>egislation. The responsible NGER process owner may comprise more than one individual in a small</w:t>
      </w:r>
      <w:r w:rsidR="00387C92">
        <w:t>,</w:t>
      </w:r>
      <w:r w:rsidRPr="002C556E">
        <w:t xml:space="preserve"> centralised team – it may also include facility level responsible NGER process owners.</w:t>
      </w:r>
    </w:p>
    <w:p w14:paraId="41517D06" w14:textId="32EAE2D4" w:rsidR="001C3815" w:rsidRPr="002C556E" w:rsidRDefault="001C3815" w:rsidP="005E2132">
      <w:pPr>
        <w:pStyle w:val="CERbullets"/>
      </w:pPr>
      <w:r w:rsidRPr="002C556E">
        <w:rPr>
          <w:b/>
        </w:rPr>
        <w:t>Responsible data owners</w:t>
      </w:r>
      <w:r w:rsidRPr="002C556E">
        <w:t xml:space="preserve"> – responsible for measuring and documenting data in accordance with the requirements of the NGER </w:t>
      </w:r>
      <w:r>
        <w:t>L</w:t>
      </w:r>
      <w:r w:rsidRPr="002C556E">
        <w:t>egislation.</w:t>
      </w:r>
    </w:p>
    <w:p w14:paraId="6E362C17" w14:textId="77777777" w:rsidR="001C3815" w:rsidRPr="002C556E" w:rsidRDefault="001C3815" w:rsidP="001C3815">
      <w:pPr>
        <w:pStyle w:val="CERbullets"/>
      </w:pPr>
      <w:r w:rsidRPr="002C556E">
        <w:rPr>
          <w:b/>
        </w:rPr>
        <w:t>Formalising reliance on existing data processes</w:t>
      </w:r>
      <w:r w:rsidRPr="002C556E">
        <w:t xml:space="preserve"> – existing data processes controlled by different data owners may be suitable to rely upon for NGER reporting. In </w:t>
      </w:r>
      <w:r>
        <w:t>NGER facilities</w:t>
      </w:r>
      <w:r w:rsidRPr="002C556E">
        <w:t xml:space="preserve"> this may include:</w:t>
      </w:r>
    </w:p>
    <w:p w14:paraId="2F465130" w14:textId="77777777" w:rsidR="001C3815" w:rsidRPr="002C556E" w:rsidRDefault="001C3815" w:rsidP="005E2132">
      <w:pPr>
        <w:pStyle w:val="CERbullets"/>
        <w:numPr>
          <w:ilvl w:val="1"/>
          <w:numId w:val="21"/>
        </w:numPr>
      </w:pPr>
      <w:r w:rsidRPr="002C556E">
        <w:t xml:space="preserve">Diesel consumption data measured based on invoices for diesel deliveries (criteria ‘A’ or ‘AA’), with purchasing or accounts payable in control of the data records, and with accounts reconciling the amounts paid to fuel deliveries and recorded in the accounting system. </w:t>
      </w:r>
    </w:p>
    <w:p w14:paraId="37A56864" w14:textId="77777777" w:rsidR="001C3815" w:rsidRPr="002C556E" w:rsidRDefault="001C3815" w:rsidP="001C3815">
      <w:pPr>
        <w:pStyle w:val="CERbullets"/>
      </w:pPr>
      <w:r w:rsidRPr="002C556E">
        <w:t>Where the data may be the responsibility of several individuals or teams, formalising the data owners’ accountability for ensuring the data used for NGER reporting are complete and accurate may be appropriate. This can include:</w:t>
      </w:r>
    </w:p>
    <w:p w14:paraId="5FA2A8E1" w14:textId="77777777" w:rsidR="001C3815" w:rsidRPr="002C556E" w:rsidRDefault="001C3815" w:rsidP="005E2132">
      <w:pPr>
        <w:pStyle w:val="CERbullets"/>
        <w:numPr>
          <w:ilvl w:val="1"/>
          <w:numId w:val="21"/>
        </w:numPr>
        <w:rPr>
          <w:b/>
        </w:rPr>
      </w:pPr>
      <w:r w:rsidRPr="002C556E">
        <w:rPr>
          <w:b/>
        </w:rPr>
        <w:t>A formal sign-off on completeness and accuracy of the annual activity data</w:t>
      </w:r>
      <w:r>
        <w:rPr>
          <w:b/>
        </w:rPr>
        <w:t xml:space="preserve"> –</w:t>
      </w:r>
      <w:r w:rsidRPr="002C556E">
        <w:t xml:space="preserve"> </w:t>
      </w:r>
      <w:r>
        <w:t>t</w:t>
      </w:r>
      <w:r w:rsidRPr="002C556E">
        <w:t xml:space="preserve">his way data owners formally acknowledge that the signing </w:t>
      </w:r>
      <w:r>
        <w:t>EO</w:t>
      </w:r>
      <w:r w:rsidRPr="002C556E">
        <w:t xml:space="preserve"> relies on the data they control.</w:t>
      </w:r>
    </w:p>
    <w:p w14:paraId="7E35B6CC" w14:textId="080CF5A7" w:rsidR="001C3815" w:rsidRPr="002C556E" w:rsidRDefault="001C3815" w:rsidP="005E2132">
      <w:pPr>
        <w:pStyle w:val="CERbullets"/>
        <w:numPr>
          <w:ilvl w:val="1"/>
          <w:numId w:val="21"/>
        </w:numPr>
      </w:pPr>
      <w:r w:rsidRPr="002C556E">
        <w:rPr>
          <w:b/>
        </w:rPr>
        <w:t>Sense checks on total amounts to be reported</w:t>
      </w:r>
      <w:r w:rsidRPr="002C556E">
        <w:t xml:space="preserve"> – where possible, it can be useful to perform ‘sense-checks’ on total amounts to be reported in the NGER report to underlying systems. For example, the $-value for diesel purchases during the year as recorded in the accounting system to the NGER amount in </w:t>
      </w:r>
      <w:r>
        <w:t>kilo</w:t>
      </w:r>
      <w:r w:rsidRPr="002C556E">
        <w:t xml:space="preserve">litres </w:t>
      </w:r>
      <w:r w:rsidR="00C76077">
        <w:t>(kL)</w:t>
      </w:r>
      <w:r w:rsidRPr="002C556E">
        <w:t xml:space="preserve"> to be reported, and sense-checking the implied $-value paid per litre. Such analysis can form part of the data-owner sign-off process. </w:t>
      </w:r>
    </w:p>
    <w:p w14:paraId="6DB2A1FF" w14:textId="77777777" w:rsidR="001C3815" w:rsidRPr="002C556E" w:rsidRDefault="001C3815" w:rsidP="001C3815">
      <w:pPr>
        <w:ind w:left="360"/>
      </w:pPr>
      <w:r>
        <w:t>In</w:t>
      </w:r>
      <w:r w:rsidRPr="002C556E">
        <w:t xml:space="preserve"> larger corporate groups with </w:t>
      </w:r>
      <w:r>
        <w:t>a significant number of facilities</w:t>
      </w:r>
      <w:r w:rsidRPr="002C556E">
        <w:t>, some of the data processes may be centralised, e.g. centralised purchasing and recording of diesel fuel data. Working through what the appropriate data process should be, and who should ultimately be accountable for the required NGER data</w:t>
      </w:r>
      <w:r>
        <w:t>,</w:t>
      </w:r>
      <w:r w:rsidRPr="002C556E">
        <w:t xml:space="preserve"> can be useful.</w:t>
      </w:r>
    </w:p>
    <w:p w14:paraId="78FDB76F" w14:textId="77777777" w:rsidR="001C3815" w:rsidRPr="002C556E" w:rsidRDefault="001C3815" w:rsidP="001C3815">
      <w:pPr>
        <w:ind w:left="360"/>
      </w:pPr>
      <w:r w:rsidRPr="002C556E">
        <w:t xml:space="preserve">Where existing </w:t>
      </w:r>
      <w:r>
        <w:t>facility</w:t>
      </w:r>
      <w:r w:rsidRPr="002C556E">
        <w:t xml:space="preserve"> processes are insufficient at delivering suitable NGER data, additional data processes should be formalised. </w:t>
      </w:r>
    </w:p>
    <w:p w14:paraId="38730AA5" w14:textId="715723F7" w:rsidR="001C3815" w:rsidRPr="002C556E" w:rsidRDefault="001C3815" w:rsidP="001C3815">
      <w:pPr>
        <w:pStyle w:val="CERbullets"/>
      </w:pPr>
      <w:r w:rsidRPr="002C556E">
        <w:rPr>
          <w:b/>
        </w:rPr>
        <w:t>Creating a BoP document</w:t>
      </w:r>
      <w:r w:rsidRPr="002C556E">
        <w:t xml:space="preserve"> – </w:t>
      </w:r>
      <w:r w:rsidR="00952F8C">
        <w:t xml:space="preserve">the </w:t>
      </w:r>
      <w:r w:rsidR="001E2090">
        <w:t>CER</w:t>
      </w:r>
      <w:r>
        <w:t xml:space="preserve"> encourages reporters to </w:t>
      </w:r>
      <w:r w:rsidR="00A84B52">
        <w:t xml:space="preserve">maintain </w:t>
      </w:r>
      <w:r>
        <w:t xml:space="preserve">a BoP </w:t>
      </w:r>
      <w:r w:rsidR="00ED1CE2">
        <w:t>as a means of</w:t>
      </w:r>
      <w:r w:rsidR="004C7A7A">
        <w:t xml:space="preserve"> demonstrating </w:t>
      </w:r>
      <w:r w:rsidR="00E46A76">
        <w:t>compliance with</w:t>
      </w:r>
      <w:r w:rsidRPr="002C556E">
        <w:t xml:space="preserve"> NGER</w:t>
      </w:r>
      <w:r w:rsidR="00832922">
        <w:t>’s</w:t>
      </w:r>
      <w:r w:rsidRPr="002C556E">
        <w:t xml:space="preserve"> record-keeping requirements. </w:t>
      </w:r>
      <w:r w:rsidR="00832922">
        <w:t>A</w:t>
      </w:r>
      <w:r w:rsidRPr="002C556E">
        <w:t xml:space="preserve"> BoP illustrates the methodology by which a NGER report has been prepared, including details such as facility layout, data sources and calculation methods. Much of what is referenced earlier in this </w:t>
      </w:r>
      <w:r>
        <w:t>compilation</w:t>
      </w:r>
      <w:r w:rsidRPr="002C556E">
        <w:t xml:space="preserve"> can be recorded in a BoP.</w:t>
      </w:r>
    </w:p>
    <w:p w14:paraId="306C3662" w14:textId="34EB163F" w:rsidR="001C3815" w:rsidRPr="002C556E" w:rsidRDefault="00952F8C" w:rsidP="001C3815">
      <w:pPr>
        <w:ind w:left="360"/>
      </w:pPr>
      <w:r>
        <w:rPr>
          <w:color w:val="auto"/>
        </w:rPr>
        <w:t xml:space="preserve">The </w:t>
      </w:r>
      <w:r w:rsidR="001E2090">
        <w:rPr>
          <w:color w:val="auto"/>
        </w:rPr>
        <w:t>CER</w:t>
      </w:r>
      <w:r w:rsidR="001C3815">
        <w:rPr>
          <w:color w:val="auto"/>
        </w:rPr>
        <w:t xml:space="preserve"> also</w:t>
      </w:r>
      <w:r w:rsidR="001C3815" w:rsidRPr="002C556E">
        <w:rPr>
          <w:color w:val="auto"/>
        </w:rPr>
        <w:t xml:space="preserve"> encourages reporters to submit their BoP (or a summary thereof) with each year’s NGER report to clarify key assumptions and decisions applied.</w:t>
      </w:r>
    </w:p>
    <w:p w14:paraId="426F0A4B" w14:textId="7684EF08" w:rsidR="001C3815" w:rsidRPr="002C556E" w:rsidRDefault="00AF5955" w:rsidP="00AC14C3">
      <w:pPr>
        <w:pStyle w:val="Heading2"/>
        <w:spacing w:after="200"/>
        <w:ind w:left="357"/>
      </w:pPr>
      <w:bookmarkStart w:id="38" w:name="_Toc43977620"/>
      <w:bookmarkStart w:id="39" w:name="_Toc43978699"/>
      <w:bookmarkStart w:id="40" w:name="_Toc43983849"/>
      <w:bookmarkStart w:id="41" w:name="_Toc43977621"/>
      <w:bookmarkStart w:id="42" w:name="_Toc43978700"/>
      <w:bookmarkStart w:id="43" w:name="_Toc43983850"/>
      <w:bookmarkStart w:id="44" w:name="_Toc43977622"/>
      <w:bookmarkStart w:id="45" w:name="_Toc43978701"/>
      <w:bookmarkStart w:id="46" w:name="_Toc43983851"/>
      <w:bookmarkStart w:id="47" w:name="_Toc76565689"/>
      <w:bookmarkStart w:id="48" w:name="_Toc204158984"/>
      <w:bookmarkStart w:id="49" w:name="_Hlk43819864"/>
      <w:bookmarkEnd w:id="38"/>
      <w:bookmarkEnd w:id="39"/>
      <w:bookmarkEnd w:id="40"/>
      <w:bookmarkEnd w:id="41"/>
      <w:bookmarkEnd w:id="42"/>
      <w:bookmarkEnd w:id="43"/>
      <w:bookmarkEnd w:id="44"/>
      <w:bookmarkEnd w:id="45"/>
      <w:bookmarkEnd w:id="46"/>
      <w:r>
        <w:lastRenderedPageBreak/>
        <w:t xml:space="preserve">2.1. </w:t>
      </w:r>
      <w:r w:rsidR="00096632">
        <w:t>Temporary unavailability of method</w:t>
      </w:r>
      <w:bookmarkEnd w:id="47"/>
      <w:bookmarkEnd w:id="48"/>
    </w:p>
    <w:p w14:paraId="2E02E5B0" w14:textId="08355653" w:rsidR="001C3815" w:rsidRDefault="001C3815" w:rsidP="001C3815">
      <w:pPr>
        <w:spacing w:after="0"/>
        <w:rPr>
          <w:rFonts w:eastAsia="Times New Roman"/>
          <w:b/>
          <w:bCs/>
          <w:color w:val="005874"/>
          <w:kern w:val="32"/>
          <w:sz w:val="40"/>
        </w:rPr>
      </w:pPr>
      <w:r w:rsidRPr="002C556E">
        <w:t xml:space="preserve">Reporters should observe the requirements in section 1.19 of the </w:t>
      </w:r>
      <w:r>
        <w:t>NGER Measurement Determination</w:t>
      </w:r>
      <w:r w:rsidRPr="002C556E">
        <w:t xml:space="preserve"> for down time of equipment </w:t>
      </w:r>
      <w:r w:rsidR="0084447E">
        <w:t xml:space="preserve">or failure </w:t>
      </w:r>
      <w:r w:rsidR="00D63931">
        <w:t>of measurement systems</w:t>
      </w:r>
      <w:r w:rsidR="00B66A68">
        <w:t>.</w:t>
      </w:r>
      <w:r w:rsidR="004B6F2F">
        <w:t xml:space="preserve"> See</w:t>
      </w:r>
      <w:r w:rsidR="00F02BED">
        <w:t xml:space="preserve"> </w:t>
      </w:r>
      <w:hyperlink r:id="rId32" w:tooltip="A link to the Methods and measurement criteria guideline on the Department of Climate Change Energy the Environment and Water's website" w:history="1">
        <w:r w:rsidR="00661D8A" w:rsidRPr="00661D8A">
          <w:rPr>
            <w:rStyle w:val="Hyperlink"/>
            <w:rFonts w:asciiTheme="minorHAnsi" w:hAnsiTheme="minorHAnsi"/>
          </w:rPr>
          <w:t>Methods and measurement criteria guideline</w:t>
        </w:r>
      </w:hyperlink>
      <w:r w:rsidR="002E20C7">
        <w:rPr>
          <w:rStyle w:val="FootnoteReference"/>
        </w:rPr>
        <w:footnoteReference w:id="13"/>
      </w:r>
      <w:r w:rsidR="00661D8A">
        <w:t xml:space="preserve"> for </w:t>
      </w:r>
      <w:r w:rsidR="002E20C7">
        <w:t>more information.</w:t>
      </w:r>
      <w:bookmarkStart w:id="50" w:name="_Toc43983106"/>
      <w:bookmarkEnd w:id="49"/>
      <w:r>
        <w:br w:type="page"/>
      </w:r>
    </w:p>
    <w:p w14:paraId="40325978" w14:textId="77777777" w:rsidR="001C3815" w:rsidRPr="002C556E" w:rsidRDefault="001C3815" w:rsidP="001C3815">
      <w:pPr>
        <w:pStyle w:val="Heading1"/>
        <w:keepNext/>
        <w:numPr>
          <w:ilvl w:val="0"/>
          <w:numId w:val="49"/>
        </w:numPr>
        <w:spacing w:before="280" w:after="200"/>
      </w:pPr>
      <w:bookmarkStart w:id="51" w:name="_Toc76565690"/>
      <w:bookmarkStart w:id="52" w:name="_Toc204158985"/>
      <w:r w:rsidRPr="00BE391C">
        <w:lastRenderedPageBreak/>
        <w:t>Fuel combustion</w:t>
      </w:r>
      <w:r>
        <w:t xml:space="preserve"> emissions</w:t>
      </w:r>
      <w:bookmarkEnd w:id="50"/>
      <w:bookmarkEnd w:id="51"/>
      <w:bookmarkEnd w:id="52"/>
    </w:p>
    <w:p w14:paraId="669F23D6" w14:textId="77777777" w:rsidR="001C3815" w:rsidRPr="001E5D62" w:rsidRDefault="001C3815" w:rsidP="001C3815">
      <w:r w:rsidRPr="001E5D62">
        <w:t>The princip</w:t>
      </w:r>
      <w:r>
        <w:t>al</w:t>
      </w:r>
      <w:r w:rsidRPr="001E5D62">
        <w:t xml:space="preserve"> greenhouse gas generated by the combustion of fossil fuels for energy is</w:t>
      </w:r>
      <w:r>
        <w:t xml:space="preserve"> carbon dioxide</w:t>
      </w:r>
      <w:r w:rsidRPr="001E5D62">
        <w:t>. The quantity of gas produced depends on the carbon content of the fuel and the degree to which the fuel is fully combusted. Small quantities of methane and nitrous oxide are also produced, depending on the actual combustion conditions. Methane may be generated when fuel is heated, but only partially burnt, and depends on combustion temperatures and the level of oxygen present. Nitrous oxide results from the reaction between nitrogen and oxygen in the combustion air.</w:t>
      </w:r>
      <w:r>
        <w:t xml:space="preserve"> </w:t>
      </w:r>
    </w:p>
    <w:p w14:paraId="022EC161" w14:textId="77777777" w:rsidR="001C3815" w:rsidRPr="001E5D62" w:rsidRDefault="001C3815" w:rsidP="001C3815">
      <w:r w:rsidRPr="001E5D62">
        <w:t>The princip</w:t>
      </w:r>
      <w:r>
        <w:t>al</w:t>
      </w:r>
      <w:r w:rsidRPr="001E5D62">
        <w:t xml:space="preserve"> purpose of the combustion of fossil fuels in the Australian economy is for the consumption or use of energy. This </w:t>
      </w:r>
      <w:r>
        <w:t>guideline</w:t>
      </w:r>
      <w:r w:rsidRPr="001E5D62">
        <w:t xml:space="preserve"> addresses the general case of the estimation of emissions from the combustion of fossil fuels for that purpose. </w:t>
      </w:r>
    </w:p>
    <w:p w14:paraId="56BD6AA6" w14:textId="77777777" w:rsidR="001C3815" w:rsidRPr="001E5D62" w:rsidRDefault="001C3815" w:rsidP="001C3815">
      <w:r w:rsidRPr="001E5D62">
        <w:t xml:space="preserve">This </w:t>
      </w:r>
      <w:r>
        <w:t>guideline</w:t>
      </w:r>
      <w:r w:rsidRPr="001E5D62">
        <w:t xml:space="preserve"> provides for the following matters:</w:t>
      </w:r>
    </w:p>
    <w:p w14:paraId="3BB135ED" w14:textId="77777777" w:rsidR="001C3815" w:rsidRPr="00D171B1" w:rsidRDefault="001C3815" w:rsidP="001C3815">
      <w:pPr>
        <w:pStyle w:val="CERbullets"/>
      </w:pPr>
      <w:r w:rsidRPr="00D171B1">
        <w:t>estimation of emissions released from the following sources:</w:t>
      </w:r>
    </w:p>
    <w:p w14:paraId="186EAADA" w14:textId="77777777" w:rsidR="001C3815" w:rsidRPr="005E2132" w:rsidRDefault="001C3815" w:rsidP="005E2132">
      <w:pPr>
        <w:pStyle w:val="CERbullets"/>
        <w:numPr>
          <w:ilvl w:val="1"/>
          <w:numId w:val="21"/>
        </w:numPr>
      </w:pPr>
      <w:r w:rsidRPr="005E2132">
        <w:t>the combustion of solid fuels</w:t>
      </w:r>
    </w:p>
    <w:p w14:paraId="689D3A4B" w14:textId="77777777" w:rsidR="001C3815" w:rsidRPr="005E2132" w:rsidRDefault="001C3815" w:rsidP="005E2132">
      <w:pPr>
        <w:pStyle w:val="CERbullets"/>
        <w:numPr>
          <w:ilvl w:val="1"/>
          <w:numId w:val="21"/>
        </w:numPr>
      </w:pPr>
      <w:r w:rsidRPr="005E2132">
        <w:t>the combustion of gaseous fuels</w:t>
      </w:r>
    </w:p>
    <w:p w14:paraId="72D24BED" w14:textId="77777777" w:rsidR="001C3815" w:rsidRPr="005E2132" w:rsidRDefault="001C3815" w:rsidP="005E2132">
      <w:pPr>
        <w:pStyle w:val="CERbullets"/>
        <w:numPr>
          <w:ilvl w:val="1"/>
          <w:numId w:val="21"/>
        </w:numPr>
      </w:pPr>
      <w:r w:rsidRPr="005E2132">
        <w:t>the combustion of liquid fuels</w:t>
      </w:r>
    </w:p>
    <w:p w14:paraId="08B7A688" w14:textId="77777777" w:rsidR="001C3815" w:rsidRPr="005E2132" w:rsidRDefault="001C3815" w:rsidP="005E2132">
      <w:pPr>
        <w:pStyle w:val="CERbullets"/>
        <w:numPr>
          <w:ilvl w:val="1"/>
          <w:numId w:val="21"/>
        </w:numPr>
      </w:pPr>
      <w:r w:rsidRPr="005E2132">
        <w:t>fuel use by certain industries.</w:t>
      </w:r>
    </w:p>
    <w:p w14:paraId="087C6462" w14:textId="77777777" w:rsidR="001C3815" w:rsidRPr="00D171B1" w:rsidRDefault="001C3815" w:rsidP="001C3815">
      <w:pPr>
        <w:pStyle w:val="CERbullets"/>
      </w:pPr>
      <w:r w:rsidRPr="00D171B1">
        <w:t>the estimation of energy for certain purposes.</w:t>
      </w:r>
    </w:p>
    <w:p w14:paraId="2723C730" w14:textId="77777777" w:rsidR="001C3815" w:rsidRPr="001E5D62" w:rsidRDefault="001C3815" w:rsidP="001C3815">
      <w:pPr>
        <w:pStyle w:val="Heading2"/>
      </w:pPr>
      <w:bookmarkStart w:id="53" w:name="_Toc43983107"/>
      <w:bookmarkStart w:id="54" w:name="_Toc76565691"/>
      <w:bookmarkStart w:id="55" w:name="_Toc204158986"/>
      <w:r>
        <w:t xml:space="preserve">3.1. </w:t>
      </w:r>
      <w:r w:rsidRPr="001E5D62">
        <w:t>Reporting context</w:t>
      </w:r>
      <w:bookmarkEnd w:id="53"/>
      <w:bookmarkEnd w:id="54"/>
      <w:bookmarkEnd w:id="55"/>
    </w:p>
    <w:p w14:paraId="229D5022" w14:textId="682F2FDF" w:rsidR="001C3815" w:rsidRPr="001E5D62" w:rsidRDefault="001C3815" w:rsidP="001C3815">
      <w:r w:rsidRPr="001E5D62">
        <w:t xml:space="preserve">Under </w:t>
      </w:r>
      <w:r>
        <w:t>regulation 4.22</w:t>
      </w:r>
      <w:r w:rsidRPr="001E5D62">
        <w:t xml:space="preserve"> of the </w:t>
      </w:r>
      <w:r>
        <w:t xml:space="preserve">NGER </w:t>
      </w:r>
      <w:r w:rsidRPr="00E839F0">
        <w:t>Regulations</w:t>
      </w:r>
      <w:r w:rsidRPr="001E5D62">
        <w:rPr>
          <w:i/>
        </w:rPr>
        <w:t xml:space="preserve"> </w:t>
      </w:r>
      <w:r>
        <w:t xml:space="preserve">reporters </w:t>
      </w:r>
      <w:r w:rsidRPr="001E5D62">
        <w:t xml:space="preserve">should submit data for each individual </w:t>
      </w:r>
      <w:r>
        <w:t xml:space="preserve">energy </w:t>
      </w:r>
      <w:r w:rsidRPr="001E5D62">
        <w:t>type</w:t>
      </w:r>
      <w:r w:rsidR="00FA760E">
        <w:t>,</w:t>
      </w:r>
      <w:r>
        <w:t xml:space="preserve"> including fuel,</w:t>
      </w:r>
      <w:r w:rsidRPr="001E5D62">
        <w:t xml:space="preserve"> consumed: </w:t>
      </w:r>
    </w:p>
    <w:p w14:paraId="0817FE13" w14:textId="66C2B06D" w:rsidR="001C3815" w:rsidRPr="001E5D62" w:rsidRDefault="00913779" w:rsidP="00873709">
      <w:pPr>
        <w:pStyle w:val="CERbullets"/>
        <w:numPr>
          <w:ilvl w:val="0"/>
          <w:numId w:val="73"/>
        </w:numPr>
      </w:pPr>
      <w:r>
        <w:t xml:space="preserve">for </w:t>
      </w:r>
      <w:r w:rsidR="001C3815" w:rsidRPr="001E5D62">
        <w:t>electricity generation</w:t>
      </w:r>
    </w:p>
    <w:p w14:paraId="1B7ACA97" w14:textId="7E0E4F8F" w:rsidR="001C3815" w:rsidRPr="001E5D62" w:rsidRDefault="00913779" w:rsidP="00873709">
      <w:pPr>
        <w:pStyle w:val="CERbullets"/>
        <w:numPr>
          <w:ilvl w:val="0"/>
          <w:numId w:val="73"/>
        </w:numPr>
      </w:pPr>
      <w:r>
        <w:t xml:space="preserve">for </w:t>
      </w:r>
      <w:r w:rsidR="001C3815" w:rsidRPr="001E5D62">
        <w:t>transport (excluding international bunker fuels)</w:t>
      </w:r>
    </w:p>
    <w:p w14:paraId="50BAB25C" w14:textId="20FAE161" w:rsidR="001C3815" w:rsidRPr="001E5D62" w:rsidRDefault="00913779" w:rsidP="00873709">
      <w:pPr>
        <w:pStyle w:val="CERbullets"/>
        <w:numPr>
          <w:ilvl w:val="0"/>
          <w:numId w:val="73"/>
        </w:numPr>
      </w:pPr>
      <w:r>
        <w:t xml:space="preserve">for </w:t>
      </w:r>
      <w:r w:rsidR="001C3815">
        <w:t xml:space="preserve">production of a chemical or metal production, including as </w:t>
      </w:r>
      <w:r w:rsidR="001C3815" w:rsidRPr="001E5D62">
        <w:t>carbon reductants or feedstocks</w:t>
      </w:r>
    </w:p>
    <w:p w14:paraId="25595368" w14:textId="20CAE8E2" w:rsidR="001C3815" w:rsidRPr="001E5D62" w:rsidRDefault="000F0A13" w:rsidP="00873709">
      <w:pPr>
        <w:pStyle w:val="CERbullets"/>
        <w:numPr>
          <w:ilvl w:val="0"/>
          <w:numId w:val="73"/>
        </w:numPr>
      </w:pPr>
      <w:r>
        <w:t xml:space="preserve">for </w:t>
      </w:r>
      <w:r w:rsidR="001C3815">
        <w:t xml:space="preserve">any </w:t>
      </w:r>
      <w:r w:rsidR="001C3815" w:rsidRPr="001E5D62">
        <w:t>other</w:t>
      </w:r>
      <w:r w:rsidR="001C3815">
        <w:t xml:space="preserve"> purpose, including any other</w:t>
      </w:r>
      <w:r w:rsidR="001C3815" w:rsidRPr="001E5D62">
        <w:t xml:space="preserve"> stationary energy purposes</w:t>
      </w:r>
    </w:p>
    <w:p w14:paraId="6EE18A68" w14:textId="7D50F993" w:rsidR="001C3815" w:rsidRPr="001E5D62" w:rsidRDefault="001C3815" w:rsidP="00873709">
      <w:pPr>
        <w:pStyle w:val="CERbullets"/>
        <w:numPr>
          <w:ilvl w:val="0"/>
          <w:numId w:val="73"/>
        </w:numPr>
      </w:pPr>
      <w:r w:rsidRPr="001E5D62">
        <w:t>without combustion.</w:t>
      </w:r>
    </w:p>
    <w:p w14:paraId="5D879883" w14:textId="77777777" w:rsidR="001C3815" w:rsidRPr="001E5D62" w:rsidRDefault="001C3815" w:rsidP="001C3815">
      <w:r w:rsidRPr="001E5D62">
        <w:t xml:space="preserve">For each </w:t>
      </w:r>
      <w:r>
        <w:t>energy</w:t>
      </w:r>
      <w:r w:rsidRPr="001E5D62">
        <w:t xml:space="preserve"> type</w:t>
      </w:r>
      <w:r>
        <w:t xml:space="preserve"> (e.g. each fuel)</w:t>
      </w:r>
      <w:r w:rsidRPr="001E5D62">
        <w:t xml:space="preserve"> the</w:t>
      </w:r>
      <w:r>
        <w:t xml:space="preserve"> reporter </w:t>
      </w:r>
      <w:r w:rsidRPr="001E5D62">
        <w:t xml:space="preserve">should also </w:t>
      </w:r>
      <w:r>
        <w:t>report</w:t>
      </w:r>
      <w:r w:rsidRPr="001E5D62">
        <w:t>:</w:t>
      </w:r>
    </w:p>
    <w:p w14:paraId="35F2C69D" w14:textId="77777777" w:rsidR="001C3815" w:rsidRPr="001E5D62" w:rsidRDefault="001C3815" w:rsidP="001C3815">
      <w:pPr>
        <w:pStyle w:val="CERbullets"/>
        <w:numPr>
          <w:ilvl w:val="0"/>
          <w:numId w:val="53"/>
        </w:numPr>
      </w:pPr>
      <w:r w:rsidRPr="001E5D62">
        <w:t>the amount</w:t>
      </w:r>
      <w:r>
        <w:t xml:space="preserve"> and energy content</w:t>
      </w:r>
      <w:r w:rsidRPr="001E5D62">
        <w:t xml:space="preserve"> of </w:t>
      </w:r>
      <w:r>
        <w:t>each energy type</w:t>
      </w:r>
      <w:r w:rsidRPr="001E5D62">
        <w:t xml:space="preserve"> consumed for each purpose </w:t>
      </w:r>
      <w:r w:rsidRPr="005618E8">
        <w:t>(a)</w:t>
      </w:r>
      <w:r w:rsidRPr="001E5D62">
        <w:t xml:space="preserve"> to (e)</w:t>
      </w:r>
    </w:p>
    <w:p w14:paraId="3DBA3387" w14:textId="77777777" w:rsidR="001C3815" w:rsidRPr="001E5D62" w:rsidRDefault="001C3815" w:rsidP="001C3815">
      <w:pPr>
        <w:pStyle w:val="CERbullets"/>
        <w:numPr>
          <w:ilvl w:val="0"/>
          <w:numId w:val="53"/>
        </w:numPr>
      </w:pPr>
      <w:r w:rsidRPr="001E5D62">
        <w:t xml:space="preserve">the emissions of each greenhouse gas </w:t>
      </w:r>
      <w:r>
        <w:t xml:space="preserve">from the consumption of the energy </w:t>
      </w:r>
      <w:r w:rsidRPr="001E5D62">
        <w:t>for each purpose (a) to (d)</w:t>
      </w:r>
      <w:r w:rsidRPr="001E5D62" w:rsidDel="009A54AE">
        <w:t xml:space="preserve"> </w:t>
      </w:r>
    </w:p>
    <w:p w14:paraId="2B578841" w14:textId="77777777" w:rsidR="001C3815" w:rsidRPr="001E5D62" w:rsidRDefault="001C3815" w:rsidP="001C3815">
      <w:pPr>
        <w:pStyle w:val="CERbullets"/>
        <w:numPr>
          <w:ilvl w:val="0"/>
          <w:numId w:val="53"/>
        </w:numPr>
      </w:pPr>
      <w:r w:rsidRPr="001E5D62">
        <w:t xml:space="preserve">the </w:t>
      </w:r>
      <w:r>
        <w:t>methods in the NGER Measurement Determination</w:t>
      </w:r>
      <w:r w:rsidRPr="001E5D62">
        <w:t xml:space="preserve"> used to estimate the emissions</w:t>
      </w:r>
      <w:r>
        <w:t xml:space="preserve"> from the consumption of the energy for each purpose</w:t>
      </w:r>
      <w:r w:rsidRPr="001E5D62">
        <w:t xml:space="preserve"> (a) to (d)</w:t>
      </w:r>
    </w:p>
    <w:p w14:paraId="5812E0A8" w14:textId="77777777" w:rsidR="001C3815" w:rsidRDefault="001C3815" w:rsidP="001C3815">
      <w:pPr>
        <w:pStyle w:val="CERbullets"/>
        <w:numPr>
          <w:ilvl w:val="0"/>
          <w:numId w:val="53"/>
        </w:numPr>
      </w:pPr>
      <w:r w:rsidRPr="001E5D62">
        <w:t>the criter</w:t>
      </w:r>
      <w:r>
        <w:t>ia</w:t>
      </w:r>
      <w:r w:rsidRPr="001E5D62">
        <w:t xml:space="preserve"> </w:t>
      </w:r>
      <w:r>
        <w:t>in the NGER Measurement Determination</w:t>
      </w:r>
      <w:r w:rsidRPr="001E5D62">
        <w:t xml:space="preserve"> used to estimate the amount</w:t>
      </w:r>
      <w:r>
        <w:t xml:space="preserve"> and energy content</w:t>
      </w:r>
      <w:r w:rsidRPr="001E5D62">
        <w:t xml:space="preserve"> of fuel consumed</w:t>
      </w:r>
      <w:r>
        <w:t xml:space="preserve"> for each purpose</w:t>
      </w:r>
      <w:r w:rsidRPr="001E5D62">
        <w:t xml:space="preserve"> (a) to (e).</w:t>
      </w:r>
    </w:p>
    <w:p w14:paraId="26570B7D" w14:textId="3589C0CC" w:rsidR="0008125F" w:rsidRPr="00135578" w:rsidRDefault="005E4805" w:rsidP="001C3815">
      <w:pPr>
        <w:pStyle w:val="CERbullets"/>
        <w:numPr>
          <w:ilvl w:val="0"/>
          <w:numId w:val="53"/>
        </w:numPr>
      </w:pPr>
      <w:r>
        <w:t>w</w:t>
      </w:r>
      <w:r w:rsidR="007A6992">
        <w:t>hether the fuel is a blended fuel</w:t>
      </w:r>
      <w:r w:rsidR="00CD36D8">
        <w:t xml:space="preserve">, </w:t>
      </w:r>
      <w:r w:rsidR="004442E9">
        <w:t xml:space="preserve">and if so, </w:t>
      </w:r>
      <w:r w:rsidR="0033636D">
        <w:t>report</w:t>
      </w:r>
      <w:r w:rsidR="00CD36D8">
        <w:t xml:space="preserve"> the s</w:t>
      </w:r>
      <w:r w:rsidR="005D7FC9">
        <w:t>ection</w:t>
      </w:r>
      <w:r w:rsidR="00C119AC">
        <w:t xml:space="preserve"> of the NGER Measurement Determination</w:t>
      </w:r>
      <w:r w:rsidR="004E082D">
        <w:t xml:space="preserve"> used to determine the proportions </w:t>
      </w:r>
      <w:r w:rsidR="00C31720">
        <w:t xml:space="preserve">and the amount </w:t>
      </w:r>
      <w:r w:rsidR="004E082D">
        <w:t>of each type of fuel in the blend</w:t>
      </w:r>
      <w:r w:rsidR="002318EF">
        <w:t xml:space="preserve">. </w:t>
      </w:r>
      <w:r w:rsidR="006820ED">
        <w:rPr>
          <w:rStyle w:val="ui-provider"/>
        </w:rPr>
        <w:t xml:space="preserve">See </w:t>
      </w:r>
      <w:hyperlink r:id="rId33" w:tooltip="A link to the 'Reporting blended fuels, other fuel mixes, bitument and explosives' guide on the Clean Energy Regulator webpage" w:history="1">
        <w:r w:rsidR="006820ED" w:rsidRPr="00095BA4">
          <w:rPr>
            <w:rStyle w:val="Hyperlink"/>
            <w:rFonts w:asciiTheme="minorHAnsi" w:hAnsiTheme="minorHAnsi"/>
          </w:rPr>
          <w:t>Reporting blended fuels, other fuel mixes, bitumen and explosives guideline</w:t>
        </w:r>
      </w:hyperlink>
      <w:r w:rsidR="006820ED">
        <w:rPr>
          <w:rStyle w:val="FootnoteReference"/>
        </w:rPr>
        <w:footnoteReference w:id="14"/>
      </w:r>
      <w:r w:rsidR="006820ED">
        <w:rPr>
          <w:rStyle w:val="ui-provider"/>
        </w:rPr>
        <w:t xml:space="preserve"> for more information on how to report emissions from </w:t>
      </w:r>
      <w:r w:rsidR="00D96E4C">
        <w:rPr>
          <w:rStyle w:val="ui-provider"/>
        </w:rPr>
        <w:t>blended fuels</w:t>
      </w:r>
      <w:r w:rsidR="006820ED">
        <w:rPr>
          <w:rStyle w:val="ui-provider"/>
        </w:rPr>
        <w:t>. </w:t>
      </w:r>
    </w:p>
    <w:p w14:paraId="67416BF7" w14:textId="77777777" w:rsidR="001C3815" w:rsidRPr="002C556E" w:rsidRDefault="001C3815" w:rsidP="001C3815">
      <w:pPr>
        <w:pStyle w:val="Heading2"/>
      </w:pPr>
      <w:bookmarkStart w:id="56" w:name="_Toc509935575"/>
      <w:bookmarkStart w:id="57" w:name="_Toc43983108"/>
      <w:bookmarkStart w:id="58" w:name="_Toc76565692"/>
      <w:bookmarkStart w:id="59" w:name="_Toc204158987"/>
      <w:r>
        <w:t xml:space="preserve">3.2. </w:t>
      </w:r>
      <w:r w:rsidRPr="002C556E">
        <w:t xml:space="preserve">Estimating </w:t>
      </w:r>
      <w:bookmarkEnd w:id="56"/>
      <w:r>
        <w:t>e</w:t>
      </w:r>
      <w:r w:rsidRPr="00731890">
        <w:t>missions released from the combustion of solid fuels</w:t>
      </w:r>
      <w:bookmarkEnd w:id="57"/>
      <w:bookmarkEnd w:id="58"/>
      <w:bookmarkEnd w:id="59"/>
    </w:p>
    <w:p w14:paraId="53D7C1E3" w14:textId="3B64A3F5" w:rsidR="001C3815" w:rsidRPr="00291015" w:rsidRDefault="001C3815" w:rsidP="001C3815">
      <w:r w:rsidRPr="00291015">
        <w:t>Part</w:t>
      </w:r>
      <w:r>
        <w:t xml:space="preserve"> 2.2 of the </w:t>
      </w:r>
      <w:r>
        <w:rPr>
          <w:rFonts w:ascii="Calibri" w:hAnsi="Calibri" w:cs="Calibri"/>
          <w:color w:val="auto"/>
          <w:szCs w:val="22"/>
          <w:lang w:eastAsia="en-AU"/>
        </w:rPr>
        <w:t xml:space="preserve">NGER </w:t>
      </w:r>
      <w:bookmarkStart w:id="60" w:name="_Hlk43827366"/>
      <w:r>
        <w:rPr>
          <w:rFonts w:ascii="Calibri" w:hAnsi="Calibri" w:cs="Calibri"/>
          <w:color w:val="auto"/>
          <w:szCs w:val="22"/>
          <w:lang w:eastAsia="en-AU"/>
        </w:rPr>
        <w:t>Measurement Determination</w:t>
      </w:r>
      <w:r>
        <w:t xml:space="preserve"> </w:t>
      </w:r>
      <w:bookmarkEnd w:id="60"/>
      <w:r w:rsidRPr="00291015">
        <w:t>applies to emissions released from the combustion of solid fuel in relation to a separate instance of a source if the amount of solid fuel combusted in relation to the separate instance of the source is more than 1 tonne</w:t>
      </w:r>
      <w:r w:rsidR="00A2487D">
        <w:t xml:space="preserve"> (t)</w:t>
      </w:r>
      <w:r w:rsidRPr="00291015">
        <w:t>. The measurement and reporting of emissions and energy associated with the combustion of a solid fuel is optional if the quantity of solid fuel combusted in a separate instance of a source is 1</w:t>
      </w:r>
      <w:r w:rsidR="00A2487D">
        <w:t> t</w:t>
      </w:r>
      <w:r w:rsidRPr="00291015">
        <w:t xml:space="preserve"> or less. Separate instance of a source is defined in section 1.9A</w:t>
      </w:r>
      <w:r>
        <w:t xml:space="preserve"> of the NGER </w:t>
      </w:r>
      <w:r>
        <w:rPr>
          <w:rFonts w:ascii="Calibri" w:hAnsi="Calibri" w:cs="Calibri"/>
          <w:color w:val="auto"/>
          <w:szCs w:val="22"/>
          <w:lang w:eastAsia="en-AU"/>
        </w:rPr>
        <w:t>Measurement Determination</w:t>
      </w:r>
      <w:r w:rsidRPr="00291015">
        <w:t>. Amounts below the reporting threshold may still be reported if doing so is more efficient for the reporter.</w:t>
      </w:r>
    </w:p>
    <w:p w14:paraId="17361588" w14:textId="77777777" w:rsidR="001C3815" w:rsidRPr="00291015" w:rsidRDefault="001C3815" w:rsidP="001C3815">
      <w:bookmarkStart w:id="61" w:name="_Hlk43301397"/>
      <w:r w:rsidRPr="00291015">
        <w:t xml:space="preserve">The methods available </w:t>
      </w:r>
      <w:r>
        <w:t xml:space="preserve">for reporting the combustion of solid fuels under part 2.2 of the NGER </w:t>
      </w:r>
      <w:r>
        <w:rPr>
          <w:rFonts w:ascii="Calibri" w:hAnsi="Calibri" w:cs="Calibri"/>
          <w:color w:val="auto"/>
          <w:szCs w:val="22"/>
          <w:lang w:eastAsia="en-AU"/>
        </w:rPr>
        <w:t>Measurement Determination</w:t>
      </w:r>
      <w:r w:rsidRPr="00291015">
        <w:t xml:space="preserve"> by gas are summarised in table 2.</w:t>
      </w:r>
    </w:p>
    <w:bookmarkEnd w:id="61"/>
    <w:p w14:paraId="10E4C3BF" w14:textId="431332E8" w:rsidR="001C3815" w:rsidRPr="001404CE" w:rsidRDefault="001C3815" w:rsidP="001C3815">
      <w:pPr>
        <w:pStyle w:val="Caption"/>
      </w:pPr>
      <w:r w:rsidRPr="00291015">
        <w:t xml:space="preserve">Table </w:t>
      </w:r>
      <w:r w:rsidR="00343929">
        <w:fldChar w:fldCharType="begin"/>
      </w:r>
      <w:r w:rsidR="00343929">
        <w:instrText xml:space="preserve"> SEQ Table \* ARABIC </w:instrText>
      </w:r>
      <w:r w:rsidR="00343929">
        <w:fldChar w:fldCharType="separate"/>
      </w:r>
      <w:r w:rsidR="00DB7B65">
        <w:rPr>
          <w:noProof/>
        </w:rPr>
        <w:t>2</w:t>
      </w:r>
      <w:r w:rsidR="00343929">
        <w:rPr>
          <w:noProof/>
        </w:rPr>
        <w:fldChar w:fldCharType="end"/>
      </w:r>
      <w:r w:rsidRPr="00291015">
        <w:t xml:space="preserve">: Summary of available methods, for estimating emissions from the combustion of solid fuels, by emissions of gas </w:t>
      </w:r>
      <w:r w:rsidRPr="001404CE">
        <w:t>type (j)</w:t>
      </w:r>
      <w:r w:rsidR="00E0301C">
        <w:t>.</w:t>
      </w:r>
    </w:p>
    <w:tbl>
      <w:tblPr>
        <w:tblStyle w:val="CERTable"/>
        <w:tblW w:w="9781" w:type="dxa"/>
        <w:tblLook w:val="0620" w:firstRow="1" w:lastRow="0" w:firstColumn="0" w:lastColumn="0" w:noHBand="1" w:noVBand="1"/>
      </w:tblPr>
      <w:tblGrid>
        <w:gridCol w:w="1134"/>
        <w:gridCol w:w="2385"/>
        <w:gridCol w:w="876"/>
        <w:gridCol w:w="5386"/>
      </w:tblGrid>
      <w:tr w:rsidR="0024546B" w:rsidRPr="005F583F" w14:paraId="4A2CA8EC" w14:textId="77777777" w:rsidTr="00A03A33">
        <w:trPr>
          <w:cnfStyle w:val="100000000000" w:firstRow="1" w:lastRow="0" w:firstColumn="0" w:lastColumn="0" w:oddVBand="0" w:evenVBand="0" w:oddHBand="0" w:evenHBand="0" w:firstRowFirstColumn="0" w:firstRowLastColumn="0" w:lastRowFirstColumn="0" w:lastRowLastColumn="0"/>
          <w:tblHeader/>
        </w:trPr>
        <w:tc>
          <w:tcPr>
            <w:tcW w:w="1134" w:type="dxa"/>
          </w:tcPr>
          <w:p w14:paraId="333638D9" w14:textId="77777777" w:rsidR="001C3815" w:rsidRPr="00031682" w:rsidRDefault="001C3815" w:rsidP="00793B33">
            <w:pPr>
              <w:rPr>
                <w:highlight w:val="yellow"/>
              </w:rPr>
            </w:pPr>
            <w:r w:rsidRPr="00031682">
              <w:t>Method</w:t>
            </w:r>
          </w:p>
        </w:tc>
        <w:tc>
          <w:tcPr>
            <w:tcW w:w="2385" w:type="dxa"/>
          </w:tcPr>
          <w:p w14:paraId="422FBB18" w14:textId="77777777" w:rsidR="001C3815" w:rsidRPr="00793B33" w:rsidRDefault="001C3815" w:rsidP="00793B33">
            <w:r w:rsidRPr="00031682">
              <w:t>CO</w:t>
            </w:r>
            <w:r w:rsidRPr="00277423">
              <w:rPr>
                <w:vertAlign w:val="subscript"/>
              </w:rPr>
              <w:t>2</w:t>
            </w:r>
          </w:p>
        </w:tc>
        <w:tc>
          <w:tcPr>
            <w:tcW w:w="0" w:type="dxa"/>
          </w:tcPr>
          <w:p w14:paraId="3C294E87" w14:textId="77777777" w:rsidR="001C3815" w:rsidRPr="00793B33" w:rsidRDefault="001C3815" w:rsidP="00793B33">
            <w:r w:rsidRPr="00031682">
              <w:t>CH</w:t>
            </w:r>
            <w:r w:rsidRPr="00277423">
              <w:rPr>
                <w:vertAlign w:val="subscript"/>
              </w:rPr>
              <w:t>4</w:t>
            </w:r>
          </w:p>
        </w:tc>
        <w:tc>
          <w:tcPr>
            <w:tcW w:w="5386" w:type="dxa"/>
          </w:tcPr>
          <w:p w14:paraId="17B65D79" w14:textId="77777777" w:rsidR="001C3815" w:rsidRPr="00793B33" w:rsidRDefault="001C3815" w:rsidP="00793B33">
            <w:r w:rsidRPr="00031682">
              <w:t>N</w:t>
            </w:r>
            <w:r w:rsidRPr="00277423">
              <w:rPr>
                <w:vertAlign w:val="subscript"/>
              </w:rPr>
              <w:t>2</w:t>
            </w:r>
            <w:r w:rsidRPr="00793B33">
              <w:t>O</w:t>
            </w:r>
          </w:p>
        </w:tc>
      </w:tr>
      <w:tr w:rsidR="003D336D" w:rsidRPr="00291015" w14:paraId="4362BCAB" w14:textId="77777777" w:rsidTr="003D336D">
        <w:tc>
          <w:tcPr>
            <w:tcW w:w="1134" w:type="dxa"/>
          </w:tcPr>
          <w:p w14:paraId="2E5947E4" w14:textId="77777777" w:rsidR="001C3815" w:rsidRPr="00793B33" w:rsidRDefault="001C3815" w:rsidP="00793B33">
            <w:r w:rsidRPr="00031682">
              <w:t>Method 1</w:t>
            </w:r>
          </w:p>
        </w:tc>
        <w:tc>
          <w:tcPr>
            <w:tcW w:w="2385" w:type="dxa"/>
          </w:tcPr>
          <w:p w14:paraId="3227CDB8" w14:textId="77777777" w:rsidR="001C3815" w:rsidRPr="00793B33" w:rsidRDefault="001C3815" w:rsidP="00793B33">
            <w:r w:rsidRPr="00031682">
              <w:t xml:space="preserve">Section </w:t>
            </w:r>
            <w:r w:rsidRPr="00793B33">
              <w:t>2.4</w:t>
            </w:r>
          </w:p>
        </w:tc>
        <w:tc>
          <w:tcPr>
            <w:tcW w:w="876" w:type="dxa"/>
          </w:tcPr>
          <w:p w14:paraId="3C0BE828" w14:textId="77777777" w:rsidR="001C3815" w:rsidRPr="00793B33" w:rsidRDefault="001C3815" w:rsidP="00793B33">
            <w:r w:rsidRPr="00031682">
              <w:t>Section 2.4</w:t>
            </w:r>
          </w:p>
        </w:tc>
        <w:tc>
          <w:tcPr>
            <w:tcW w:w="5386" w:type="dxa"/>
          </w:tcPr>
          <w:p w14:paraId="2FD617FB" w14:textId="77777777" w:rsidR="001C3815" w:rsidRPr="00793B33" w:rsidRDefault="001C3815" w:rsidP="00793B33">
            <w:r w:rsidRPr="00031682">
              <w:t>Section 2.4</w:t>
            </w:r>
          </w:p>
        </w:tc>
      </w:tr>
      <w:tr w:rsidR="003D336D" w:rsidRPr="00291015" w14:paraId="6A227ECF" w14:textId="77777777" w:rsidTr="003D336D">
        <w:tc>
          <w:tcPr>
            <w:tcW w:w="1134" w:type="dxa"/>
          </w:tcPr>
          <w:p w14:paraId="3DECC6B6" w14:textId="77777777" w:rsidR="001C3815" w:rsidRPr="00793B33" w:rsidRDefault="001C3815" w:rsidP="00793B33">
            <w:r w:rsidRPr="00031682">
              <w:t>Method 2</w:t>
            </w:r>
          </w:p>
        </w:tc>
        <w:tc>
          <w:tcPr>
            <w:tcW w:w="2385" w:type="dxa"/>
          </w:tcPr>
          <w:p w14:paraId="3F8FFEBF" w14:textId="77777777" w:rsidR="001C3815" w:rsidRPr="00793B33" w:rsidRDefault="001C3815" w:rsidP="00793B33">
            <w:r w:rsidRPr="00031682">
              <w:t>Section 2.5 (using an oxidation factor) or</w:t>
            </w:r>
          </w:p>
          <w:p w14:paraId="122CBBEF" w14:textId="77777777" w:rsidR="001C3815" w:rsidRPr="00793B33" w:rsidRDefault="001C3815" w:rsidP="00793B33">
            <w:r w:rsidRPr="00031682">
              <w:t>s</w:t>
            </w:r>
            <w:r w:rsidRPr="00793B33">
              <w:t>ection 2.6 (using an estimated oxidation factor</w:t>
            </w:r>
          </w:p>
        </w:tc>
        <w:tc>
          <w:tcPr>
            <w:tcW w:w="876" w:type="dxa"/>
          </w:tcPr>
          <w:p w14:paraId="59326B6E" w14:textId="77777777" w:rsidR="001C3815" w:rsidRPr="00793B33" w:rsidRDefault="001C3815" w:rsidP="00793B33">
            <w:r w:rsidRPr="00031682">
              <w:t>NA</w:t>
            </w:r>
          </w:p>
        </w:tc>
        <w:tc>
          <w:tcPr>
            <w:tcW w:w="5386" w:type="dxa"/>
          </w:tcPr>
          <w:p w14:paraId="7E505038" w14:textId="77777777" w:rsidR="001C3815" w:rsidRPr="00793B33" w:rsidRDefault="001C3815" w:rsidP="00793B33">
            <w:r w:rsidRPr="00031682">
              <w:t>NA</w:t>
            </w:r>
          </w:p>
        </w:tc>
      </w:tr>
      <w:tr w:rsidR="003D336D" w:rsidRPr="00291015" w14:paraId="6EBA78CB" w14:textId="77777777" w:rsidTr="003D336D">
        <w:tc>
          <w:tcPr>
            <w:tcW w:w="1134" w:type="dxa"/>
          </w:tcPr>
          <w:p w14:paraId="4867BED0" w14:textId="77777777" w:rsidR="001C3815" w:rsidRPr="00793B33" w:rsidRDefault="001C3815" w:rsidP="00793B33">
            <w:r w:rsidRPr="00031682">
              <w:t>Method 3</w:t>
            </w:r>
          </w:p>
        </w:tc>
        <w:tc>
          <w:tcPr>
            <w:tcW w:w="2385" w:type="dxa"/>
          </w:tcPr>
          <w:p w14:paraId="4F1015D1" w14:textId="77777777" w:rsidR="001C3815" w:rsidRPr="00793B33" w:rsidRDefault="001C3815" w:rsidP="00793B33">
            <w:r w:rsidRPr="00031682">
              <w:t>Section 2.12 (using an oxidation factor or an estimated oxidation factor)</w:t>
            </w:r>
          </w:p>
        </w:tc>
        <w:tc>
          <w:tcPr>
            <w:tcW w:w="876" w:type="dxa"/>
          </w:tcPr>
          <w:p w14:paraId="3721CE1D" w14:textId="77777777" w:rsidR="001C3815" w:rsidRPr="00793B33" w:rsidRDefault="001C3815" w:rsidP="00793B33">
            <w:r w:rsidRPr="00031682">
              <w:t>NA</w:t>
            </w:r>
          </w:p>
        </w:tc>
        <w:tc>
          <w:tcPr>
            <w:tcW w:w="5386" w:type="dxa"/>
          </w:tcPr>
          <w:p w14:paraId="26ED0A8D" w14:textId="77777777" w:rsidR="001C3815" w:rsidRPr="00793B33" w:rsidRDefault="001C3815" w:rsidP="00793B33">
            <w:r w:rsidRPr="00031682">
              <w:t>NA</w:t>
            </w:r>
          </w:p>
        </w:tc>
      </w:tr>
      <w:tr w:rsidR="003D336D" w:rsidRPr="00291015" w14:paraId="650BB6CD" w14:textId="77777777" w:rsidTr="003D336D">
        <w:tc>
          <w:tcPr>
            <w:tcW w:w="1134" w:type="dxa"/>
          </w:tcPr>
          <w:p w14:paraId="02B8FF15" w14:textId="77777777" w:rsidR="001C3815" w:rsidRPr="00793B33" w:rsidRDefault="001C3815" w:rsidP="00793B33">
            <w:r w:rsidRPr="00031682">
              <w:t>Method 4</w:t>
            </w:r>
          </w:p>
        </w:tc>
        <w:tc>
          <w:tcPr>
            <w:tcW w:w="2385" w:type="dxa"/>
          </w:tcPr>
          <w:p w14:paraId="0E1E7B82" w14:textId="77777777" w:rsidR="001C3815" w:rsidRPr="001E4F5F" w:rsidRDefault="001C3815" w:rsidP="00793B33">
            <w:pPr>
              <w:rPr>
                <w:bCs/>
              </w:rPr>
            </w:pPr>
            <w:r w:rsidRPr="009B7BFA">
              <w:t>Part 1.3</w:t>
            </w:r>
          </w:p>
        </w:tc>
        <w:tc>
          <w:tcPr>
            <w:tcW w:w="876" w:type="dxa"/>
          </w:tcPr>
          <w:p w14:paraId="4274EA84" w14:textId="77777777" w:rsidR="001C3815" w:rsidRPr="001E4F5F" w:rsidRDefault="001C3815" w:rsidP="00793B33">
            <w:pPr>
              <w:rPr>
                <w:bCs/>
              </w:rPr>
            </w:pPr>
            <w:r w:rsidRPr="009B7BFA">
              <w:t>NA</w:t>
            </w:r>
          </w:p>
        </w:tc>
        <w:tc>
          <w:tcPr>
            <w:tcW w:w="5386" w:type="dxa"/>
          </w:tcPr>
          <w:p w14:paraId="1A55B4F4" w14:textId="77777777" w:rsidR="001C3815" w:rsidRPr="001E4F5F" w:rsidRDefault="001C3815" w:rsidP="00793B33">
            <w:pPr>
              <w:rPr>
                <w:bCs/>
              </w:rPr>
            </w:pPr>
            <w:r w:rsidRPr="009B7BFA">
              <w:t>NA</w:t>
            </w:r>
          </w:p>
        </w:tc>
      </w:tr>
    </w:tbl>
    <w:p w14:paraId="0D70BF3A" w14:textId="77777777" w:rsidR="001C3815" w:rsidRPr="00C67CDF" w:rsidRDefault="001C3815" w:rsidP="001C3815">
      <w:r w:rsidRPr="00291015">
        <w:t>Note: NA = Not available.</w:t>
      </w:r>
      <w:r w:rsidRPr="00291015" w:rsidDel="00FB0469">
        <w:t xml:space="preserve"> </w:t>
      </w:r>
    </w:p>
    <w:p w14:paraId="2C40A9D3" w14:textId="77777777" w:rsidR="003D336D" w:rsidRDefault="003D336D">
      <w:pPr>
        <w:spacing w:after="0"/>
        <w:rPr>
          <w:rFonts w:asciiTheme="majorHAnsi" w:eastAsia="Times New Roman" w:hAnsiTheme="majorHAnsi" w:cstheme="majorHAnsi"/>
          <w:b/>
          <w:bCs/>
          <w:sz w:val="27"/>
          <w:szCs w:val="27"/>
        </w:rPr>
      </w:pPr>
      <w:bookmarkStart w:id="62" w:name="_Toc43983109"/>
      <w:bookmarkStart w:id="63" w:name="_Toc76565693"/>
      <w:r>
        <w:br w:type="page"/>
      </w:r>
    </w:p>
    <w:p w14:paraId="3964C500" w14:textId="49D9312F" w:rsidR="001C3815" w:rsidRDefault="001C3815" w:rsidP="001C3815">
      <w:pPr>
        <w:pStyle w:val="Heading3"/>
      </w:pPr>
      <w:bookmarkStart w:id="64" w:name="_Toc204158988"/>
      <w:r>
        <w:lastRenderedPageBreak/>
        <w:t>3.2.1. Method 1—emissions of carbon dioxide, methane and nitrous oxide from solid fuels</w:t>
      </w:r>
      <w:bookmarkEnd w:id="62"/>
      <w:bookmarkEnd w:id="63"/>
      <w:bookmarkEnd w:id="64"/>
    </w:p>
    <w:p w14:paraId="69E65BED" w14:textId="5CB294F9" w:rsidR="001C3815" w:rsidRPr="00AC6F8D" w:rsidRDefault="001C3815" w:rsidP="001C3815">
      <w:r>
        <w:t>M</w:t>
      </w:r>
      <w:r w:rsidRPr="00781CD7">
        <w:t>ethod 1</w:t>
      </w:r>
      <w:r>
        <w:t xml:space="preserve"> for </w:t>
      </w:r>
      <w:r w:rsidRPr="00781CD7">
        <w:t>solid fuels is derived from</w:t>
      </w:r>
      <w:r>
        <w:t xml:space="preserve"> the methodology in Australia's </w:t>
      </w:r>
      <w:r w:rsidRPr="009253C3">
        <w:t>National Greenhouse Accounts</w:t>
      </w:r>
      <w:r w:rsidRPr="00781CD7">
        <w:t xml:space="preserve"> as published</w:t>
      </w:r>
      <w:r w:rsidRPr="00AC6F8D">
        <w:t xml:space="preserve"> in the</w:t>
      </w:r>
      <w:r w:rsidRPr="00AC6F8D" w:rsidDel="00CD3048">
        <w:t xml:space="preserve"> </w:t>
      </w:r>
      <w:hyperlink r:id="rId34" w:tooltip="A link to the National Inventory Reports page on the Deepartment of Climate Change Energy the Environment and Water's webpage" w:history="1">
        <w:r w:rsidR="005929C3">
          <w:rPr>
            <w:rStyle w:val="Hyperlink"/>
          </w:rPr>
          <w:t>National Inventory Reports</w:t>
        </w:r>
      </w:hyperlink>
      <w:r w:rsidR="005929C3">
        <w:t xml:space="preserve"> </w:t>
      </w:r>
      <w:r>
        <w:rPr>
          <w:rStyle w:val="FootnoteReference"/>
        </w:rPr>
        <w:footnoteReference w:id="15"/>
      </w:r>
      <w:r w:rsidRPr="00AC6F8D">
        <w:t xml:space="preserve">. Estimates of emissions from the combustion of individual solid fuel types are made by multiplying a (physical) quantity of fuel combusted by a fuel-specific energy content factor and a fuel-specific emission factor for each relevant greenhouse gas (in this case, </w:t>
      </w:r>
      <w:r w:rsidR="00801049">
        <w:t>carbon dioxide</w:t>
      </w:r>
      <w:r w:rsidRPr="00AC6F8D">
        <w:t>, methane and nitrous oxide).</w:t>
      </w:r>
    </w:p>
    <w:p w14:paraId="45618583" w14:textId="77777777" w:rsidR="001C3815" w:rsidRPr="00AC6F8D" w:rsidRDefault="001C3815" w:rsidP="001C3815">
      <w:r w:rsidRPr="00AC6F8D">
        <w:t xml:space="preserve">The list of solid fuels for which emissions must be calculated </w:t>
      </w:r>
      <w:r>
        <w:t>appears</w:t>
      </w:r>
      <w:r w:rsidRPr="00AC6F8D">
        <w:t xml:space="preserve"> in </w:t>
      </w:r>
      <w:r>
        <w:t xml:space="preserve">Schedule </w:t>
      </w:r>
      <w:r w:rsidRPr="00AC6F8D">
        <w:t xml:space="preserve">1 of the </w:t>
      </w:r>
      <w:r>
        <w:t xml:space="preserve">NGER </w:t>
      </w:r>
      <w:r w:rsidRPr="00AC6F8D">
        <w:t>Regulations</w:t>
      </w:r>
      <w:r>
        <w:t xml:space="preserve">. The energy content and emissions factors are given in schedule 1 of the NGER </w:t>
      </w:r>
      <w:r w:rsidRPr="000862E8">
        <w:t>Measurement Determination</w:t>
      </w:r>
      <w:r w:rsidRPr="00AC6F8D">
        <w:t xml:space="preserve">. </w:t>
      </w:r>
    </w:p>
    <w:p w14:paraId="494BDA71" w14:textId="353C95B8" w:rsidR="001C3815" w:rsidRPr="00AC6F8D" w:rsidRDefault="001C3815" w:rsidP="001C3815">
      <w:r w:rsidRPr="00AC6F8D">
        <w:t xml:space="preserve">Energy content and emission factors required for the estimation of emissions from the combustion of solid fuels using this approach are given </w:t>
      </w:r>
      <w:bookmarkStart w:id="65" w:name="_Hlk44660834"/>
      <w:r>
        <w:t xml:space="preserve">in Part 1 of Schedule 1 to the NGER </w:t>
      </w:r>
      <w:r w:rsidRPr="000862E8">
        <w:t>Measurement Determination</w:t>
      </w:r>
      <w:bookmarkEnd w:id="65"/>
      <w:r w:rsidRPr="00AC6F8D">
        <w:t>. These factors are intended to be default factors – to be used in the absence of better information about the qualities of the fuels combusted at a particular facility</w:t>
      </w:r>
      <w:r>
        <w:t xml:space="preserve"> </w:t>
      </w:r>
      <w:r w:rsidRPr="00AC6F8D">
        <w:t>(</w:t>
      </w:r>
      <w:r>
        <w:t>i</w:t>
      </w:r>
      <w:r w:rsidRPr="00AC6F8D">
        <w:t xml:space="preserve">f better information on fuel qualities </w:t>
      </w:r>
      <w:r>
        <w:t>f</w:t>
      </w:r>
      <w:r w:rsidRPr="00AC6F8D">
        <w:t>or emissions</w:t>
      </w:r>
      <w:r>
        <w:t xml:space="preserve"> of carbon dioxide</w:t>
      </w:r>
      <w:r w:rsidRPr="00AC6F8D">
        <w:t xml:space="preserve"> is available, the </w:t>
      </w:r>
      <w:r>
        <w:t>r</w:t>
      </w:r>
      <w:r w:rsidRPr="00AC6F8D">
        <w:t>eporter may utilise</w:t>
      </w:r>
      <w:r>
        <w:t xml:space="preserve"> </w:t>
      </w:r>
      <w:r w:rsidR="1D296218">
        <w:t>M</w:t>
      </w:r>
      <w:r>
        <w:t xml:space="preserve">ethod </w:t>
      </w:r>
      <w:r w:rsidRPr="00AC6F8D">
        <w:t>2, 3 or 4</w:t>
      </w:r>
      <w:r>
        <w:t>, for estimation of emissions of carbon dioxide only</w:t>
      </w:r>
      <w:r w:rsidRPr="00AC6F8D">
        <w:t xml:space="preserve">). </w:t>
      </w:r>
    </w:p>
    <w:p w14:paraId="7E07F172" w14:textId="77777777" w:rsidR="001C3815" w:rsidRDefault="001C3815" w:rsidP="001C3815">
      <w:r w:rsidRPr="00AC6F8D">
        <w:t>Once selected</w:t>
      </w:r>
      <w:r>
        <w:t>,</w:t>
      </w:r>
      <w:r w:rsidRPr="00AC6F8D">
        <w:t xml:space="preserve"> the energy content factor (EC</w:t>
      </w:r>
      <w:r w:rsidRPr="009253C3">
        <w:rPr>
          <w:vertAlign w:val="subscript"/>
        </w:rPr>
        <w:t>i</w:t>
      </w:r>
      <w:r w:rsidRPr="00AC6F8D">
        <w:t>) for a particular fuel must be applied to all calculations of energy emissions from that fuel for a facility in the reporting year</w:t>
      </w:r>
      <w:r>
        <w:t xml:space="preserve"> (subsection 6.5(3) of the NGER Measurement Determination)</w:t>
      </w:r>
      <w:r w:rsidRPr="00AC6F8D">
        <w:t>.</w:t>
      </w:r>
    </w:p>
    <w:tbl>
      <w:tblPr>
        <w:tblStyle w:val="CERCallout"/>
        <w:tblW w:w="0" w:type="auto"/>
        <w:tblLook w:val="04A0" w:firstRow="1" w:lastRow="0" w:firstColumn="1" w:lastColumn="0" w:noHBand="0" w:noVBand="1"/>
      </w:tblPr>
      <w:tblGrid>
        <w:gridCol w:w="9710"/>
      </w:tblGrid>
      <w:tr w:rsidR="001C3815" w14:paraId="662F0D7F" w14:textId="77777777" w:rsidTr="2C4F8F6D">
        <w:trPr>
          <w:cnfStyle w:val="100000000000" w:firstRow="1" w:lastRow="0" w:firstColumn="0" w:lastColumn="0" w:oddVBand="0" w:evenVBand="0" w:oddHBand="0" w:evenHBand="0" w:firstRowFirstColumn="0" w:firstRowLastColumn="0" w:lastRowFirstColumn="0" w:lastRowLastColumn="0"/>
        </w:trPr>
        <w:tc>
          <w:tcPr>
            <w:tcW w:w="9730" w:type="dxa"/>
          </w:tcPr>
          <w:p w14:paraId="11C69ECC" w14:textId="473F0025" w:rsidR="001C3815" w:rsidRPr="000168B7" w:rsidRDefault="001C3815" w:rsidP="00793B33">
            <w:pPr>
              <w:pStyle w:val="Heading3"/>
              <w:rPr>
                <w:b/>
              </w:rPr>
            </w:pPr>
            <w:bookmarkStart w:id="66" w:name="_Toc108022501"/>
            <w:bookmarkStart w:id="67" w:name="_Toc204158989"/>
            <w:r w:rsidRPr="000168B7">
              <w:rPr>
                <w:b/>
              </w:rPr>
              <w:lastRenderedPageBreak/>
              <w:t>Example</w:t>
            </w:r>
            <w:bookmarkEnd w:id="66"/>
            <w:r w:rsidR="00373F7C">
              <w:rPr>
                <w:b/>
              </w:rPr>
              <w:t xml:space="preserve"> 1</w:t>
            </w:r>
            <w:bookmarkEnd w:id="67"/>
          </w:p>
          <w:p w14:paraId="0BC6BFAB" w14:textId="0AAB1E35" w:rsidR="001C3815" w:rsidRPr="00065B1A" w:rsidRDefault="001C3815">
            <w:pPr>
              <w:rPr>
                <w:b w:val="0"/>
              </w:rPr>
            </w:pPr>
            <w:r w:rsidRPr="00065B1A">
              <w:rPr>
                <w:b w:val="0"/>
              </w:rPr>
              <w:t>A facility consumes 20,000</w:t>
            </w:r>
            <w:r w:rsidR="00850095">
              <w:rPr>
                <w:b w:val="0"/>
              </w:rPr>
              <w:t> </w:t>
            </w:r>
            <w:r w:rsidRPr="00065B1A">
              <w:rPr>
                <w:b w:val="0"/>
              </w:rPr>
              <w:t xml:space="preserve">t of washed bituminous coal for a purpose other than </w:t>
            </w:r>
            <w:proofErr w:type="gramStart"/>
            <w:r w:rsidRPr="00065B1A">
              <w:rPr>
                <w:b w:val="0"/>
              </w:rPr>
              <w:t>for the production of</w:t>
            </w:r>
            <w:proofErr w:type="gramEnd"/>
            <w:r w:rsidRPr="00065B1A">
              <w:rPr>
                <w:b w:val="0"/>
              </w:rPr>
              <w:t xml:space="preserve"> electricity or coke. The reporter elects to use </w:t>
            </w:r>
            <w:r w:rsidR="68AD96DE">
              <w:rPr>
                <w:b w:val="0"/>
              </w:rPr>
              <w:t>M</w:t>
            </w:r>
            <w:r w:rsidRPr="00065B1A">
              <w:rPr>
                <w:b w:val="0"/>
              </w:rPr>
              <w:t xml:space="preserve">ethod 1 (Division 2.2.2) for each of the </w:t>
            </w:r>
            <w:r w:rsidR="007755FF" w:rsidRPr="00065B1A">
              <w:rPr>
                <w:b w:val="0"/>
              </w:rPr>
              <w:t xml:space="preserve">3 </w:t>
            </w:r>
            <w:r w:rsidRPr="00065B1A">
              <w:rPr>
                <w:b w:val="0"/>
              </w:rPr>
              <w:t>greenhouse emission gases (j) (carbon dioxide, methane and nitrous oxide), for the fuel type bituminous coal. Emissions are estimated as follows:</w:t>
            </w:r>
          </w:p>
          <w:p w14:paraId="62B3C881" w14:textId="260B772F" w:rsidR="001C3815" w:rsidRPr="00065B1A" w:rsidRDefault="00C90786">
            <w:pPr>
              <w:rPr>
                <w:rFonts w:asciiTheme="majorHAnsi" w:hAnsiTheme="majorHAnsi" w:cstheme="majorHAnsi"/>
                <w:b w:val="0"/>
                <w:sz w:val="28"/>
                <w:szCs w:val="28"/>
              </w:rPr>
            </w:pPr>
            <m:oMathPara>
              <m:oMath>
                <m:sSub>
                  <m:sSubPr>
                    <m:ctrlPr>
                      <w:rPr>
                        <w:rFonts w:ascii="Cambria Math" w:hAnsi="Cambria Math" w:cstheme="majorHAnsi"/>
                        <w:b w:val="0"/>
                        <w:sz w:val="28"/>
                        <w:szCs w:val="28"/>
                      </w:rPr>
                    </m:ctrlPr>
                  </m:sSubPr>
                  <m:e>
                    <m:r>
                      <m:rPr>
                        <m:sty m:val="b"/>
                      </m:rPr>
                      <w:rPr>
                        <w:rFonts w:ascii="Cambria Math" w:hAnsi="Cambria Math" w:cstheme="majorHAnsi"/>
                        <w:sz w:val="28"/>
                        <w:szCs w:val="28"/>
                      </w:rPr>
                      <m:t>E</m:t>
                    </m:r>
                  </m:e>
                  <m:sub>
                    <m:r>
                      <m:rPr>
                        <m:sty m:val="b"/>
                      </m:rPr>
                      <w:rPr>
                        <w:rFonts w:ascii="Cambria Math" w:hAnsi="Cambria Math" w:cstheme="majorHAnsi"/>
                        <w:sz w:val="28"/>
                        <w:szCs w:val="28"/>
                      </w:rPr>
                      <m:t>ij</m:t>
                    </m:r>
                  </m:sub>
                </m:sSub>
                <m:r>
                  <m:rPr>
                    <m:sty m:val="b"/>
                  </m:rPr>
                  <w:rPr>
                    <w:rFonts w:ascii="Cambria Math" w:hAnsi="Cambria Math" w:cstheme="majorHAnsi"/>
                    <w:sz w:val="28"/>
                    <w:szCs w:val="28"/>
                  </w:rPr>
                  <m:t xml:space="preserve">= </m:t>
                </m:r>
                <m:f>
                  <m:fPr>
                    <m:ctrlPr>
                      <w:rPr>
                        <w:rFonts w:ascii="Cambria Math" w:hAnsi="Cambria Math" w:cstheme="majorHAnsi"/>
                        <w:b w:val="0"/>
                        <w:sz w:val="28"/>
                        <w:szCs w:val="28"/>
                      </w:rPr>
                    </m:ctrlPr>
                  </m:fPr>
                  <m:num>
                    <m:sSub>
                      <m:sSubPr>
                        <m:ctrlPr>
                          <w:rPr>
                            <w:rFonts w:ascii="Cambria Math" w:hAnsi="Cambria Math" w:cstheme="majorHAnsi"/>
                            <w:b w:val="0"/>
                            <w:sz w:val="28"/>
                            <w:szCs w:val="28"/>
                          </w:rPr>
                        </m:ctrlPr>
                      </m:sSubPr>
                      <m:e>
                        <m:r>
                          <m:rPr>
                            <m:sty m:val="b"/>
                          </m:rPr>
                          <w:rPr>
                            <w:rFonts w:ascii="Cambria Math" w:hAnsi="Cambria Math" w:cstheme="majorHAnsi"/>
                            <w:sz w:val="28"/>
                            <w:szCs w:val="28"/>
                          </w:rPr>
                          <m:t>Q</m:t>
                        </m:r>
                      </m:e>
                      <m:sub>
                        <m:r>
                          <m:rPr>
                            <m:sty m:val="b"/>
                          </m:rPr>
                          <w:rPr>
                            <w:rFonts w:ascii="Cambria Math" w:hAnsi="Cambria Math" w:cstheme="majorHAnsi"/>
                            <w:sz w:val="28"/>
                            <w:szCs w:val="28"/>
                          </w:rPr>
                          <m:t>i</m:t>
                        </m:r>
                      </m:sub>
                    </m:sSub>
                    <m:r>
                      <m:rPr>
                        <m:sty m:val="b"/>
                      </m:rPr>
                      <w:rPr>
                        <w:rFonts w:ascii="Cambria Math" w:hAnsi="Cambria Math" w:cstheme="majorHAnsi"/>
                        <w:sz w:val="28"/>
                        <w:szCs w:val="28"/>
                      </w:rPr>
                      <m:t xml:space="preserve"> × </m:t>
                    </m:r>
                    <m:sSub>
                      <m:sSubPr>
                        <m:ctrlPr>
                          <w:rPr>
                            <w:rFonts w:ascii="Cambria Math" w:hAnsi="Cambria Math" w:cstheme="majorHAnsi"/>
                            <w:b w:val="0"/>
                            <w:sz w:val="28"/>
                            <w:szCs w:val="28"/>
                          </w:rPr>
                        </m:ctrlPr>
                      </m:sSubPr>
                      <m:e>
                        <m:r>
                          <m:rPr>
                            <m:sty m:val="b"/>
                          </m:rPr>
                          <w:rPr>
                            <w:rFonts w:ascii="Cambria Math" w:hAnsi="Cambria Math" w:cstheme="majorHAnsi"/>
                            <w:sz w:val="28"/>
                            <w:szCs w:val="28"/>
                          </w:rPr>
                          <m:t>EC</m:t>
                        </m:r>
                      </m:e>
                      <m:sub>
                        <m:r>
                          <m:rPr>
                            <m:sty m:val="b"/>
                          </m:rPr>
                          <w:rPr>
                            <w:rFonts w:ascii="Cambria Math" w:hAnsi="Cambria Math" w:cstheme="majorHAnsi"/>
                            <w:sz w:val="28"/>
                            <w:szCs w:val="28"/>
                          </w:rPr>
                          <m:t>i</m:t>
                        </m:r>
                      </m:sub>
                    </m:sSub>
                    <m:r>
                      <m:rPr>
                        <m:sty m:val="b"/>
                      </m:rPr>
                      <w:rPr>
                        <w:rFonts w:ascii="Cambria Math" w:hAnsi="Cambria Math" w:cstheme="majorHAnsi"/>
                        <w:sz w:val="28"/>
                        <w:szCs w:val="28"/>
                      </w:rPr>
                      <m:t xml:space="preserve"> ×</m:t>
                    </m:r>
                    <m:sSub>
                      <m:sSubPr>
                        <m:ctrlPr>
                          <w:rPr>
                            <w:rFonts w:ascii="Cambria Math" w:hAnsi="Cambria Math" w:cstheme="majorHAnsi"/>
                            <w:b w:val="0"/>
                            <w:sz w:val="28"/>
                            <w:szCs w:val="28"/>
                          </w:rPr>
                        </m:ctrlPr>
                      </m:sSubPr>
                      <m:e>
                        <m:r>
                          <m:rPr>
                            <m:sty m:val="b"/>
                          </m:rPr>
                          <w:rPr>
                            <w:rFonts w:ascii="Cambria Math" w:hAnsi="Cambria Math" w:cstheme="majorHAnsi"/>
                            <w:sz w:val="28"/>
                            <w:szCs w:val="28"/>
                          </w:rPr>
                          <m:t>EF</m:t>
                        </m:r>
                      </m:e>
                      <m:sub>
                        <m:r>
                          <m:rPr>
                            <m:sty m:val="b"/>
                          </m:rPr>
                          <w:rPr>
                            <w:rFonts w:ascii="Cambria Math" w:hAnsi="Cambria Math" w:cstheme="majorHAnsi"/>
                            <w:sz w:val="28"/>
                            <w:szCs w:val="28"/>
                          </w:rPr>
                          <m:t>ijoxec</m:t>
                        </m:r>
                      </m:sub>
                    </m:sSub>
                  </m:num>
                  <m:den>
                    <m:r>
                      <m:rPr>
                        <m:sty m:val="b"/>
                      </m:rPr>
                      <w:rPr>
                        <w:rFonts w:ascii="Cambria Math" w:hAnsi="Cambria Math" w:cstheme="majorHAnsi"/>
                        <w:sz w:val="28"/>
                        <w:szCs w:val="28"/>
                      </w:rPr>
                      <m:t>1,000</m:t>
                    </m:r>
                  </m:den>
                </m:f>
              </m:oMath>
            </m:oMathPara>
          </w:p>
          <w:p w14:paraId="261FDE59" w14:textId="77777777" w:rsidR="001C3815" w:rsidRPr="00065B1A" w:rsidRDefault="001C3815">
            <w:pPr>
              <w:rPr>
                <w:b w:val="0"/>
              </w:rPr>
            </w:pPr>
            <w:r w:rsidRPr="00065B1A">
              <w:rPr>
                <w:b w:val="0"/>
              </w:rPr>
              <w:t>where:</w:t>
            </w:r>
          </w:p>
          <w:p w14:paraId="2FA1BBDF" w14:textId="67DEB285" w:rsidR="001C3815" w:rsidRPr="00065B1A" w:rsidRDefault="001C3815">
            <w:pPr>
              <w:rPr>
                <w:b w:val="0"/>
              </w:rPr>
            </w:pPr>
            <w:r w:rsidRPr="00065B1A">
              <w:rPr>
                <w:b w:val="0"/>
                <w:i/>
                <w:iCs/>
              </w:rPr>
              <w:t>E</w:t>
            </w:r>
            <w:r w:rsidRPr="00065B1A">
              <w:rPr>
                <w:b w:val="0"/>
                <w:i/>
                <w:iCs/>
                <w:vertAlign w:val="subscript"/>
              </w:rPr>
              <w:t>ij</w:t>
            </w:r>
            <w:r w:rsidRPr="00065B1A">
              <w:rPr>
                <w:b w:val="0"/>
              </w:rPr>
              <w:t xml:space="preserve"> is the emissions of gas type (j) released from the combustion of fuel type (i) from the operation of the facility during the year measured in </w:t>
            </w:r>
            <w:r w:rsidR="009A7CCD">
              <w:rPr>
                <w:b w:val="0"/>
              </w:rPr>
              <w:t>tonnes of carbon dioxide equivalence (t </w:t>
            </w:r>
            <w:r w:rsidRPr="00065B1A">
              <w:rPr>
                <w:b w:val="0"/>
              </w:rPr>
              <w:t>CO</w:t>
            </w:r>
            <w:r w:rsidRPr="00065B1A">
              <w:rPr>
                <w:b w:val="0"/>
                <w:vertAlign w:val="subscript"/>
              </w:rPr>
              <w:t>2</w:t>
            </w:r>
            <w:r w:rsidR="009A7CCD">
              <w:rPr>
                <w:b w:val="0"/>
              </w:rPr>
              <w:t>-</w:t>
            </w:r>
            <w:r w:rsidRPr="00065B1A">
              <w:rPr>
                <w:b w:val="0"/>
              </w:rPr>
              <w:t>e</w:t>
            </w:r>
            <w:r w:rsidR="009A7CCD">
              <w:rPr>
                <w:b w:val="0"/>
              </w:rPr>
              <w:t>)</w:t>
            </w:r>
            <w:r w:rsidRPr="00065B1A">
              <w:rPr>
                <w:b w:val="0"/>
              </w:rPr>
              <w:t>.</w:t>
            </w:r>
          </w:p>
          <w:p w14:paraId="6AB1350C" w14:textId="41E1DA4E" w:rsidR="001C3815" w:rsidRPr="00065B1A" w:rsidRDefault="001C3815">
            <w:pPr>
              <w:rPr>
                <w:b w:val="0"/>
              </w:rPr>
            </w:pPr>
            <w:r w:rsidRPr="00065B1A">
              <w:rPr>
                <w:b w:val="0"/>
                <w:i/>
                <w:iCs/>
              </w:rPr>
              <w:t>Q</w:t>
            </w:r>
            <w:r w:rsidRPr="00065B1A">
              <w:rPr>
                <w:b w:val="0"/>
                <w:i/>
                <w:iCs/>
                <w:vertAlign w:val="subscript"/>
              </w:rPr>
              <w:t>i</w:t>
            </w:r>
            <w:r w:rsidRPr="00065B1A">
              <w:rPr>
                <w:b w:val="0"/>
                <w:i/>
                <w:iCs/>
              </w:rPr>
              <w:t xml:space="preserve"> </w:t>
            </w:r>
            <w:r w:rsidRPr="00065B1A">
              <w:rPr>
                <w:b w:val="0"/>
              </w:rPr>
              <w:t>is the quantity of fuel type (i) estimated under Division 2.2.5 measured in t. In this case it is 20,000</w:t>
            </w:r>
            <w:r w:rsidR="009A7CCD">
              <w:rPr>
                <w:b w:val="0"/>
              </w:rPr>
              <w:t> </w:t>
            </w:r>
            <w:r w:rsidRPr="00065B1A">
              <w:rPr>
                <w:b w:val="0"/>
              </w:rPr>
              <w:t>t of bituminous coal.</w:t>
            </w:r>
          </w:p>
          <w:p w14:paraId="2B4D01CD" w14:textId="1196FF13" w:rsidR="001C3815" w:rsidRPr="00065B1A" w:rsidRDefault="001C3815">
            <w:pPr>
              <w:rPr>
                <w:b w:val="0"/>
              </w:rPr>
            </w:pPr>
            <w:r w:rsidRPr="00065B1A">
              <w:rPr>
                <w:b w:val="0"/>
                <w:i/>
                <w:iCs/>
              </w:rPr>
              <w:t>EC</w:t>
            </w:r>
            <w:r w:rsidRPr="00065B1A">
              <w:rPr>
                <w:b w:val="0"/>
                <w:i/>
                <w:iCs/>
                <w:vertAlign w:val="subscript"/>
              </w:rPr>
              <w:t>i</w:t>
            </w:r>
            <w:r w:rsidRPr="00065B1A">
              <w:rPr>
                <w:b w:val="0"/>
                <w:i/>
                <w:iCs/>
              </w:rPr>
              <w:t xml:space="preserve"> </w:t>
            </w:r>
            <w:r w:rsidRPr="00065B1A">
              <w:rPr>
                <w:b w:val="0"/>
              </w:rPr>
              <w:t xml:space="preserve">is the energy content factor of fuel type (i) estimated under section 6.5. In this case it is assumed to be 27 GJ per tonne </w:t>
            </w:r>
            <w:r w:rsidR="00436059">
              <w:rPr>
                <w:b w:val="0"/>
              </w:rPr>
              <w:t>(GJ/t)</w:t>
            </w:r>
            <w:r w:rsidRPr="00065B1A">
              <w:rPr>
                <w:b w:val="0"/>
              </w:rPr>
              <w:t xml:space="preserve"> of bituminous coal.</w:t>
            </w:r>
          </w:p>
          <w:p w14:paraId="444AD34A" w14:textId="4CCFBCF2" w:rsidR="001C3815" w:rsidRPr="00065B1A" w:rsidRDefault="001C3815">
            <w:pPr>
              <w:rPr>
                <w:b w:val="0"/>
              </w:rPr>
            </w:pPr>
            <w:r w:rsidRPr="00065B1A">
              <w:rPr>
                <w:b w:val="0"/>
                <w:i/>
                <w:iCs/>
              </w:rPr>
              <w:t>EF</w:t>
            </w:r>
            <w:r w:rsidRPr="00065B1A">
              <w:rPr>
                <w:b w:val="0"/>
                <w:i/>
                <w:iCs/>
                <w:vertAlign w:val="subscript"/>
              </w:rPr>
              <w:t>ijoxec</w:t>
            </w:r>
            <w:r w:rsidRPr="00065B1A">
              <w:rPr>
                <w:b w:val="0"/>
              </w:rPr>
              <w:t xml:space="preserve"> is the emission factor for each gas type (j) (which includes the effect of an oxidation factor) released from the combustion of fuel type (</w:t>
            </w:r>
            <w:proofErr w:type="spellStart"/>
            <w:r w:rsidRPr="00065B1A">
              <w:rPr>
                <w:b w:val="0"/>
              </w:rPr>
              <w:t>i</w:t>
            </w:r>
            <w:proofErr w:type="spellEnd"/>
            <w:r w:rsidRPr="00065B1A">
              <w:rPr>
                <w:b w:val="0"/>
              </w:rPr>
              <w:t>) measured in kilograms of CO</w:t>
            </w:r>
            <w:r w:rsidRPr="00065B1A">
              <w:rPr>
                <w:b w:val="0"/>
                <w:vertAlign w:val="subscript"/>
              </w:rPr>
              <w:t>2</w:t>
            </w:r>
            <w:r w:rsidR="00436059">
              <w:rPr>
                <w:b w:val="0"/>
              </w:rPr>
              <w:t>-</w:t>
            </w:r>
            <w:r w:rsidRPr="00065B1A">
              <w:rPr>
                <w:b w:val="0"/>
              </w:rPr>
              <w:t xml:space="preserve">e per GJ </w:t>
            </w:r>
            <w:r w:rsidR="00436059">
              <w:rPr>
                <w:b w:val="0"/>
              </w:rPr>
              <w:t>(</w:t>
            </w:r>
            <w:r w:rsidR="003228C5">
              <w:rPr>
                <w:b w:val="0"/>
              </w:rPr>
              <w:t>kg </w:t>
            </w:r>
            <w:r w:rsidR="00372CB0">
              <w:rPr>
                <w:b w:val="0"/>
              </w:rPr>
              <w:t>CO</w:t>
            </w:r>
            <w:r w:rsidR="00372CB0">
              <w:rPr>
                <w:b w:val="0"/>
                <w:vertAlign w:val="subscript"/>
              </w:rPr>
              <w:t>2</w:t>
            </w:r>
            <w:r w:rsidR="00372CB0">
              <w:rPr>
                <w:b w:val="0"/>
              </w:rPr>
              <w:t>-e/GJ)</w:t>
            </w:r>
            <w:r w:rsidRPr="00065B1A">
              <w:rPr>
                <w:b w:val="0"/>
              </w:rPr>
              <w:t xml:space="preserve"> according to source as mentioned in Schedule 1. In this case, for CO</w:t>
            </w:r>
            <w:r w:rsidRPr="00065B1A">
              <w:rPr>
                <w:b w:val="0"/>
                <w:vertAlign w:val="subscript"/>
              </w:rPr>
              <w:t>2</w:t>
            </w:r>
            <w:r w:rsidRPr="00065B1A">
              <w:rPr>
                <w:b w:val="0"/>
              </w:rPr>
              <w:t>, it is 90.0</w:t>
            </w:r>
            <w:r w:rsidR="00372CB0">
              <w:rPr>
                <w:b w:val="0"/>
              </w:rPr>
              <w:t> </w:t>
            </w:r>
            <w:r w:rsidRPr="00065B1A">
              <w:rPr>
                <w:b w:val="0"/>
              </w:rPr>
              <w:t>kg</w:t>
            </w:r>
            <w:r w:rsidR="00372CB0">
              <w:rPr>
                <w:b w:val="0"/>
              </w:rPr>
              <w:t> </w:t>
            </w:r>
            <w:r w:rsidRPr="00065B1A">
              <w:rPr>
                <w:b w:val="0"/>
              </w:rPr>
              <w:t>CO</w:t>
            </w:r>
            <w:r w:rsidRPr="00065B1A">
              <w:rPr>
                <w:b w:val="0"/>
                <w:vertAlign w:val="subscript"/>
              </w:rPr>
              <w:t>2</w:t>
            </w:r>
            <w:r w:rsidRPr="00065B1A">
              <w:rPr>
                <w:b w:val="0"/>
              </w:rPr>
              <w:t>-e</w:t>
            </w:r>
            <w:r w:rsidR="00372CB0">
              <w:rPr>
                <w:b w:val="0"/>
              </w:rPr>
              <w:t>/</w:t>
            </w:r>
            <w:r w:rsidRPr="00065B1A">
              <w:rPr>
                <w:b w:val="0"/>
              </w:rPr>
              <w:t>GJ for bituminous coal. For methane, the emission factor is 0.04</w:t>
            </w:r>
            <w:r w:rsidR="00372CB0">
              <w:rPr>
                <w:b w:val="0"/>
              </w:rPr>
              <w:t xml:space="preserve"> kg </w:t>
            </w:r>
            <w:r w:rsidRPr="00065B1A">
              <w:rPr>
                <w:b w:val="0"/>
              </w:rPr>
              <w:t xml:space="preserve">per GJ </w:t>
            </w:r>
            <w:r w:rsidR="00372CB0">
              <w:rPr>
                <w:b w:val="0"/>
              </w:rPr>
              <w:t>(kg/GJ)</w:t>
            </w:r>
            <w:r w:rsidRPr="00065B1A">
              <w:rPr>
                <w:b w:val="0"/>
              </w:rPr>
              <w:t xml:space="preserve"> and for nitrous oxide, 0.2</w:t>
            </w:r>
            <w:r w:rsidR="00372CB0">
              <w:rPr>
                <w:b w:val="0"/>
              </w:rPr>
              <w:t> kg/GJ</w:t>
            </w:r>
            <w:r w:rsidRPr="00065B1A">
              <w:rPr>
                <w:b w:val="0"/>
              </w:rPr>
              <w:t>.</w:t>
            </w:r>
          </w:p>
          <w:p w14:paraId="0598921B" w14:textId="09FEF3EE" w:rsidR="001C3815" w:rsidRPr="00065B1A" w:rsidRDefault="001C3815">
            <w:pPr>
              <w:rPr>
                <w:b w:val="0"/>
              </w:rPr>
            </w:pPr>
            <w:r w:rsidRPr="00065B1A">
              <w:rPr>
                <w:b w:val="0"/>
              </w:rPr>
              <w:t>Emissions of greenhouse gases (</w:t>
            </w:r>
            <w:r w:rsidR="00372CB0">
              <w:rPr>
                <w:b w:val="0"/>
              </w:rPr>
              <w:t>carbon dioxide</w:t>
            </w:r>
            <w:r w:rsidRPr="00065B1A">
              <w:rPr>
                <w:b w:val="0"/>
              </w:rPr>
              <w:t>, methane and nitrous oxide) in t</w:t>
            </w:r>
            <w:r w:rsidR="00372CB0">
              <w:rPr>
                <w:b w:val="0"/>
              </w:rPr>
              <w:t> </w:t>
            </w:r>
            <w:r w:rsidRPr="00065B1A">
              <w:rPr>
                <w:b w:val="0"/>
              </w:rPr>
              <w:t>CO</w:t>
            </w:r>
            <w:r w:rsidRPr="00065B1A">
              <w:rPr>
                <w:b w:val="0"/>
                <w:vertAlign w:val="subscript"/>
              </w:rPr>
              <w:t>2</w:t>
            </w:r>
            <w:r w:rsidR="00372CB0">
              <w:rPr>
                <w:b w:val="0"/>
              </w:rPr>
              <w:t>-</w:t>
            </w:r>
            <w:r w:rsidRPr="00065B1A">
              <w:rPr>
                <w:b w:val="0"/>
              </w:rPr>
              <w:t xml:space="preserve">e are estimated as follows: </w:t>
            </w:r>
          </w:p>
          <w:p w14:paraId="4929CF94" w14:textId="77777777" w:rsidR="001C3815" w:rsidRPr="00065B1A" w:rsidRDefault="001C3815">
            <w:pPr>
              <w:rPr>
                <w:b w:val="0"/>
              </w:rPr>
            </w:pPr>
            <w:r w:rsidRPr="00065B1A">
              <w:rPr>
                <w:b w:val="0"/>
              </w:rPr>
              <w:t xml:space="preserve">Emissions of carbon dioxide from combustion of bituminous coal: </w:t>
            </w:r>
          </w:p>
          <w:p w14:paraId="640D3C53" w14:textId="0AFBC7A7" w:rsidR="001C3815" w:rsidRPr="00065B1A" w:rsidRDefault="001C3815">
            <w:pPr>
              <w:ind w:left="720"/>
              <w:rPr>
                <w:b w:val="0"/>
              </w:rPr>
            </w:pPr>
            <w:r w:rsidRPr="00065B1A">
              <w:rPr>
                <w:b w:val="0"/>
              </w:rPr>
              <w:t>= (20,000 x 27.0 x 90.0)/1,000 = 48,600</w:t>
            </w:r>
            <w:r w:rsidR="00372CB0">
              <w:rPr>
                <w:b w:val="0"/>
              </w:rPr>
              <w:t> </w:t>
            </w:r>
            <w:r w:rsidRPr="00065B1A">
              <w:rPr>
                <w:b w:val="0"/>
              </w:rPr>
              <w:t>t</w:t>
            </w:r>
            <w:r w:rsidR="00372CB0">
              <w:rPr>
                <w:b w:val="0"/>
              </w:rPr>
              <w:t> </w:t>
            </w:r>
            <w:r w:rsidRPr="00065B1A">
              <w:rPr>
                <w:b w:val="0"/>
              </w:rPr>
              <w:t>CO</w:t>
            </w:r>
            <w:r w:rsidRPr="00065B1A">
              <w:rPr>
                <w:b w:val="0"/>
                <w:vertAlign w:val="subscript"/>
              </w:rPr>
              <w:t>2</w:t>
            </w:r>
            <w:r w:rsidRPr="00065B1A">
              <w:rPr>
                <w:b w:val="0"/>
              </w:rPr>
              <w:t xml:space="preserve">-e </w:t>
            </w:r>
          </w:p>
          <w:p w14:paraId="6AD03B01" w14:textId="77777777" w:rsidR="001C3815" w:rsidRPr="00065B1A" w:rsidRDefault="001C3815">
            <w:pPr>
              <w:rPr>
                <w:b w:val="0"/>
              </w:rPr>
            </w:pPr>
            <w:r w:rsidRPr="00065B1A">
              <w:rPr>
                <w:b w:val="0"/>
              </w:rPr>
              <w:t xml:space="preserve">Emissions of methane from combustion of bituminous coal: </w:t>
            </w:r>
          </w:p>
          <w:p w14:paraId="5174830F" w14:textId="0E1F558B" w:rsidR="001C3815" w:rsidRPr="00065B1A" w:rsidRDefault="001C3815">
            <w:pPr>
              <w:ind w:left="720"/>
              <w:rPr>
                <w:b w:val="0"/>
              </w:rPr>
            </w:pPr>
            <w:r w:rsidRPr="00065B1A">
              <w:rPr>
                <w:b w:val="0"/>
              </w:rPr>
              <w:t>= (20,000 x 27.0 x 0.04)/1,000 = 22</w:t>
            </w:r>
            <w:r w:rsidR="00372CB0">
              <w:rPr>
                <w:b w:val="0"/>
              </w:rPr>
              <w:t> </w:t>
            </w:r>
            <w:r w:rsidRPr="00065B1A">
              <w:rPr>
                <w:b w:val="0"/>
              </w:rPr>
              <w:t>t</w:t>
            </w:r>
            <w:r w:rsidR="00372CB0">
              <w:rPr>
                <w:b w:val="0"/>
              </w:rPr>
              <w:t> </w:t>
            </w:r>
            <w:r w:rsidRPr="00065B1A">
              <w:rPr>
                <w:b w:val="0"/>
              </w:rPr>
              <w:t>CO</w:t>
            </w:r>
            <w:r w:rsidRPr="00065B1A">
              <w:rPr>
                <w:b w:val="0"/>
                <w:vertAlign w:val="subscript"/>
              </w:rPr>
              <w:t>2</w:t>
            </w:r>
            <w:r w:rsidRPr="00065B1A">
              <w:rPr>
                <w:b w:val="0"/>
              </w:rPr>
              <w:t>-e</w:t>
            </w:r>
          </w:p>
          <w:p w14:paraId="7DD4AD4A" w14:textId="77777777" w:rsidR="001C3815" w:rsidRPr="00065B1A" w:rsidRDefault="001C3815">
            <w:pPr>
              <w:rPr>
                <w:b w:val="0"/>
              </w:rPr>
            </w:pPr>
            <w:r w:rsidRPr="00065B1A">
              <w:rPr>
                <w:b w:val="0"/>
              </w:rPr>
              <w:t>Emissions of nitrous oxide from combustion of bituminous coal:</w:t>
            </w:r>
          </w:p>
          <w:p w14:paraId="6308DDBA" w14:textId="1717C3DA" w:rsidR="001C3815" w:rsidRPr="00F149D6" w:rsidRDefault="001C3815">
            <w:pPr>
              <w:ind w:left="720"/>
            </w:pPr>
            <w:r w:rsidRPr="00065B1A">
              <w:rPr>
                <w:b w:val="0"/>
              </w:rPr>
              <w:t>= (20,000 x 27.0 x 0.2)/1,000 = 108</w:t>
            </w:r>
            <w:r w:rsidR="00372CB0">
              <w:rPr>
                <w:b w:val="0"/>
              </w:rPr>
              <w:t> </w:t>
            </w:r>
            <w:r w:rsidRPr="00065B1A">
              <w:rPr>
                <w:b w:val="0"/>
              </w:rPr>
              <w:t>t</w:t>
            </w:r>
            <w:r w:rsidR="00372CB0">
              <w:rPr>
                <w:b w:val="0"/>
              </w:rPr>
              <w:t> </w:t>
            </w:r>
            <w:r w:rsidRPr="00065B1A">
              <w:rPr>
                <w:b w:val="0"/>
              </w:rPr>
              <w:t>CO</w:t>
            </w:r>
            <w:r w:rsidRPr="00065B1A">
              <w:rPr>
                <w:b w:val="0"/>
                <w:vertAlign w:val="subscript"/>
              </w:rPr>
              <w:t>2</w:t>
            </w:r>
            <w:r w:rsidRPr="00065B1A">
              <w:rPr>
                <w:b w:val="0"/>
              </w:rPr>
              <w:t>-e</w:t>
            </w:r>
          </w:p>
        </w:tc>
      </w:tr>
    </w:tbl>
    <w:p w14:paraId="3625B4AD" w14:textId="77777777" w:rsidR="001C3815" w:rsidRDefault="001C3815" w:rsidP="00ED53AE">
      <w:pPr>
        <w:rPr>
          <w:lang w:val="en-GB"/>
        </w:rPr>
      </w:pPr>
    </w:p>
    <w:p w14:paraId="5F912E22" w14:textId="77777777" w:rsidR="001C3815" w:rsidRPr="00F641D5" w:rsidRDefault="001C3815" w:rsidP="001C3815"/>
    <w:p w14:paraId="254A0809" w14:textId="516CBF3B" w:rsidR="001C3815" w:rsidRDefault="001C3815" w:rsidP="00B469D3">
      <w:pPr>
        <w:pStyle w:val="Heading3"/>
      </w:pPr>
      <w:bookmarkStart w:id="68" w:name="_Toc43983111"/>
      <w:bookmarkStart w:id="69" w:name="_Toc76565694"/>
      <w:bookmarkStart w:id="70" w:name="_Toc204158990"/>
      <w:r>
        <w:lastRenderedPageBreak/>
        <w:t>3.2.2. Method 2—estimating emissions of carbon dioxide using default oxidation factor</w:t>
      </w:r>
      <w:bookmarkEnd w:id="68"/>
      <w:bookmarkEnd w:id="69"/>
      <w:bookmarkEnd w:id="70"/>
    </w:p>
    <w:p w14:paraId="2422FA5E" w14:textId="77777777" w:rsidR="001C3815" w:rsidRPr="00015FD1" w:rsidRDefault="001C3815" w:rsidP="001C3815">
      <w:pPr>
        <w:rPr>
          <w:b/>
        </w:rPr>
      </w:pPr>
      <w:r>
        <w:t>Method 2 (set out in Division 2.2.3) does not apply default emission factors to the estimation of emissions. Method 2 instead produces more</w:t>
      </w:r>
      <w:r w:rsidRPr="00015FD1">
        <w:t xml:space="preserve"> accurate estimates for each facility </w:t>
      </w:r>
      <w:r>
        <w:t>by calculating facility-specific emissions factors – effectively averaging out variations in emissions factors for the fuels that are applicable to a facility. These emissions factors</w:t>
      </w:r>
      <w:r w:rsidRPr="00015FD1">
        <w:t xml:space="preserve"> are expected to be neither over nor under-estimates </w:t>
      </w:r>
      <w:r>
        <w:t>and should comply with the general principles (including accuracy) in section 1.13 of the NGER Measurement Determination. Calculation inputs</w:t>
      </w:r>
      <w:r w:rsidRPr="00015FD1">
        <w:t xml:space="preserve"> </w:t>
      </w:r>
      <w:r>
        <w:t>for Method 2 are</w:t>
      </w:r>
      <w:r w:rsidRPr="00015FD1">
        <w:t xml:space="preserve"> obtained by sampling and analysing the fuels</w:t>
      </w:r>
      <w:r>
        <w:t xml:space="preserve"> that are</w:t>
      </w:r>
      <w:r w:rsidRPr="00015FD1">
        <w:t xml:space="preserve"> combusted at the facility </w:t>
      </w:r>
      <w:r>
        <w:t>to quantify</w:t>
      </w:r>
      <w:r w:rsidRPr="00015FD1">
        <w:t xml:space="preserve"> the intrinsic qualities of the fuels themselves that affect actual emission levels. These qualities include the carbon, ash and moisture content of a fuel and may vary significantly from source to source, particularly for coals.</w:t>
      </w:r>
    </w:p>
    <w:p w14:paraId="6CEBAB5B" w14:textId="77777777" w:rsidR="001C3815" w:rsidRPr="00015FD1" w:rsidRDefault="001C3815" w:rsidP="001C3815">
      <w:pPr>
        <w:rPr>
          <w:b/>
        </w:rPr>
      </w:pPr>
      <w:r w:rsidRPr="00015FD1">
        <w:t xml:space="preserve">Method 2 is derived from the methodologies published in the </w:t>
      </w:r>
      <w:r w:rsidRPr="00F149D6">
        <w:rPr>
          <w:iCs/>
        </w:rPr>
        <w:t>Technical Guidelines for the Generator Efficiency Standards</w:t>
      </w:r>
      <w:r w:rsidRPr="005618E8">
        <w:rPr>
          <w:iCs/>
        </w:rPr>
        <w:t xml:space="preserve"> </w:t>
      </w:r>
      <w:r w:rsidRPr="00015FD1">
        <w:t xml:space="preserve">program, released in December 2006 by the </w:t>
      </w:r>
      <w:r>
        <w:t xml:space="preserve">former </w:t>
      </w:r>
      <w:r w:rsidRPr="00015FD1">
        <w:t xml:space="preserve">Australian Greenhouse Office and is designed to enable more accurate estimates of emissions </w:t>
      </w:r>
      <w:r>
        <w:t>for</w:t>
      </w:r>
      <w:r w:rsidRPr="00015FD1">
        <w:t xml:space="preserve"> a particular facility.  </w:t>
      </w:r>
    </w:p>
    <w:p w14:paraId="2819BFA4" w14:textId="05C13D05" w:rsidR="001C3815" w:rsidRPr="00015FD1" w:rsidRDefault="001C3815" w:rsidP="001C3815">
      <w:pPr>
        <w:rPr>
          <w:b/>
        </w:rPr>
      </w:pPr>
      <w:r w:rsidRPr="00015FD1">
        <w:t xml:space="preserve">Under </w:t>
      </w:r>
      <w:r w:rsidR="016FEDBB">
        <w:t>M</w:t>
      </w:r>
      <w:r w:rsidRPr="00015FD1">
        <w:t xml:space="preserve">ethod 2, representative and unbiased samples of fuels consumed must </w:t>
      </w:r>
      <w:r>
        <w:t>be sampled and analysed in accordance with subdivision 2.2.3.3 of the NGER Measurement Determination</w:t>
      </w:r>
      <w:r w:rsidRPr="00015FD1">
        <w:t>. Analysis of the fuels for carbon, energy, ash or moisture content must be done in accordance with</w:t>
      </w:r>
      <w:r>
        <w:t xml:space="preserve"> the prescribed</w:t>
      </w:r>
      <w:r w:rsidRPr="00015FD1">
        <w:t xml:space="preserve"> Australian or international standards or equivalent.</w:t>
      </w:r>
    </w:p>
    <w:p w14:paraId="7ED9BA89" w14:textId="74DC5BD4" w:rsidR="001C3815" w:rsidRPr="00015FD1" w:rsidRDefault="001C3815" w:rsidP="001C3815">
      <w:pPr>
        <w:rPr>
          <w:b/>
        </w:rPr>
      </w:pPr>
      <w:proofErr w:type="gramStart"/>
      <w:r w:rsidRPr="00015FD1">
        <w:t>In order to</w:t>
      </w:r>
      <w:proofErr w:type="gramEnd"/>
      <w:r w:rsidRPr="00015FD1">
        <w:t xml:space="preserve"> deduct carbon dioxide captured for permanent storage</w:t>
      </w:r>
      <w:r>
        <w:t>,</w:t>
      </w:r>
      <w:r w:rsidRPr="00015FD1">
        <w:t xml:space="preserve"> reporters are required to use </w:t>
      </w:r>
      <w:r w:rsidR="6B160BBF">
        <w:t>M</w:t>
      </w:r>
      <w:r w:rsidRPr="00015FD1">
        <w:t xml:space="preserve">ethod 2 or higher. These higher order methods provide a more accurate estimate of the carbon dioxide emissions than under </w:t>
      </w:r>
      <w:r w:rsidR="2B62EEAE">
        <w:t>M</w:t>
      </w:r>
      <w:r w:rsidRPr="00015FD1">
        <w:t>ethod 1, the default method. As the carbon dioxide captured is deducted from the emissions estimate</w:t>
      </w:r>
      <w:r w:rsidR="4D999809">
        <w:t>,</w:t>
      </w:r>
      <w:r w:rsidRPr="00015FD1">
        <w:t xml:space="preserve"> it is necessary to have a greater level of accuracy in the emissions estimate than is achieved using </w:t>
      </w:r>
      <w:r w:rsidR="71E76EEE">
        <w:t>M</w:t>
      </w:r>
      <w:r w:rsidRPr="00015FD1">
        <w:t xml:space="preserve">ethod 1. </w:t>
      </w:r>
    </w:p>
    <w:p w14:paraId="01D6104F" w14:textId="18C7D0F8" w:rsidR="001C3815" w:rsidRPr="00015FD1" w:rsidRDefault="001C3815" w:rsidP="001C3815">
      <w:pPr>
        <w:rPr>
          <w:b/>
        </w:rPr>
      </w:pPr>
      <w:r w:rsidRPr="00015FD1">
        <w:t xml:space="preserve">Division 2.2.3 </w:t>
      </w:r>
      <w:r>
        <w:t xml:space="preserve">of the NGER Measurement Determination provides </w:t>
      </w:r>
      <w:r w:rsidR="007755FF">
        <w:t xml:space="preserve">2 </w:t>
      </w:r>
      <w:r>
        <w:t xml:space="preserve">options for Method 2, using either </w:t>
      </w:r>
      <w:r w:rsidRPr="00015FD1">
        <w:t>an assumed oxidation factor (subdivision 2.2.3.1</w:t>
      </w:r>
      <w:r>
        <w:t>),</w:t>
      </w:r>
      <w:r w:rsidRPr="00015FD1">
        <w:t xml:space="preserve"> or </w:t>
      </w:r>
      <w:r>
        <w:t>an estimated oxidation factor determined</w:t>
      </w:r>
      <w:r w:rsidRPr="00015FD1">
        <w:t xml:space="preserve"> by reference to additional information about the fuels combusted by the facility (</w:t>
      </w:r>
      <w:r>
        <w:t>s</w:t>
      </w:r>
      <w:r w:rsidRPr="00015FD1">
        <w:t>ubdivision 2.2.3.2).</w:t>
      </w:r>
    </w:p>
    <w:p w14:paraId="0C3C67F7" w14:textId="77777777" w:rsidR="001C3815" w:rsidRPr="00015FD1" w:rsidRDefault="001C3815" w:rsidP="001C3815">
      <w:pPr>
        <w:rPr>
          <w:b/>
        </w:rPr>
      </w:pPr>
      <w:r w:rsidRPr="00015FD1">
        <w:t xml:space="preserve">For sub-division 2.2.3.1, oxidation factors are drawn from default factors utilised in </w:t>
      </w:r>
      <w:r>
        <w:t>Australia's</w:t>
      </w:r>
      <w:r w:rsidRPr="005618E8">
        <w:rPr>
          <w:iCs/>
        </w:rPr>
        <w:t xml:space="preserve"> </w:t>
      </w:r>
      <w:r w:rsidRPr="00F149D6">
        <w:rPr>
          <w:iCs/>
        </w:rPr>
        <w:t>National Greenhouse Accounts</w:t>
      </w:r>
      <w:r w:rsidRPr="00015FD1">
        <w:t>.</w:t>
      </w:r>
    </w:p>
    <w:p w14:paraId="046D2A3B" w14:textId="5BC0CE54" w:rsidR="001C3815" w:rsidRDefault="001C3815" w:rsidP="001C3815">
      <w:r w:rsidRPr="00015FD1">
        <w:t>Once the</w:t>
      </w:r>
      <w:r>
        <w:t xml:space="preserve"> sampling and</w:t>
      </w:r>
      <w:r w:rsidRPr="00015FD1">
        <w:t xml:space="preserve"> analysis of the fuel for carbon, ash and moisture has been completed</w:t>
      </w:r>
      <w:r>
        <w:t xml:space="preserve"> in accordance with subdivision 2.2.3.3</w:t>
      </w:r>
      <w:r w:rsidRPr="00015FD1">
        <w:t xml:space="preserve">, emissions may then be estimated in accordance with the equations specified in </w:t>
      </w:r>
      <w:r w:rsidR="00ED4E67">
        <w:t>sub</w:t>
      </w:r>
      <w:r>
        <w:t>s</w:t>
      </w:r>
      <w:r w:rsidRPr="00015FD1">
        <w:t>ection 2.5(1) or 2.6(1)</w:t>
      </w:r>
      <w:r>
        <w:t xml:space="preserve"> of the NGER Measurement Determination</w:t>
      </w:r>
      <w:r w:rsidRPr="00015FD1">
        <w:t>.</w:t>
      </w:r>
    </w:p>
    <w:tbl>
      <w:tblPr>
        <w:tblStyle w:val="CERCallout"/>
        <w:tblW w:w="0" w:type="auto"/>
        <w:tblLook w:val="04A0" w:firstRow="1" w:lastRow="0" w:firstColumn="1" w:lastColumn="0" w:noHBand="0" w:noVBand="1"/>
      </w:tblPr>
      <w:tblGrid>
        <w:gridCol w:w="9710"/>
      </w:tblGrid>
      <w:tr w:rsidR="001C3815" w14:paraId="3229386C" w14:textId="77777777" w:rsidTr="4AB9D180">
        <w:trPr>
          <w:cnfStyle w:val="100000000000" w:firstRow="1" w:lastRow="0" w:firstColumn="0" w:lastColumn="0" w:oddVBand="0" w:evenVBand="0" w:oddHBand="0" w:evenHBand="0" w:firstRowFirstColumn="0" w:firstRowLastColumn="0" w:lastRowFirstColumn="0" w:lastRowLastColumn="0"/>
        </w:trPr>
        <w:tc>
          <w:tcPr>
            <w:tcW w:w="9730" w:type="dxa"/>
          </w:tcPr>
          <w:p w14:paraId="6AF9C614" w14:textId="6959A111" w:rsidR="001C3815" w:rsidRPr="00793B33" w:rsidRDefault="001C3815" w:rsidP="006F6AB8">
            <w:pPr>
              <w:pStyle w:val="Heading5"/>
              <w:rPr>
                <w:lang w:eastAsia="en-AU"/>
              </w:rPr>
            </w:pPr>
            <w:bookmarkStart w:id="71" w:name="_Toc204158991"/>
            <w:r w:rsidRPr="00793B33">
              <w:rPr>
                <w:b/>
                <w:lang w:eastAsia="en-AU"/>
              </w:rPr>
              <w:lastRenderedPageBreak/>
              <w:t>Example</w:t>
            </w:r>
            <w:r w:rsidR="00373F7C">
              <w:rPr>
                <w:b/>
                <w:lang w:eastAsia="en-AU"/>
              </w:rPr>
              <w:t xml:space="preserve"> 2</w:t>
            </w:r>
            <w:bookmarkEnd w:id="71"/>
          </w:p>
          <w:p w14:paraId="0B30E81B" w14:textId="37032439" w:rsidR="001C3815" w:rsidRPr="00065B1A" w:rsidRDefault="001C3815">
            <w:pPr>
              <w:rPr>
                <w:rFonts w:eastAsia="Times New Roman"/>
                <w:b w:val="0"/>
                <w:bCs/>
                <w:lang w:eastAsia="en-AU"/>
              </w:rPr>
            </w:pPr>
            <w:r w:rsidRPr="00065B1A">
              <w:rPr>
                <w:rFonts w:eastAsia="Times New Roman"/>
                <w:b w:val="0"/>
                <w:bCs/>
                <w:lang w:eastAsia="en-AU"/>
              </w:rPr>
              <w:t>A facility consumes 100,000</w:t>
            </w:r>
            <w:r w:rsidR="00944EEB">
              <w:rPr>
                <w:rFonts w:eastAsia="Times New Roman"/>
                <w:b w:val="0"/>
                <w:bCs/>
                <w:lang w:eastAsia="en-AU"/>
              </w:rPr>
              <w:t> </w:t>
            </w:r>
            <w:r w:rsidRPr="00065B1A">
              <w:rPr>
                <w:rFonts w:eastAsia="Times New Roman"/>
                <w:b w:val="0"/>
                <w:bCs/>
                <w:lang w:eastAsia="en-AU"/>
              </w:rPr>
              <w:t>t of bituminous coal with a carbon content of 75% and an energy content of 28.5</w:t>
            </w:r>
            <w:r w:rsidR="00944EEB">
              <w:rPr>
                <w:rFonts w:eastAsia="Times New Roman"/>
                <w:b w:val="0"/>
                <w:bCs/>
                <w:lang w:eastAsia="en-AU"/>
              </w:rPr>
              <w:t> </w:t>
            </w:r>
            <w:r w:rsidRPr="00065B1A">
              <w:rPr>
                <w:rFonts w:eastAsia="Times New Roman"/>
                <w:b w:val="0"/>
                <w:bCs/>
                <w:lang w:eastAsia="en-AU"/>
              </w:rPr>
              <w:t>GJ</w:t>
            </w:r>
            <w:r w:rsidR="00944EEB">
              <w:rPr>
                <w:rFonts w:eastAsia="Times New Roman"/>
                <w:b w:val="0"/>
                <w:bCs/>
                <w:lang w:eastAsia="en-AU"/>
              </w:rPr>
              <w:t> </w:t>
            </w:r>
            <w:r w:rsidRPr="00065B1A">
              <w:rPr>
                <w:rFonts w:eastAsia="Times New Roman"/>
                <w:b w:val="0"/>
                <w:bCs/>
                <w:lang w:eastAsia="en-AU"/>
              </w:rPr>
              <w:t>per</w:t>
            </w:r>
            <w:r w:rsidR="00944EEB">
              <w:rPr>
                <w:rFonts w:eastAsia="Times New Roman"/>
                <w:b w:val="0"/>
                <w:bCs/>
                <w:lang w:eastAsia="en-AU"/>
              </w:rPr>
              <w:t> </w:t>
            </w:r>
            <w:r w:rsidRPr="00065B1A">
              <w:rPr>
                <w:rFonts w:eastAsia="Times New Roman"/>
                <w:b w:val="0"/>
                <w:bCs/>
                <w:lang w:eastAsia="en-AU"/>
              </w:rPr>
              <w:t>tonne</w:t>
            </w:r>
            <w:r w:rsidR="00944EEB">
              <w:rPr>
                <w:rFonts w:eastAsia="Times New Roman"/>
                <w:b w:val="0"/>
                <w:bCs/>
                <w:lang w:eastAsia="en-AU"/>
              </w:rPr>
              <w:t> (GJ/t)</w:t>
            </w:r>
            <w:r w:rsidRPr="00065B1A">
              <w:rPr>
                <w:rFonts w:eastAsia="Times New Roman"/>
                <w:b w:val="0"/>
                <w:bCs/>
                <w:lang w:eastAsia="en-AU"/>
              </w:rPr>
              <w:t xml:space="preserve"> for purposes other than coke or electricity production. The reporter elects to use </w:t>
            </w:r>
            <w:r w:rsidR="6925DFB8" w:rsidRPr="4AB9D180">
              <w:rPr>
                <w:rFonts w:eastAsia="Times New Roman"/>
                <w:b w:val="0"/>
                <w:lang w:eastAsia="en-AU"/>
              </w:rPr>
              <w:t>M</w:t>
            </w:r>
            <w:r w:rsidRPr="00065B1A">
              <w:rPr>
                <w:rFonts w:eastAsia="Times New Roman"/>
                <w:b w:val="0"/>
                <w:bCs/>
                <w:lang w:eastAsia="en-AU"/>
              </w:rPr>
              <w:t xml:space="preserve">ethod 2 (using default oxidation factor) (section 2.5 of the NGER Measurement Determination) for the estimation of emissions of carbon dioxide and </w:t>
            </w:r>
            <w:r w:rsidR="2A561660" w:rsidRPr="4AB9D180">
              <w:rPr>
                <w:rFonts w:eastAsia="Times New Roman"/>
                <w:b w:val="0"/>
                <w:lang w:eastAsia="en-AU"/>
              </w:rPr>
              <w:t>M</w:t>
            </w:r>
            <w:r w:rsidRPr="00065B1A">
              <w:rPr>
                <w:rFonts w:eastAsia="Times New Roman"/>
                <w:b w:val="0"/>
                <w:bCs/>
                <w:lang w:eastAsia="en-AU"/>
              </w:rPr>
              <w:t xml:space="preserve">ethod 1 (division 2.2.2) for the estimation of emissions from methane and nitrous oxide. </w:t>
            </w:r>
          </w:p>
          <w:p w14:paraId="6E450389" w14:textId="583F26C2" w:rsidR="001C3815" w:rsidRPr="00065B1A" w:rsidRDefault="001C3815">
            <w:pPr>
              <w:rPr>
                <w:rFonts w:eastAsia="Times New Roman"/>
                <w:b w:val="0"/>
                <w:bCs/>
                <w:lang w:eastAsia="en-AU"/>
              </w:rPr>
            </w:pPr>
            <w:r w:rsidRPr="00065B1A">
              <w:rPr>
                <w:rFonts w:eastAsia="Times New Roman"/>
                <w:b w:val="0"/>
                <w:bCs/>
                <w:lang w:eastAsia="en-AU"/>
              </w:rPr>
              <w:t xml:space="preserve">Carbon dioxide emissions are estimated according to </w:t>
            </w:r>
            <w:r w:rsidR="5F568751" w:rsidRPr="4AB9D180">
              <w:rPr>
                <w:rFonts w:eastAsia="Times New Roman"/>
                <w:b w:val="0"/>
                <w:lang w:eastAsia="en-AU"/>
              </w:rPr>
              <w:t>M</w:t>
            </w:r>
            <w:r w:rsidRPr="00065B1A">
              <w:rPr>
                <w:rFonts w:eastAsia="Times New Roman"/>
                <w:b w:val="0"/>
                <w:bCs/>
                <w:lang w:eastAsia="en-AU"/>
              </w:rPr>
              <w:t>ethod 2 (using default oxidation factor) as follows:</w:t>
            </w:r>
          </w:p>
          <w:p w14:paraId="68A593A8" w14:textId="77777777" w:rsidR="001C3815" w:rsidRPr="00065B1A" w:rsidRDefault="001C3815">
            <w:pPr>
              <w:rPr>
                <w:rFonts w:eastAsia="Times New Roman"/>
                <w:b w:val="0"/>
                <w:bCs/>
                <w:lang w:eastAsia="en-AU"/>
              </w:rPr>
            </w:pPr>
            <w:r w:rsidRPr="00065B1A">
              <w:rPr>
                <w:rFonts w:eastAsia="Times New Roman"/>
                <w:b w:val="0"/>
                <w:bCs/>
                <w:lang w:eastAsia="en-AU"/>
              </w:rPr>
              <w:t>1. Estimate the carbon dioxide emission factor (EF</w:t>
            </w:r>
            <w:r w:rsidRPr="00065B1A">
              <w:rPr>
                <w:rFonts w:eastAsia="Times New Roman"/>
                <w:b w:val="0"/>
                <w:bCs/>
                <w:vertAlign w:val="subscript"/>
                <w:lang w:eastAsia="en-AU"/>
              </w:rPr>
              <w:t>ico2ox,kg</w:t>
            </w:r>
            <w:r w:rsidRPr="00065B1A">
              <w:rPr>
                <w:rFonts w:eastAsia="Times New Roman"/>
                <w:b w:val="0"/>
                <w:bCs/>
                <w:lang w:eastAsia="en-AU"/>
              </w:rPr>
              <w:t>) for fuel type (</w:t>
            </w:r>
            <w:proofErr w:type="spellStart"/>
            <w:r w:rsidRPr="00065B1A">
              <w:rPr>
                <w:rFonts w:eastAsia="Times New Roman"/>
                <w:b w:val="0"/>
                <w:bCs/>
                <w:lang w:eastAsia="en-AU"/>
              </w:rPr>
              <w:t>i</w:t>
            </w:r>
            <w:proofErr w:type="spellEnd"/>
            <w:r w:rsidRPr="00065B1A">
              <w:rPr>
                <w:rFonts w:eastAsia="Times New Roman"/>
                <w:b w:val="0"/>
                <w:bCs/>
                <w:lang w:eastAsia="en-AU"/>
              </w:rPr>
              <w:t>) as follows:</w:t>
            </w:r>
          </w:p>
          <w:p w14:paraId="331E7BA8" w14:textId="3ACC6328" w:rsidR="001C3815" w:rsidRPr="00065B1A" w:rsidRDefault="00C90786">
            <w:pPr>
              <w:rPr>
                <w:rFonts w:eastAsia="Times New Roman"/>
                <w:b w:val="0"/>
                <w:bCs/>
                <w:iCs/>
                <w:sz w:val="28"/>
                <w:szCs w:val="28"/>
                <w:lang w:eastAsia="en-AU"/>
              </w:rPr>
            </w:pPr>
            <m:oMathPara>
              <m:oMathParaPr>
                <m:jc m:val="left"/>
              </m:oMathParaPr>
              <m:oMath>
                <m:sSub>
                  <m:sSubPr>
                    <m:ctrlPr>
                      <w:rPr>
                        <w:rFonts w:ascii="Cambria Math" w:eastAsia="Times New Roman" w:hAnsi="Cambria Math"/>
                        <w:b w:val="0"/>
                        <w:bCs/>
                        <w:iCs/>
                        <w:sz w:val="28"/>
                        <w:szCs w:val="28"/>
                        <w:lang w:eastAsia="en-AU"/>
                      </w:rPr>
                    </m:ctrlPr>
                  </m:sSubPr>
                  <m:e>
                    <m:r>
                      <m:rPr>
                        <m:sty m:val="b"/>
                      </m:rPr>
                      <w:rPr>
                        <w:rFonts w:ascii="Cambria Math" w:eastAsia="Times New Roman" w:hAnsi="Cambria Math"/>
                        <w:sz w:val="28"/>
                        <w:szCs w:val="28"/>
                        <w:lang w:eastAsia="en-AU"/>
                      </w:rPr>
                      <m:t>EF</m:t>
                    </m:r>
                  </m:e>
                  <m:sub>
                    <m:sSub>
                      <m:sSubPr>
                        <m:ctrlPr>
                          <w:rPr>
                            <w:rFonts w:ascii="Cambria Math" w:eastAsia="Times New Roman" w:hAnsi="Cambria Math"/>
                            <w:b w:val="0"/>
                            <w:bCs/>
                            <w:iCs/>
                            <w:sz w:val="28"/>
                            <w:szCs w:val="28"/>
                            <w:lang w:eastAsia="en-AU"/>
                          </w:rPr>
                        </m:ctrlPr>
                      </m:sSubPr>
                      <m:e>
                        <m:r>
                          <m:rPr>
                            <m:sty m:val="b"/>
                          </m:rPr>
                          <w:rPr>
                            <w:rFonts w:ascii="Cambria Math" w:eastAsia="Times New Roman" w:hAnsi="Cambria Math"/>
                            <w:sz w:val="28"/>
                            <w:szCs w:val="28"/>
                            <w:lang w:eastAsia="en-AU"/>
                          </w:rPr>
                          <m:t>ico</m:t>
                        </m:r>
                      </m:e>
                      <m:sub>
                        <m:r>
                          <m:rPr>
                            <m:sty m:val="b"/>
                          </m:rPr>
                          <w:rPr>
                            <w:rFonts w:ascii="Cambria Math" w:eastAsia="Times New Roman" w:hAnsi="Cambria Math"/>
                            <w:sz w:val="28"/>
                            <w:szCs w:val="28"/>
                            <w:lang w:eastAsia="en-AU"/>
                          </w:rPr>
                          <m:t>2</m:t>
                        </m:r>
                      </m:sub>
                    </m:sSub>
                    <m:r>
                      <m:rPr>
                        <m:sty m:val="b"/>
                      </m:rPr>
                      <w:rPr>
                        <w:rFonts w:ascii="Cambria Math" w:eastAsia="Times New Roman" w:hAnsi="Cambria Math"/>
                        <w:sz w:val="28"/>
                        <w:szCs w:val="28"/>
                        <w:lang w:eastAsia="en-AU"/>
                      </w:rPr>
                      <m:t>ox,kg</m:t>
                    </m:r>
                  </m:sub>
                </m:sSub>
                <m:r>
                  <m:rPr>
                    <m:sty m:val="b"/>
                  </m:rPr>
                  <w:rPr>
                    <w:rFonts w:ascii="Cambria Math" w:eastAsia="Times New Roman" w:hAnsi="Cambria Math"/>
                    <w:sz w:val="28"/>
                    <w:szCs w:val="28"/>
                    <w:lang w:eastAsia="en-AU"/>
                  </w:rPr>
                  <m:t xml:space="preserve">= </m:t>
                </m:r>
                <m:f>
                  <m:fPr>
                    <m:ctrlPr>
                      <w:rPr>
                        <w:rFonts w:ascii="Cambria Math" w:eastAsia="Times New Roman" w:hAnsi="Cambria Math"/>
                        <w:b w:val="0"/>
                        <w:bCs/>
                        <w:iCs/>
                        <w:sz w:val="28"/>
                        <w:szCs w:val="28"/>
                        <w:lang w:eastAsia="en-AU"/>
                      </w:rPr>
                    </m:ctrlPr>
                  </m:fPr>
                  <m:num>
                    <m:sSub>
                      <m:sSubPr>
                        <m:ctrlPr>
                          <w:rPr>
                            <w:rFonts w:ascii="Cambria Math" w:eastAsia="Times New Roman" w:hAnsi="Cambria Math"/>
                            <w:b w:val="0"/>
                            <w:bCs/>
                            <w:iCs/>
                            <w:sz w:val="28"/>
                            <w:szCs w:val="28"/>
                            <w:lang w:eastAsia="en-AU"/>
                          </w:rPr>
                        </m:ctrlPr>
                      </m:sSubPr>
                      <m:e>
                        <m:r>
                          <m:rPr>
                            <m:sty m:val="b"/>
                          </m:rPr>
                          <w:rPr>
                            <w:rFonts w:ascii="Cambria Math" w:eastAsia="Times New Roman" w:hAnsi="Cambria Math"/>
                            <w:sz w:val="28"/>
                            <w:szCs w:val="28"/>
                            <w:lang w:eastAsia="en-AU"/>
                          </w:rPr>
                          <m:t>C</m:t>
                        </m:r>
                      </m:e>
                      <m:sub>
                        <m:r>
                          <m:rPr>
                            <m:sty m:val="b"/>
                          </m:rPr>
                          <w:rPr>
                            <w:rFonts w:ascii="Cambria Math" w:eastAsia="Times New Roman" w:hAnsi="Cambria Math"/>
                            <w:sz w:val="28"/>
                            <w:szCs w:val="28"/>
                            <w:lang w:eastAsia="en-AU"/>
                          </w:rPr>
                          <m:t>ar</m:t>
                        </m:r>
                      </m:sub>
                    </m:sSub>
                  </m:num>
                  <m:den>
                    <m:r>
                      <m:rPr>
                        <m:sty m:val="b"/>
                      </m:rPr>
                      <w:rPr>
                        <w:rFonts w:ascii="Cambria Math" w:eastAsia="Times New Roman" w:hAnsi="Cambria Math"/>
                        <w:sz w:val="28"/>
                        <w:szCs w:val="28"/>
                        <w:lang w:eastAsia="en-AU"/>
                      </w:rPr>
                      <m:t>100</m:t>
                    </m:r>
                  </m:den>
                </m:f>
                <m:r>
                  <m:rPr>
                    <m:sty m:val="b"/>
                  </m:rPr>
                  <w:rPr>
                    <w:rFonts w:ascii="Cambria Math" w:eastAsia="Times New Roman" w:hAnsi="Cambria Math"/>
                    <w:sz w:val="28"/>
                    <w:szCs w:val="28"/>
                    <w:lang w:eastAsia="en-AU"/>
                  </w:rPr>
                  <m:t xml:space="preserve"> ×</m:t>
                </m:r>
                <m:sSub>
                  <m:sSubPr>
                    <m:ctrlPr>
                      <w:rPr>
                        <w:rFonts w:ascii="Cambria Math" w:eastAsia="Times New Roman" w:hAnsi="Cambria Math"/>
                        <w:b w:val="0"/>
                        <w:bCs/>
                        <w:iCs/>
                        <w:sz w:val="28"/>
                        <w:szCs w:val="28"/>
                        <w:lang w:eastAsia="en-AU"/>
                      </w:rPr>
                    </m:ctrlPr>
                  </m:sSubPr>
                  <m:e>
                    <m:r>
                      <m:rPr>
                        <m:sty m:val="b"/>
                      </m:rPr>
                      <w:rPr>
                        <w:rFonts w:ascii="Cambria Math" w:eastAsia="Times New Roman" w:hAnsi="Cambria Math"/>
                        <w:sz w:val="28"/>
                        <w:szCs w:val="28"/>
                        <w:lang w:eastAsia="en-AU"/>
                      </w:rPr>
                      <m:t>OF</m:t>
                    </m:r>
                  </m:e>
                  <m:sub>
                    <m:r>
                      <m:rPr>
                        <m:sty m:val="b"/>
                      </m:rPr>
                      <w:rPr>
                        <w:rFonts w:ascii="Cambria Math" w:eastAsia="Times New Roman" w:hAnsi="Cambria Math"/>
                        <w:sz w:val="28"/>
                        <w:szCs w:val="28"/>
                        <w:lang w:eastAsia="en-AU"/>
                      </w:rPr>
                      <m:t>s</m:t>
                    </m:r>
                  </m:sub>
                </m:sSub>
                <m:r>
                  <m:rPr>
                    <m:sty m:val="b"/>
                  </m:rPr>
                  <w:rPr>
                    <w:rFonts w:ascii="Cambria Math" w:eastAsia="Times New Roman" w:hAnsi="Cambria Math"/>
                    <w:sz w:val="28"/>
                    <w:szCs w:val="28"/>
                    <w:lang w:eastAsia="en-AU"/>
                  </w:rPr>
                  <m:t xml:space="preserve"> ×3.664</m:t>
                </m:r>
              </m:oMath>
            </m:oMathPara>
          </w:p>
          <w:p w14:paraId="337ABDE4" w14:textId="77777777" w:rsidR="001C3815" w:rsidRPr="00065B1A" w:rsidRDefault="001C3815">
            <w:pPr>
              <w:rPr>
                <w:rFonts w:eastAsia="Times New Roman"/>
                <w:b w:val="0"/>
                <w:bCs/>
                <w:lang w:eastAsia="en-AU"/>
              </w:rPr>
            </w:pPr>
            <w:r w:rsidRPr="00065B1A">
              <w:rPr>
                <w:rFonts w:eastAsia="Times New Roman"/>
                <w:b w:val="0"/>
                <w:bCs/>
                <w:lang w:eastAsia="en-AU"/>
              </w:rPr>
              <w:t xml:space="preserve"> where:</w:t>
            </w:r>
          </w:p>
          <w:p w14:paraId="06D38FD9" w14:textId="646DB69C" w:rsidR="001C3815" w:rsidRPr="00065B1A" w:rsidRDefault="001C3815">
            <w:pPr>
              <w:rPr>
                <w:rFonts w:eastAsia="Times New Roman"/>
                <w:b w:val="0"/>
                <w:bCs/>
                <w:lang w:eastAsia="en-AU"/>
              </w:rPr>
            </w:pPr>
            <w:r w:rsidRPr="00065B1A">
              <w:rPr>
                <w:rFonts w:eastAsia="Times New Roman"/>
                <w:b w:val="0"/>
                <w:bCs/>
                <w:i/>
                <w:iCs/>
                <w:lang w:eastAsia="en-AU"/>
              </w:rPr>
              <w:t>EF</w:t>
            </w:r>
            <w:r w:rsidRPr="00065B1A">
              <w:rPr>
                <w:rFonts w:eastAsia="Times New Roman"/>
                <w:b w:val="0"/>
                <w:bCs/>
                <w:i/>
                <w:iCs/>
                <w:vertAlign w:val="subscript"/>
                <w:lang w:eastAsia="en-AU"/>
              </w:rPr>
              <w:t>ico2</w:t>
            </w:r>
            <w:proofErr w:type="gramStart"/>
            <w:r w:rsidRPr="00065B1A">
              <w:rPr>
                <w:rFonts w:eastAsia="Times New Roman"/>
                <w:b w:val="0"/>
                <w:bCs/>
                <w:i/>
                <w:iCs/>
                <w:vertAlign w:val="subscript"/>
                <w:lang w:eastAsia="en-AU"/>
              </w:rPr>
              <w:t>ox,kg</w:t>
            </w:r>
            <w:proofErr w:type="gramEnd"/>
            <w:r w:rsidRPr="00065B1A">
              <w:rPr>
                <w:rFonts w:eastAsia="Times New Roman"/>
                <w:b w:val="0"/>
                <w:bCs/>
                <w:vertAlign w:val="subscript"/>
                <w:lang w:eastAsia="en-AU"/>
              </w:rPr>
              <w:t xml:space="preserve"> </w:t>
            </w:r>
            <w:r w:rsidRPr="00065B1A">
              <w:rPr>
                <w:rFonts w:eastAsia="Times New Roman"/>
                <w:b w:val="0"/>
                <w:bCs/>
                <w:lang w:eastAsia="en-AU"/>
              </w:rPr>
              <w:t>the carbon dioxide emission factor for fuel type (</w:t>
            </w:r>
            <w:proofErr w:type="spellStart"/>
            <w:r w:rsidRPr="00065B1A">
              <w:rPr>
                <w:rFonts w:eastAsia="Times New Roman"/>
                <w:b w:val="0"/>
                <w:bCs/>
                <w:lang w:eastAsia="en-AU"/>
              </w:rPr>
              <w:t>i</w:t>
            </w:r>
            <w:proofErr w:type="spellEnd"/>
            <w:r w:rsidRPr="00065B1A">
              <w:rPr>
                <w:rFonts w:eastAsia="Times New Roman"/>
                <w:b w:val="0"/>
                <w:bCs/>
                <w:lang w:eastAsia="en-AU"/>
              </w:rPr>
              <w:t>) in kg</w:t>
            </w:r>
            <w:r w:rsidR="00AA7B04">
              <w:rPr>
                <w:rFonts w:eastAsia="Times New Roman"/>
                <w:b w:val="0"/>
                <w:bCs/>
                <w:lang w:eastAsia="en-AU"/>
              </w:rPr>
              <w:t xml:space="preserve"> </w:t>
            </w:r>
            <w:r w:rsidRPr="00065B1A">
              <w:rPr>
                <w:rFonts w:eastAsia="Times New Roman"/>
                <w:b w:val="0"/>
                <w:bCs/>
                <w:lang w:eastAsia="en-AU"/>
              </w:rPr>
              <w:t>of CO</w:t>
            </w:r>
            <w:r w:rsidRPr="00065B1A">
              <w:rPr>
                <w:rFonts w:eastAsia="Times New Roman"/>
                <w:b w:val="0"/>
                <w:bCs/>
                <w:vertAlign w:val="subscript"/>
                <w:lang w:eastAsia="en-AU"/>
              </w:rPr>
              <w:t>2</w:t>
            </w:r>
            <w:r w:rsidRPr="00065B1A">
              <w:rPr>
                <w:rFonts w:eastAsia="Times New Roman"/>
                <w:b w:val="0"/>
                <w:bCs/>
                <w:lang w:eastAsia="en-AU"/>
              </w:rPr>
              <w:t xml:space="preserve">-e per kg of </w:t>
            </w:r>
            <w:proofErr w:type="gramStart"/>
            <w:r w:rsidRPr="00065B1A">
              <w:rPr>
                <w:rFonts w:eastAsia="Times New Roman"/>
                <w:b w:val="0"/>
                <w:bCs/>
                <w:lang w:eastAsia="en-AU"/>
              </w:rPr>
              <w:t>fuel;</w:t>
            </w:r>
            <w:proofErr w:type="gramEnd"/>
          </w:p>
          <w:p w14:paraId="7D423E43" w14:textId="77777777" w:rsidR="001C3815" w:rsidRPr="00065B1A" w:rsidRDefault="001C3815">
            <w:pPr>
              <w:rPr>
                <w:rFonts w:eastAsia="Times New Roman"/>
                <w:b w:val="0"/>
                <w:bCs/>
                <w:lang w:eastAsia="en-AU"/>
              </w:rPr>
            </w:pPr>
            <w:r w:rsidRPr="00065B1A">
              <w:rPr>
                <w:rFonts w:eastAsia="Times New Roman"/>
                <w:b w:val="0"/>
                <w:bCs/>
                <w:i/>
                <w:iCs/>
                <w:lang w:eastAsia="en-AU"/>
              </w:rPr>
              <w:t>C</w:t>
            </w:r>
            <w:r w:rsidRPr="00065B1A">
              <w:rPr>
                <w:rFonts w:eastAsia="Times New Roman"/>
                <w:b w:val="0"/>
                <w:bCs/>
                <w:i/>
                <w:iCs/>
                <w:vertAlign w:val="subscript"/>
                <w:lang w:eastAsia="en-AU"/>
              </w:rPr>
              <w:t>ar</w:t>
            </w:r>
            <w:r w:rsidRPr="00065B1A">
              <w:rPr>
                <w:rFonts w:eastAsia="Times New Roman"/>
                <w:b w:val="0"/>
                <w:bCs/>
                <w:lang w:eastAsia="en-AU"/>
              </w:rPr>
              <w:t xml:space="preserve"> is the percentage of carbon in fuel type (</w:t>
            </w:r>
            <w:proofErr w:type="spellStart"/>
            <w:r w:rsidRPr="00065B1A">
              <w:rPr>
                <w:rFonts w:eastAsia="Times New Roman"/>
                <w:b w:val="0"/>
                <w:bCs/>
                <w:lang w:eastAsia="en-AU"/>
              </w:rPr>
              <w:t>i</w:t>
            </w:r>
            <w:proofErr w:type="spellEnd"/>
            <w:r w:rsidRPr="00065B1A">
              <w:rPr>
                <w:rFonts w:eastAsia="Times New Roman"/>
                <w:b w:val="0"/>
                <w:bCs/>
                <w:lang w:eastAsia="en-AU"/>
              </w:rPr>
              <w:t>) as received for the facility. In this case the percentage of carbon in bituminous coal is estimated to be 75.</w:t>
            </w:r>
          </w:p>
          <w:p w14:paraId="715B86A6" w14:textId="77777777" w:rsidR="001C3815" w:rsidRPr="00065B1A" w:rsidRDefault="001C3815">
            <w:pPr>
              <w:rPr>
                <w:rFonts w:eastAsia="Times New Roman"/>
                <w:b w:val="0"/>
                <w:bCs/>
                <w:lang w:eastAsia="en-AU"/>
              </w:rPr>
            </w:pPr>
            <w:r w:rsidRPr="00065B1A">
              <w:rPr>
                <w:rFonts w:eastAsia="Times New Roman"/>
                <w:b w:val="0"/>
                <w:bCs/>
                <w:lang w:eastAsia="en-AU"/>
              </w:rPr>
              <w:t>OF</w:t>
            </w:r>
            <w:r w:rsidRPr="00065B1A">
              <w:rPr>
                <w:rFonts w:eastAsia="Times New Roman"/>
                <w:b w:val="0"/>
                <w:bCs/>
                <w:vertAlign w:val="subscript"/>
                <w:lang w:eastAsia="en-AU"/>
              </w:rPr>
              <w:t>s</w:t>
            </w:r>
            <w:r w:rsidRPr="00065B1A">
              <w:rPr>
                <w:rFonts w:eastAsia="Times New Roman"/>
                <w:b w:val="0"/>
                <w:bCs/>
                <w:lang w:eastAsia="en-AU"/>
              </w:rPr>
              <w:t xml:space="preserve"> or oxidation factor, is 1.0</w:t>
            </w:r>
          </w:p>
          <w:p w14:paraId="5F498750" w14:textId="747A6218" w:rsidR="001C3815" w:rsidRPr="00065B1A" w:rsidRDefault="001C3815">
            <w:pPr>
              <w:rPr>
                <w:rFonts w:eastAsia="Times New Roman"/>
                <w:b w:val="0"/>
                <w:bCs/>
                <w:lang w:eastAsia="en-AU"/>
              </w:rPr>
            </w:pPr>
            <w:r w:rsidRPr="00065B1A">
              <w:rPr>
                <w:rFonts w:eastAsia="Times New Roman"/>
                <w:b w:val="0"/>
                <w:bCs/>
                <w:lang w:eastAsia="en-AU"/>
              </w:rPr>
              <w:t>= 75/100 x 1.0 x 3.664 = 2.75</w:t>
            </w:r>
            <w:r w:rsidR="002A0449">
              <w:rPr>
                <w:rFonts w:eastAsia="Times New Roman"/>
                <w:b w:val="0"/>
                <w:bCs/>
                <w:lang w:eastAsia="en-AU"/>
              </w:rPr>
              <w:t> </w:t>
            </w:r>
            <w:r w:rsidRPr="00065B1A">
              <w:rPr>
                <w:rFonts w:eastAsia="Times New Roman"/>
                <w:b w:val="0"/>
                <w:bCs/>
                <w:lang w:eastAsia="en-AU"/>
              </w:rPr>
              <w:t>kg</w:t>
            </w:r>
            <w:r w:rsidR="002A0449">
              <w:rPr>
                <w:rFonts w:eastAsia="Times New Roman"/>
                <w:b w:val="0"/>
                <w:bCs/>
                <w:lang w:eastAsia="en-AU"/>
              </w:rPr>
              <w:t> </w:t>
            </w:r>
            <w:r w:rsidRPr="00065B1A">
              <w:rPr>
                <w:rFonts w:eastAsia="Times New Roman"/>
                <w:b w:val="0"/>
                <w:bCs/>
                <w:lang w:eastAsia="en-AU"/>
              </w:rPr>
              <w:t>CO</w:t>
            </w:r>
            <w:r w:rsidRPr="00065B1A">
              <w:rPr>
                <w:rFonts w:eastAsia="Times New Roman"/>
                <w:b w:val="0"/>
                <w:bCs/>
                <w:vertAlign w:val="subscript"/>
                <w:lang w:eastAsia="en-AU"/>
              </w:rPr>
              <w:t>2</w:t>
            </w:r>
            <w:r w:rsidR="002A0449">
              <w:rPr>
                <w:rFonts w:eastAsia="Times New Roman"/>
                <w:b w:val="0"/>
                <w:bCs/>
                <w:lang w:eastAsia="en-AU"/>
              </w:rPr>
              <w:t>-</w:t>
            </w:r>
            <w:r w:rsidRPr="00065B1A">
              <w:rPr>
                <w:rFonts w:eastAsia="Times New Roman"/>
                <w:b w:val="0"/>
                <w:bCs/>
                <w:lang w:eastAsia="en-AU"/>
              </w:rPr>
              <w:t xml:space="preserve">e per kg of fuel </w:t>
            </w:r>
          </w:p>
          <w:p w14:paraId="22D8EF64" w14:textId="095414A0" w:rsidR="001C3815" w:rsidRPr="00065B1A" w:rsidRDefault="001C3815">
            <w:pPr>
              <w:rPr>
                <w:rFonts w:eastAsia="Times New Roman"/>
                <w:b w:val="0"/>
                <w:bCs/>
                <w:lang w:eastAsia="en-AU"/>
              </w:rPr>
            </w:pPr>
            <w:r w:rsidRPr="00065B1A">
              <w:rPr>
                <w:rFonts w:eastAsia="Times New Roman"/>
                <w:b w:val="0"/>
                <w:bCs/>
                <w:lang w:eastAsia="en-AU"/>
              </w:rPr>
              <w:t>2. Estimate the carbon dioxide emission factor for fuel type (</w:t>
            </w:r>
            <w:proofErr w:type="spellStart"/>
            <w:r w:rsidRPr="00065B1A">
              <w:rPr>
                <w:rFonts w:eastAsia="Times New Roman"/>
                <w:b w:val="0"/>
                <w:bCs/>
                <w:lang w:eastAsia="en-AU"/>
              </w:rPr>
              <w:t>i</w:t>
            </w:r>
            <w:proofErr w:type="spellEnd"/>
            <w:r w:rsidRPr="00065B1A">
              <w:rPr>
                <w:rFonts w:eastAsia="Times New Roman"/>
                <w:b w:val="0"/>
                <w:bCs/>
                <w:lang w:eastAsia="en-AU"/>
              </w:rPr>
              <w:t>) measured in kg</w:t>
            </w:r>
            <w:r w:rsidR="00135226">
              <w:rPr>
                <w:rFonts w:eastAsia="Times New Roman"/>
                <w:b w:val="0"/>
                <w:bCs/>
                <w:lang w:eastAsia="en-AU"/>
              </w:rPr>
              <w:t> </w:t>
            </w:r>
            <w:r w:rsidRPr="00065B1A">
              <w:rPr>
                <w:rFonts w:eastAsia="Times New Roman"/>
                <w:b w:val="0"/>
                <w:bCs/>
                <w:lang w:eastAsia="en-AU"/>
              </w:rPr>
              <w:t>CO</w:t>
            </w:r>
            <w:r w:rsidRPr="00065B1A">
              <w:rPr>
                <w:rFonts w:eastAsia="Times New Roman"/>
                <w:b w:val="0"/>
                <w:bCs/>
                <w:vertAlign w:val="subscript"/>
                <w:lang w:eastAsia="en-AU"/>
              </w:rPr>
              <w:t>2</w:t>
            </w:r>
            <w:r w:rsidR="002A0449">
              <w:rPr>
                <w:rFonts w:eastAsia="Times New Roman"/>
                <w:b w:val="0"/>
                <w:bCs/>
                <w:lang w:eastAsia="en-AU"/>
              </w:rPr>
              <w:t>-</w:t>
            </w:r>
            <w:r w:rsidRPr="00065B1A">
              <w:rPr>
                <w:rFonts w:eastAsia="Times New Roman"/>
                <w:b w:val="0"/>
                <w:bCs/>
                <w:lang w:eastAsia="en-AU"/>
              </w:rPr>
              <w:t xml:space="preserve">e </w:t>
            </w:r>
            <w:r w:rsidR="00FB319A">
              <w:rPr>
                <w:rFonts w:eastAsia="Times New Roman"/>
                <w:b w:val="0"/>
                <w:bCs/>
                <w:lang w:eastAsia="en-AU"/>
              </w:rPr>
              <w:t>p</w:t>
            </w:r>
            <w:r w:rsidRPr="00065B1A">
              <w:rPr>
                <w:rFonts w:eastAsia="Times New Roman"/>
                <w:b w:val="0"/>
                <w:bCs/>
                <w:lang w:eastAsia="en-AU"/>
              </w:rPr>
              <w:t>er</w:t>
            </w:r>
            <w:r w:rsidR="00FB319A">
              <w:rPr>
                <w:rFonts w:eastAsia="Times New Roman"/>
                <w:b w:val="0"/>
                <w:bCs/>
                <w:lang w:eastAsia="en-AU"/>
              </w:rPr>
              <w:t> </w:t>
            </w:r>
            <w:r w:rsidRPr="00065B1A">
              <w:rPr>
                <w:rFonts w:eastAsia="Times New Roman"/>
                <w:b w:val="0"/>
                <w:bCs/>
                <w:lang w:eastAsia="en-AU"/>
              </w:rPr>
              <w:t>GJ</w:t>
            </w:r>
            <w:r w:rsidR="00FB319A">
              <w:rPr>
                <w:rFonts w:eastAsia="Times New Roman"/>
                <w:b w:val="0"/>
                <w:bCs/>
                <w:lang w:eastAsia="en-AU"/>
              </w:rPr>
              <w:t> (kg CO</w:t>
            </w:r>
            <w:r w:rsidR="00FB319A">
              <w:rPr>
                <w:rFonts w:eastAsia="Times New Roman"/>
                <w:b w:val="0"/>
                <w:bCs/>
                <w:vertAlign w:val="subscript"/>
                <w:lang w:eastAsia="en-AU"/>
              </w:rPr>
              <w:t>2</w:t>
            </w:r>
            <w:r w:rsidR="00FB319A">
              <w:rPr>
                <w:rFonts w:eastAsia="Times New Roman"/>
                <w:b w:val="0"/>
                <w:bCs/>
                <w:lang w:eastAsia="en-AU"/>
              </w:rPr>
              <w:t>-e/GJ)</w:t>
            </w:r>
            <w:r w:rsidRPr="00065B1A">
              <w:rPr>
                <w:rFonts w:eastAsia="Times New Roman"/>
                <w:b w:val="0"/>
                <w:bCs/>
                <w:lang w:eastAsia="en-AU"/>
              </w:rPr>
              <w:t xml:space="preserve"> as follows: </w:t>
            </w:r>
          </w:p>
          <w:p w14:paraId="7764954F" w14:textId="2BBE9770" w:rsidR="001C3815" w:rsidRPr="00065B1A" w:rsidRDefault="00C90786">
            <w:pPr>
              <w:rPr>
                <w:b w:val="0"/>
                <w:bCs/>
                <w:sz w:val="28"/>
                <w:szCs w:val="28"/>
              </w:rPr>
            </w:pPr>
            <m:oMathPara>
              <m:oMathParaPr>
                <m:jc m:val="left"/>
              </m:oMathParaPr>
              <m:oMath>
                <m:sSub>
                  <m:sSubPr>
                    <m:ctrlPr>
                      <w:rPr>
                        <w:rFonts w:ascii="Cambria Math" w:hAnsi="Cambria Math"/>
                        <w:b w:val="0"/>
                        <w:bCs/>
                        <w:sz w:val="28"/>
                        <w:szCs w:val="28"/>
                      </w:rPr>
                    </m:ctrlPr>
                  </m:sSubPr>
                  <m:e>
                    <m:r>
                      <m:rPr>
                        <m:sty m:val="b"/>
                      </m:rPr>
                      <w:rPr>
                        <w:rFonts w:ascii="Cambria Math" w:hAnsi="Cambria Math"/>
                        <w:sz w:val="28"/>
                        <w:szCs w:val="28"/>
                      </w:rPr>
                      <m:t>EF</m:t>
                    </m:r>
                  </m:e>
                  <m:sub>
                    <m:sSub>
                      <m:sSubPr>
                        <m:ctrlPr>
                          <w:rPr>
                            <w:rFonts w:ascii="Cambria Math" w:hAnsi="Cambria Math"/>
                            <w:b w:val="0"/>
                            <w:bCs/>
                            <w:sz w:val="28"/>
                            <w:szCs w:val="28"/>
                          </w:rPr>
                        </m:ctrlPr>
                      </m:sSubPr>
                      <m:e>
                        <m:r>
                          <m:rPr>
                            <m:sty m:val="b"/>
                          </m:rPr>
                          <w:rPr>
                            <w:rFonts w:ascii="Cambria Math" w:hAnsi="Cambria Math"/>
                            <w:sz w:val="28"/>
                            <w:szCs w:val="28"/>
                          </w:rPr>
                          <m:t>ico</m:t>
                        </m:r>
                      </m:e>
                      <m:sub>
                        <m:r>
                          <m:rPr>
                            <m:sty m:val="b"/>
                          </m:rPr>
                          <w:rPr>
                            <w:rFonts w:ascii="Cambria Math" w:hAnsi="Cambria Math"/>
                            <w:sz w:val="28"/>
                            <w:szCs w:val="28"/>
                          </w:rPr>
                          <m:t>2</m:t>
                        </m:r>
                      </m:sub>
                    </m:sSub>
                    <m:r>
                      <m:rPr>
                        <m:sty m:val="b"/>
                      </m:rPr>
                      <w:rPr>
                        <w:rFonts w:ascii="Cambria Math" w:hAnsi="Cambria Math"/>
                        <w:sz w:val="28"/>
                        <w:szCs w:val="28"/>
                      </w:rPr>
                      <m:t>oxec</m:t>
                    </m:r>
                  </m:sub>
                </m:sSub>
                <m:r>
                  <m:rPr>
                    <m:sty m:val="b"/>
                  </m:rPr>
                  <w:rPr>
                    <w:rFonts w:ascii="Cambria Math" w:hAnsi="Cambria Math"/>
                    <w:sz w:val="28"/>
                    <w:szCs w:val="28"/>
                  </w:rPr>
                  <m:t xml:space="preserve"> = </m:t>
                </m:r>
                <m:f>
                  <m:fPr>
                    <m:ctrlPr>
                      <w:rPr>
                        <w:rFonts w:ascii="Cambria Math" w:hAnsi="Cambria Math"/>
                        <w:b w:val="0"/>
                        <w:bCs/>
                        <w:sz w:val="28"/>
                        <w:szCs w:val="28"/>
                      </w:rPr>
                    </m:ctrlPr>
                  </m:fPr>
                  <m:num>
                    <m:sSub>
                      <m:sSubPr>
                        <m:ctrlPr>
                          <w:rPr>
                            <w:rFonts w:ascii="Cambria Math" w:hAnsi="Cambria Math"/>
                            <w:b w:val="0"/>
                            <w:bCs/>
                            <w:sz w:val="28"/>
                            <w:szCs w:val="28"/>
                          </w:rPr>
                        </m:ctrlPr>
                      </m:sSubPr>
                      <m:e>
                        <m:r>
                          <m:rPr>
                            <m:sty m:val="b"/>
                          </m:rPr>
                          <w:rPr>
                            <w:rFonts w:ascii="Cambria Math" w:hAnsi="Cambria Math"/>
                            <w:sz w:val="28"/>
                            <w:szCs w:val="28"/>
                          </w:rPr>
                          <m:t>EF</m:t>
                        </m:r>
                      </m:e>
                      <m:sub>
                        <m:sSub>
                          <m:sSubPr>
                            <m:ctrlPr>
                              <w:rPr>
                                <w:rFonts w:ascii="Cambria Math" w:hAnsi="Cambria Math"/>
                                <w:b w:val="0"/>
                                <w:bCs/>
                                <w:sz w:val="28"/>
                                <w:szCs w:val="28"/>
                              </w:rPr>
                            </m:ctrlPr>
                          </m:sSubPr>
                          <m:e>
                            <m:r>
                              <m:rPr>
                                <m:sty m:val="b"/>
                              </m:rPr>
                              <w:rPr>
                                <w:rFonts w:ascii="Cambria Math" w:hAnsi="Cambria Math"/>
                                <w:sz w:val="28"/>
                                <w:szCs w:val="28"/>
                              </w:rPr>
                              <m:t>ico</m:t>
                            </m:r>
                          </m:e>
                          <m:sub>
                            <m:r>
                              <m:rPr>
                                <m:sty m:val="b"/>
                              </m:rPr>
                              <w:rPr>
                                <w:rFonts w:ascii="Cambria Math" w:hAnsi="Cambria Math"/>
                                <w:sz w:val="28"/>
                                <w:szCs w:val="28"/>
                              </w:rPr>
                              <m:t>2</m:t>
                            </m:r>
                          </m:sub>
                        </m:sSub>
                        <m:r>
                          <m:rPr>
                            <m:sty m:val="b"/>
                          </m:rPr>
                          <w:rPr>
                            <w:rFonts w:ascii="Cambria Math" w:hAnsi="Cambria Math"/>
                            <w:sz w:val="28"/>
                            <w:szCs w:val="28"/>
                          </w:rPr>
                          <m:t>ox,kg</m:t>
                        </m:r>
                      </m:sub>
                    </m:sSub>
                  </m:num>
                  <m:den>
                    <m:sSub>
                      <m:sSubPr>
                        <m:ctrlPr>
                          <w:rPr>
                            <w:rFonts w:ascii="Cambria Math" w:hAnsi="Cambria Math"/>
                            <w:b w:val="0"/>
                            <w:bCs/>
                            <w:sz w:val="28"/>
                            <w:szCs w:val="28"/>
                          </w:rPr>
                        </m:ctrlPr>
                      </m:sSubPr>
                      <m:e>
                        <m:r>
                          <m:rPr>
                            <m:sty m:val="b"/>
                          </m:rPr>
                          <w:rPr>
                            <w:rFonts w:ascii="Cambria Math" w:hAnsi="Cambria Math"/>
                            <w:sz w:val="28"/>
                            <w:szCs w:val="28"/>
                          </w:rPr>
                          <m:t>EC</m:t>
                        </m:r>
                      </m:e>
                      <m:sub>
                        <m:r>
                          <m:rPr>
                            <m:sty m:val="b"/>
                          </m:rPr>
                          <w:rPr>
                            <w:rFonts w:ascii="Cambria Math" w:hAnsi="Cambria Math"/>
                            <w:sz w:val="28"/>
                            <w:szCs w:val="28"/>
                          </w:rPr>
                          <m:t>i</m:t>
                        </m:r>
                      </m:sub>
                    </m:sSub>
                  </m:den>
                </m:f>
                <m:r>
                  <m:rPr>
                    <m:sty m:val="b"/>
                  </m:rPr>
                  <w:rPr>
                    <w:rFonts w:ascii="Cambria Math" w:hAnsi="Cambria Math"/>
                    <w:sz w:val="28"/>
                    <w:szCs w:val="28"/>
                  </w:rPr>
                  <m:t xml:space="preserve"> ×1,000</m:t>
                </m:r>
              </m:oMath>
            </m:oMathPara>
          </w:p>
          <w:p w14:paraId="68C0EA90" w14:textId="77777777" w:rsidR="001C3815" w:rsidRPr="00065B1A" w:rsidRDefault="001C3815">
            <w:pPr>
              <w:rPr>
                <w:rFonts w:eastAsia="Times New Roman"/>
                <w:b w:val="0"/>
                <w:bCs/>
                <w:lang w:eastAsia="en-AU"/>
              </w:rPr>
            </w:pPr>
            <w:r w:rsidRPr="00065B1A">
              <w:rPr>
                <w:rFonts w:eastAsia="Times New Roman"/>
                <w:b w:val="0"/>
                <w:bCs/>
                <w:lang w:eastAsia="en-AU"/>
              </w:rPr>
              <w:t>where:</w:t>
            </w:r>
          </w:p>
          <w:p w14:paraId="4BF381AF" w14:textId="4EA03D84" w:rsidR="001C3815" w:rsidRPr="00065B1A" w:rsidRDefault="001C3815">
            <w:pPr>
              <w:rPr>
                <w:rFonts w:eastAsia="Times New Roman"/>
                <w:b w:val="0"/>
                <w:bCs/>
                <w:lang w:eastAsia="en-AU"/>
              </w:rPr>
            </w:pPr>
            <w:r w:rsidRPr="00065B1A">
              <w:rPr>
                <w:rFonts w:eastAsia="Times New Roman"/>
                <w:b w:val="0"/>
                <w:bCs/>
                <w:i/>
                <w:iCs/>
                <w:lang w:eastAsia="en-AU"/>
              </w:rPr>
              <w:t>EF</w:t>
            </w:r>
            <w:r w:rsidRPr="00065B1A">
              <w:rPr>
                <w:rFonts w:eastAsia="Times New Roman"/>
                <w:b w:val="0"/>
                <w:bCs/>
                <w:i/>
                <w:iCs/>
                <w:vertAlign w:val="subscript"/>
                <w:lang w:eastAsia="en-AU"/>
              </w:rPr>
              <w:t>ico2ox,kg</w:t>
            </w:r>
            <w:r w:rsidRPr="00065B1A">
              <w:rPr>
                <w:rFonts w:eastAsia="Times New Roman"/>
                <w:b w:val="0"/>
                <w:bCs/>
                <w:vertAlign w:val="subscript"/>
                <w:lang w:eastAsia="en-AU"/>
              </w:rPr>
              <w:t xml:space="preserve"> </w:t>
            </w:r>
            <w:r w:rsidRPr="00065B1A">
              <w:rPr>
                <w:rFonts w:eastAsia="Times New Roman"/>
                <w:b w:val="0"/>
                <w:bCs/>
                <w:lang w:eastAsia="en-AU"/>
              </w:rPr>
              <w:t>is the carbon dioxide emission factor for fuel type (</w:t>
            </w:r>
            <w:proofErr w:type="spellStart"/>
            <w:r w:rsidRPr="00065B1A">
              <w:rPr>
                <w:rFonts w:eastAsia="Times New Roman"/>
                <w:b w:val="0"/>
                <w:bCs/>
                <w:lang w:eastAsia="en-AU"/>
              </w:rPr>
              <w:t>i</w:t>
            </w:r>
            <w:proofErr w:type="spellEnd"/>
            <w:r w:rsidRPr="00065B1A">
              <w:rPr>
                <w:rFonts w:eastAsia="Times New Roman"/>
                <w:b w:val="0"/>
                <w:bCs/>
                <w:lang w:eastAsia="en-AU"/>
              </w:rPr>
              <w:t>) measured in kg</w:t>
            </w:r>
            <w:r w:rsidR="00135226">
              <w:rPr>
                <w:rFonts w:eastAsia="Times New Roman"/>
                <w:b w:val="0"/>
                <w:bCs/>
                <w:lang w:eastAsia="en-AU"/>
              </w:rPr>
              <w:t> </w:t>
            </w:r>
            <w:r w:rsidRPr="00065B1A">
              <w:rPr>
                <w:rFonts w:eastAsia="Times New Roman"/>
                <w:b w:val="0"/>
                <w:bCs/>
                <w:lang w:eastAsia="en-AU"/>
              </w:rPr>
              <w:t>CO</w:t>
            </w:r>
            <w:r w:rsidRPr="00065B1A">
              <w:rPr>
                <w:rFonts w:eastAsia="Times New Roman"/>
                <w:b w:val="0"/>
                <w:bCs/>
                <w:vertAlign w:val="subscript"/>
                <w:lang w:eastAsia="en-AU"/>
              </w:rPr>
              <w:t>2</w:t>
            </w:r>
            <w:r w:rsidRPr="00065B1A">
              <w:rPr>
                <w:rFonts w:eastAsia="Times New Roman"/>
                <w:b w:val="0"/>
                <w:bCs/>
                <w:lang w:eastAsia="en-AU"/>
              </w:rPr>
              <w:t>-e per k</w:t>
            </w:r>
            <w:r w:rsidR="00135226">
              <w:rPr>
                <w:rFonts w:eastAsia="Times New Roman"/>
                <w:b w:val="0"/>
                <w:bCs/>
                <w:lang w:eastAsia="en-AU"/>
              </w:rPr>
              <w:t>g</w:t>
            </w:r>
            <w:r w:rsidRPr="00065B1A">
              <w:rPr>
                <w:rFonts w:eastAsia="Times New Roman"/>
                <w:b w:val="0"/>
                <w:bCs/>
                <w:lang w:eastAsia="en-AU"/>
              </w:rPr>
              <w:t xml:space="preserve"> of fuel.</w:t>
            </w:r>
          </w:p>
          <w:p w14:paraId="57C2FB94" w14:textId="7464DD99" w:rsidR="001C3815" w:rsidRPr="00065B1A" w:rsidRDefault="001C3815">
            <w:pPr>
              <w:rPr>
                <w:rFonts w:eastAsia="Times New Roman"/>
                <w:b w:val="0"/>
                <w:bCs/>
                <w:lang w:eastAsia="en-AU"/>
              </w:rPr>
            </w:pPr>
            <w:r w:rsidRPr="00065B1A">
              <w:rPr>
                <w:rFonts w:eastAsia="Times New Roman"/>
                <w:b w:val="0"/>
                <w:bCs/>
                <w:lang w:eastAsia="en-AU"/>
              </w:rPr>
              <w:t>EC</w:t>
            </w:r>
            <w:r w:rsidRPr="00065B1A">
              <w:rPr>
                <w:rFonts w:eastAsia="Times New Roman"/>
                <w:b w:val="0"/>
                <w:bCs/>
                <w:vertAlign w:val="subscript"/>
                <w:lang w:eastAsia="en-AU"/>
              </w:rPr>
              <w:t>i</w:t>
            </w:r>
            <w:r w:rsidRPr="00065B1A">
              <w:rPr>
                <w:rFonts w:eastAsia="Times New Roman"/>
                <w:b w:val="0"/>
                <w:bCs/>
                <w:lang w:eastAsia="en-AU"/>
              </w:rPr>
              <w:t xml:space="preserve"> is the energy content factor of fuel type (</w:t>
            </w:r>
            <w:proofErr w:type="spellStart"/>
            <w:r w:rsidRPr="00065B1A">
              <w:rPr>
                <w:rFonts w:eastAsia="Times New Roman"/>
                <w:b w:val="0"/>
                <w:bCs/>
                <w:lang w:eastAsia="en-AU"/>
              </w:rPr>
              <w:t>i</w:t>
            </w:r>
            <w:proofErr w:type="spellEnd"/>
            <w:r w:rsidRPr="00065B1A">
              <w:rPr>
                <w:rFonts w:eastAsia="Times New Roman"/>
                <w:b w:val="0"/>
                <w:bCs/>
                <w:lang w:eastAsia="en-AU"/>
              </w:rPr>
              <w:t>) estimated under section 6.5 of the NGER Measurement Determination. In this case the energy content factor of bituminous coal is estimated to be 28.5</w:t>
            </w:r>
            <w:r w:rsidR="00135226">
              <w:rPr>
                <w:rFonts w:eastAsia="Times New Roman"/>
                <w:b w:val="0"/>
                <w:bCs/>
                <w:lang w:eastAsia="en-AU"/>
              </w:rPr>
              <w:t> </w:t>
            </w:r>
            <w:r w:rsidRPr="00065B1A">
              <w:rPr>
                <w:rFonts w:eastAsia="Times New Roman"/>
                <w:b w:val="0"/>
                <w:bCs/>
                <w:lang w:eastAsia="en-AU"/>
              </w:rPr>
              <w:t>GJ/t.</w:t>
            </w:r>
          </w:p>
          <w:p w14:paraId="6E3A30E8" w14:textId="690F1EEF" w:rsidR="001C3815" w:rsidRPr="00065B1A" w:rsidRDefault="001C3815">
            <w:pPr>
              <w:rPr>
                <w:rFonts w:eastAsia="Times New Roman"/>
                <w:b w:val="0"/>
                <w:bCs/>
                <w:lang w:eastAsia="en-AU"/>
              </w:rPr>
            </w:pPr>
            <w:r w:rsidRPr="00065B1A">
              <w:rPr>
                <w:rFonts w:eastAsia="Times New Roman"/>
                <w:b w:val="0"/>
                <w:bCs/>
                <w:lang w:eastAsia="en-AU"/>
              </w:rPr>
              <w:t>= 2.75/28.5 x 1,000 = 96.4</w:t>
            </w:r>
            <w:r w:rsidR="00135226">
              <w:rPr>
                <w:rFonts w:eastAsia="Times New Roman"/>
                <w:b w:val="0"/>
                <w:bCs/>
                <w:lang w:eastAsia="en-AU"/>
              </w:rPr>
              <w:t> </w:t>
            </w:r>
            <w:r w:rsidRPr="00065B1A">
              <w:rPr>
                <w:rFonts w:eastAsia="Times New Roman"/>
                <w:b w:val="0"/>
                <w:bCs/>
                <w:lang w:eastAsia="en-AU"/>
              </w:rPr>
              <w:t>kg</w:t>
            </w:r>
            <w:r w:rsidR="00135226">
              <w:rPr>
                <w:rFonts w:eastAsia="Times New Roman"/>
                <w:b w:val="0"/>
                <w:bCs/>
                <w:lang w:eastAsia="en-AU"/>
              </w:rPr>
              <w:t> </w:t>
            </w:r>
            <w:r w:rsidRPr="00065B1A">
              <w:rPr>
                <w:rFonts w:eastAsia="Times New Roman"/>
                <w:b w:val="0"/>
                <w:bCs/>
                <w:lang w:eastAsia="en-AU"/>
              </w:rPr>
              <w:t>CO</w:t>
            </w:r>
            <w:r w:rsidRPr="00065B1A">
              <w:rPr>
                <w:rFonts w:eastAsia="Times New Roman"/>
                <w:b w:val="0"/>
                <w:bCs/>
                <w:vertAlign w:val="subscript"/>
                <w:lang w:eastAsia="en-AU"/>
              </w:rPr>
              <w:t>2</w:t>
            </w:r>
            <w:r w:rsidR="005A7447">
              <w:rPr>
                <w:rFonts w:eastAsia="Times New Roman"/>
                <w:b w:val="0"/>
                <w:bCs/>
                <w:lang w:eastAsia="en-AU"/>
              </w:rPr>
              <w:t>-</w:t>
            </w:r>
            <w:r w:rsidRPr="00065B1A">
              <w:rPr>
                <w:rFonts w:eastAsia="Times New Roman"/>
                <w:b w:val="0"/>
                <w:bCs/>
                <w:lang w:eastAsia="en-AU"/>
              </w:rPr>
              <w:t>e</w:t>
            </w:r>
            <w:r w:rsidR="005A7447">
              <w:rPr>
                <w:rFonts w:eastAsia="Times New Roman"/>
                <w:b w:val="0"/>
                <w:bCs/>
                <w:lang w:eastAsia="en-AU"/>
              </w:rPr>
              <w:t>/</w:t>
            </w:r>
            <w:r w:rsidRPr="00065B1A">
              <w:rPr>
                <w:rFonts w:eastAsia="Times New Roman"/>
                <w:b w:val="0"/>
                <w:bCs/>
                <w:lang w:eastAsia="en-AU"/>
              </w:rPr>
              <w:t>GJ</w:t>
            </w:r>
          </w:p>
          <w:p w14:paraId="497333CF" w14:textId="77777777" w:rsidR="001C3815" w:rsidRDefault="001C3815"/>
          <w:p w14:paraId="3A3ACB2A" w14:textId="77777777" w:rsidR="00F21C1A" w:rsidRPr="00387C92" w:rsidRDefault="00F21C1A">
            <w:pPr>
              <w:rPr>
                <w:b w:val="0"/>
              </w:rPr>
            </w:pPr>
          </w:p>
          <w:p w14:paraId="63976C08" w14:textId="0422B0A9" w:rsidR="001C3815" w:rsidRPr="00387C92" w:rsidRDefault="001C3815" w:rsidP="00873709">
            <w:pPr>
              <w:pStyle w:val="ListParagraph"/>
              <w:numPr>
                <w:ilvl w:val="0"/>
                <w:numId w:val="64"/>
              </w:numPr>
              <w:rPr>
                <w:b w:val="0"/>
              </w:rPr>
            </w:pPr>
            <w:r w:rsidRPr="004E60D4">
              <w:lastRenderedPageBreak/>
              <w:t>Estimate emissions as follows:</w:t>
            </w:r>
          </w:p>
          <w:bookmarkStart w:id="72" w:name="_Hlk50025248"/>
          <w:p w14:paraId="431854F5" w14:textId="41E00435" w:rsidR="001C3815" w:rsidRPr="00793B33" w:rsidRDefault="00C90786">
            <w:pPr>
              <w:rPr>
                <w:rFonts w:eastAsia="Times New Roman"/>
                <w:b w:val="0"/>
                <w:iCs/>
                <w:color w:val="000000"/>
                <w:sz w:val="28"/>
                <w:szCs w:val="28"/>
              </w:rPr>
            </w:pPr>
            <m:oMathPara>
              <m:oMathParaPr>
                <m:jc m:val="left"/>
              </m:oMathParaPr>
              <m:oMath>
                <m:sSub>
                  <m:sSubPr>
                    <m:ctrlPr>
                      <w:rPr>
                        <w:rFonts w:ascii="Cambria Math" w:eastAsia="Times New Roman" w:hAnsi="Cambria Math"/>
                        <w:b w:val="0"/>
                        <w:iCs/>
                        <w:color w:val="000000"/>
                        <w:sz w:val="28"/>
                        <w:szCs w:val="28"/>
                      </w:rPr>
                    </m:ctrlPr>
                  </m:sSubPr>
                  <m:e>
                    <m:r>
                      <m:rPr>
                        <m:sty m:val="b"/>
                      </m:rPr>
                      <w:rPr>
                        <w:rFonts w:ascii="Cambria Math" w:eastAsia="Times New Roman" w:hAnsi="Cambria Math"/>
                        <w:color w:val="000000"/>
                        <w:sz w:val="28"/>
                        <w:szCs w:val="28"/>
                      </w:rPr>
                      <m:t>E</m:t>
                    </m:r>
                  </m:e>
                  <m:sub>
                    <m:sSub>
                      <m:sSubPr>
                        <m:ctrlPr>
                          <w:rPr>
                            <w:rFonts w:ascii="Cambria Math" w:eastAsia="Times New Roman" w:hAnsi="Cambria Math"/>
                            <w:b w:val="0"/>
                            <w:iCs/>
                            <w:color w:val="000000"/>
                            <w:sz w:val="28"/>
                            <w:szCs w:val="28"/>
                          </w:rPr>
                        </m:ctrlPr>
                      </m:sSubPr>
                      <m:e>
                        <m:r>
                          <m:rPr>
                            <m:sty m:val="b"/>
                          </m:rPr>
                          <w:rPr>
                            <w:rFonts w:ascii="Cambria Math" w:eastAsia="Times New Roman" w:hAnsi="Cambria Math"/>
                            <w:color w:val="000000"/>
                            <w:sz w:val="28"/>
                            <w:szCs w:val="28"/>
                          </w:rPr>
                          <m:t>ico</m:t>
                        </m:r>
                      </m:e>
                      <m:sub>
                        <m:r>
                          <m:rPr>
                            <m:sty m:val="b"/>
                          </m:rPr>
                          <w:rPr>
                            <w:rFonts w:ascii="Cambria Math" w:eastAsia="Times New Roman" w:hAnsi="Cambria Math"/>
                            <w:color w:val="000000"/>
                            <w:sz w:val="28"/>
                            <w:szCs w:val="28"/>
                          </w:rPr>
                          <m:t>2</m:t>
                        </m:r>
                      </m:sub>
                    </m:sSub>
                  </m:sub>
                </m:sSub>
                <m:r>
                  <m:rPr>
                    <m:sty m:val="b"/>
                  </m:rPr>
                  <w:rPr>
                    <w:rFonts w:ascii="Cambria Math" w:eastAsia="Times New Roman" w:hAnsi="Cambria Math"/>
                    <w:color w:val="000000"/>
                    <w:sz w:val="28"/>
                    <w:szCs w:val="28"/>
                  </w:rPr>
                  <m:t xml:space="preserve">= </m:t>
                </m:r>
                <m:f>
                  <m:fPr>
                    <m:ctrlPr>
                      <w:rPr>
                        <w:rFonts w:ascii="Cambria Math" w:eastAsia="Times New Roman" w:hAnsi="Cambria Math"/>
                        <w:b w:val="0"/>
                        <w:iCs/>
                        <w:color w:val="000000"/>
                        <w:sz w:val="28"/>
                        <w:szCs w:val="28"/>
                      </w:rPr>
                    </m:ctrlPr>
                  </m:fPr>
                  <m:num>
                    <m:sSub>
                      <m:sSubPr>
                        <m:ctrlPr>
                          <w:rPr>
                            <w:rFonts w:ascii="Cambria Math" w:eastAsia="Times New Roman" w:hAnsi="Cambria Math"/>
                            <w:b w:val="0"/>
                            <w:iCs/>
                            <w:color w:val="000000"/>
                            <w:sz w:val="28"/>
                            <w:szCs w:val="28"/>
                          </w:rPr>
                        </m:ctrlPr>
                      </m:sSubPr>
                      <m:e>
                        <m:r>
                          <m:rPr>
                            <m:sty m:val="b"/>
                          </m:rPr>
                          <w:rPr>
                            <w:rFonts w:ascii="Cambria Math" w:eastAsia="Times New Roman" w:hAnsi="Cambria Math"/>
                            <w:color w:val="000000"/>
                            <w:sz w:val="28"/>
                            <w:szCs w:val="28"/>
                          </w:rPr>
                          <m:t>Q</m:t>
                        </m:r>
                      </m:e>
                      <m:sub>
                        <m:r>
                          <m:rPr>
                            <m:sty m:val="b"/>
                          </m:rPr>
                          <w:rPr>
                            <w:rFonts w:ascii="Cambria Math" w:eastAsia="Times New Roman" w:hAnsi="Cambria Math"/>
                            <w:color w:val="000000"/>
                            <w:sz w:val="28"/>
                            <w:szCs w:val="28"/>
                          </w:rPr>
                          <m:t>i</m:t>
                        </m:r>
                      </m:sub>
                    </m:sSub>
                    <m:r>
                      <m:rPr>
                        <m:sty m:val="b"/>
                      </m:rPr>
                      <w:rPr>
                        <w:rFonts w:ascii="Cambria Math" w:eastAsia="Times New Roman" w:hAnsi="Cambria Math"/>
                        <w:color w:val="000000"/>
                        <w:sz w:val="28"/>
                        <w:szCs w:val="28"/>
                      </w:rPr>
                      <m:t>×</m:t>
                    </m:r>
                    <m:sSub>
                      <m:sSubPr>
                        <m:ctrlPr>
                          <w:rPr>
                            <w:rFonts w:ascii="Cambria Math" w:eastAsia="Times New Roman" w:hAnsi="Cambria Math"/>
                            <w:b w:val="0"/>
                            <w:iCs/>
                            <w:color w:val="000000"/>
                            <w:sz w:val="28"/>
                            <w:szCs w:val="28"/>
                          </w:rPr>
                        </m:ctrlPr>
                      </m:sSubPr>
                      <m:e>
                        <m:r>
                          <m:rPr>
                            <m:sty m:val="b"/>
                          </m:rPr>
                          <w:rPr>
                            <w:rFonts w:ascii="Cambria Math" w:eastAsia="Times New Roman" w:hAnsi="Cambria Math"/>
                            <w:color w:val="000000"/>
                            <w:sz w:val="28"/>
                            <w:szCs w:val="28"/>
                          </w:rPr>
                          <m:t>EC</m:t>
                        </m:r>
                      </m:e>
                      <m:sub>
                        <m:r>
                          <m:rPr>
                            <m:sty m:val="b"/>
                          </m:rPr>
                          <w:rPr>
                            <w:rFonts w:ascii="Cambria Math" w:eastAsia="Times New Roman" w:hAnsi="Cambria Math"/>
                            <w:color w:val="000000"/>
                            <w:sz w:val="28"/>
                            <w:szCs w:val="28"/>
                          </w:rPr>
                          <m:t>i</m:t>
                        </m:r>
                      </m:sub>
                    </m:sSub>
                    <m:r>
                      <m:rPr>
                        <m:sty m:val="b"/>
                      </m:rPr>
                      <w:rPr>
                        <w:rFonts w:ascii="Cambria Math" w:eastAsia="Times New Roman" w:hAnsi="Cambria Math"/>
                        <w:color w:val="000000"/>
                        <w:sz w:val="28"/>
                        <w:szCs w:val="28"/>
                      </w:rPr>
                      <m:t>×</m:t>
                    </m:r>
                    <m:sSub>
                      <m:sSubPr>
                        <m:ctrlPr>
                          <w:rPr>
                            <w:rFonts w:ascii="Cambria Math" w:eastAsia="Times New Roman" w:hAnsi="Cambria Math"/>
                            <w:b w:val="0"/>
                            <w:iCs/>
                            <w:color w:val="000000"/>
                            <w:sz w:val="28"/>
                            <w:szCs w:val="28"/>
                          </w:rPr>
                        </m:ctrlPr>
                      </m:sSubPr>
                      <m:e>
                        <m:r>
                          <m:rPr>
                            <m:sty m:val="b"/>
                          </m:rPr>
                          <w:rPr>
                            <w:rFonts w:ascii="Cambria Math" w:eastAsia="Times New Roman" w:hAnsi="Cambria Math"/>
                            <w:color w:val="000000"/>
                            <w:sz w:val="28"/>
                            <w:szCs w:val="28"/>
                          </w:rPr>
                          <m:t>EF</m:t>
                        </m:r>
                      </m:e>
                      <m:sub>
                        <m:sSub>
                          <m:sSubPr>
                            <m:ctrlPr>
                              <w:rPr>
                                <w:rFonts w:ascii="Cambria Math" w:eastAsia="Times New Roman" w:hAnsi="Cambria Math"/>
                                <w:b w:val="0"/>
                                <w:iCs/>
                                <w:color w:val="000000"/>
                                <w:sz w:val="28"/>
                                <w:szCs w:val="28"/>
                              </w:rPr>
                            </m:ctrlPr>
                          </m:sSubPr>
                          <m:e>
                            <m:r>
                              <m:rPr>
                                <m:sty m:val="b"/>
                              </m:rPr>
                              <w:rPr>
                                <w:rFonts w:ascii="Cambria Math" w:eastAsia="Times New Roman" w:hAnsi="Cambria Math"/>
                                <w:color w:val="000000"/>
                                <w:sz w:val="28"/>
                                <w:szCs w:val="28"/>
                              </w:rPr>
                              <m:t>ico</m:t>
                            </m:r>
                          </m:e>
                          <m:sub>
                            <m:r>
                              <m:rPr>
                                <m:sty m:val="b"/>
                              </m:rPr>
                              <w:rPr>
                                <w:rFonts w:ascii="Cambria Math" w:eastAsia="Times New Roman" w:hAnsi="Cambria Math"/>
                                <w:color w:val="000000"/>
                                <w:sz w:val="28"/>
                                <w:szCs w:val="28"/>
                              </w:rPr>
                              <m:t>2</m:t>
                            </m:r>
                          </m:sub>
                        </m:sSub>
                        <m:r>
                          <m:rPr>
                            <m:sty m:val="b"/>
                          </m:rPr>
                          <w:rPr>
                            <w:rFonts w:ascii="Cambria Math" w:eastAsia="Times New Roman" w:hAnsi="Cambria Math"/>
                            <w:color w:val="000000"/>
                            <w:sz w:val="28"/>
                            <w:szCs w:val="28"/>
                          </w:rPr>
                          <m:t>oxec</m:t>
                        </m:r>
                      </m:sub>
                    </m:sSub>
                  </m:num>
                  <m:den>
                    <m:r>
                      <m:rPr>
                        <m:sty m:val="b"/>
                      </m:rPr>
                      <w:rPr>
                        <w:rFonts w:ascii="Cambria Math" w:eastAsia="Times New Roman" w:hAnsi="Cambria Math"/>
                        <w:color w:val="000000"/>
                        <w:sz w:val="28"/>
                        <w:szCs w:val="28"/>
                      </w:rPr>
                      <m:t>1,000</m:t>
                    </m:r>
                  </m:den>
                </m:f>
                <m:r>
                  <m:rPr>
                    <m:sty m:val="b"/>
                  </m:rPr>
                  <w:rPr>
                    <w:rFonts w:ascii="Cambria Math" w:eastAsia="Times New Roman" w:hAnsi="Cambria Math"/>
                    <w:color w:val="000000"/>
                    <w:sz w:val="28"/>
                    <w:szCs w:val="28"/>
                  </w:rPr>
                  <m:t xml:space="preserve">- </m:t>
                </m:r>
                <m:sSub>
                  <m:sSubPr>
                    <m:ctrlPr>
                      <w:rPr>
                        <w:rFonts w:ascii="Cambria Math" w:eastAsia="Times New Roman" w:hAnsi="Cambria Math"/>
                        <w:b w:val="0"/>
                        <w:iCs/>
                        <w:color w:val="000000"/>
                        <w:sz w:val="28"/>
                        <w:szCs w:val="28"/>
                      </w:rPr>
                    </m:ctrlPr>
                  </m:sSubPr>
                  <m:e>
                    <m:r>
                      <m:rPr>
                        <m:sty m:val="b"/>
                      </m:rPr>
                      <w:rPr>
                        <w:rFonts w:ascii="Cambria Math" w:eastAsia="Times New Roman" w:hAnsi="Cambria Math"/>
                        <w:color w:val="000000"/>
                        <w:sz w:val="28"/>
                        <w:szCs w:val="28"/>
                      </w:rPr>
                      <m:t>γRCCS</m:t>
                    </m:r>
                  </m:e>
                  <m:sub>
                    <m:sSub>
                      <m:sSubPr>
                        <m:ctrlPr>
                          <w:rPr>
                            <w:rFonts w:ascii="Cambria Math" w:eastAsia="Times New Roman" w:hAnsi="Cambria Math"/>
                            <w:b w:val="0"/>
                            <w:iCs/>
                            <w:color w:val="000000"/>
                            <w:sz w:val="28"/>
                            <w:szCs w:val="28"/>
                          </w:rPr>
                        </m:ctrlPr>
                      </m:sSubPr>
                      <m:e>
                        <m:r>
                          <m:rPr>
                            <m:sty m:val="b"/>
                          </m:rPr>
                          <w:rPr>
                            <w:rFonts w:ascii="Cambria Math" w:eastAsia="Times New Roman" w:hAnsi="Cambria Math"/>
                            <w:color w:val="000000"/>
                            <w:sz w:val="28"/>
                            <w:szCs w:val="28"/>
                          </w:rPr>
                          <m:t>CO</m:t>
                        </m:r>
                      </m:e>
                      <m:sub>
                        <m:r>
                          <m:rPr>
                            <m:sty m:val="b"/>
                          </m:rPr>
                          <w:rPr>
                            <w:rFonts w:ascii="Cambria Math" w:eastAsia="Times New Roman" w:hAnsi="Cambria Math"/>
                            <w:color w:val="000000"/>
                            <w:sz w:val="28"/>
                            <w:szCs w:val="28"/>
                          </w:rPr>
                          <m:t>2</m:t>
                        </m:r>
                      </m:sub>
                    </m:sSub>
                  </m:sub>
                </m:sSub>
              </m:oMath>
            </m:oMathPara>
          </w:p>
          <w:bookmarkEnd w:id="72"/>
          <w:p w14:paraId="178023FB" w14:textId="77777777" w:rsidR="001C3815" w:rsidRPr="00793B33" w:rsidRDefault="001C3815">
            <w:pPr>
              <w:rPr>
                <w:b w:val="0"/>
              </w:rPr>
            </w:pPr>
          </w:p>
          <w:p w14:paraId="29F11A05" w14:textId="77777777" w:rsidR="001C3815" w:rsidRPr="00065B1A" w:rsidRDefault="001C3815">
            <w:pPr>
              <w:rPr>
                <w:b w:val="0"/>
                <w:bCs/>
              </w:rPr>
            </w:pPr>
            <w:r w:rsidRPr="00065B1A">
              <w:rPr>
                <w:b w:val="0"/>
                <w:bCs/>
              </w:rPr>
              <w:t>where:</w:t>
            </w:r>
          </w:p>
          <w:p w14:paraId="217FF062" w14:textId="169B5F5A" w:rsidR="001C3815" w:rsidRPr="00065B1A" w:rsidRDefault="001C3815">
            <w:pPr>
              <w:rPr>
                <w:b w:val="0"/>
                <w:bCs/>
              </w:rPr>
            </w:pPr>
            <w:r w:rsidRPr="00065B1A">
              <w:rPr>
                <w:b w:val="0"/>
                <w:bCs/>
              </w:rPr>
              <w:t>E</w:t>
            </w:r>
            <w:r w:rsidRPr="00065B1A">
              <w:rPr>
                <w:b w:val="0"/>
                <w:bCs/>
                <w:vertAlign w:val="subscript"/>
              </w:rPr>
              <w:t>ico2</w:t>
            </w:r>
            <w:r w:rsidRPr="00065B1A">
              <w:rPr>
                <w:b w:val="0"/>
                <w:bCs/>
              </w:rPr>
              <w:t xml:space="preserve"> means the emissions of carbon dioxide released from the combustion of a fuel type (</w:t>
            </w:r>
            <w:proofErr w:type="spellStart"/>
            <w:r w:rsidRPr="00065B1A">
              <w:rPr>
                <w:b w:val="0"/>
                <w:bCs/>
              </w:rPr>
              <w:t>i</w:t>
            </w:r>
            <w:proofErr w:type="spellEnd"/>
            <w:r w:rsidRPr="00065B1A">
              <w:rPr>
                <w:b w:val="0"/>
                <w:bCs/>
              </w:rPr>
              <w:t xml:space="preserve">) from the operation of the facility during the year measured in </w:t>
            </w:r>
            <w:r w:rsidR="005A7447">
              <w:rPr>
                <w:b w:val="0"/>
                <w:bCs/>
              </w:rPr>
              <w:t>t </w:t>
            </w:r>
            <w:r w:rsidRPr="00065B1A">
              <w:rPr>
                <w:b w:val="0"/>
                <w:bCs/>
              </w:rPr>
              <w:t>CO</w:t>
            </w:r>
            <w:r w:rsidRPr="00065B1A">
              <w:rPr>
                <w:b w:val="0"/>
                <w:bCs/>
                <w:vertAlign w:val="subscript"/>
              </w:rPr>
              <w:t>2</w:t>
            </w:r>
            <w:r w:rsidR="005A7447">
              <w:rPr>
                <w:b w:val="0"/>
                <w:bCs/>
              </w:rPr>
              <w:t>-</w:t>
            </w:r>
            <w:r w:rsidRPr="00065B1A">
              <w:rPr>
                <w:b w:val="0"/>
                <w:bCs/>
              </w:rPr>
              <w:t>e.</w:t>
            </w:r>
          </w:p>
          <w:p w14:paraId="4435ACC7" w14:textId="77777777" w:rsidR="001C3815" w:rsidRPr="00065B1A" w:rsidRDefault="001C3815">
            <w:pPr>
              <w:rPr>
                <w:b w:val="0"/>
                <w:bCs/>
              </w:rPr>
            </w:pPr>
            <w:r w:rsidRPr="00065B1A">
              <w:rPr>
                <w:b w:val="0"/>
                <w:bCs/>
              </w:rPr>
              <w:t>Q</w:t>
            </w:r>
            <w:r w:rsidRPr="00065B1A">
              <w:rPr>
                <w:b w:val="0"/>
                <w:bCs/>
                <w:vertAlign w:val="subscript"/>
              </w:rPr>
              <w:t>i</w:t>
            </w:r>
            <w:r w:rsidRPr="00065B1A">
              <w:rPr>
                <w:b w:val="0"/>
                <w:bCs/>
              </w:rPr>
              <w:t xml:space="preserve"> is the quantity of fuel type (</w:t>
            </w:r>
            <w:proofErr w:type="spellStart"/>
            <w:r w:rsidRPr="00065B1A">
              <w:rPr>
                <w:b w:val="0"/>
                <w:bCs/>
              </w:rPr>
              <w:t>i</w:t>
            </w:r>
            <w:proofErr w:type="spellEnd"/>
            <w:r w:rsidRPr="00065B1A">
              <w:rPr>
                <w:b w:val="0"/>
                <w:bCs/>
              </w:rPr>
              <w:t>) measured in tonnes estimated under Division 2.2.5.</w:t>
            </w:r>
          </w:p>
          <w:p w14:paraId="5A322B94" w14:textId="77777777" w:rsidR="001C3815" w:rsidRPr="00065B1A" w:rsidRDefault="001C3815">
            <w:pPr>
              <w:rPr>
                <w:b w:val="0"/>
                <w:bCs/>
              </w:rPr>
            </w:pPr>
            <w:r w:rsidRPr="00065B1A">
              <w:rPr>
                <w:b w:val="0"/>
                <w:bCs/>
                <w:i/>
                <w:iCs/>
              </w:rPr>
              <w:t>EC</w:t>
            </w:r>
            <w:r w:rsidRPr="00065B1A">
              <w:rPr>
                <w:b w:val="0"/>
                <w:bCs/>
                <w:i/>
                <w:iCs/>
                <w:vertAlign w:val="subscript"/>
              </w:rPr>
              <w:t>i</w:t>
            </w:r>
            <w:r w:rsidRPr="00065B1A">
              <w:rPr>
                <w:b w:val="0"/>
                <w:bCs/>
              </w:rPr>
              <w:t xml:space="preserve"> is the energy content factor of fuel type (</w:t>
            </w:r>
            <w:proofErr w:type="spellStart"/>
            <w:r w:rsidRPr="00065B1A">
              <w:rPr>
                <w:b w:val="0"/>
                <w:bCs/>
              </w:rPr>
              <w:t>i</w:t>
            </w:r>
            <w:proofErr w:type="spellEnd"/>
            <w:r w:rsidRPr="00065B1A">
              <w:rPr>
                <w:b w:val="0"/>
                <w:bCs/>
              </w:rPr>
              <w:t>) estimated under section 6.5.</w:t>
            </w:r>
          </w:p>
          <w:p w14:paraId="51BEAC13" w14:textId="4E56881B" w:rsidR="001C3815" w:rsidRPr="00065B1A" w:rsidRDefault="001C3815">
            <w:pPr>
              <w:rPr>
                <w:b w:val="0"/>
                <w:bCs/>
              </w:rPr>
            </w:pPr>
            <w:r w:rsidRPr="00065B1A">
              <w:rPr>
                <w:b w:val="0"/>
                <w:bCs/>
                <w:i/>
                <w:iCs/>
              </w:rPr>
              <w:t xml:space="preserve">γ </w:t>
            </w:r>
            <w:r w:rsidRPr="00065B1A">
              <w:rPr>
                <w:b w:val="0"/>
                <w:bCs/>
              </w:rPr>
              <w:t>is the factor 1.861 × 10</w:t>
            </w:r>
            <w:r w:rsidR="00AC4AD9">
              <w:rPr>
                <w:b w:val="0"/>
                <w:bCs/>
                <w:vertAlign w:val="superscript"/>
              </w:rPr>
              <w:t>–</w:t>
            </w:r>
            <w:r w:rsidRPr="00873709">
              <w:rPr>
                <w:vertAlign w:val="superscript"/>
              </w:rPr>
              <w:t xml:space="preserve">3 </w:t>
            </w:r>
            <w:r w:rsidRPr="00065B1A">
              <w:rPr>
                <w:b w:val="0"/>
                <w:bCs/>
              </w:rPr>
              <w:t xml:space="preserve">for converting a quantity of carbon dioxide from cubic metres </w:t>
            </w:r>
            <w:r w:rsidR="005A7447">
              <w:rPr>
                <w:b w:val="0"/>
                <w:bCs/>
              </w:rPr>
              <w:t>(m</w:t>
            </w:r>
            <w:r w:rsidR="005A7447">
              <w:rPr>
                <w:b w:val="0"/>
                <w:bCs/>
                <w:vertAlign w:val="superscript"/>
              </w:rPr>
              <w:t>3</w:t>
            </w:r>
            <w:r w:rsidR="005A7447">
              <w:rPr>
                <w:b w:val="0"/>
                <w:bCs/>
              </w:rPr>
              <w:t>)</w:t>
            </w:r>
            <w:r w:rsidRPr="00065B1A">
              <w:rPr>
                <w:b w:val="0"/>
                <w:bCs/>
              </w:rPr>
              <w:t xml:space="preserve"> at standard conditions of pressure and temperature to </w:t>
            </w:r>
            <w:r w:rsidR="005A7447">
              <w:rPr>
                <w:b w:val="0"/>
                <w:bCs/>
              </w:rPr>
              <w:t>t </w:t>
            </w:r>
            <w:r w:rsidRPr="00065B1A">
              <w:rPr>
                <w:b w:val="0"/>
                <w:bCs/>
              </w:rPr>
              <w:t>CO</w:t>
            </w:r>
            <w:r w:rsidRPr="00065B1A">
              <w:rPr>
                <w:b w:val="0"/>
                <w:bCs/>
                <w:vertAlign w:val="subscript"/>
              </w:rPr>
              <w:t>2</w:t>
            </w:r>
            <w:r w:rsidR="005A7447">
              <w:rPr>
                <w:b w:val="0"/>
                <w:bCs/>
              </w:rPr>
              <w:t>-</w:t>
            </w:r>
            <w:r w:rsidRPr="00065B1A">
              <w:rPr>
                <w:b w:val="0"/>
                <w:bCs/>
              </w:rPr>
              <w:t>e.</w:t>
            </w:r>
          </w:p>
          <w:p w14:paraId="1ADC308B" w14:textId="4E3DEF60" w:rsidR="001C3815" w:rsidRPr="00065B1A" w:rsidRDefault="001C3815">
            <w:pPr>
              <w:rPr>
                <w:b w:val="0"/>
                <w:bCs/>
              </w:rPr>
            </w:pPr>
            <w:r w:rsidRPr="00065B1A">
              <w:rPr>
                <w:b w:val="0"/>
                <w:bCs/>
              </w:rPr>
              <w:t>RCCS</w:t>
            </w:r>
            <w:r w:rsidRPr="00065B1A">
              <w:rPr>
                <w:b w:val="0"/>
                <w:bCs/>
                <w:vertAlign w:val="subscript"/>
              </w:rPr>
              <w:t>CO2</w:t>
            </w:r>
            <w:r w:rsidRPr="00065B1A">
              <w:rPr>
                <w:b w:val="0"/>
                <w:bCs/>
              </w:rPr>
              <w:t xml:space="preserve"> is carbon dioxide captured for permanent storage measured in </w:t>
            </w:r>
            <w:r w:rsidR="005A7447">
              <w:rPr>
                <w:b w:val="0"/>
                <w:bCs/>
              </w:rPr>
              <w:t>m</w:t>
            </w:r>
            <w:r w:rsidR="005A7447">
              <w:rPr>
                <w:b w:val="0"/>
                <w:bCs/>
                <w:vertAlign w:val="superscript"/>
              </w:rPr>
              <w:t>3</w:t>
            </w:r>
            <w:r w:rsidRPr="00065B1A">
              <w:rPr>
                <w:b w:val="0"/>
                <w:bCs/>
              </w:rPr>
              <w:t xml:space="preserve"> in accordance with Division 1.2.3.</w:t>
            </w:r>
          </w:p>
          <w:p w14:paraId="0C3EFD98" w14:textId="6AA0D813" w:rsidR="001C3815" w:rsidRPr="00065B1A" w:rsidRDefault="001C3815">
            <w:pPr>
              <w:rPr>
                <w:b w:val="0"/>
                <w:bCs/>
              </w:rPr>
            </w:pPr>
            <w:r w:rsidRPr="00065B1A">
              <w:rPr>
                <w:b w:val="0"/>
                <w:bCs/>
              </w:rPr>
              <w:t>EF</w:t>
            </w:r>
            <w:r w:rsidRPr="00065B1A">
              <w:rPr>
                <w:b w:val="0"/>
                <w:bCs/>
                <w:vertAlign w:val="subscript"/>
              </w:rPr>
              <w:t>ico2oxec</w:t>
            </w:r>
            <w:r w:rsidRPr="00065B1A">
              <w:rPr>
                <w:b w:val="0"/>
                <w:bCs/>
              </w:rPr>
              <w:t xml:space="preserve"> is the carbon dioxide emission factor for fuel type (</w:t>
            </w:r>
            <w:proofErr w:type="spellStart"/>
            <w:r w:rsidRPr="00065B1A">
              <w:rPr>
                <w:b w:val="0"/>
                <w:bCs/>
              </w:rPr>
              <w:t>i</w:t>
            </w:r>
            <w:proofErr w:type="spellEnd"/>
            <w:r w:rsidRPr="00065B1A">
              <w:rPr>
                <w:b w:val="0"/>
                <w:bCs/>
              </w:rPr>
              <w:t>) measured in kg</w:t>
            </w:r>
            <w:r w:rsidR="00AC2AAD">
              <w:rPr>
                <w:b w:val="0"/>
                <w:bCs/>
              </w:rPr>
              <w:t> </w:t>
            </w:r>
            <w:r w:rsidRPr="00065B1A">
              <w:rPr>
                <w:b w:val="0"/>
                <w:bCs/>
              </w:rPr>
              <w:t>CO</w:t>
            </w:r>
            <w:r w:rsidRPr="00065B1A">
              <w:rPr>
                <w:b w:val="0"/>
                <w:bCs/>
                <w:vertAlign w:val="subscript"/>
              </w:rPr>
              <w:t>2</w:t>
            </w:r>
            <w:r w:rsidR="00AC2AAD">
              <w:rPr>
                <w:b w:val="0"/>
                <w:bCs/>
              </w:rPr>
              <w:t>-</w:t>
            </w:r>
            <w:r w:rsidRPr="00065B1A">
              <w:rPr>
                <w:b w:val="0"/>
                <w:bCs/>
              </w:rPr>
              <w:t>e</w:t>
            </w:r>
            <w:r w:rsidR="00AC2AAD">
              <w:rPr>
                <w:b w:val="0"/>
                <w:bCs/>
              </w:rPr>
              <w:t>/</w:t>
            </w:r>
            <w:r w:rsidRPr="00065B1A">
              <w:rPr>
                <w:b w:val="0"/>
                <w:bCs/>
              </w:rPr>
              <w:t>GJ.</w:t>
            </w:r>
          </w:p>
          <w:p w14:paraId="6793736D" w14:textId="77777777" w:rsidR="001C3815" w:rsidRPr="00065B1A" w:rsidRDefault="001C3815">
            <w:pPr>
              <w:rPr>
                <w:b w:val="0"/>
                <w:bCs/>
              </w:rPr>
            </w:pPr>
            <w:r w:rsidRPr="00065B1A">
              <w:rPr>
                <w:b w:val="0"/>
                <w:bCs/>
              </w:rPr>
              <w:t>= 100,000 x 28.5 x 96.4/1,000</w:t>
            </w:r>
          </w:p>
          <w:p w14:paraId="1EC01A2E" w14:textId="78F271B5" w:rsidR="001C3815" w:rsidRPr="00065B1A" w:rsidRDefault="001C3815">
            <w:pPr>
              <w:rPr>
                <w:b w:val="0"/>
                <w:bCs/>
              </w:rPr>
            </w:pPr>
            <w:r w:rsidRPr="00065B1A">
              <w:rPr>
                <w:b w:val="0"/>
                <w:bCs/>
              </w:rPr>
              <w:t xml:space="preserve">= 274,800 </w:t>
            </w:r>
            <w:r w:rsidR="00602668" w:rsidRPr="00065B1A">
              <w:rPr>
                <w:b w:val="0"/>
                <w:bCs/>
              </w:rPr>
              <w:t>t</w:t>
            </w:r>
            <w:r w:rsidR="00602668">
              <w:rPr>
                <w:b w:val="0"/>
                <w:bCs/>
              </w:rPr>
              <w:t> </w:t>
            </w:r>
            <w:r w:rsidR="00602668" w:rsidRPr="00065B1A">
              <w:rPr>
                <w:b w:val="0"/>
                <w:bCs/>
              </w:rPr>
              <w:t>CO</w:t>
            </w:r>
            <w:r w:rsidR="00602668" w:rsidRPr="00065B1A">
              <w:rPr>
                <w:b w:val="0"/>
                <w:bCs/>
                <w:vertAlign w:val="subscript"/>
              </w:rPr>
              <w:t>2</w:t>
            </w:r>
            <w:r w:rsidR="00602668" w:rsidRPr="00065B1A">
              <w:rPr>
                <w:b w:val="0"/>
                <w:bCs/>
              </w:rPr>
              <w:t>-e</w:t>
            </w:r>
          </w:p>
          <w:p w14:paraId="4AB91AAC" w14:textId="080125C4" w:rsidR="001C3815" w:rsidRPr="00065B1A" w:rsidRDefault="001C3815">
            <w:pPr>
              <w:rPr>
                <w:b w:val="0"/>
                <w:bCs/>
              </w:rPr>
            </w:pPr>
            <w:r w:rsidRPr="00065B1A">
              <w:rPr>
                <w:b w:val="0"/>
                <w:bCs/>
              </w:rPr>
              <w:t xml:space="preserve">Methane and nitrous oxide emissions are estimated according to </w:t>
            </w:r>
            <w:r w:rsidR="67B10B62">
              <w:rPr>
                <w:b w:val="0"/>
              </w:rPr>
              <w:t>M</w:t>
            </w:r>
            <w:r w:rsidRPr="00065B1A">
              <w:rPr>
                <w:b w:val="0"/>
                <w:bCs/>
              </w:rPr>
              <w:t>ethod 1 as follows:</w:t>
            </w:r>
          </w:p>
          <w:bookmarkStart w:id="73" w:name="_Hlk50025423"/>
          <w:p w14:paraId="3A4108A9" w14:textId="300493DD" w:rsidR="001C3815" w:rsidRPr="00065B1A" w:rsidRDefault="00C90786">
            <w:pPr>
              <w:rPr>
                <w:rFonts w:eastAsia="Times New Roman"/>
                <w:b w:val="0"/>
                <w:bCs/>
                <w:color w:val="auto"/>
                <w:sz w:val="28"/>
                <w:szCs w:val="28"/>
              </w:rPr>
            </w:pPr>
            <m:oMathPara>
              <m:oMathParaPr>
                <m:jc m:val="left"/>
              </m:oMathParaPr>
              <m:oMath>
                <m:sSub>
                  <m:sSubPr>
                    <m:ctrlPr>
                      <w:rPr>
                        <w:rFonts w:ascii="Cambria Math" w:eastAsia="Times New Roman" w:hAnsi="Cambria Math"/>
                        <w:b w:val="0"/>
                        <w:bCs/>
                        <w:color w:val="auto"/>
                        <w:sz w:val="28"/>
                        <w:szCs w:val="28"/>
                      </w:rPr>
                    </m:ctrlPr>
                  </m:sSubPr>
                  <m:e>
                    <m:r>
                      <m:rPr>
                        <m:sty m:val="b"/>
                      </m:rPr>
                      <w:rPr>
                        <w:rFonts w:ascii="Cambria Math" w:eastAsia="Times New Roman" w:hAnsi="Cambria Math"/>
                        <w:color w:val="auto"/>
                        <w:sz w:val="28"/>
                        <w:szCs w:val="28"/>
                      </w:rPr>
                      <m:t>E</m:t>
                    </m:r>
                  </m:e>
                  <m:sub>
                    <m:r>
                      <m:rPr>
                        <m:sty m:val="b"/>
                      </m:rPr>
                      <w:rPr>
                        <w:rFonts w:ascii="Cambria Math" w:eastAsia="Times New Roman" w:hAnsi="Cambria Math"/>
                        <w:color w:val="auto"/>
                        <w:sz w:val="28"/>
                        <w:szCs w:val="28"/>
                      </w:rPr>
                      <m:t>ij</m:t>
                    </m:r>
                  </m:sub>
                </m:sSub>
                <m:r>
                  <m:rPr>
                    <m:sty m:val="b"/>
                  </m:rPr>
                  <w:rPr>
                    <w:rFonts w:ascii="Cambria Math" w:eastAsia="Times New Roman" w:hAnsi="Cambria Math"/>
                    <w:color w:val="auto"/>
                    <w:sz w:val="28"/>
                    <w:szCs w:val="28"/>
                  </w:rPr>
                  <m:t xml:space="preserve">= </m:t>
                </m:r>
                <m:f>
                  <m:fPr>
                    <m:ctrlPr>
                      <w:rPr>
                        <w:rFonts w:ascii="Cambria Math" w:eastAsia="Times New Roman" w:hAnsi="Cambria Math"/>
                        <w:b w:val="0"/>
                        <w:bCs/>
                        <w:color w:val="auto"/>
                        <w:sz w:val="28"/>
                        <w:szCs w:val="28"/>
                      </w:rPr>
                    </m:ctrlPr>
                  </m:fPr>
                  <m:num>
                    <m:sSub>
                      <m:sSubPr>
                        <m:ctrlPr>
                          <w:rPr>
                            <w:rFonts w:ascii="Cambria Math" w:eastAsia="Times New Roman" w:hAnsi="Cambria Math"/>
                            <w:b w:val="0"/>
                            <w:bCs/>
                            <w:color w:val="auto"/>
                            <w:sz w:val="28"/>
                            <w:szCs w:val="28"/>
                          </w:rPr>
                        </m:ctrlPr>
                      </m:sSubPr>
                      <m:e>
                        <m:r>
                          <m:rPr>
                            <m:sty m:val="b"/>
                          </m:rPr>
                          <w:rPr>
                            <w:rFonts w:ascii="Cambria Math" w:eastAsia="Times New Roman" w:hAnsi="Cambria Math"/>
                            <w:color w:val="auto"/>
                            <w:sz w:val="28"/>
                            <w:szCs w:val="28"/>
                          </w:rPr>
                          <m:t>Q</m:t>
                        </m:r>
                      </m:e>
                      <m:sub>
                        <m:r>
                          <m:rPr>
                            <m:sty m:val="b"/>
                          </m:rPr>
                          <w:rPr>
                            <w:rFonts w:ascii="Cambria Math" w:eastAsia="Times New Roman" w:hAnsi="Cambria Math"/>
                            <w:color w:val="auto"/>
                            <w:sz w:val="28"/>
                            <w:szCs w:val="28"/>
                          </w:rPr>
                          <m:t>i</m:t>
                        </m:r>
                      </m:sub>
                    </m:sSub>
                    <m:r>
                      <m:rPr>
                        <m:sty m:val="b"/>
                      </m:rPr>
                      <w:rPr>
                        <w:rFonts w:ascii="Cambria Math" w:eastAsia="Times New Roman" w:hAnsi="Cambria Math"/>
                        <w:color w:val="auto"/>
                        <w:sz w:val="28"/>
                        <w:szCs w:val="28"/>
                      </w:rPr>
                      <m:t>×</m:t>
                    </m:r>
                    <m:sSub>
                      <m:sSubPr>
                        <m:ctrlPr>
                          <w:rPr>
                            <w:rFonts w:ascii="Cambria Math" w:eastAsia="Times New Roman" w:hAnsi="Cambria Math"/>
                            <w:b w:val="0"/>
                            <w:bCs/>
                            <w:color w:val="auto"/>
                            <w:sz w:val="28"/>
                            <w:szCs w:val="28"/>
                          </w:rPr>
                        </m:ctrlPr>
                      </m:sSubPr>
                      <m:e>
                        <m:r>
                          <m:rPr>
                            <m:sty m:val="b"/>
                          </m:rPr>
                          <w:rPr>
                            <w:rFonts w:ascii="Cambria Math" w:eastAsia="Times New Roman" w:hAnsi="Cambria Math"/>
                            <w:color w:val="auto"/>
                            <w:sz w:val="28"/>
                            <w:szCs w:val="28"/>
                          </w:rPr>
                          <m:t>EC</m:t>
                        </m:r>
                      </m:e>
                      <m:sub>
                        <m:r>
                          <m:rPr>
                            <m:sty m:val="b"/>
                          </m:rPr>
                          <w:rPr>
                            <w:rFonts w:ascii="Cambria Math" w:eastAsia="Times New Roman" w:hAnsi="Cambria Math"/>
                            <w:color w:val="auto"/>
                            <w:sz w:val="28"/>
                            <w:szCs w:val="28"/>
                          </w:rPr>
                          <m:t>i</m:t>
                        </m:r>
                      </m:sub>
                    </m:sSub>
                    <m:r>
                      <m:rPr>
                        <m:sty m:val="b"/>
                      </m:rPr>
                      <w:rPr>
                        <w:rFonts w:ascii="Cambria Math" w:eastAsia="Times New Roman" w:hAnsi="Cambria Math"/>
                        <w:color w:val="auto"/>
                        <w:sz w:val="28"/>
                        <w:szCs w:val="28"/>
                      </w:rPr>
                      <m:t>×</m:t>
                    </m:r>
                    <m:sSub>
                      <m:sSubPr>
                        <m:ctrlPr>
                          <w:rPr>
                            <w:rFonts w:ascii="Cambria Math" w:eastAsia="Times New Roman" w:hAnsi="Cambria Math"/>
                            <w:b w:val="0"/>
                            <w:bCs/>
                            <w:color w:val="auto"/>
                            <w:sz w:val="28"/>
                            <w:szCs w:val="28"/>
                          </w:rPr>
                        </m:ctrlPr>
                      </m:sSubPr>
                      <m:e>
                        <m:r>
                          <m:rPr>
                            <m:sty m:val="b"/>
                          </m:rPr>
                          <w:rPr>
                            <w:rFonts w:ascii="Cambria Math" w:eastAsia="Times New Roman" w:hAnsi="Cambria Math"/>
                            <w:color w:val="auto"/>
                            <w:sz w:val="28"/>
                            <w:szCs w:val="28"/>
                          </w:rPr>
                          <m:t>EF</m:t>
                        </m:r>
                      </m:e>
                      <m:sub>
                        <m:r>
                          <m:rPr>
                            <m:sty m:val="b"/>
                          </m:rPr>
                          <w:rPr>
                            <w:rFonts w:ascii="Cambria Math" w:eastAsia="Times New Roman" w:hAnsi="Cambria Math"/>
                            <w:color w:val="auto"/>
                            <w:sz w:val="28"/>
                            <w:szCs w:val="28"/>
                          </w:rPr>
                          <m:t>ijoxec</m:t>
                        </m:r>
                      </m:sub>
                    </m:sSub>
                  </m:num>
                  <m:den>
                    <m:r>
                      <m:rPr>
                        <m:sty m:val="b"/>
                      </m:rPr>
                      <w:rPr>
                        <w:rFonts w:ascii="Cambria Math" w:eastAsia="Times New Roman" w:hAnsi="Cambria Math"/>
                        <w:color w:val="auto"/>
                        <w:sz w:val="28"/>
                        <w:szCs w:val="28"/>
                      </w:rPr>
                      <m:t>1,000</m:t>
                    </m:r>
                  </m:den>
                </m:f>
              </m:oMath>
            </m:oMathPara>
          </w:p>
          <w:bookmarkEnd w:id="73"/>
          <w:p w14:paraId="6BF5FC81" w14:textId="77777777" w:rsidR="001C3815" w:rsidRPr="00065B1A" w:rsidRDefault="001C3815">
            <w:pPr>
              <w:rPr>
                <w:b w:val="0"/>
                <w:bCs/>
              </w:rPr>
            </w:pPr>
          </w:p>
          <w:p w14:paraId="56E4DB25" w14:textId="77777777" w:rsidR="001C3815" w:rsidRPr="00065B1A" w:rsidRDefault="001C3815">
            <w:pPr>
              <w:rPr>
                <w:b w:val="0"/>
                <w:bCs/>
              </w:rPr>
            </w:pPr>
            <w:r w:rsidRPr="00065B1A">
              <w:rPr>
                <w:b w:val="0"/>
                <w:bCs/>
              </w:rPr>
              <w:t>where:</w:t>
            </w:r>
          </w:p>
          <w:p w14:paraId="24B80511" w14:textId="5F5697BC" w:rsidR="001C3815" w:rsidRPr="00065B1A" w:rsidRDefault="001C3815">
            <w:pPr>
              <w:rPr>
                <w:b w:val="0"/>
                <w:bCs/>
              </w:rPr>
            </w:pPr>
            <w:r w:rsidRPr="00065B1A">
              <w:rPr>
                <w:b w:val="0"/>
                <w:bCs/>
              </w:rPr>
              <w:t>E</w:t>
            </w:r>
            <w:r w:rsidRPr="00065B1A">
              <w:rPr>
                <w:b w:val="0"/>
                <w:bCs/>
                <w:vertAlign w:val="subscript"/>
              </w:rPr>
              <w:t>ij</w:t>
            </w:r>
            <w:r w:rsidRPr="00065B1A">
              <w:rPr>
                <w:b w:val="0"/>
                <w:bCs/>
              </w:rPr>
              <w:t xml:space="preserve"> is the emissions of gas type (j) released from the combustion of fuel type (</w:t>
            </w:r>
            <w:proofErr w:type="spellStart"/>
            <w:r w:rsidRPr="00065B1A">
              <w:rPr>
                <w:b w:val="0"/>
                <w:bCs/>
              </w:rPr>
              <w:t>i</w:t>
            </w:r>
            <w:proofErr w:type="spellEnd"/>
            <w:r w:rsidRPr="00065B1A">
              <w:rPr>
                <w:b w:val="0"/>
                <w:bCs/>
              </w:rPr>
              <w:t xml:space="preserve">) from the operation of the facility during the year measured in </w:t>
            </w:r>
            <w:r w:rsidR="00230976">
              <w:rPr>
                <w:b w:val="0"/>
                <w:bCs/>
              </w:rPr>
              <w:t>t </w:t>
            </w:r>
            <w:r w:rsidRPr="00065B1A">
              <w:rPr>
                <w:b w:val="0"/>
                <w:bCs/>
              </w:rPr>
              <w:t>CO</w:t>
            </w:r>
            <w:r w:rsidRPr="00065B1A">
              <w:rPr>
                <w:b w:val="0"/>
                <w:bCs/>
                <w:vertAlign w:val="subscript"/>
              </w:rPr>
              <w:t>2</w:t>
            </w:r>
            <w:r w:rsidR="00230976">
              <w:rPr>
                <w:b w:val="0"/>
                <w:bCs/>
              </w:rPr>
              <w:t>-</w:t>
            </w:r>
            <w:r w:rsidRPr="00065B1A">
              <w:rPr>
                <w:b w:val="0"/>
                <w:bCs/>
              </w:rPr>
              <w:t>e.</w:t>
            </w:r>
          </w:p>
          <w:p w14:paraId="42A722DC" w14:textId="1807F418" w:rsidR="001C3815" w:rsidRPr="00065B1A" w:rsidRDefault="001C3815">
            <w:pPr>
              <w:rPr>
                <w:b w:val="0"/>
                <w:bCs/>
              </w:rPr>
            </w:pPr>
            <w:r w:rsidRPr="00065B1A">
              <w:rPr>
                <w:b w:val="0"/>
                <w:bCs/>
                <w:i/>
                <w:iCs/>
              </w:rPr>
              <w:t>Q</w:t>
            </w:r>
            <w:r w:rsidRPr="00065B1A">
              <w:rPr>
                <w:b w:val="0"/>
                <w:bCs/>
                <w:i/>
                <w:iCs/>
                <w:vertAlign w:val="subscript"/>
              </w:rPr>
              <w:t>i</w:t>
            </w:r>
            <w:r w:rsidRPr="00065B1A">
              <w:rPr>
                <w:b w:val="0"/>
                <w:bCs/>
              </w:rPr>
              <w:t xml:space="preserve"> is the quantity of fuel type (</w:t>
            </w:r>
            <w:proofErr w:type="spellStart"/>
            <w:r w:rsidRPr="00065B1A">
              <w:rPr>
                <w:b w:val="0"/>
                <w:bCs/>
              </w:rPr>
              <w:t>i</w:t>
            </w:r>
            <w:proofErr w:type="spellEnd"/>
            <w:r w:rsidRPr="00065B1A">
              <w:rPr>
                <w:b w:val="0"/>
                <w:bCs/>
              </w:rPr>
              <w:t>) estimated under Division 2.2.5 measured in t.</w:t>
            </w:r>
          </w:p>
          <w:p w14:paraId="20F128EA" w14:textId="77777777" w:rsidR="001C3815" w:rsidRPr="00065B1A" w:rsidRDefault="001C3815">
            <w:pPr>
              <w:rPr>
                <w:b w:val="0"/>
                <w:bCs/>
              </w:rPr>
            </w:pPr>
            <w:r w:rsidRPr="00065B1A">
              <w:rPr>
                <w:b w:val="0"/>
                <w:bCs/>
                <w:i/>
                <w:iCs/>
              </w:rPr>
              <w:t>EC</w:t>
            </w:r>
            <w:r w:rsidRPr="00065B1A">
              <w:rPr>
                <w:b w:val="0"/>
                <w:bCs/>
                <w:i/>
                <w:iCs/>
                <w:vertAlign w:val="subscript"/>
              </w:rPr>
              <w:t>i</w:t>
            </w:r>
            <w:r w:rsidRPr="00065B1A">
              <w:rPr>
                <w:b w:val="0"/>
                <w:bCs/>
              </w:rPr>
              <w:t xml:space="preserve"> is the energy content factor of fuel type (</w:t>
            </w:r>
            <w:proofErr w:type="spellStart"/>
            <w:r w:rsidRPr="00065B1A">
              <w:rPr>
                <w:b w:val="0"/>
                <w:bCs/>
              </w:rPr>
              <w:t>i</w:t>
            </w:r>
            <w:proofErr w:type="spellEnd"/>
            <w:r w:rsidRPr="00065B1A">
              <w:rPr>
                <w:b w:val="0"/>
                <w:bCs/>
              </w:rPr>
              <w:t>) estimated under section 6.5.</w:t>
            </w:r>
          </w:p>
          <w:p w14:paraId="5EBB6E6D" w14:textId="5BD735BC" w:rsidR="001C3815" w:rsidRPr="00065B1A" w:rsidRDefault="001C3815">
            <w:pPr>
              <w:rPr>
                <w:b w:val="0"/>
                <w:bCs/>
              </w:rPr>
            </w:pPr>
            <w:r w:rsidRPr="00065B1A">
              <w:rPr>
                <w:b w:val="0"/>
                <w:bCs/>
                <w:i/>
                <w:iCs/>
              </w:rPr>
              <w:t>EF</w:t>
            </w:r>
            <w:r w:rsidRPr="00065B1A">
              <w:rPr>
                <w:b w:val="0"/>
                <w:bCs/>
                <w:i/>
                <w:iCs/>
                <w:vertAlign w:val="subscript"/>
              </w:rPr>
              <w:t>ijoxec</w:t>
            </w:r>
            <w:r w:rsidRPr="00065B1A">
              <w:rPr>
                <w:b w:val="0"/>
                <w:bCs/>
              </w:rPr>
              <w:t xml:space="preserve"> is the emission factor for each gas (which includes the effect of a default oxidation factor) released from the combustion of fuel type (</w:t>
            </w:r>
            <w:proofErr w:type="spellStart"/>
            <w:r w:rsidRPr="00065B1A">
              <w:rPr>
                <w:b w:val="0"/>
                <w:bCs/>
              </w:rPr>
              <w:t>i</w:t>
            </w:r>
            <w:proofErr w:type="spellEnd"/>
            <w:r w:rsidRPr="00065B1A">
              <w:rPr>
                <w:b w:val="0"/>
                <w:bCs/>
              </w:rPr>
              <w:t>) measured in kg</w:t>
            </w:r>
            <w:r w:rsidR="00230976">
              <w:rPr>
                <w:b w:val="0"/>
                <w:bCs/>
              </w:rPr>
              <w:t> </w:t>
            </w:r>
            <w:r w:rsidRPr="00065B1A">
              <w:rPr>
                <w:b w:val="0"/>
                <w:bCs/>
              </w:rPr>
              <w:t>CO</w:t>
            </w:r>
            <w:r w:rsidRPr="00065B1A">
              <w:rPr>
                <w:b w:val="0"/>
                <w:bCs/>
                <w:vertAlign w:val="subscript"/>
              </w:rPr>
              <w:t>2</w:t>
            </w:r>
            <w:r w:rsidR="00230976">
              <w:rPr>
                <w:b w:val="0"/>
                <w:bCs/>
              </w:rPr>
              <w:t>-</w:t>
            </w:r>
            <w:r w:rsidRPr="00065B1A">
              <w:rPr>
                <w:b w:val="0"/>
                <w:bCs/>
              </w:rPr>
              <w:t>e</w:t>
            </w:r>
            <w:r w:rsidR="00230976">
              <w:rPr>
                <w:b w:val="0"/>
                <w:bCs/>
              </w:rPr>
              <w:t>/</w:t>
            </w:r>
            <w:r w:rsidRPr="00065B1A">
              <w:rPr>
                <w:b w:val="0"/>
                <w:bCs/>
              </w:rPr>
              <w:t>GJ according to source, as listed in Schedule 1 of the NGER Measurement Determination.</w:t>
            </w:r>
          </w:p>
          <w:p w14:paraId="57882822" w14:textId="77777777" w:rsidR="001C3815" w:rsidRPr="00065B1A" w:rsidRDefault="001C3815">
            <w:pPr>
              <w:rPr>
                <w:b w:val="0"/>
                <w:bCs/>
              </w:rPr>
            </w:pPr>
            <w:r w:rsidRPr="00065B1A">
              <w:rPr>
                <w:b w:val="0"/>
                <w:bCs/>
              </w:rPr>
              <w:lastRenderedPageBreak/>
              <w:t>Emissions of methane from combustion of bituminous coal:</w:t>
            </w:r>
          </w:p>
          <w:p w14:paraId="1D7886B5" w14:textId="1C1037B2" w:rsidR="001C3815" w:rsidRPr="00065B1A" w:rsidRDefault="001C3815">
            <w:pPr>
              <w:ind w:left="720"/>
              <w:rPr>
                <w:b w:val="0"/>
                <w:bCs/>
              </w:rPr>
            </w:pPr>
            <w:r w:rsidRPr="00065B1A">
              <w:rPr>
                <w:b w:val="0"/>
                <w:bCs/>
              </w:rPr>
              <w:t>= (100,000 x 28.5 x 0.04)/1,000 = 114</w:t>
            </w:r>
            <w:r w:rsidR="00230976">
              <w:rPr>
                <w:b w:val="0"/>
                <w:bCs/>
              </w:rPr>
              <w:t> </w:t>
            </w:r>
            <w:r w:rsidRPr="00065B1A">
              <w:rPr>
                <w:b w:val="0"/>
                <w:bCs/>
              </w:rPr>
              <w:t>t</w:t>
            </w:r>
            <w:r w:rsidR="00230976">
              <w:rPr>
                <w:b w:val="0"/>
                <w:bCs/>
              </w:rPr>
              <w:t> </w:t>
            </w:r>
            <w:r w:rsidRPr="00065B1A">
              <w:rPr>
                <w:b w:val="0"/>
                <w:bCs/>
              </w:rPr>
              <w:t>CO</w:t>
            </w:r>
            <w:r w:rsidRPr="00065B1A">
              <w:rPr>
                <w:b w:val="0"/>
                <w:bCs/>
                <w:vertAlign w:val="subscript"/>
              </w:rPr>
              <w:t>2</w:t>
            </w:r>
            <w:r w:rsidRPr="00065B1A">
              <w:rPr>
                <w:b w:val="0"/>
                <w:bCs/>
              </w:rPr>
              <w:t xml:space="preserve">-e </w:t>
            </w:r>
          </w:p>
          <w:p w14:paraId="33D485E0" w14:textId="77777777" w:rsidR="001C3815" w:rsidRPr="00065B1A" w:rsidRDefault="001C3815">
            <w:pPr>
              <w:rPr>
                <w:b w:val="0"/>
                <w:bCs/>
              </w:rPr>
            </w:pPr>
            <w:r w:rsidRPr="00065B1A">
              <w:rPr>
                <w:b w:val="0"/>
                <w:bCs/>
              </w:rPr>
              <w:t>Emissions of nitrous oxide from combustion of bituminous coal:</w:t>
            </w:r>
          </w:p>
          <w:p w14:paraId="7B20BE15" w14:textId="5CEA6F3F" w:rsidR="001C3815" w:rsidRPr="00340EC3" w:rsidRDefault="001C3815">
            <w:pPr>
              <w:ind w:left="720"/>
              <w:rPr>
                <w:bCs/>
              </w:rPr>
            </w:pPr>
            <w:r w:rsidRPr="00065B1A">
              <w:rPr>
                <w:b w:val="0"/>
                <w:bCs/>
              </w:rPr>
              <w:t>= (100,000 x 28.5 x 0.2)/1,000 = 570</w:t>
            </w:r>
            <w:r w:rsidR="00230976">
              <w:rPr>
                <w:b w:val="0"/>
                <w:bCs/>
              </w:rPr>
              <w:t> </w:t>
            </w:r>
            <w:r w:rsidRPr="00065B1A">
              <w:rPr>
                <w:b w:val="0"/>
                <w:bCs/>
              </w:rPr>
              <w:t>t</w:t>
            </w:r>
            <w:r w:rsidR="00230976">
              <w:rPr>
                <w:b w:val="0"/>
                <w:bCs/>
              </w:rPr>
              <w:t> </w:t>
            </w:r>
            <w:r w:rsidRPr="00065B1A">
              <w:rPr>
                <w:b w:val="0"/>
                <w:bCs/>
              </w:rPr>
              <w:t>CO</w:t>
            </w:r>
            <w:r w:rsidRPr="00065B1A">
              <w:rPr>
                <w:b w:val="0"/>
                <w:bCs/>
                <w:vertAlign w:val="subscript"/>
              </w:rPr>
              <w:t>2</w:t>
            </w:r>
            <w:r w:rsidRPr="00065B1A">
              <w:rPr>
                <w:b w:val="0"/>
                <w:bCs/>
              </w:rPr>
              <w:t>-e</w:t>
            </w:r>
          </w:p>
        </w:tc>
      </w:tr>
    </w:tbl>
    <w:p w14:paraId="72664665" w14:textId="16071B85" w:rsidR="001C3815" w:rsidRPr="00FA0550" w:rsidRDefault="001C3815" w:rsidP="006F6AB8">
      <w:pPr>
        <w:pStyle w:val="Heading4"/>
      </w:pPr>
      <w:bookmarkStart w:id="74" w:name="_Toc423516744"/>
      <w:bookmarkStart w:id="75" w:name="_Toc495652658"/>
      <w:bookmarkStart w:id="76" w:name="_Toc43983112"/>
      <w:bookmarkStart w:id="77" w:name="_Toc76565695"/>
      <w:bookmarkStart w:id="78" w:name="_Toc204158992"/>
      <w:bookmarkStart w:id="79" w:name="_Toc509935582"/>
      <w:r>
        <w:lastRenderedPageBreak/>
        <w:t>3.2.2.</w:t>
      </w:r>
      <w:r w:rsidR="00EB24CB">
        <w:t>1</w:t>
      </w:r>
      <w:r>
        <w:t xml:space="preserve">. </w:t>
      </w:r>
      <w:r w:rsidRPr="00FA0550">
        <w:t>Method 2—estimating carbon dioxide using an estimated oxidation factor</w:t>
      </w:r>
      <w:bookmarkEnd w:id="74"/>
      <w:bookmarkEnd w:id="75"/>
      <w:bookmarkEnd w:id="76"/>
      <w:bookmarkEnd w:id="77"/>
      <w:bookmarkEnd w:id="78"/>
    </w:p>
    <w:p w14:paraId="58A7959D" w14:textId="77777777" w:rsidR="001C3815" w:rsidRPr="00EC0362" w:rsidRDefault="001C3815" w:rsidP="001C3815">
      <w:pPr>
        <w:pStyle w:val="CERbullets"/>
        <w:rPr>
          <w:rFonts w:eastAsia="Times New Roman"/>
          <w:bCs/>
          <w:szCs w:val="22"/>
        </w:rPr>
      </w:pPr>
      <w:r w:rsidRPr="00EC0362">
        <w:rPr>
          <w:rFonts w:eastAsia="Times New Roman"/>
          <w:bCs/>
          <w:szCs w:val="22"/>
        </w:rPr>
        <w:t xml:space="preserve">Sub-division 2.2.3.2 </w:t>
      </w:r>
      <w:r>
        <w:rPr>
          <w:rFonts w:eastAsia="Times New Roman"/>
          <w:bCs/>
          <w:szCs w:val="22"/>
        </w:rPr>
        <w:t xml:space="preserve">of the NGER Measurement Determination </w:t>
      </w:r>
      <w:r w:rsidRPr="00EC0362">
        <w:rPr>
          <w:rFonts w:eastAsia="Times New Roman"/>
          <w:bCs/>
          <w:szCs w:val="22"/>
        </w:rPr>
        <w:t>sets out the second option for the estimation of emissions from solid fuel combustion using an estimated oxidation level by reference to additional information about the fuels combusted by the facility. An alternative approach, using an assumed oxidation factor, is set out in sub-division 2.2.3.1.</w:t>
      </w:r>
    </w:p>
    <w:p w14:paraId="30238ADE" w14:textId="692F5007" w:rsidR="001C3815" w:rsidRPr="00FA0550" w:rsidRDefault="001C3815" w:rsidP="006F6AB8">
      <w:pPr>
        <w:pStyle w:val="Heading4"/>
      </w:pPr>
      <w:bookmarkStart w:id="80" w:name="_Toc423516746"/>
      <w:bookmarkStart w:id="81" w:name="_Toc495652660"/>
      <w:bookmarkStart w:id="82" w:name="_Toc43983113"/>
      <w:bookmarkStart w:id="83" w:name="_Toc76565696"/>
      <w:bookmarkStart w:id="84" w:name="_Toc204158993"/>
      <w:r>
        <w:t>3.2.2.</w:t>
      </w:r>
      <w:r w:rsidR="00EB24CB">
        <w:t>2</w:t>
      </w:r>
      <w:r>
        <w:t xml:space="preserve">. </w:t>
      </w:r>
      <w:r w:rsidRPr="00FA0550">
        <w:t xml:space="preserve">Sampling and analysis for </w:t>
      </w:r>
      <w:r w:rsidR="6D5796E2">
        <w:t>M</w:t>
      </w:r>
      <w:r w:rsidRPr="00FA0550">
        <w:t>ethod 2</w:t>
      </w:r>
      <w:bookmarkEnd w:id="80"/>
      <w:bookmarkEnd w:id="81"/>
      <w:bookmarkEnd w:id="82"/>
      <w:bookmarkEnd w:id="83"/>
      <w:bookmarkEnd w:id="84"/>
    </w:p>
    <w:p w14:paraId="5E933087" w14:textId="1BF6A696" w:rsidR="001C3815" w:rsidRPr="00EC0362" w:rsidRDefault="001C3815" w:rsidP="001C3815">
      <w:pPr>
        <w:pStyle w:val="CERbullets"/>
        <w:rPr>
          <w:rFonts w:eastAsia="Times New Roman"/>
        </w:rPr>
      </w:pPr>
      <w:r w:rsidRPr="4AB9D180">
        <w:rPr>
          <w:rFonts w:eastAsia="Times New Roman"/>
        </w:rPr>
        <w:t xml:space="preserve">Under </w:t>
      </w:r>
      <w:r w:rsidR="48EB30FB" w:rsidRPr="4AB9D180">
        <w:rPr>
          <w:rFonts w:eastAsia="Times New Roman"/>
        </w:rPr>
        <w:t>M</w:t>
      </w:r>
      <w:r w:rsidRPr="4AB9D180">
        <w:rPr>
          <w:rFonts w:eastAsia="Times New Roman"/>
        </w:rPr>
        <w:t xml:space="preserve">ethod 2, representative and unbiased samples of fuels consumed must be sampled and analysed in accordance with Subdivision 2.2.3.3 of the NGER Measurement Determination.  </w:t>
      </w:r>
    </w:p>
    <w:p w14:paraId="4FB988A1" w14:textId="77777777" w:rsidR="001C3815" w:rsidRPr="00EC0362" w:rsidRDefault="001C3815" w:rsidP="001C3815">
      <w:pPr>
        <w:pStyle w:val="CERbullets"/>
        <w:rPr>
          <w:rFonts w:eastAsia="Times New Roman"/>
          <w:bCs/>
          <w:szCs w:val="22"/>
        </w:rPr>
      </w:pPr>
      <w:r w:rsidRPr="00EC0362">
        <w:rPr>
          <w:rFonts w:eastAsia="Times New Roman"/>
          <w:bCs/>
          <w:szCs w:val="22"/>
        </w:rPr>
        <w:t>As coal is a heterogeneous material, for the sample to be truly representative it must contain the correct proportions of each particle size present, as well as the correct proportions of particles of varying impurity content. Therefore, in the process of collecting a representative sample, each particle in the lot must have an equal probability of being sampled (‘equal selection probability’); the representativeness of the sample being a function of the mass of the sample, or more correctly, the number of particles in the sample.</w:t>
      </w:r>
    </w:p>
    <w:p w14:paraId="1BBB5D4F" w14:textId="6F7FF11E" w:rsidR="001C3815" w:rsidRPr="00EC0362" w:rsidRDefault="001C3815" w:rsidP="001C3815">
      <w:pPr>
        <w:pStyle w:val="CERbullets"/>
        <w:rPr>
          <w:rFonts w:eastAsia="Times New Roman"/>
          <w:bCs/>
          <w:szCs w:val="22"/>
        </w:rPr>
      </w:pPr>
      <w:r w:rsidRPr="00EC0362">
        <w:rPr>
          <w:rFonts w:eastAsia="Times New Roman"/>
          <w:color w:val="000000"/>
          <w:szCs w:val="22"/>
          <w:lang w:eastAsia="en-AU"/>
        </w:rPr>
        <w:t xml:space="preserve">A mechanical sampling system designed and operated in accordance </w:t>
      </w:r>
      <w:r w:rsidRPr="00F149D6">
        <w:rPr>
          <w:color w:val="000000"/>
        </w:rPr>
        <w:t>with</w:t>
      </w:r>
      <w:r>
        <w:rPr>
          <w:rFonts w:eastAsia="Times New Roman"/>
          <w:color w:val="000000"/>
          <w:szCs w:val="22"/>
          <w:lang w:eastAsia="en-AU"/>
        </w:rPr>
        <w:t xml:space="preserve"> Australian Standard</w:t>
      </w:r>
      <w:r w:rsidRPr="00F149D6">
        <w:rPr>
          <w:color w:val="000000"/>
        </w:rPr>
        <w:t xml:space="preserve"> </w:t>
      </w:r>
      <w:hyperlink r:id="rId35" w:tooltip="A link to the 1996 Coal and coke sampling determination on the Standards Australia webpage" w:history="1">
        <w:r w:rsidRPr="004A2E5A">
          <w:rPr>
            <w:rStyle w:val="Hyperlink"/>
            <w:rFonts w:asciiTheme="minorHAnsi" w:eastAsia="Times New Roman" w:hAnsiTheme="minorHAnsi"/>
            <w:szCs w:val="22"/>
            <w:lang w:eastAsia="en-AU"/>
          </w:rPr>
          <w:t xml:space="preserve">AS 4264.4 – </w:t>
        </w:r>
        <w:r w:rsidRPr="00F149D6">
          <w:rPr>
            <w:rStyle w:val="Hyperlink"/>
            <w:rFonts w:asciiTheme="minorHAnsi" w:hAnsiTheme="minorHAnsi"/>
          </w:rPr>
          <w:t>1996 Coal and coke – Sampling – Determin</w:t>
        </w:r>
        <w:r w:rsidRPr="00F149D6">
          <w:rPr>
            <w:rStyle w:val="Hyperlink"/>
            <w:rFonts w:asciiTheme="minorHAnsi" w:hAnsiTheme="minorHAnsi"/>
          </w:rPr>
          <w:t>a</w:t>
        </w:r>
        <w:r w:rsidRPr="00F149D6">
          <w:rPr>
            <w:rStyle w:val="Hyperlink"/>
            <w:rFonts w:asciiTheme="minorHAnsi" w:hAnsiTheme="minorHAnsi"/>
          </w:rPr>
          <w:t>tion of precision and bias</w:t>
        </w:r>
      </w:hyperlink>
      <w:r w:rsidRPr="004A2E5A">
        <w:rPr>
          <w:rStyle w:val="FootnoteReference"/>
          <w:rFonts w:eastAsia="Times New Roman"/>
          <w:color w:val="000000"/>
          <w:szCs w:val="22"/>
          <w:lang w:eastAsia="en-AU"/>
        </w:rPr>
        <w:footnoteReference w:id="16"/>
      </w:r>
      <w:r w:rsidRPr="004A2E5A">
        <w:rPr>
          <w:rFonts w:eastAsia="Times New Roman"/>
          <w:color w:val="000000"/>
          <w:szCs w:val="22"/>
          <w:lang w:eastAsia="en-AU"/>
        </w:rPr>
        <w:t xml:space="preserve"> </w:t>
      </w:r>
      <w:r w:rsidRPr="00EC0362">
        <w:rPr>
          <w:rFonts w:eastAsia="Times New Roman"/>
          <w:color w:val="000000"/>
          <w:szCs w:val="22"/>
          <w:lang w:eastAsia="en-AU"/>
        </w:rPr>
        <w:t xml:space="preserve">should be used to sample the coal or solid fuel. Ideally, this type of sampling system would be set up to obtain coal as it is either being loaded at the coal source or unloaded at the facility. One lot of coal will normally represent one day or one </w:t>
      </w:r>
      <w:r w:rsidRPr="00EC0362">
        <w:rPr>
          <w:rFonts w:eastAsia="Times New Roman"/>
          <w:bCs/>
          <w:szCs w:val="22"/>
        </w:rPr>
        <w:t>trainload of coal. If necessary, manual sampling of the coal may be used provided that the sampling equipment and procedure used is in accordance with AS 4264</w:t>
      </w:r>
      <w:r>
        <w:rPr>
          <w:rFonts w:eastAsia="Times New Roman"/>
          <w:bCs/>
          <w:szCs w:val="22"/>
        </w:rPr>
        <w:t>.4</w:t>
      </w:r>
      <w:r w:rsidRPr="00EC0362">
        <w:rPr>
          <w:rFonts w:eastAsia="Times New Roman"/>
          <w:bCs/>
          <w:szCs w:val="22"/>
        </w:rPr>
        <w:t>.</w:t>
      </w:r>
    </w:p>
    <w:p w14:paraId="7DF76AD9" w14:textId="42F677AC" w:rsidR="001C3815" w:rsidRPr="00EC0362" w:rsidRDefault="001C3815" w:rsidP="001C3815">
      <w:pPr>
        <w:pStyle w:val="CERbullets"/>
        <w:rPr>
          <w:rFonts w:eastAsia="Times New Roman"/>
          <w:bCs/>
          <w:szCs w:val="22"/>
        </w:rPr>
      </w:pPr>
      <w:r w:rsidRPr="00EC0362">
        <w:rPr>
          <w:rFonts w:eastAsia="Times New Roman"/>
          <w:bCs/>
          <w:szCs w:val="22"/>
        </w:rPr>
        <w:t>Sample preparation</w:t>
      </w:r>
      <w:r>
        <w:rPr>
          <w:rFonts w:eastAsia="Times New Roman"/>
          <w:bCs/>
          <w:szCs w:val="22"/>
        </w:rPr>
        <w:t>,</w:t>
      </w:r>
      <w:r w:rsidRPr="00EC0362">
        <w:rPr>
          <w:rFonts w:eastAsia="Times New Roman"/>
          <w:bCs/>
          <w:szCs w:val="22"/>
        </w:rPr>
        <w:t xml:space="preserve"> as required</w:t>
      </w:r>
      <w:r>
        <w:rPr>
          <w:rFonts w:eastAsia="Times New Roman"/>
          <w:bCs/>
          <w:szCs w:val="22"/>
        </w:rPr>
        <w:t>, for</w:t>
      </w:r>
      <w:r w:rsidRPr="00EC0362">
        <w:rPr>
          <w:rFonts w:eastAsia="Times New Roman"/>
          <w:bCs/>
          <w:szCs w:val="22"/>
        </w:rPr>
        <w:t xml:space="preserve"> providing a laboratory sample for analysis is normally carried out in </w:t>
      </w:r>
      <w:r w:rsidR="007755FF">
        <w:rPr>
          <w:rFonts w:eastAsia="Times New Roman"/>
          <w:bCs/>
          <w:szCs w:val="22"/>
        </w:rPr>
        <w:t>2</w:t>
      </w:r>
      <w:r w:rsidR="007755FF" w:rsidRPr="00EC0362">
        <w:rPr>
          <w:rFonts w:eastAsia="Times New Roman"/>
          <w:bCs/>
          <w:szCs w:val="22"/>
        </w:rPr>
        <w:t xml:space="preserve"> </w:t>
      </w:r>
      <w:r w:rsidRPr="00EC0362">
        <w:rPr>
          <w:rFonts w:eastAsia="Times New Roman"/>
          <w:bCs/>
          <w:szCs w:val="22"/>
        </w:rPr>
        <w:t>steps:</w:t>
      </w:r>
    </w:p>
    <w:p w14:paraId="17CB0E28" w14:textId="77777777" w:rsidR="001C3815" w:rsidRPr="00F149D6" w:rsidRDefault="001C3815" w:rsidP="001C3815">
      <w:pPr>
        <w:pStyle w:val="CERnumbering"/>
        <w:numPr>
          <w:ilvl w:val="0"/>
          <w:numId w:val="30"/>
        </w:numPr>
      </w:pPr>
      <w:r>
        <w:t>i</w:t>
      </w:r>
      <w:r w:rsidRPr="00F149D6">
        <w:t>nitial crushing and subdivision of the samples, as part of an operation that is integrated with the coal sampling</w:t>
      </w:r>
    </w:p>
    <w:p w14:paraId="63EAC9CE" w14:textId="77777777" w:rsidR="001C3815" w:rsidRPr="00F149D6" w:rsidRDefault="001C3815" w:rsidP="001C3815">
      <w:pPr>
        <w:pStyle w:val="CERnumbering"/>
        <w:numPr>
          <w:ilvl w:val="0"/>
          <w:numId w:val="30"/>
        </w:numPr>
      </w:pPr>
      <w:r>
        <w:t>f</w:t>
      </w:r>
      <w:r w:rsidRPr="00F149D6">
        <w:t>inal crushing and subdivision at the laboratory to provide the analysis sample.</w:t>
      </w:r>
    </w:p>
    <w:p w14:paraId="414CC34B" w14:textId="77777777" w:rsidR="001C3815" w:rsidRPr="00EC0362" w:rsidRDefault="001C3815" w:rsidP="001C3815">
      <w:pPr>
        <w:pStyle w:val="CERbullets"/>
        <w:rPr>
          <w:rFonts w:eastAsia="Times New Roman"/>
          <w:bCs/>
          <w:szCs w:val="22"/>
        </w:rPr>
      </w:pPr>
      <w:r w:rsidRPr="00EC0362">
        <w:rPr>
          <w:rFonts w:eastAsia="Times New Roman"/>
          <w:bCs/>
          <w:szCs w:val="22"/>
        </w:rPr>
        <w:t>Precision is defined as a measure of the extent to which the observations within a set agree with each other; usually expressed as twice the standard deviation (95</w:t>
      </w:r>
      <w:r>
        <w:rPr>
          <w:rFonts w:eastAsia="Times New Roman"/>
          <w:bCs/>
          <w:szCs w:val="22"/>
        </w:rPr>
        <w:t>%</w:t>
      </w:r>
      <w:r w:rsidRPr="00EC0362">
        <w:rPr>
          <w:rFonts w:eastAsia="Times New Roman"/>
          <w:bCs/>
          <w:szCs w:val="22"/>
        </w:rPr>
        <w:t xml:space="preserve"> confidence level). Precision checks should be carried out on the sampling process to confirm that the sampling rate is acceptable. The procedure for determining the precision of coal sampling and sample preparation is prescribed in AS 4264.</w:t>
      </w:r>
      <w:r>
        <w:rPr>
          <w:rFonts w:eastAsia="Times New Roman"/>
          <w:bCs/>
          <w:szCs w:val="22"/>
        </w:rPr>
        <w:t>4</w:t>
      </w:r>
      <w:r w:rsidRPr="00EC0362">
        <w:rPr>
          <w:rFonts w:eastAsia="Times New Roman"/>
          <w:bCs/>
          <w:szCs w:val="22"/>
        </w:rPr>
        <w:t xml:space="preserve">. It is </w:t>
      </w:r>
      <w:r w:rsidRPr="00EC0362">
        <w:rPr>
          <w:rFonts w:eastAsia="Times New Roman"/>
          <w:bCs/>
          <w:szCs w:val="22"/>
        </w:rPr>
        <w:lastRenderedPageBreak/>
        <w:t>recommended that precision tests be undertaken on a yearly basis and whenever there is a change in the fuel source or a significant change in the qualit</w:t>
      </w:r>
      <w:r>
        <w:rPr>
          <w:rFonts w:eastAsia="Times New Roman"/>
          <w:bCs/>
          <w:szCs w:val="22"/>
        </w:rPr>
        <w:t>ative</w:t>
      </w:r>
      <w:r w:rsidRPr="00EC0362">
        <w:rPr>
          <w:rFonts w:eastAsia="Times New Roman"/>
          <w:bCs/>
          <w:szCs w:val="22"/>
        </w:rPr>
        <w:t xml:space="preserve"> characteristics of a particular fuel.</w:t>
      </w:r>
    </w:p>
    <w:p w14:paraId="38ECFDD2" w14:textId="77777777" w:rsidR="001C3815" w:rsidRPr="00EC0362" w:rsidRDefault="001C3815" w:rsidP="001C3815">
      <w:pPr>
        <w:pStyle w:val="CERbullets"/>
        <w:rPr>
          <w:rFonts w:eastAsia="Times New Roman"/>
          <w:bCs/>
          <w:szCs w:val="22"/>
        </w:rPr>
      </w:pPr>
      <w:r w:rsidRPr="00EC0362">
        <w:rPr>
          <w:rFonts w:eastAsia="Times New Roman"/>
          <w:bCs/>
          <w:szCs w:val="22"/>
        </w:rPr>
        <w:t>If several sources of fuels are being sampled through a given plant, sampling conditions and sample precision checks should be carried out on the source that exhibits the highest degree of heterogeneity.</w:t>
      </w:r>
    </w:p>
    <w:p w14:paraId="76D23881" w14:textId="77777777" w:rsidR="001C3815" w:rsidRPr="00EC0362" w:rsidRDefault="001C3815" w:rsidP="001C3815">
      <w:pPr>
        <w:pStyle w:val="CERbullets"/>
        <w:rPr>
          <w:rFonts w:eastAsia="Times New Roman"/>
          <w:bCs/>
          <w:szCs w:val="22"/>
        </w:rPr>
      </w:pPr>
      <w:r w:rsidRPr="00EC0362">
        <w:rPr>
          <w:rFonts w:eastAsia="Times New Roman"/>
          <w:bCs/>
          <w:szCs w:val="22"/>
        </w:rPr>
        <w:t xml:space="preserve">Bias can be defined as the tendency to obtain a value that is either consistently higher or consistently lower than the reference value; in practice this is the difference between the reference value and the average result obtained from </w:t>
      </w:r>
      <w:r>
        <w:rPr>
          <w:rFonts w:eastAsia="Times New Roman"/>
          <w:bCs/>
          <w:szCs w:val="22"/>
        </w:rPr>
        <w:t>many</w:t>
      </w:r>
      <w:r w:rsidRPr="00EC0362">
        <w:rPr>
          <w:rFonts w:eastAsia="Times New Roman"/>
          <w:bCs/>
          <w:szCs w:val="22"/>
        </w:rPr>
        <w:t xml:space="preserve"> determinations. The recommended procedure for the estimation of bias in a coal sampling system is given in AS 4264.4. In the case of bias testing of mechanical samplers, the reference samples are usually stopped belt samples off a conveyor belt. For the purposes of verification of a coal sampling system, the coal samples taken for bias testing (pairs consisting of a reference sample and a sample taken by the coal sampler) should be analysed for total moisture and ash.</w:t>
      </w:r>
    </w:p>
    <w:p w14:paraId="79CE972F" w14:textId="77777777" w:rsidR="001C3815" w:rsidRPr="00EC0362" w:rsidRDefault="001C3815" w:rsidP="001C3815">
      <w:pPr>
        <w:pStyle w:val="CERbullets"/>
        <w:rPr>
          <w:rFonts w:eastAsia="Times New Roman"/>
          <w:bCs/>
          <w:szCs w:val="22"/>
        </w:rPr>
      </w:pPr>
      <w:r w:rsidRPr="00EC0362">
        <w:rPr>
          <w:rFonts w:eastAsia="Times New Roman"/>
          <w:bCs/>
          <w:szCs w:val="22"/>
        </w:rPr>
        <w:t>Bias testing should always be carried out on a new sampling system. For an existing system, the following verification procedure may be followed if there is some doubt about the conformance of the sampling system:</w:t>
      </w:r>
    </w:p>
    <w:p w14:paraId="058ADCB1" w14:textId="77777777" w:rsidR="001C3815" w:rsidRPr="004B2A32" w:rsidRDefault="001C3815" w:rsidP="001C3815">
      <w:pPr>
        <w:pStyle w:val="CERnumbering"/>
        <w:numPr>
          <w:ilvl w:val="0"/>
          <w:numId w:val="58"/>
        </w:numPr>
        <w:rPr>
          <w:lang w:val="en-AU"/>
        </w:rPr>
      </w:pPr>
      <w:r w:rsidRPr="004B2A32">
        <w:rPr>
          <w:lang w:val="en-AU"/>
        </w:rPr>
        <w:t>conduct a detailed technical audit of the sampling system</w:t>
      </w:r>
    </w:p>
    <w:p w14:paraId="3B411418" w14:textId="77777777" w:rsidR="001C3815" w:rsidRDefault="001C3815" w:rsidP="001C3815">
      <w:pPr>
        <w:pStyle w:val="CERnumbering"/>
        <w:numPr>
          <w:ilvl w:val="0"/>
          <w:numId w:val="30"/>
        </w:numPr>
        <w:rPr>
          <w:lang w:val="en-AU"/>
        </w:rPr>
      </w:pPr>
      <w:r w:rsidRPr="00EC0362">
        <w:rPr>
          <w:lang w:val="en-AU"/>
        </w:rPr>
        <w:t>correct any non-conformances that have been observed</w:t>
      </w:r>
    </w:p>
    <w:p w14:paraId="4AACB37C" w14:textId="77777777" w:rsidR="001C3815" w:rsidRPr="00EC0362" w:rsidRDefault="001C3815" w:rsidP="001C3815">
      <w:pPr>
        <w:pStyle w:val="CERnumbering"/>
        <w:numPr>
          <w:ilvl w:val="0"/>
          <w:numId w:val="30"/>
        </w:numPr>
        <w:rPr>
          <w:lang w:val="en-AU"/>
        </w:rPr>
      </w:pPr>
      <w:r w:rsidRPr="00EC0362">
        <w:rPr>
          <w:lang w:val="en-AU"/>
        </w:rPr>
        <w:t>conduct a limited bias test on the system, usually with the coal that exhibits the widest stochastic variability in total moisture or ash, to provide a more quantitative verification that the sampling system is performing correctly.</w:t>
      </w:r>
    </w:p>
    <w:p w14:paraId="5E6E82EC" w14:textId="5A5FA7CE" w:rsidR="001C3815" w:rsidRDefault="001C3815" w:rsidP="001C3815">
      <w:pPr>
        <w:pStyle w:val="CERbullets"/>
        <w:rPr>
          <w:rFonts w:eastAsia="Times New Roman"/>
          <w:bCs/>
          <w:szCs w:val="22"/>
        </w:rPr>
      </w:pPr>
      <w:r w:rsidRPr="00EC0362">
        <w:rPr>
          <w:rFonts w:eastAsia="Times New Roman"/>
          <w:bCs/>
          <w:szCs w:val="22"/>
        </w:rPr>
        <w:t xml:space="preserve">Analysis of the fuels for carbon, energy, ash or moisture content must be done in accordance with </w:t>
      </w:r>
      <w:r>
        <w:rPr>
          <w:rFonts w:eastAsia="Times New Roman"/>
          <w:bCs/>
          <w:szCs w:val="22"/>
        </w:rPr>
        <w:t xml:space="preserve">section 2.8 of the NGER Measurement Determination, in accordance with the </w:t>
      </w:r>
      <w:r w:rsidRPr="00EC0362">
        <w:rPr>
          <w:rFonts w:eastAsia="Times New Roman"/>
          <w:bCs/>
          <w:szCs w:val="22"/>
        </w:rPr>
        <w:t xml:space="preserve">listed Australian or international documentary standards </w:t>
      </w:r>
      <w:r>
        <w:rPr>
          <w:rFonts w:eastAsia="Times New Roman"/>
          <w:bCs/>
          <w:szCs w:val="22"/>
        </w:rPr>
        <w:t xml:space="preserve">and by a laboratory that meets the requirements equivalent to those in </w:t>
      </w:r>
      <w:r>
        <w:rPr>
          <w:szCs w:val="22"/>
        </w:rPr>
        <w:t>AS ISO/IEC 17025:2005. Alternatively, the analysis may be undertaken</w:t>
      </w:r>
      <w:r w:rsidRPr="00EC0362">
        <w:rPr>
          <w:rFonts w:eastAsia="Times New Roman"/>
          <w:bCs/>
          <w:szCs w:val="22"/>
        </w:rPr>
        <w:t xml:space="preserve"> by an online analyser in accordance with </w:t>
      </w:r>
      <w:r w:rsidR="007A0A14">
        <w:rPr>
          <w:rFonts w:eastAsia="Times New Roman"/>
          <w:bCs/>
          <w:szCs w:val="22"/>
        </w:rPr>
        <w:t>sub</w:t>
      </w:r>
      <w:r w:rsidRPr="00EC0362">
        <w:rPr>
          <w:rFonts w:eastAsia="Times New Roman"/>
          <w:bCs/>
          <w:szCs w:val="22"/>
        </w:rPr>
        <w:t>section 2.8(3)</w:t>
      </w:r>
      <w:r>
        <w:rPr>
          <w:rFonts w:eastAsia="Times New Roman"/>
          <w:bCs/>
          <w:szCs w:val="22"/>
        </w:rPr>
        <w:t xml:space="preserve"> of the NGER </w:t>
      </w:r>
      <w:r>
        <w:rPr>
          <w:rFonts w:ascii="Calibri" w:hAnsi="Calibri" w:cs="Calibri"/>
          <w:szCs w:val="22"/>
          <w:lang w:eastAsia="en-AU"/>
        </w:rPr>
        <w:t>Measurement Determination</w:t>
      </w:r>
      <w:r w:rsidRPr="00EC0362">
        <w:rPr>
          <w:rFonts w:eastAsia="Times New Roman"/>
          <w:bCs/>
          <w:szCs w:val="22"/>
        </w:rPr>
        <w:t xml:space="preserve">. The listing of applicable standards for the analysis of solid fuels is </w:t>
      </w:r>
      <w:r>
        <w:rPr>
          <w:rFonts w:eastAsia="Times New Roman"/>
          <w:bCs/>
          <w:szCs w:val="22"/>
        </w:rPr>
        <w:t>in Schedule 2 of the NGER Measurement Determination</w:t>
      </w:r>
      <w:r w:rsidRPr="00EC0362">
        <w:rPr>
          <w:rFonts w:eastAsia="Times New Roman"/>
          <w:bCs/>
          <w:szCs w:val="22"/>
        </w:rPr>
        <w:t>.</w:t>
      </w:r>
      <w:r>
        <w:rPr>
          <w:rFonts w:eastAsia="Times New Roman"/>
          <w:bCs/>
          <w:szCs w:val="22"/>
        </w:rPr>
        <w:t xml:space="preserve"> </w:t>
      </w:r>
    </w:p>
    <w:p w14:paraId="50A180A2" w14:textId="77777777" w:rsidR="001C3815" w:rsidRPr="00EC0362" w:rsidRDefault="001C3815" w:rsidP="001C3815">
      <w:pPr>
        <w:pStyle w:val="CERbullets"/>
        <w:rPr>
          <w:rFonts w:eastAsia="Times New Roman"/>
          <w:szCs w:val="22"/>
          <w:lang w:eastAsia="en-AU"/>
        </w:rPr>
      </w:pPr>
      <w:r>
        <w:t xml:space="preserve">For higher ranked coal (bituminous coal, sub-bituminous coal, anthracite, coking coal and coal coke), the standard of analysis defines that an ultimate analysis must be used to determine carbon, moisture and ash content of the fuel which can then be used to determine the emission factor of that solid fuel – the standards for each fuel type are listed in Schedule 2 of the NGER Measurement Determination.  </w:t>
      </w:r>
      <w:r w:rsidRPr="00EC0362">
        <w:rPr>
          <w:rFonts w:eastAsia="Times New Roman"/>
          <w:bCs/>
          <w:szCs w:val="22"/>
        </w:rPr>
        <w:t xml:space="preserve">  Equivalent standards to those listed </w:t>
      </w:r>
      <w:r>
        <w:rPr>
          <w:rFonts w:eastAsia="Times New Roman"/>
          <w:bCs/>
          <w:szCs w:val="22"/>
        </w:rPr>
        <w:t xml:space="preserve">in Schedule 2 </w:t>
      </w:r>
      <w:r w:rsidRPr="00EC0362">
        <w:rPr>
          <w:rFonts w:eastAsia="Times New Roman"/>
          <w:bCs/>
          <w:szCs w:val="22"/>
        </w:rPr>
        <w:t xml:space="preserve">may also be used. Examples of equivalent standards include those produced by AS, </w:t>
      </w:r>
      <w:r>
        <w:t>New Zealand (NZ), American Society for Testing Materials (ASTM), International Organization for Standardization (ISO) and E</w:t>
      </w:r>
      <w:r w:rsidRPr="0002380B">
        <w:t>uropean Committee for Standardization</w:t>
      </w:r>
      <w:r>
        <w:t xml:space="preserve"> (CEN) </w:t>
      </w:r>
      <w:r w:rsidRPr="00EC0362">
        <w:rPr>
          <w:rFonts w:eastAsia="Times New Roman"/>
          <w:bCs/>
          <w:szCs w:val="22"/>
        </w:rPr>
        <w:t xml:space="preserve">standards organisations. The standards must be in force on the date stated in </w:t>
      </w:r>
      <w:r>
        <w:rPr>
          <w:rFonts w:eastAsia="Times New Roman"/>
          <w:bCs/>
          <w:szCs w:val="22"/>
        </w:rPr>
        <w:t>sub</w:t>
      </w:r>
      <w:r w:rsidRPr="00EC0362">
        <w:rPr>
          <w:rFonts w:eastAsia="Times New Roman"/>
          <w:bCs/>
          <w:szCs w:val="22"/>
        </w:rPr>
        <w:t>section 1.9</w:t>
      </w:r>
      <w:r>
        <w:rPr>
          <w:rFonts w:eastAsia="Times New Roman"/>
          <w:bCs/>
          <w:szCs w:val="22"/>
        </w:rPr>
        <w:t>(4)</w:t>
      </w:r>
      <w:r w:rsidRPr="00EC0362">
        <w:rPr>
          <w:rFonts w:eastAsia="Times New Roman"/>
          <w:bCs/>
          <w:szCs w:val="22"/>
        </w:rPr>
        <w:t>. A</w:t>
      </w:r>
      <w:r>
        <w:rPr>
          <w:rFonts w:eastAsia="Times New Roman"/>
          <w:bCs/>
          <w:szCs w:val="22"/>
        </w:rPr>
        <w:t>n</w:t>
      </w:r>
      <w:r w:rsidRPr="00EC0362">
        <w:rPr>
          <w:rFonts w:eastAsia="Times New Roman"/>
          <w:bCs/>
          <w:szCs w:val="22"/>
        </w:rPr>
        <w:t xml:space="preserve"> </w:t>
      </w:r>
      <w:r w:rsidRPr="006D32BD">
        <w:t xml:space="preserve">accredited laboratory </w:t>
      </w:r>
      <w:r>
        <w:t>(as defined in section 1.8 of the NGER Measurement Determination)</w:t>
      </w:r>
      <w:r w:rsidRPr="00EC0362" w:rsidDel="00536448">
        <w:rPr>
          <w:rFonts w:eastAsia="Times New Roman"/>
          <w:bCs/>
          <w:szCs w:val="22"/>
        </w:rPr>
        <w:t xml:space="preserve"> </w:t>
      </w:r>
      <w:r w:rsidRPr="00EC0362">
        <w:rPr>
          <w:rFonts w:eastAsia="Times New Roman"/>
          <w:bCs/>
          <w:szCs w:val="22"/>
        </w:rPr>
        <w:t>or similar laboratory complying with</w:t>
      </w:r>
      <w:r>
        <w:rPr>
          <w:rFonts w:eastAsia="Times New Roman"/>
          <w:bCs/>
          <w:szCs w:val="22"/>
        </w:rPr>
        <w:t xml:space="preserve"> the requirements of</w:t>
      </w:r>
      <w:r w:rsidRPr="00EC0362">
        <w:rPr>
          <w:rFonts w:eastAsia="Times New Roman"/>
          <w:bCs/>
          <w:szCs w:val="22"/>
        </w:rPr>
        <w:t xml:space="preserve"> </w:t>
      </w:r>
      <w:r>
        <w:rPr>
          <w:rFonts w:eastAsia="Times New Roman"/>
          <w:bCs/>
          <w:szCs w:val="22"/>
        </w:rPr>
        <w:t xml:space="preserve">AS </w:t>
      </w:r>
      <w:r w:rsidRPr="00EC0362">
        <w:rPr>
          <w:rFonts w:eastAsia="Times New Roman"/>
          <w:bCs/>
          <w:szCs w:val="22"/>
        </w:rPr>
        <w:t>ISO</w:t>
      </w:r>
      <w:r>
        <w:rPr>
          <w:rFonts w:eastAsia="Times New Roman"/>
          <w:bCs/>
          <w:szCs w:val="22"/>
        </w:rPr>
        <w:t>/IEC</w:t>
      </w:r>
      <w:r w:rsidRPr="00EC0362">
        <w:rPr>
          <w:rFonts w:eastAsia="Times New Roman"/>
          <w:bCs/>
          <w:szCs w:val="22"/>
        </w:rPr>
        <w:t xml:space="preserve"> 17025</w:t>
      </w:r>
      <w:r>
        <w:rPr>
          <w:rFonts w:eastAsia="Times New Roman"/>
          <w:bCs/>
          <w:szCs w:val="22"/>
        </w:rPr>
        <w:t>:2005</w:t>
      </w:r>
      <w:r w:rsidRPr="00EC0362">
        <w:rPr>
          <w:rFonts w:eastAsia="Times New Roman"/>
          <w:bCs/>
          <w:szCs w:val="22"/>
        </w:rPr>
        <w:t xml:space="preserve"> </w:t>
      </w:r>
      <w:r>
        <w:rPr>
          <w:rFonts w:eastAsia="Times New Roman"/>
          <w:bCs/>
          <w:szCs w:val="22"/>
        </w:rPr>
        <w:t>must</w:t>
      </w:r>
      <w:r w:rsidRPr="00EC0362">
        <w:rPr>
          <w:rFonts w:eastAsia="Times New Roman"/>
          <w:bCs/>
          <w:szCs w:val="22"/>
        </w:rPr>
        <w:t xml:space="preserve"> be used to conduct the analysis.  </w:t>
      </w:r>
    </w:p>
    <w:p w14:paraId="5ED0AC14" w14:textId="50273E9C" w:rsidR="001C3815" w:rsidRDefault="001C3815" w:rsidP="006F6AB8">
      <w:pPr>
        <w:pStyle w:val="Heading4"/>
      </w:pPr>
      <w:bookmarkStart w:id="85" w:name="_Toc76565697"/>
      <w:bookmarkStart w:id="86" w:name="_Toc204158994"/>
      <w:r>
        <w:t>3.2.2.</w:t>
      </w:r>
      <w:r w:rsidR="00EB24CB">
        <w:t>3</w:t>
      </w:r>
      <w:r>
        <w:t xml:space="preserve">. </w:t>
      </w:r>
      <w:r w:rsidRPr="00FA0550">
        <w:t>Requirements for analysis of furnace ash and fly ash</w:t>
      </w:r>
      <w:bookmarkEnd w:id="85"/>
      <w:bookmarkEnd w:id="86"/>
    </w:p>
    <w:p w14:paraId="06666452" w14:textId="69E4C9A2" w:rsidR="001C3815" w:rsidRPr="00EC0362" w:rsidRDefault="001C3815" w:rsidP="001C3815">
      <w:pPr>
        <w:pStyle w:val="CERbullets"/>
        <w:rPr>
          <w:rFonts w:eastAsia="Times New Roman"/>
        </w:rPr>
      </w:pPr>
      <w:r w:rsidRPr="4AB9D180">
        <w:rPr>
          <w:rFonts w:eastAsia="Times New Roman"/>
        </w:rPr>
        <w:t xml:space="preserve">Sampling of furnace and fly ash is needed if Method 2 in sub-division 2.2.3.2 of the NGER Measurement Determination is used (using an estimated oxidation factor) rather than </w:t>
      </w:r>
      <w:r w:rsidR="25D180A2" w:rsidRPr="4AB9D180">
        <w:rPr>
          <w:rFonts w:eastAsia="Times New Roman"/>
        </w:rPr>
        <w:t>M</w:t>
      </w:r>
      <w:r w:rsidRPr="4AB9D180">
        <w:rPr>
          <w:rFonts w:eastAsia="Times New Roman"/>
        </w:rPr>
        <w:t xml:space="preserve">ethod 2 in sub-division 2.2.3.1 (using oxidation factor). </w:t>
      </w:r>
    </w:p>
    <w:p w14:paraId="2123443B" w14:textId="77777777" w:rsidR="001C3815" w:rsidRPr="00EC0362" w:rsidRDefault="001C3815" w:rsidP="001C3815">
      <w:pPr>
        <w:pStyle w:val="CERbullets"/>
        <w:rPr>
          <w:rFonts w:eastAsia="Times New Roman"/>
          <w:bCs/>
          <w:szCs w:val="22"/>
        </w:rPr>
      </w:pPr>
      <w:r w:rsidRPr="00EC0362">
        <w:rPr>
          <w:rFonts w:eastAsia="Times New Roman"/>
          <w:bCs/>
          <w:szCs w:val="22"/>
        </w:rPr>
        <w:t xml:space="preserve">It is recognised that the configuration of plant varies and </w:t>
      </w:r>
      <w:r>
        <w:rPr>
          <w:rFonts w:eastAsia="Times New Roman"/>
          <w:bCs/>
          <w:szCs w:val="22"/>
        </w:rPr>
        <w:t>sampling</w:t>
      </w:r>
      <w:r w:rsidRPr="00EC0362">
        <w:rPr>
          <w:rFonts w:eastAsia="Times New Roman"/>
          <w:bCs/>
          <w:szCs w:val="22"/>
        </w:rPr>
        <w:t xml:space="preserve"> of carbon in ash </w:t>
      </w:r>
      <w:r>
        <w:rPr>
          <w:rFonts w:eastAsia="Times New Roman"/>
          <w:bCs/>
          <w:szCs w:val="22"/>
        </w:rPr>
        <w:t>must</w:t>
      </w:r>
      <w:r w:rsidRPr="00EC0362">
        <w:rPr>
          <w:rFonts w:eastAsia="Times New Roman"/>
          <w:bCs/>
          <w:szCs w:val="22"/>
        </w:rPr>
        <w:t xml:space="preserve"> be based on representative operating conditions for the plant.</w:t>
      </w:r>
    </w:p>
    <w:p w14:paraId="60FD45E0" w14:textId="77777777" w:rsidR="001C3815" w:rsidRPr="00EC0362" w:rsidRDefault="001C3815" w:rsidP="001C3815">
      <w:pPr>
        <w:pStyle w:val="CERbullets"/>
        <w:rPr>
          <w:rFonts w:eastAsia="Times New Roman"/>
          <w:bCs/>
          <w:szCs w:val="22"/>
        </w:rPr>
      </w:pPr>
      <w:r w:rsidRPr="00EC0362">
        <w:rPr>
          <w:rFonts w:eastAsia="Times New Roman"/>
          <w:bCs/>
          <w:szCs w:val="22"/>
        </w:rPr>
        <w:t xml:space="preserve">Furnace ash includes ash collected at the bottom of the furnace hopper of the coal unit and ash collected within the economiser hopper at the rear pass of the coal fired power plant. There is no </w:t>
      </w:r>
      <w:r w:rsidRPr="00EC0362">
        <w:rPr>
          <w:rFonts w:eastAsia="Times New Roman"/>
          <w:bCs/>
          <w:szCs w:val="22"/>
        </w:rPr>
        <w:lastRenderedPageBreak/>
        <w:t>standard procedure to collecting furnace ash or economiser hopper ash; however, in a wet extraction system, reasonable samples may be obtained by using sampling ladles to collect material from sluiceways. In a dry extraction system, good representative samples can be obtained directly from the convey</w:t>
      </w:r>
      <w:r>
        <w:rPr>
          <w:rFonts w:eastAsia="Times New Roman"/>
          <w:bCs/>
          <w:szCs w:val="22"/>
        </w:rPr>
        <w:t>o</w:t>
      </w:r>
      <w:r w:rsidRPr="00EC0362">
        <w:rPr>
          <w:rFonts w:eastAsia="Times New Roman"/>
          <w:bCs/>
          <w:szCs w:val="22"/>
        </w:rPr>
        <w:t xml:space="preserve">r. </w:t>
      </w:r>
      <w:r>
        <w:rPr>
          <w:rFonts w:eastAsia="Times New Roman"/>
          <w:bCs/>
          <w:szCs w:val="22"/>
        </w:rPr>
        <w:t>C</w:t>
      </w:r>
      <w:r w:rsidRPr="00EC0362">
        <w:rPr>
          <w:rFonts w:eastAsia="Times New Roman"/>
          <w:bCs/>
          <w:szCs w:val="22"/>
        </w:rPr>
        <w:t>are should be taken in attempting to obtain samples of furnace ash because of the inherent dangers associated with such operations. The</w:t>
      </w:r>
      <w:r>
        <w:rPr>
          <w:rFonts w:eastAsia="Times New Roman"/>
          <w:bCs/>
          <w:szCs w:val="22"/>
        </w:rPr>
        <w:t xml:space="preserve"> NGER</w:t>
      </w:r>
      <w:r w:rsidRPr="00EC0362">
        <w:rPr>
          <w:rFonts w:eastAsia="Times New Roman"/>
          <w:bCs/>
          <w:szCs w:val="22"/>
        </w:rPr>
        <w:t xml:space="preserve"> </w:t>
      </w:r>
      <w:r>
        <w:rPr>
          <w:rFonts w:ascii="Calibri" w:hAnsi="Calibri" w:cs="Calibri"/>
          <w:szCs w:val="22"/>
          <w:lang w:eastAsia="en-AU"/>
        </w:rPr>
        <w:t>Measurement Determination</w:t>
      </w:r>
      <w:r w:rsidRPr="00EC0362">
        <w:rPr>
          <w:rFonts w:eastAsia="Times New Roman"/>
          <w:bCs/>
          <w:szCs w:val="22"/>
        </w:rPr>
        <w:t xml:space="preserve"> allows for alternative collection methods to be used to obtain samples where it is not feasible due to safety and operational considerations</w:t>
      </w:r>
      <w:r>
        <w:rPr>
          <w:rFonts w:eastAsia="Times New Roman"/>
          <w:bCs/>
          <w:szCs w:val="22"/>
        </w:rPr>
        <w:t>, if it provides representative ash sampling.</w:t>
      </w:r>
    </w:p>
    <w:p w14:paraId="6F6E9649" w14:textId="77777777" w:rsidR="001C3815" w:rsidRPr="00EC0362" w:rsidRDefault="001C3815" w:rsidP="001C3815">
      <w:pPr>
        <w:pStyle w:val="CERbullets"/>
        <w:rPr>
          <w:rFonts w:eastAsia="Times New Roman"/>
          <w:bCs/>
          <w:szCs w:val="22"/>
        </w:rPr>
      </w:pPr>
      <w:r>
        <w:rPr>
          <w:rFonts w:eastAsia="Times New Roman"/>
          <w:bCs/>
          <w:szCs w:val="22"/>
        </w:rPr>
        <w:t>Section 2.11 of the NGER Measurement Determination</w:t>
      </w:r>
      <w:r w:rsidRPr="00EC0362">
        <w:rPr>
          <w:rFonts w:eastAsia="Times New Roman"/>
          <w:bCs/>
          <w:szCs w:val="22"/>
        </w:rPr>
        <w:t xml:space="preserve"> sets out the </w:t>
      </w:r>
      <w:r>
        <w:rPr>
          <w:rFonts w:eastAsia="Times New Roman"/>
          <w:bCs/>
          <w:szCs w:val="22"/>
        </w:rPr>
        <w:t xml:space="preserve">procedures and </w:t>
      </w:r>
      <w:r w:rsidRPr="00EC0362">
        <w:rPr>
          <w:rFonts w:eastAsia="Times New Roman"/>
          <w:bCs/>
          <w:szCs w:val="22"/>
        </w:rPr>
        <w:t>minimum frequenc</w:t>
      </w:r>
      <w:r>
        <w:rPr>
          <w:rFonts w:eastAsia="Times New Roman"/>
          <w:bCs/>
          <w:szCs w:val="22"/>
        </w:rPr>
        <w:t>ies</w:t>
      </w:r>
      <w:r w:rsidRPr="00EC0362">
        <w:rPr>
          <w:rFonts w:eastAsia="Times New Roman"/>
          <w:bCs/>
          <w:szCs w:val="22"/>
        </w:rPr>
        <w:t xml:space="preserve"> for sampling for carbon in fly ash. It is acknowledged that some facilities sample on a more regular basis and these more frequent measurements should be incorporated into a facility</w:t>
      </w:r>
      <w:r>
        <w:rPr>
          <w:rFonts w:eastAsia="Times New Roman"/>
          <w:bCs/>
          <w:szCs w:val="22"/>
        </w:rPr>
        <w:t>’s</w:t>
      </w:r>
      <w:r w:rsidRPr="00EC0362">
        <w:rPr>
          <w:rFonts w:eastAsia="Times New Roman"/>
          <w:bCs/>
          <w:szCs w:val="22"/>
        </w:rPr>
        <w:t xml:space="preserve"> estimates. </w:t>
      </w:r>
    </w:p>
    <w:p w14:paraId="00886EA7" w14:textId="77777777" w:rsidR="001C3815" w:rsidRPr="00EC0362" w:rsidRDefault="001C3815" w:rsidP="001C3815">
      <w:pPr>
        <w:pStyle w:val="CERbullets"/>
        <w:rPr>
          <w:rFonts w:eastAsia="Times New Roman"/>
          <w:bCs/>
          <w:szCs w:val="22"/>
        </w:rPr>
      </w:pPr>
      <w:r w:rsidRPr="00EC0362">
        <w:rPr>
          <w:rFonts w:eastAsia="Times New Roman"/>
          <w:bCs/>
          <w:szCs w:val="22"/>
        </w:rPr>
        <w:t xml:space="preserve">Additional sampling should be undertaken for furnace and fly ash after a significant change in operating conditions as the amount and type of ash produced can vary significantly </w:t>
      </w:r>
      <w:proofErr w:type="gramStart"/>
      <w:r w:rsidRPr="00EC0362">
        <w:rPr>
          <w:rFonts w:eastAsia="Times New Roman"/>
          <w:bCs/>
          <w:szCs w:val="22"/>
        </w:rPr>
        <w:t>as a result of</w:t>
      </w:r>
      <w:proofErr w:type="gramEnd"/>
      <w:r w:rsidRPr="00EC0362">
        <w:rPr>
          <w:rFonts w:eastAsia="Times New Roman"/>
          <w:bCs/>
          <w:szCs w:val="22"/>
        </w:rPr>
        <w:t xml:space="preserve"> the change.</w:t>
      </w:r>
      <w:r>
        <w:rPr>
          <w:rFonts w:eastAsia="Times New Roman"/>
          <w:bCs/>
          <w:szCs w:val="22"/>
        </w:rPr>
        <w:t xml:space="preserve"> Sampling after significant changes in operating changes is required under section 2.11 of the NGER Measurement Determination.</w:t>
      </w:r>
    </w:p>
    <w:p w14:paraId="0D09A129" w14:textId="0690A9C6" w:rsidR="001C3815" w:rsidRPr="00EC0362" w:rsidRDefault="001C3815" w:rsidP="001C3815">
      <w:pPr>
        <w:pStyle w:val="CERbullets"/>
        <w:rPr>
          <w:rFonts w:eastAsia="Times New Roman"/>
        </w:rPr>
      </w:pPr>
      <w:r w:rsidRPr="3961F64E">
        <w:rPr>
          <w:rFonts w:eastAsia="Times New Roman"/>
        </w:rPr>
        <w:t>For facilities where load profiles vary significantly throughout the operation of the facility</w:t>
      </w:r>
      <w:r w:rsidR="2A6EA6DB" w:rsidRPr="3961F64E">
        <w:rPr>
          <w:rFonts w:eastAsia="Times New Roman"/>
        </w:rPr>
        <w:t>,</w:t>
      </w:r>
      <w:r w:rsidRPr="3961F64E">
        <w:rPr>
          <w:rFonts w:eastAsia="Times New Roman"/>
        </w:rPr>
        <w:t xml:space="preserve"> it is recommended that ash is sampled as a function of load.</w:t>
      </w:r>
    </w:p>
    <w:p w14:paraId="457866FB" w14:textId="7AC095B7" w:rsidR="001C3815" w:rsidRPr="00EC0362" w:rsidRDefault="001C3815" w:rsidP="001C3815">
      <w:pPr>
        <w:pStyle w:val="CERbullets"/>
        <w:rPr>
          <w:lang w:eastAsia="en-AU"/>
        </w:rPr>
      </w:pPr>
      <w:r w:rsidRPr="00EC0362">
        <w:rPr>
          <w:lang w:eastAsia="en-AU"/>
        </w:rPr>
        <w:t xml:space="preserve">For furnace ash and fly ash, analysis of the carbon content must be undertaken in accordance with </w:t>
      </w:r>
      <w:hyperlink r:id="rId36" w:tooltip="A link to the 1991 moisture content determination on the Standards Australia webpage" w:history="1">
        <w:r w:rsidRPr="008C3D58">
          <w:rPr>
            <w:rStyle w:val="Hyperlink"/>
            <w:rFonts w:asciiTheme="minorHAnsi" w:hAnsiTheme="minorHAnsi"/>
            <w:lang w:eastAsia="en-AU"/>
          </w:rPr>
          <w:t xml:space="preserve">AS 3583.2 – 1991 </w:t>
        </w:r>
        <w:r w:rsidRPr="00F149D6">
          <w:rPr>
            <w:rStyle w:val="Hyperlink"/>
            <w:rFonts w:asciiTheme="minorHAnsi" w:hAnsiTheme="minorHAnsi"/>
            <w:iCs/>
          </w:rPr>
          <w:t>Determination of moisture content</w:t>
        </w:r>
      </w:hyperlink>
      <w:r>
        <w:rPr>
          <w:rStyle w:val="FootnoteReference"/>
          <w:iCs/>
          <w:lang w:eastAsia="en-AU"/>
        </w:rPr>
        <w:footnoteReference w:id="17"/>
      </w:r>
      <w:r w:rsidRPr="00EC0362">
        <w:rPr>
          <w:i/>
          <w:lang w:eastAsia="en-AU"/>
        </w:rPr>
        <w:t xml:space="preserve"> </w:t>
      </w:r>
      <w:r w:rsidRPr="00EC0362">
        <w:rPr>
          <w:lang w:eastAsia="en-AU"/>
        </w:rPr>
        <w:t xml:space="preserve">and </w:t>
      </w:r>
      <w:hyperlink r:id="rId37" w:tooltip="A link to the 1991 determination of loss on ignition on the Standards Australia webpage" w:history="1">
        <w:r w:rsidRPr="008C3D58">
          <w:rPr>
            <w:rStyle w:val="Hyperlink"/>
            <w:rFonts w:asciiTheme="minorHAnsi" w:hAnsiTheme="minorHAnsi"/>
            <w:lang w:eastAsia="en-AU"/>
          </w:rPr>
          <w:t xml:space="preserve">AS 3583.3 – 1991 </w:t>
        </w:r>
        <w:r w:rsidRPr="00F149D6">
          <w:rPr>
            <w:rStyle w:val="Hyperlink"/>
            <w:rFonts w:asciiTheme="minorHAnsi" w:hAnsiTheme="minorHAnsi"/>
            <w:iCs/>
          </w:rPr>
          <w:t>Determination of loss on ignition</w:t>
        </w:r>
      </w:hyperlink>
      <w:r>
        <w:rPr>
          <w:rStyle w:val="FootnoteReference"/>
          <w:iCs/>
          <w:lang w:eastAsia="en-AU"/>
        </w:rPr>
        <w:footnoteReference w:id="18"/>
      </w:r>
      <w:r w:rsidRPr="00EC0362">
        <w:rPr>
          <w:i/>
          <w:lang w:eastAsia="en-AU"/>
        </w:rPr>
        <w:t xml:space="preserve"> </w:t>
      </w:r>
      <w:r w:rsidRPr="00EC0362">
        <w:rPr>
          <w:lang w:eastAsia="en-AU"/>
        </w:rPr>
        <w:t>or a standard that is equivalent to those standards.</w:t>
      </w:r>
    </w:p>
    <w:p w14:paraId="37137C4B" w14:textId="77777777" w:rsidR="001C3815" w:rsidRPr="00EC0362" w:rsidRDefault="001C3815" w:rsidP="001C3815">
      <w:pPr>
        <w:pStyle w:val="Heading3"/>
      </w:pPr>
      <w:bookmarkStart w:id="87" w:name="_Toc43983114"/>
      <w:bookmarkStart w:id="88" w:name="_Toc76565698"/>
      <w:bookmarkStart w:id="89" w:name="_Toc204158995"/>
      <w:r>
        <w:t xml:space="preserve">3.2.3. </w:t>
      </w:r>
      <w:r w:rsidRPr="00EC0362">
        <w:t>Method 3—Solid fuels</w:t>
      </w:r>
      <w:bookmarkEnd w:id="87"/>
      <w:bookmarkEnd w:id="88"/>
      <w:bookmarkEnd w:id="89"/>
    </w:p>
    <w:p w14:paraId="019427F6" w14:textId="17D27173" w:rsidR="001C3815" w:rsidRDefault="001C3815" w:rsidP="001C3815">
      <w:pPr>
        <w:pStyle w:val="CERbullets"/>
        <w:rPr>
          <w:rFonts w:eastAsia="Times New Roman"/>
        </w:rPr>
      </w:pPr>
      <w:r w:rsidRPr="40531069">
        <w:rPr>
          <w:rFonts w:eastAsia="Times New Roman"/>
        </w:rPr>
        <w:t xml:space="preserve">Method 3 is a variation on </w:t>
      </w:r>
      <w:r w:rsidR="63EA1D5F" w:rsidRPr="40531069">
        <w:rPr>
          <w:rFonts w:eastAsia="Times New Roman"/>
        </w:rPr>
        <w:t>M</w:t>
      </w:r>
      <w:r w:rsidRPr="40531069">
        <w:rPr>
          <w:rFonts w:eastAsia="Times New Roman"/>
        </w:rPr>
        <w:t xml:space="preserve">ethod 2. Method 3 is the same as </w:t>
      </w:r>
      <w:r w:rsidR="36BE000C" w:rsidRPr="40531069">
        <w:rPr>
          <w:rFonts w:eastAsia="Times New Roman"/>
        </w:rPr>
        <w:t>M</w:t>
      </w:r>
      <w:r w:rsidRPr="40531069">
        <w:rPr>
          <w:rFonts w:eastAsia="Times New Roman"/>
        </w:rPr>
        <w:t xml:space="preserve">ethod 2 (including whether using the oxidation factor under section 2.5 or an estimated oxidation factor under section 2.6), except that sampling of fuels must be conducted in accordance with the Australian or international standards listed in section 2.12 of the NGER Measurement Determination or by an equivalent standard.  </w:t>
      </w:r>
    </w:p>
    <w:p w14:paraId="2BCDAC42" w14:textId="28DA5922" w:rsidR="001C3815" w:rsidRPr="00865BEC" w:rsidRDefault="001C3815" w:rsidP="001C3815">
      <w:pPr>
        <w:pStyle w:val="CERbullets"/>
        <w:rPr>
          <w:rFonts w:eastAsia="Times New Roman"/>
        </w:rPr>
      </w:pPr>
      <w:r w:rsidRPr="40531069">
        <w:rPr>
          <w:rFonts w:eastAsia="Times New Roman"/>
        </w:rPr>
        <w:t xml:space="preserve">Once sampling of the fuel has been conducted in accordance with the standard, the analysis of the fuel for carbon, ash and moisture should be conducted as for </w:t>
      </w:r>
      <w:r w:rsidR="2D92F8BA" w:rsidRPr="40531069">
        <w:rPr>
          <w:rFonts w:eastAsia="Times New Roman"/>
        </w:rPr>
        <w:t>M</w:t>
      </w:r>
      <w:r w:rsidRPr="40531069">
        <w:rPr>
          <w:rFonts w:eastAsia="Times New Roman"/>
        </w:rPr>
        <w:t xml:space="preserve">ethod 2. Emissions may then be estimated in accordance with the same equations as set out in </w:t>
      </w:r>
      <w:r w:rsidR="009F1865">
        <w:rPr>
          <w:rFonts w:eastAsia="Times New Roman"/>
        </w:rPr>
        <w:t>sub</w:t>
      </w:r>
      <w:r w:rsidRPr="40531069">
        <w:rPr>
          <w:rFonts w:eastAsia="Times New Roman"/>
        </w:rPr>
        <w:t xml:space="preserve">sections 2.5(1) or 2.6(1) (depending on whether an oxidation factor under section 2.5 or an estimated oxidation factor under section 2.6 is used) of the NGER Measurement Determination.  </w:t>
      </w:r>
    </w:p>
    <w:p w14:paraId="0C563A0C" w14:textId="77777777" w:rsidR="001C3815" w:rsidRPr="007C053B" w:rsidRDefault="001C3815" w:rsidP="001C3815">
      <w:pPr>
        <w:pStyle w:val="Heading2"/>
      </w:pPr>
      <w:bookmarkStart w:id="90" w:name="_Toc43983115"/>
      <w:bookmarkStart w:id="91" w:name="_Toc76565699"/>
      <w:bookmarkStart w:id="92" w:name="_Toc204158996"/>
      <w:bookmarkStart w:id="93" w:name="_Hlk43115866"/>
      <w:r>
        <w:t xml:space="preserve">3.3. </w:t>
      </w:r>
      <w:r w:rsidRPr="007C053B">
        <w:t>Emissions released from the combustion of gaseous fuels</w:t>
      </w:r>
      <w:bookmarkEnd w:id="90"/>
      <w:bookmarkEnd w:id="91"/>
      <w:bookmarkEnd w:id="92"/>
    </w:p>
    <w:p w14:paraId="62FD83B6" w14:textId="47267AA3" w:rsidR="001C3815" w:rsidRDefault="001C3815" w:rsidP="001C3815">
      <w:pPr>
        <w:pStyle w:val="CERbullets"/>
        <w:rPr>
          <w:rFonts w:eastAsia="Times New Roman"/>
          <w:bCs/>
          <w:szCs w:val="22"/>
        </w:rPr>
      </w:pPr>
      <w:bookmarkStart w:id="94" w:name="_Hlk43115913"/>
      <w:bookmarkEnd w:id="93"/>
      <w:r w:rsidRPr="006D729A">
        <w:rPr>
          <w:rFonts w:eastAsia="Times New Roman"/>
          <w:bCs/>
          <w:szCs w:val="22"/>
        </w:rPr>
        <w:t xml:space="preserve">Part 2.3 of the NGER Measurement Determination </w:t>
      </w:r>
      <w:r w:rsidRPr="007C053B">
        <w:rPr>
          <w:rFonts w:eastAsia="Times New Roman"/>
          <w:bCs/>
          <w:szCs w:val="22"/>
        </w:rPr>
        <w:t>applies to emissions released from the combustion of gaseous fuels in relation to a separate instance of a source if the amount of gaseous fuel combusted in relation to the separate instance of the source is more than 1</w:t>
      </w:r>
      <w:r>
        <w:rPr>
          <w:rFonts w:eastAsia="Times New Roman"/>
          <w:bCs/>
          <w:szCs w:val="22"/>
        </w:rPr>
        <w:t>,</w:t>
      </w:r>
      <w:r w:rsidRPr="007C053B">
        <w:rPr>
          <w:rFonts w:eastAsia="Times New Roman"/>
          <w:bCs/>
          <w:szCs w:val="22"/>
        </w:rPr>
        <w:t>000</w:t>
      </w:r>
      <w:r w:rsidR="00D235A5">
        <w:rPr>
          <w:rFonts w:eastAsia="Times New Roman"/>
          <w:bCs/>
          <w:szCs w:val="22"/>
        </w:rPr>
        <w:t> m</w:t>
      </w:r>
      <w:r w:rsidR="00D235A5">
        <w:rPr>
          <w:rFonts w:eastAsia="Times New Roman"/>
          <w:bCs/>
          <w:szCs w:val="22"/>
          <w:vertAlign w:val="superscript"/>
        </w:rPr>
        <w:t>3</w:t>
      </w:r>
      <w:r>
        <w:rPr>
          <w:rFonts w:eastAsia="Times New Roman"/>
          <w:bCs/>
          <w:szCs w:val="22"/>
        </w:rPr>
        <w:t xml:space="preserve">. </w:t>
      </w:r>
    </w:p>
    <w:p w14:paraId="32B2B8CB" w14:textId="2A3BAA70" w:rsidR="001C3815" w:rsidRDefault="001C3815" w:rsidP="001C3815">
      <w:pPr>
        <w:pStyle w:val="CERbullets"/>
        <w:rPr>
          <w:rFonts w:eastAsia="Times New Roman"/>
          <w:bCs/>
          <w:szCs w:val="22"/>
        </w:rPr>
      </w:pPr>
      <w:r>
        <w:rPr>
          <w:rFonts w:eastAsia="Times New Roman"/>
          <w:bCs/>
          <w:szCs w:val="22"/>
        </w:rPr>
        <w:t>R</w:t>
      </w:r>
      <w:r w:rsidRPr="007C053B">
        <w:rPr>
          <w:rFonts w:eastAsia="Times New Roman"/>
          <w:bCs/>
          <w:szCs w:val="22"/>
        </w:rPr>
        <w:t>eporting of emissions and energy associated with the combustion of a gaseous fuel is optional if the quantity of gaseous fuel combusted in a separate instance of a source is 1</w:t>
      </w:r>
      <w:r>
        <w:rPr>
          <w:rFonts w:eastAsia="Times New Roman"/>
          <w:bCs/>
          <w:szCs w:val="22"/>
        </w:rPr>
        <w:t>,</w:t>
      </w:r>
      <w:r w:rsidRPr="007C053B">
        <w:rPr>
          <w:rFonts w:eastAsia="Times New Roman"/>
          <w:bCs/>
          <w:szCs w:val="22"/>
        </w:rPr>
        <w:t>000</w:t>
      </w:r>
      <w:r w:rsidR="00D235A5">
        <w:rPr>
          <w:rFonts w:eastAsia="Times New Roman"/>
          <w:bCs/>
          <w:szCs w:val="22"/>
        </w:rPr>
        <w:t> m</w:t>
      </w:r>
      <w:r w:rsidR="00D235A5">
        <w:rPr>
          <w:rFonts w:eastAsia="Times New Roman"/>
          <w:bCs/>
          <w:szCs w:val="22"/>
          <w:vertAlign w:val="superscript"/>
        </w:rPr>
        <w:t>3</w:t>
      </w:r>
      <w:r w:rsidRPr="007C053B">
        <w:rPr>
          <w:rFonts w:eastAsia="Times New Roman"/>
          <w:bCs/>
          <w:szCs w:val="22"/>
        </w:rPr>
        <w:t xml:space="preserve"> or less. </w:t>
      </w:r>
    </w:p>
    <w:p w14:paraId="0D681379" w14:textId="77777777" w:rsidR="001C3815" w:rsidRDefault="001C3815" w:rsidP="001C3815">
      <w:pPr>
        <w:pStyle w:val="CERbullets"/>
        <w:rPr>
          <w:rFonts w:eastAsia="Times New Roman"/>
          <w:bCs/>
          <w:szCs w:val="22"/>
        </w:rPr>
      </w:pPr>
      <w:r w:rsidRPr="007C053B">
        <w:rPr>
          <w:rFonts w:eastAsia="Times New Roman"/>
          <w:bCs/>
          <w:szCs w:val="22"/>
        </w:rPr>
        <w:t>Separate instance of a source is defined in section 1.9A</w:t>
      </w:r>
      <w:r>
        <w:rPr>
          <w:rFonts w:eastAsia="Times New Roman"/>
          <w:bCs/>
          <w:szCs w:val="22"/>
        </w:rPr>
        <w:t xml:space="preserve"> of the NGER Measurement Determination</w:t>
      </w:r>
      <w:r w:rsidRPr="007C053B">
        <w:rPr>
          <w:rFonts w:eastAsia="Times New Roman"/>
          <w:bCs/>
          <w:szCs w:val="22"/>
        </w:rPr>
        <w:t>. Amounts below the reporting threshold may still be reported if doing so is more efficient for the reporter.</w:t>
      </w:r>
    </w:p>
    <w:p w14:paraId="70A499E0" w14:textId="31C90C4C" w:rsidR="00DF3ABE" w:rsidRDefault="00DF3ABE" w:rsidP="00873709">
      <w:pPr>
        <w:pStyle w:val="CERbullets"/>
        <w:numPr>
          <w:ilvl w:val="0"/>
          <w:numId w:val="0"/>
        </w:numPr>
      </w:pPr>
      <w:bookmarkStart w:id="95" w:name="_Hlk43472586"/>
      <w:bookmarkStart w:id="96" w:name="_Hlk43115899"/>
      <w:bookmarkEnd w:id="94"/>
      <w:r>
        <w:lastRenderedPageBreak/>
        <w:t xml:space="preserve">The list of gaseous fuels for which emissions must be calculated is given in Schedule 1 of the NGER Regulations. </w:t>
      </w:r>
      <w:r>
        <w:rPr>
          <w:rStyle w:val="ui-provider"/>
        </w:rPr>
        <w:t xml:space="preserve">See </w:t>
      </w:r>
      <w:hyperlink r:id="rId38" w:tooltip="A link to the 'Reporting blended fuels, other fuel mixes, bitument and explosives' guide on the Clean Energy Regulator webpage" w:history="1">
        <w:r w:rsidRPr="00095BA4">
          <w:rPr>
            <w:rStyle w:val="Hyperlink"/>
            <w:rFonts w:asciiTheme="minorHAnsi" w:hAnsiTheme="minorHAnsi"/>
          </w:rPr>
          <w:t>Reporting blended fuels, other fuel mixes, bitumen and explosives guideline</w:t>
        </w:r>
      </w:hyperlink>
      <w:r>
        <w:rPr>
          <w:rStyle w:val="FootnoteReference"/>
        </w:rPr>
        <w:footnoteReference w:id="19"/>
      </w:r>
      <w:r>
        <w:rPr>
          <w:rStyle w:val="ui-provider"/>
        </w:rPr>
        <w:t xml:space="preserve"> for more information on how to report emissions from the combustion of biomethane. </w:t>
      </w:r>
    </w:p>
    <w:p w14:paraId="6CBFC69F" w14:textId="77777777" w:rsidR="001C3815" w:rsidRPr="00F149D6" w:rsidRDefault="001C3815" w:rsidP="001C3815">
      <w:r w:rsidRPr="006D729A">
        <w:t xml:space="preserve">The methods available for reporting the combustion of </w:t>
      </w:r>
      <w:r>
        <w:t>gaseous</w:t>
      </w:r>
      <w:r w:rsidRPr="006D729A">
        <w:t xml:space="preserve"> fuels under </w:t>
      </w:r>
      <w:r>
        <w:t>p</w:t>
      </w:r>
      <w:r w:rsidRPr="006D729A">
        <w:t>art 2.</w:t>
      </w:r>
      <w:r>
        <w:t>3</w:t>
      </w:r>
      <w:r w:rsidRPr="006D729A">
        <w:t xml:space="preserve"> of the NGER Measurement Determination by gas are summarised in table </w:t>
      </w:r>
      <w:r>
        <w:t>3</w:t>
      </w:r>
      <w:r w:rsidRPr="006D729A">
        <w:t>.</w:t>
      </w:r>
    </w:p>
    <w:bookmarkEnd w:id="95"/>
    <w:p w14:paraId="1433AE69" w14:textId="22F70D97" w:rsidR="001C3815" w:rsidRPr="00A05815" w:rsidRDefault="001C3815" w:rsidP="001C3815">
      <w:pPr>
        <w:pStyle w:val="Caption"/>
      </w:pPr>
      <w:r w:rsidRPr="00A05815">
        <w:t xml:space="preserve">Table </w:t>
      </w:r>
      <w:r w:rsidR="00343929">
        <w:fldChar w:fldCharType="begin"/>
      </w:r>
      <w:r w:rsidR="00343929">
        <w:instrText xml:space="preserve"> SEQ Table \* ARABIC </w:instrText>
      </w:r>
      <w:r w:rsidR="00343929">
        <w:fldChar w:fldCharType="separate"/>
      </w:r>
      <w:r w:rsidR="00DB7B65">
        <w:rPr>
          <w:noProof/>
        </w:rPr>
        <w:t>3</w:t>
      </w:r>
      <w:r w:rsidR="00343929">
        <w:rPr>
          <w:noProof/>
        </w:rPr>
        <w:fldChar w:fldCharType="end"/>
      </w:r>
      <w:r w:rsidRPr="00A05815">
        <w:t>: Summary of available methods, for estimating emissions from the combustion of gaseous fuel, by emissions of gas type (j)</w:t>
      </w:r>
      <w:r w:rsidR="003F4E6A">
        <w:t>.</w:t>
      </w:r>
    </w:p>
    <w:tbl>
      <w:tblPr>
        <w:tblStyle w:val="CERTable"/>
        <w:tblW w:w="5000" w:type="pct"/>
        <w:tblLook w:val="0620" w:firstRow="1" w:lastRow="0" w:firstColumn="0" w:lastColumn="0" w:noHBand="1" w:noVBand="1"/>
      </w:tblPr>
      <w:tblGrid>
        <w:gridCol w:w="2490"/>
        <w:gridCol w:w="2417"/>
        <w:gridCol w:w="2417"/>
        <w:gridCol w:w="2416"/>
      </w:tblGrid>
      <w:tr w:rsidR="001C3815" w:rsidRPr="00A05815" w14:paraId="5D9962D4" w14:textId="77777777" w:rsidTr="0002292A">
        <w:trPr>
          <w:cnfStyle w:val="100000000000" w:firstRow="1" w:lastRow="0" w:firstColumn="0" w:lastColumn="0" w:oddVBand="0" w:evenVBand="0" w:oddHBand="0" w:evenHBand="0" w:firstRowFirstColumn="0" w:firstRowLastColumn="0" w:lastRowFirstColumn="0" w:lastRowLastColumn="0"/>
          <w:tblHeader/>
        </w:trPr>
        <w:tc>
          <w:tcPr>
            <w:tcW w:w="0" w:type="pct"/>
          </w:tcPr>
          <w:p w14:paraId="1DB6B44F" w14:textId="77777777" w:rsidR="001C3815" w:rsidRPr="003E5D50" w:rsidRDefault="001C3815" w:rsidP="00793B33">
            <w:r w:rsidRPr="003E5D50">
              <w:t>Method</w:t>
            </w:r>
          </w:p>
        </w:tc>
        <w:tc>
          <w:tcPr>
            <w:tcW w:w="0" w:type="pct"/>
          </w:tcPr>
          <w:p w14:paraId="052FFD17" w14:textId="77777777" w:rsidR="001C3815" w:rsidRPr="00793B33" w:rsidRDefault="001C3815" w:rsidP="00793B33">
            <w:r w:rsidRPr="003E5D50">
              <w:t>CO</w:t>
            </w:r>
            <w:r w:rsidRPr="006F6AB8">
              <w:rPr>
                <w:vertAlign w:val="subscript"/>
              </w:rPr>
              <w:t>2</w:t>
            </w:r>
          </w:p>
        </w:tc>
        <w:tc>
          <w:tcPr>
            <w:tcW w:w="0" w:type="pct"/>
          </w:tcPr>
          <w:p w14:paraId="1D0D0C49" w14:textId="77777777" w:rsidR="001C3815" w:rsidRPr="00793B33" w:rsidRDefault="001C3815" w:rsidP="00793B33">
            <w:r w:rsidRPr="003E5D50">
              <w:t>CH</w:t>
            </w:r>
            <w:r w:rsidRPr="006F6AB8">
              <w:rPr>
                <w:vertAlign w:val="subscript"/>
              </w:rPr>
              <w:t>4</w:t>
            </w:r>
          </w:p>
        </w:tc>
        <w:tc>
          <w:tcPr>
            <w:tcW w:w="0" w:type="pct"/>
          </w:tcPr>
          <w:p w14:paraId="189D1773" w14:textId="77777777" w:rsidR="001C3815" w:rsidRPr="00793B33" w:rsidRDefault="001C3815" w:rsidP="00793B33">
            <w:r w:rsidRPr="003E5D50">
              <w:t>N</w:t>
            </w:r>
            <w:r w:rsidRPr="006F6AB8">
              <w:rPr>
                <w:vertAlign w:val="subscript"/>
              </w:rPr>
              <w:t>2</w:t>
            </w:r>
            <w:r w:rsidRPr="00793B33">
              <w:t>O</w:t>
            </w:r>
          </w:p>
        </w:tc>
      </w:tr>
      <w:tr w:rsidR="001C3815" w:rsidRPr="00A05815" w14:paraId="5301287E" w14:textId="77777777" w:rsidTr="005A2568">
        <w:tc>
          <w:tcPr>
            <w:tcW w:w="0" w:type="pct"/>
          </w:tcPr>
          <w:p w14:paraId="607146DD" w14:textId="77777777" w:rsidR="001C3815" w:rsidRPr="00793B33" w:rsidRDefault="001C3815" w:rsidP="00793B33">
            <w:r w:rsidRPr="003E5D50">
              <w:t>Method 1</w:t>
            </w:r>
          </w:p>
        </w:tc>
        <w:tc>
          <w:tcPr>
            <w:tcW w:w="0" w:type="pct"/>
          </w:tcPr>
          <w:p w14:paraId="74B8830B" w14:textId="77777777" w:rsidR="001C3815" w:rsidRPr="00793B33" w:rsidRDefault="001C3815" w:rsidP="00793B33">
            <w:r w:rsidRPr="003E5D50">
              <w:t xml:space="preserve">Section </w:t>
            </w:r>
            <w:r w:rsidRPr="00793B33">
              <w:t>2.20</w:t>
            </w:r>
          </w:p>
        </w:tc>
        <w:tc>
          <w:tcPr>
            <w:tcW w:w="0" w:type="pct"/>
          </w:tcPr>
          <w:p w14:paraId="65883960" w14:textId="77777777" w:rsidR="001C3815" w:rsidRPr="00793B33" w:rsidRDefault="001C3815" w:rsidP="00793B33">
            <w:r w:rsidRPr="003E5D50">
              <w:t>Section 2.20</w:t>
            </w:r>
          </w:p>
        </w:tc>
        <w:tc>
          <w:tcPr>
            <w:tcW w:w="0" w:type="pct"/>
          </w:tcPr>
          <w:p w14:paraId="360E05CC" w14:textId="77777777" w:rsidR="001C3815" w:rsidRPr="00793B33" w:rsidRDefault="001C3815" w:rsidP="00793B33">
            <w:r w:rsidRPr="003E5D50">
              <w:t>Section 2.20</w:t>
            </w:r>
          </w:p>
        </w:tc>
      </w:tr>
      <w:tr w:rsidR="001C3815" w:rsidRPr="00A05815" w14:paraId="09607C84" w14:textId="77777777" w:rsidTr="005A2568">
        <w:tc>
          <w:tcPr>
            <w:tcW w:w="0" w:type="pct"/>
          </w:tcPr>
          <w:p w14:paraId="6E7B4B41" w14:textId="77777777" w:rsidR="001C3815" w:rsidRPr="00793B33" w:rsidRDefault="001C3815" w:rsidP="00793B33">
            <w:r w:rsidRPr="003E5D50">
              <w:t>Method 2</w:t>
            </w:r>
          </w:p>
        </w:tc>
        <w:tc>
          <w:tcPr>
            <w:tcW w:w="0" w:type="pct"/>
          </w:tcPr>
          <w:p w14:paraId="0B02E285" w14:textId="77777777" w:rsidR="001C3815" w:rsidRPr="00793B33" w:rsidRDefault="001C3815" w:rsidP="00793B33">
            <w:r w:rsidRPr="003E5D50">
              <w:t>Section 2.21</w:t>
            </w:r>
          </w:p>
        </w:tc>
        <w:tc>
          <w:tcPr>
            <w:tcW w:w="0" w:type="pct"/>
          </w:tcPr>
          <w:p w14:paraId="08B8BCFF" w14:textId="77777777" w:rsidR="001C3815" w:rsidRPr="00793B33" w:rsidRDefault="001C3815" w:rsidP="00793B33">
            <w:r w:rsidRPr="003E5D50">
              <w:t>Section 2.27</w:t>
            </w:r>
          </w:p>
        </w:tc>
        <w:tc>
          <w:tcPr>
            <w:tcW w:w="0" w:type="pct"/>
          </w:tcPr>
          <w:p w14:paraId="32372A5A" w14:textId="77777777" w:rsidR="001C3815" w:rsidRPr="00793B33" w:rsidRDefault="001C3815" w:rsidP="00793B33">
            <w:r w:rsidRPr="003E5D50">
              <w:t>NA</w:t>
            </w:r>
          </w:p>
        </w:tc>
      </w:tr>
      <w:tr w:rsidR="001C3815" w:rsidRPr="00A05815" w14:paraId="2C8608D4" w14:textId="77777777" w:rsidTr="005A2568">
        <w:tc>
          <w:tcPr>
            <w:tcW w:w="0" w:type="pct"/>
          </w:tcPr>
          <w:p w14:paraId="559581CF" w14:textId="77777777" w:rsidR="001C3815" w:rsidRPr="00793B33" w:rsidRDefault="001C3815" w:rsidP="00793B33">
            <w:r w:rsidRPr="003E5D50">
              <w:t>Method 3</w:t>
            </w:r>
          </w:p>
        </w:tc>
        <w:tc>
          <w:tcPr>
            <w:tcW w:w="0" w:type="pct"/>
          </w:tcPr>
          <w:p w14:paraId="63A1C255" w14:textId="77777777" w:rsidR="001C3815" w:rsidRPr="00793B33" w:rsidRDefault="001C3815" w:rsidP="00793B33">
            <w:r w:rsidRPr="003E5D50">
              <w:t>Section 2.26</w:t>
            </w:r>
          </w:p>
        </w:tc>
        <w:tc>
          <w:tcPr>
            <w:tcW w:w="0" w:type="pct"/>
          </w:tcPr>
          <w:p w14:paraId="4FA91271" w14:textId="77777777" w:rsidR="001C3815" w:rsidRPr="00793B33" w:rsidRDefault="001C3815" w:rsidP="00793B33">
            <w:r w:rsidRPr="003E5D50">
              <w:t>NA</w:t>
            </w:r>
          </w:p>
        </w:tc>
        <w:tc>
          <w:tcPr>
            <w:tcW w:w="0" w:type="pct"/>
          </w:tcPr>
          <w:p w14:paraId="2435518B" w14:textId="77777777" w:rsidR="001C3815" w:rsidRPr="00793B33" w:rsidRDefault="001C3815" w:rsidP="00793B33">
            <w:r w:rsidRPr="003E5D50">
              <w:t>NA</w:t>
            </w:r>
          </w:p>
        </w:tc>
      </w:tr>
      <w:tr w:rsidR="001C3815" w:rsidRPr="00A05815" w14:paraId="2162BD9B" w14:textId="77777777" w:rsidTr="005A2568">
        <w:tc>
          <w:tcPr>
            <w:tcW w:w="0" w:type="pct"/>
          </w:tcPr>
          <w:p w14:paraId="2D0D83DC" w14:textId="77777777" w:rsidR="001C3815" w:rsidRPr="00793B33" w:rsidRDefault="001C3815" w:rsidP="00793B33">
            <w:r w:rsidRPr="003E5D50">
              <w:t>Method 4</w:t>
            </w:r>
          </w:p>
        </w:tc>
        <w:tc>
          <w:tcPr>
            <w:tcW w:w="0" w:type="pct"/>
          </w:tcPr>
          <w:p w14:paraId="7A885666" w14:textId="77777777" w:rsidR="001C3815" w:rsidRPr="007812C7" w:rsidRDefault="001C3815" w:rsidP="00793B33">
            <w:pPr>
              <w:rPr>
                <w:bCs/>
              </w:rPr>
            </w:pPr>
            <w:r w:rsidRPr="009B7BFA">
              <w:t>Part 1.3</w:t>
            </w:r>
          </w:p>
        </w:tc>
        <w:tc>
          <w:tcPr>
            <w:tcW w:w="0" w:type="pct"/>
          </w:tcPr>
          <w:p w14:paraId="5B679232" w14:textId="77777777" w:rsidR="001C3815" w:rsidRPr="007812C7" w:rsidRDefault="001C3815" w:rsidP="00793B33">
            <w:pPr>
              <w:rPr>
                <w:bCs/>
              </w:rPr>
            </w:pPr>
            <w:r w:rsidRPr="009B7BFA">
              <w:t>NA</w:t>
            </w:r>
          </w:p>
        </w:tc>
        <w:tc>
          <w:tcPr>
            <w:tcW w:w="0" w:type="pct"/>
          </w:tcPr>
          <w:p w14:paraId="2F606DD8" w14:textId="202BD0D2" w:rsidR="001C3815" w:rsidRPr="007812C7" w:rsidRDefault="001C3815" w:rsidP="00793B33">
            <w:pPr>
              <w:rPr>
                <w:bCs/>
              </w:rPr>
            </w:pPr>
            <w:r w:rsidRPr="009B7BFA">
              <w:t>NA</w:t>
            </w:r>
          </w:p>
        </w:tc>
      </w:tr>
    </w:tbl>
    <w:p w14:paraId="64109762" w14:textId="77777777" w:rsidR="001C3815" w:rsidRPr="00C67CDF" w:rsidRDefault="001C3815" w:rsidP="001C3815">
      <w:r w:rsidRPr="00A05815">
        <w:t>Note: NA = Not available.</w:t>
      </w:r>
      <w:r w:rsidRPr="00A05815" w:rsidDel="00B56706">
        <w:t xml:space="preserve"> </w:t>
      </w:r>
    </w:p>
    <w:p w14:paraId="6B8C6DA8" w14:textId="77777777" w:rsidR="001C3815" w:rsidRDefault="001C3815" w:rsidP="001C3815">
      <w:pPr>
        <w:pStyle w:val="Heading3"/>
        <w:rPr>
          <w:b w:val="0"/>
          <w:bCs w:val="0"/>
        </w:rPr>
      </w:pPr>
      <w:bookmarkStart w:id="97" w:name="_Toc43983116"/>
      <w:bookmarkStart w:id="98" w:name="_Toc76565700"/>
      <w:bookmarkStart w:id="99" w:name="_Toc204158997"/>
      <w:bookmarkEnd w:id="96"/>
      <w:r>
        <w:t xml:space="preserve">3.3.1. </w:t>
      </w:r>
      <w:r w:rsidRPr="007C053B">
        <w:t>Method 1—emissions of carbon dioxide, methane and nitrous oxide</w:t>
      </w:r>
      <w:bookmarkEnd w:id="97"/>
      <w:bookmarkEnd w:id="98"/>
      <w:bookmarkEnd w:id="99"/>
    </w:p>
    <w:p w14:paraId="0557A4D2" w14:textId="77777777" w:rsidR="001C3815" w:rsidRDefault="001C3815" w:rsidP="001C3815">
      <w:r>
        <w:t xml:space="preserve">Method 1 for gaseous fuels is derived from the methodology in Australia’s </w:t>
      </w:r>
      <w:r w:rsidRPr="00685F29">
        <w:t>National Greenhouse Account</w:t>
      </w:r>
      <w:r>
        <w:t xml:space="preserve">s as published in the </w:t>
      </w:r>
      <w:r w:rsidRPr="00685F29">
        <w:t>National Inventory Report</w:t>
      </w:r>
      <w:r>
        <w:t>.  Emissions for each gas type (carbon dioxide, methane or nitrous oxide) are estimated for individual fuel types by multiplying a (physical) quantity of fuel combusted by a fuel-specific energy content factor and a fuel-specific emission factor for each relevant greenhouse gas.</w:t>
      </w:r>
    </w:p>
    <w:p w14:paraId="4933E29E" w14:textId="77777777" w:rsidR="001C3815" w:rsidRDefault="001C3815" w:rsidP="001C3815">
      <w:r>
        <w:t xml:space="preserve">Energy content and emission factors required for the estimation of emissions using this approach are set out </w:t>
      </w:r>
      <w:r w:rsidRPr="00BE113F">
        <w:t xml:space="preserve">in Part </w:t>
      </w:r>
      <w:r>
        <w:t>2</w:t>
      </w:r>
      <w:r w:rsidRPr="00BE113F">
        <w:t xml:space="preserve"> of Schedule 1 of the NGER Measurement Determination</w:t>
      </w:r>
      <w:r>
        <w:t xml:space="preserve">. These factors are intended as default factors that can be used in the absence of better information.  </w:t>
      </w:r>
    </w:p>
    <w:p w14:paraId="6689AA3A" w14:textId="77777777" w:rsidR="001C3815" w:rsidRDefault="001C3815" w:rsidP="001C3815">
      <w:r>
        <w:t xml:space="preserve">Once selected, the energy content factor (ECi) for a particular fuel must be applied to all calculations of energy emissions from that fuel for a facility in the reporting year. The emission factors listed have been estimated using the Australian Greenhouse Emissions Information System (AGEIS) operated by the Department. Consequently, they are determined simultaneously with the production of Australia’s </w:t>
      </w:r>
      <w:r w:rsidRPr="00F149D6">
        <w:rPr>
          <w:iCs/>
        </w:rPr>
        <w:t>National Greenhouse Accounts</w:t>
      </w:r>
      <w:r>
        <w:t xml:space="preserve"> ensuring that reporter inventories are consistent with those national accounts.</w:t>
      </w:r>
    </w:p>
    <w:p w14:paraId="4A546350" w14:textId="77777777" w:rsidR="001C3815" w:rsidRDefault="001C3815" w:rsidP="001C3815">
      <w:pPr>
        <w:pStyle w:val="Heading3"/>
      </w:pPr>
      <w:bookmarkStart w:id="100" w:name="_Toc43983117"/>
      <w:bookmarkStart w:id="101" w:name="_Toc76565701"/>
      <w:bookmarkStart w:id="102" w:name="_Toc204158998"/>
      <w:r>
        <w:t>3.3.2. Method 2—emissions of carbon dioxide from the combustion of gaseous fuels</w:t>
      </w:r>
      <w:bookmarkEnd w:id="100"/>
      <w:bookmarkEnd w:id="101"/>
      <w:bookmarkEnd w:id="102"/>
    </w:p>
    <w:p w14:paraId="2272D1A6" w14:textId="77777777" w:rsidR="001C3815" w:rsidRPr="003E2C95" w:rsidRDefault="001C3815" w:rsidP="001C3815">
      <w:r w:rsidRPr="003E2C95">
        <w:t>Method 2 is designed to enable more accurate estimates of emissions at a particular facility. At a facility level, more accurate estimates of emissions are obtained by sampling and analysing fuels for qualities that affect emission levels when the fuel is combusted. These qualities include the composition of the constituent gases of the fuel combusted – for example, the share of methane in the combusted gas.</w:t>
      </w:r>
    </w:p>
    <w:p w14:paraId="29E1A220" w14:textId="77777777" w:rsidR="001C3815" w:rsidRDefault="001C3815" w:rsidP="006F6AB8">
      <w:pPr>
        <w:pStyle w:val="Heading4"/>
      </w:pPr>
      <w:bookmarkStart w:id="103" w:name="_Toc43983119"/>
      <w:bookmarkStart w:id="104" w:name="_Toc76565702"/>
      <w:bookmarkStart w:id="105" w:name="_Toc204158999"/>
      <w:r>
        <w:t>3.3.2.1. Sampling and analysis</w:t>
      </w:r>
      <w:bookmarkEnd w:id="103"/>
      <w:bookmarkEnd w:id="104"/>
      <w:bookmarkEnd w:id="105"/>
    </w:p>
    <w:p w14:paraId="501570C7" w14:textId="4E0661C1" w:rsidR="001C3815" w:rsidRDefault="001C3815" w:rsidP="001C3815">
      <w:r>
        <w:t xml:space="preserve">Under </w:t>
      </w:r>
      <w:r w:rsidR="6F54C1B9">
        <w:t>M</w:t>
      </w:r>
      <w:r>
        <w:t xml:space="preserve">ethod 2, representative and unbiased samples of fuels consumed must be obtained for analysis.  Analysis of the fuels for composition of constituent gases must be done in accordance with listed Australian or international standards. A listing of applicable standards is given in section 2.24 of the NGER </w:t>
      </w:r>
      <w:r>
        <w:lastRenderedPageBreak/>
        <w:t>Measurement Determination. Equivalent standards may also be used. Examples of equivalent standards include those produced by AS, NZ, ASTM, ISO and CEN standards organisations. The standards must be on the date stated in subsection 1.9(4)</w:t>
      </w:r>
      <w:r w:rsidRPr="009C4BC3">
        <w:t xml:space="preserve"> </w:t>
      </w:r>
      <w:r>
        <w:t>of the NGER Measurement Determination in force for the reporting period</w:t>
      </w:r>
      <w:r w:rsidRPr="006D32BD">
        <w:t xml:space="preserve">.  </w:t>
      </w:r>
    </w:p>
    <w:p w14:paraId="61946340" w14:textId="77777777" w:rsidR="001C3815" w:rsidRDefault="001C3815" w:rsidP="001C3815">
      <w:r>
        <w:t xml:space="preserve">An </w:t>
      </w:r>
      <w:r w:rsidRPr="006D32BD">
        <w:t xml:space="preserve">accredited laboratory </w:t>
      </w:r>
      <w:r>
        <w:t>(as defined in section 1.8 of the NGER Measurement Determination)</w:t>
      </w:r>
      <w:r w:rsidDel="00DE087C">
        <w:t xml:space="preserve"> </w:t>
      </w:r>
      <w:r>
        <w:t>or a laboratory complying with the requirements in AS ISO/IEC 17025:2005 (or equivalent requirements) must be used to conduct the analysis. An online analyser may be used if calibrated in accordance with an appropriate standard, and if the online analysis is undertaken in accordance with section 2.24 of the NGER Measurement Determination.</w:t>
      </w:r>
    </w:p>
    <w:p w14:paraId="14B069BE" w14:textId="77777777" w:rsidR="001C3815" w:rsidRDefault="001C3815" w:rsidP="001C3815">
      <w:r>
        <w:t xml:space="preserve">The minimum frequencies of analysis of the gaseous fuels are set out in section 2.25 of the NGER Measurement Determination. </w:t>
      </w:r>
    </w:p>
    <w:p w14:paraId="4ED5492E" w14:textId="77777777" w:rsidR="001C3815" w:rsidRDefault="001C3815" w:rsidP="001C3815">
      <w:r>
        <w:t>Emissions may then be estimated in accordance with Subdivision 2.3.3.1 of the NGER Measurement Determination.</w:t>
      </w:r>
    </w:p>
    <w:p w14:paraId="67655B86" w14:textId="77777777" w:rsidR="001C3815" w:rsidRDefault="001C3815" w:rsidP="001C3815">
      <w:pPr>
        <w:pStyle w:val="Heading3"/>
      </w:pPr>
      <w:bookmarkStart w:id="106" w:name="_Toc43983120"/>
      <w:bookmarkStart w:id="107" w:name="_Toc76565703"/>
      <w:bookmarkStart w:id="108" w:name="_Toc204159000"/>
      <w:r>
        <w:t>3.3.3. Method 3—emissions of carbon dioxide released from the combustion of gaseous fuels</w:t>
      </w:r>
      <w:bookmarkEnd w:id="106"/>
      <w:bookmarkEnd w:id="107"/>
      <w:bookmarkEnd w:id="108"/>
    </w:p>
    <w:p w14:paraId="36752083" w14:textId="101412BD" w:rsidR="001C3815" w:rsidRDefault="001C3815" w:rsidP="001C3815">
      <w:r>
        <w:t xml:space="preserve">As for solid fuels, </w:t>
      </w:r>
      <w:r w:rsidR="7248F1C9">
        <w:t>M</w:t>
      </w:r>
      <w:r>
        <w:t xml:space="preserve">ethod 3 is a variation on </w:t>
      </w:r>
      <w:r w:rsidR="714746C0">
        <w:t>M</w:t>
      </w:r>
      <w:r>
        <w:t xml:space="preserve">ethod 2. Method 3 is the same as </w:t>
      </w:r>
      <w:r w:rsidR="6A949BE3">
        <w:t>M</w:t>
      </w:r>
      <w:r>
        <w:t xml:space="preserve">ethod 2 except that sampling of fuels should be conducted in accordance with the standards prescribed in section 2.26 of the NGER Measurement Determination or an equivalent standard.  </w:t>
      </w:r>
    </w:p>
    <w:p w14:paraId="466D0C98" w14:textId="7234D6E1" w:rsidR="001C3815" w:rsidRDefault="001C3815" w:rsidP="001C3815">
      <w:r>
        <w:t xml:space="preserve">Once sampling of the fuel has been conducted in accordance with the relevant standard, the analysis of the fuel should be conducted as for </w:t>
      </w:r>
      <w:r w:rsidR="641B0BDB">
        <w:t>M</w:t>
      </w:r>
      <w:r>
        <w:t xml:space="preserve">ethod 2. Emissions may then be estimated in accordance with the equations specified in </w:t>
      </w:r>
      <w:r w:rsidR="00114E7B">
        <w:t>sub</w:t>
      </w:r>
      <w:r>
        <w:t xml:space="preserve">section 2.21(1) in </w:t>
      </w:r>
      <w:r w:rsidR="004C794C">
        <w:t>M</w:t>
      </w:r>
      <w:r>
        <w:t>ethod 2 of the NGER Measurement Determination.</w:t>
      </w:r>
    </w:p>
    <w:p w14:paraId="6088F63D" w14:textId="15A89834" w:rsidR="001C3815" w:rsidRDefault="001C3815" w:rsidP="001C3815">
      <w:pPr>
        <w:pStyle w:val="Heading3"/>
      </w:pPr>
      <w:bookmarkStart w:id="109" w:name="_Toc43983121"/>
      <w:bookmarkStart w:id="110" w:name="_Toc76565704"/>
      <w:bookmarkStart w:id="111" w:name="_Toc204159001"/>
      <w:r>
        <w:t>3.3.4. Method 2—emissions of methane from the combustion of gaseous fuels</w:t>
      </w:r>
      <w:bookmarkEnd w:id="109"/>
      <w:bookmarkEnd w:id="110"/>
      <w:bookmarkEnd w:id="111"/>
    </w:p>
    <w:p w14:paraId="015B65E5" w14:textId="0043C3CB" w:rsidR="001C3815" w:rsidRDefault="001C3815" w:rsidP="001C3815">
      <w:r>
        <w:t xml:space="preserve">Section 2.27 of the NGER Measurement Determination sets out </w:t>
      </w:r>
      <w:r w:rsidR="5FE5E67B">
        <w:t>M</w:t>
      </w:r>
      <w:r>
        <w:t xml:space="preserve">ethod 2 for estimating methane emissions from the combustion of gaseous fuels. The quantity of methane emissions from the combustion of fuels depends on the equipment used. In the case of gaseous fuels, small variations in emissions are possible. </w:t>
      </w:r>
    </w:p>
    <w:p w14:paraId="0E235ABD" w14:textId="12B2AE49" w:rsidR="00184C96" w:rsidRDefault="001C3815" w:rsidP="001C3815">
      <w:r>
        <w:t xml:space="preserve">Method 2 for estimating emissions of methane is the same as </w:t>
      </w:r>
      <w:r w:rsidR="728B7EF4">
        <w:t>M</w:t>
      </w:r>
      <w:r>
        <w:t xml:space="preserve">ethod 1 under section 2.20 of the NGER Measurement Determination, save that the factor </w:t>
      </w:r>
      <w:r w:rsidRPr="00610810">
        <w:t>EF</w:t>
      </w:r>
      <w:r w:rsidRPr="003E2C95">
        <w:rPr>
          <w:vertAlign w:val="subscript"/>
        </w:rPr>
        <w:t>ijoxec</w:t>
      </w:r>
      <w:r>
        <w:t xml:space="preserve"> (being the emission factor for methane released during the year measured in kg</w:t>
      </w:r>
      <w:r w:rsidR="000164C7">
        <w:t> </w:t>
      </w:r>
      <w:r>
        <w:t>CO</w:t>
      </w:r>
      <w:r w:rsidRPr="003E2C95">
        <w:rPr>
          <w:vertAlign w:val="subscript"/>
        </w:rPr>
        <w:t>2</w:t>
      </w:r>
      <w:r>
        <w:t>-e</w:t>
      </w:r>
      <w:r w:rsidR="000164C7">
        <w:t>/</w:t>
      </w:r>
      <w:r>
        <w:t>GJ of fuel type (</w:t>
      </w:r>
      <w:proofErr w:type="spellStart"/>
      <w:r>
        <w:rPr>
          <w:i/>
        </w:rPr>
        <w:t>i</w:t>
      </w:r>
      <w:proofErr w:type="spellEnd"/>
      <w:r>
        <w:rPr>
          <w:i/>
        </w:rPr>
        <w:t xml:space="preserve">)) </w:t>
      </w:r>
      <w:r>
        <w:t>is instead obtained using the equipment type emission factors listed in Volume 2, section 2.3.2.3 of the 2006 IPCC Guidelines, corrected to gross calorific values.</w:t>
      </w:r>
    </w:p>
    <w:p w14:paraId="59CA6271" w14:textId="77777777" w:rsidR="001C3815" w:rsidRPr="007C053B" w:rsidRDefault="001C3815" w:rsidP="001C3815">
      <w:pPr>
        <w:pStyle w:val="Heading2"/>
      </w:pPr>
      <w:bookmarkStart w:id="112" w:name="_Toc43983122"/>
      <w:bookmarkStart w:id="113" w:name="_Toc76565705"/>
      <w:bookmarkStart w:id="114" w:name="_Toc204159002"/>
      <w:r>
        <w:t xml:space="preserve">3.4. </w:t>
      </w:r>
      <w:r w:rsidRPr="007C053B">
        <w:t xml:space="preserve">Emissions released from the combustion of </w:t>
      </w:r>
      <w:r>
        <w:t>liquid</w:t>
      </w:r>
      <w:r w:rsidRPr="007C053B">
        <w:t xml:space="preserve"> fuels</w:t>
      </w:r>
      <w:bookmarkEnd w:id="112"/>
      <w:bookmarkEnd w:id="113"/>
      <w:bookmarkEnd w:id="114"/>
    </w:p>
    <w:bookmarkEnd w:id="79"/>
    <w:p w14:paraId="442F6DDE" w14:textId="77777777" w:rsidR="001C3815" w:rsidRDefault="001C3815" w:rsidP="001C3815">
      <w:r w:rsidRPr="006D729A">
        <w:t xml:space="preserve">Part 2.4 of the NGER Measurement Determination </w:t>
      </w:r>
      <w:r w:rsidRPr="007C053B">
        <w:t xml:space="preserve">applies to emissions released from the combustion of </w:t>
      </w:r>
      <w:r>
        <w:t>liquid</w:t>
      </w:r>
      <w:r w:rsidRPr="007C053B">
        <w:t xml:space="preserve"> in relation to a separate instance of a source if the amount of </w:t>
      </w:r>
      <w:r>
        <w:t>liquid</w:t>
      </w:r>
      <w:r w:rsidRPr="007C053B">
        <w:t xml:space="preserve"> fuel combusted in relation to the separate instance of the source is</w:t>
      </w:r>
      <w:r>
        <w:t>:</w:t>
      </w:r>
    </w:p>
    <w:p w14:paraId="6A96B384" w14:textId="1B9351E0" w:rsidR="001C3815" w:rsidRPr="00F149D6" w:rsidRDefault="001C3815" w:rsidP="001C3815">
      <w:pPr>
        <w:pStyle w:val="CERbullets"/>
        <w:numPr>
          <w:ilvl w:val="0"/>
          <w:numId w:val="54"/>
        </w:numPr>
      </w:pPr>
      <w:r w:rsidRPr="00F149D6">
        <w:t xml:space="preserve">the combustion of petroleum-based oil (other than petroleum-based oil used as fuel) or petroleum-based grease, in relation to a separate instance of a source, if the total amount of oil and grease combusted in relation to the separate instance of the source is more than 5 </w:t>
      </w:r>
      <w:r w:rsidR="00C76077">
        <w:t>kL.</w:t>
      </w:r>
    </w:p>
    <w:p w14:paraId="3271AEF0" w14:textId="7DB8CEE7" w:rsidR="001C3815" w:rsidRPr="00F149D6" w:rsidRDefault="001C3815" w:rsidP="001C3815">
      <w:pPr>
        <w:pStyle w:val="CERbullets"/>
        <w:numPr>
          <w:ilvl w:val="0"/>
          <w:numId w:val="54"/>
        </w:numPr>
      </w:pPr>
      <w:r w:rsidRPr="00F149D6">
        <w:t>for a liquid fuel not of the kind mentioned in paragraph (a)—the combustion of liquid fuel in relation to a separate instance of a source, if the total amount of liquid fuel combusted in relation to the separate instance of the source is more than 1 k</w:t>
      </w:r>
      <w:r w:rsidR="00C76077">
        <w:t>L</w:t>
      </w:r>
      <w:r w:rsidRPr="00F149D6">
        <w:t>.</w:t>
      </w:r>
    </w:p>
    <w:p w14:paraId="477BEEBC" w14:textId="3386C711" w:rsidR="00D85475" w:rsidRDefault="001C3815" w:rsidP="001C3815">
      <w:pPr>
        <w:pStyle w:val="CERbullets"/>
        <w:numPr>
          <w:ilvl w:val="0"/>
          <w:numId w:val="0"/>
        </w:numPr>
        <w:rPr>
          <w:rFonts w:eastAsia="Times New Roman"/>
          <w:bCs/>
          <w:szCs w:val="22"/>
        </w:rPr>
      </w:pPr>
      <w:r>
        <w:rPr>
          <w:rFonts w:eastAsia="Times New Roman"/>
          <w:bCs/>
          <w:szCs w:val="22"/>
        </w:rPr>
        <w:t>R</w:t>
      </w:r>
      <w:r w:rsidRPr="007C053B">
        <w:rPr>
          <w:rFonts w:eastAsia="Times New Roman"/>
          <w:bCs/>
          <w:szCs w:val="22"/>
        </w:rPr>
        <w:t xml:space="preserve">eporting of emissions and energy associated with the combustion of a </w:t>
      </w:r>
      <w:r>
        <w:rPr>
          <w:rFonts w:eastAsia="Times New Roman"/>
          <w:bCs/>
          <w:szCs w:val="22"/>
        </w:rPr>
        <w:t xml:space="preserve">liquid </w:t>
      </w:r>
      <w:r w:rsidRPr="007C053B">
        <w:rPr>
          <w:rFonts w:eastAsia="Times New Roman"/>
          <w:bCs/>
          <w:szCs w:val="22"/>
        </w:rPr>
        <w:t>fuel</w:t>
      </w:r>
      <w:r>
        <w:rPr>
          <w:rFonts w:eastAsia="Times New Roman"/>
          <w:bCs/>
          <w:szCs w:val="22"/>
        </w:rPr>
        <w:t>s</w:t>
      </w:r>
      <w:r w:rsidRPr="007C053B">
        <w:rPr>
          <w:rFonts w:eastAsia="Times New Roman"/>
          <w:bCs/>
          <w:szCs w:val="22"/>
        </w:rPr>
        <w:t xml:space="preserve"> is optional if the quantity of </w:t>
      </w:r>
      <w:r>
        <w:rPr>
          <w:rFonts w:eastAsia="Times New Roman"/>
          <w:bCs/>
          <w:szCs w:val="22"/>
        </w:rPr>
        <w:t>liquid</w:t>
      </w:r>
      <w:r w:rsidRPr="007C053B">
        <w:rPr>
          <w:rFonts w:eastAsia="Times New Roman"/>
          <w:bCs/>
          <w:szCs w:val="22"/>
        </w:rPr>
        <w:t xml:space="preserve"> fuel combusted in a separate instance of a source </w:t>
      </w:r>
      <w:r>
        <w:rPr>
          <w:rFonts w:eastAsia="Times New Roman"/>
          <w:bCs/>
          <w:szCs w:val="22"/>
        </w:rPr>
        <w:t xml:space="preserve">is less than the amounts described in (a) and (b) </w:t>
      </w:r>
      <w:r>
        <w:rPr>
          <w:rFonts w:eastAsia="Times New Roman"/>
          <w:bCs/>
          <w:szCs w:val="22"/>
        </w:rPr>
        <w:lastRenderedPageBreak/>
        <w:t>above</w:t>
      </w:r>
      <w:r w:rsidRPr="007C053B">
        <w:rPr>
          <w:rFonts w:eastAsia="Times New Roman"/>
          <w:bCs/>
          <w:szCs w:val="22"/>
        </w:rPr>
        <w:t xml:space="preserve">. </w:t>
      </w:r>
      <w:r>
        <w:rPr>
          <w:rFonts w:eastAsia="Times New Roman"/>
          <w:bCs/>
          <w:szCs w:val="22"/>
        </w:rPr>
        <w:t>‘</w:t>
      </w:r>
      <w:r w:rsidRPr="007C053B">
        <w:rPr>
          <w:rFonts w:eastAsia="Times New Roman"/>
          <w:bCs/>
          <w:szCs w:val="22"/>
        </w:rPr>
        <w:t>Separate instance of a source</w:t>
      </w:r>
      <w:r>
        <w:rPr>
          <w:rFonts w:eastAsia="Times New Roman"/>
          <w:bCs/>
          <w:szCs w:val="22"/>
        </w:rPr>
        <w:t>’</w:t>
      </w:r>
      <w:r w:rsidRPr="007C053B">
        <w:rPr>
          <w:rFonts w:eastAsia="Times New Roman"/>
          <w:bCs/>
          <w:szCs w:val="22"/>
        </w:rPr>
        <w:t xml:space="preserve"> is </w:t>
      </w:r>
      <w:r w:rsidR="00E432F2">
        <w:rPr>
          <w:rFonts w:eastAsia="Times New Roman"/>
          <w:bCs/>
          <w:szCs w:val="22"/>
        </w:rPr>
        <w:t>described</w:t>
      </w:r>
      <w:r w:rsidR="00E432F2" w:rsidRPr="007C053B">
        <w:rPr>
          <w:rFonts w:eastAsia="Times New Roman"/>
          <w:bCs/>
          <w:szCs w:val="22"/>
        </w:rPr>
        <w:t xml:space="preserve"> </w:t>
      </w:r>
      <w:r w:rsidRPr="007C053B">
        <w:rPr>
          <w:rFonts w:eastAsia="Times New Roman"/>
          <w:bCs/>
          <w:szCs w:val="22"/>
        </w:rPr>
        <w:t>in section 1.9A</w:t>
      </w:r>
      <w:r>
        <w:rPr>
          <w:rFonts w:eastAsia="Times New Roman"/>
          <w:bCs/>
          <w:szCs w:val="22"/>
        </w:rPr>
        <w:t xml:space="preserve"> of the NGER Measurement Determination</w:t>
      </w:r>
      <w:r w:rsidRPr="007C053B">
        <w:rPr>
          <w:rFonts w:eastAsia="Times New Roman"/>
          <w:bCs/>
          <w:szCs w:val="22"/>
        </w:rPr>
        <w:t>. Amounts below the reporting threshold may still be reported.</w:t>
      </w:r>
    </w:p>
    <w:p w14:paraId="13B2DE4C" w14:textId="43980A1D" w:rsidR="001C3815" w:rsidRPr="00F149D6" w:rsidRDefault="001C3815" w:rsidP="001C3815">
      <w:r w:rsidRPr="006D729A">
        <w:t xml:space="preserve">The methods available for reporting the combustion of </w:t>
      </w:r>
      <w:r w:rsidR="00FF0007">
        <w:t>liquid fuels</w:t>
      </w:r>
      <w:r w:rsidRPr="006D729A">
        <w:t xml:space="preserve"> under </w:t>
      </w:r>
      <w:bookmarkStart w:id="115" w:name="_Hlk43472609"/>
      <w:r>
        <w:t>p</w:t>
      </w:r>
      <w:r w:rsidRPr="006D729A">
        <w:t>art 2.</w:t>
      </w:r>
      <w:r>
        <w:t>4</w:t>
      </w:r>
      <w:r w:rsidRPr="006D729A">
        <w:t xml:space="preserve"> of the NGER Measurement Determination</w:t>
      </w:r>
      <w:bookmarkEnd w:id="115"/>
      <w:r w:rsidRPr="006D729A">
        <w:t xml:space="preserve"> by gas are summarised in table </w:t>
      </w:r>
      <w:r>
        <w:t>4</w:t>
      </w:r>
      <w:r w:rsidRPr="006D729A">
        <w:t>.</w:t>
      </w:r>
    </w:p>
    <w:p w14:paraId="5006D031" w14:textId="3A491E88" w:rsidR="001C3815" w:rsidRPr="00AD67EF" w:rsidRDefault="001C3815" w:rsidP="001C3815">
      <w:pPr>
        <w:pStyle w:val="Caption"/>
      </w:pPr>
      <w:r w:rsidRPr="00AD67EF">
        <w:t xml:space="preserve">Table </w:t>
      </w:r>
      <w:r w:rsidR="00343929">
        <w:fldChar w:fldCharType="begin"/>
      </w:r>
      <w:r w:rsidR="00343929">
        <w:instrText xml:space="preserve"> SEQ Table \* ARABIC </w:instrText>
      </w:r>
      <w:r w:rsidR="00343929">
        <w:fldChar w:fldCharType="separate"/>
      </w:r>
      <w:r w:rsidR="00DB7B65">
        <w:rPr>
          <w:noProof/>
        </w:rPr>
        <w:t>4</w:t>
      </w:r>
      <w:r w:rsidR="00343929">
        <w:rPr>
          <w:noProof/>
        </w:rPr>
        <w:fldChar w:fldCharType="end"/>
      </w:r>
      <w:r w:rsidRPr="00AD67EF">
        <w:t>: Summary of available methods, for estimating emissions from the combustion of liquid fuels, by emissions of gas type (j)</w:t>
      </w:r>
      <w:r w:rsidR="003F4E6A">
        <w:t>.</w:t>
      </w:r>
    </w:p>
    <w:tbl>
      <w:tblPr>
        <w:tblStyle w:val="CERTable"/>
        <w:tblW w:w="0" w:type="auto"/>
        <w:tblLook w:val="0620" w:firstRow="1" w:lastRow="0" w:firstColumn="0" w:lastColumn="0" w:noHBand="1" w:noVBand="1"/>
      </w:tblPr>
      <w:tblGrid>
        <w:gridCol w:w="2503"/>
        <w:gridCol w:w="2310"/>
        <w:gridCol w:w="2310"/>
        <w:gridCol w:w="2310"/>
      </w:tblGrid>
      <w:tr w:rsidR="001C3815" w:rsidRPr="00AD67EF" w14:paraId="1F48AF63" w14:textId="77777777" w:rsidTr="0002292A">
        <w:trPr>
          <w:cnfStyle w:val="100000000000" w:firstRow="1" w:lastRow="0" w:firstColumn="0" w:lastColumn="0" w:oddVBand="0" w:evenVBand="0" w:oddHBand="0" w:evenHBand="0" w:firstRowFirstColumn="0" w:firstRowLastColumn="0" w:lastRowFirstColumn="0" w:lastRowLastColumn="0"/>
          <w:trHeight w:val="603"/>
          <w:tblHeader/>
        </w:trPr>
        <w:tc>
          <w:tcPr>
            <w:tcW w:w="2503" w:type="dxa"/>
          </w:tcPr>
          <w:p w14:paraId="306DC5B0" w14:textId="77777777" w:rsidR="001C3815" w:rsidRPr="003E5D50" w:rsidRDefault="001C3815" w:rsidP="00793B33">
            <w:r w:rsidRPr="003E5D50">
              <w:t>Method</w:t>
            </w:r>
          </w:p>
        </w:tc>
        <w:tc>
          <w:tcPr>
            <w:tcW w:w="2310" w:type="dxa"/>
          </w:tcPr>
          <w:p w14:paraId="7E45BB43" w14:textId="77777777" w:rsidR="001C3815" w:rsidRPr="00793B33" w:rsidRDefault="001C3815" w:rsidP="00793B33">
            <w:r w:rsidRPr="003E5D50">
              <w:t>CO</w:t>
            </w:r>
            <w:r w:rsidRPr="006F6AB8">
              <w:rPr>
                <w:vertAlign w:val="subscript"/>
              </w:rPr>
              <w:t>2</w:t>
            </w:r>
          </w:p>
        </w:tc>
        <w:tc>
          <w:tcPr>
            <w:tcW w:w="2310" w:type="dxa"/>
          </w:tcPr>
          <w:p w14:paraId="542E00BC" w14:textId="77777777" w:rsidR="001C3815" w:rsidRPr="00793B33" w:rsidRDefault="001C3815" w:rsidP="00793B33">
            <w:r w:rsidRPr="003E5D50">
              <w:t>CH</w:t>
            </w:r>
            <w:r w:rsidRPr="006F6AB8">
              <w:rPr>
                <w:vertAlign w:val="subscript"/>
              </w:rPr>
              <w:t>4</w:t>
            </w:r>
          </w:p>
        </w:tc>
        <w:tc>
          <w:tcPr>
            <w:tcW w:w="2310" w:type="dxa"/>
          </w:tcPr>
          <w:p w14:paraId="03DF0ED5" w14:textId="77777777" w:rsidR="001C3815" w:rsidRPr="00793B33" w:rsidRDefault="001C3815" w:rsidP="00793B33">
            <w:r w:rsidRPr="003E5D50">
              <w:t>N</w:t>
            </w:r>
            <w:r w:rsidRPr="006F6AB8">
              <w:rPr>
                <w:vertAlign w:val="subscript"/>
              </w:rPr>
              <w:t>2</w:t>
            </w:r>
            <w:r w:rsidRPr="00793B33">
              <w:t>O</w:t>
            </w:r>
          </w:p>
        </w:tc>
      </w:tr>
      <w:tr w:rsidR="001C3815" w:rsidRPr="00AD67EF" w14:paraId="1B2D2395" w14:textId="77777777" w:rsidTr="005A2568">
        <w:trPr>
          <w:trHeight w:val="858"/>
        </w:trPr>
        <w:tc>
          <w:tcPr>
            <w:tcW w:w="2503" w:type="dxa"/>
          </w:tcPr>
          <w:p w14:paraId="427D30AC" w14:textId="77777777" w:rsidR="001C3815" w:rsidRPr="00793B33" w:rsidRDefault="001C3815" w:rsidP="00793B33">
            <w:r w:rsidRPr="003E5D50">
              <w:t>Method 1</w:t>
            </w:r>
          </w:p>
        </w:tc>
        <w:tc>
          <w:tcPr>
            <w:tcW w:w="2310" w:type="dxa"/>
          </w:tcPr>
          <w:p w14:paraId="57C109CE" w14:textId="77777777" w:rsidR="001C3815" w:rsidRPr="00793B33" w:rsidRDefault="001C3815" w:rsidP="00793B33">
            <w:r w:rsidRPr="003E5D50">
              <w:t>Section 2.41</w:t>
            </w:r>
          </w:p>
        </w:tc>
        <w:tc>
          <w:tcPr>
            <w:tcW w:w="2310" w:type="dxa"/>
          </w:tcPr>
          <w:p w14:paraId="23A1FD14" w14:textId="77777777" w:rsidR="001C3815" w:rsidRPr="00793B33" w:rsidRDefault="001C3815" w:rsidP="00793B33">
            <w:r w:rsidRPr="003E5D50">
              <w:t>Section 2.41</w:t>
            </w:r>
          </w:p>
        </w:tc>
        <w:tc>
          <w:tcPr>
            <w:tcW w:w="2310" w:type="dxa"/>
          </w:tcPr>
          <w:p w14:paraId="1876A88F" w14:textId="77777777" w:rsidR="001C3815" w:rsidRPr="00793B33" w:rsidRDefault="001C3815" w:rsidP="00793B33">
            <w:r w:rsidRPr="003E5D50">
              <w:t>Section 2.41</w:t>
            </w:r>
          </w:p>
        </w:tc>
      </w:tr>
      <w:tr w:rsidR="001C3815" w:rsidRPr="00AD67EF" w14:paraId="768AB7F3" w14:textId="77777777" w:rsidTr="005A2568">
        <w:trPr>
          <w:trHeight w:val="858"/>
        </w:trPr>
        <w:tc>
          <w:tcPr>
            <w:tcW w:w="2503" w:type="dxa"/>
          </w:tcPr>
          <w:p w14:paraId="2DBAD65C" w14:textId="77777777" w:rsidR="001C3815" w:rsidRPr="00793B33" w:rsidRDefault="001C3815" w:rsidP="00793B33">
            <w:r w:rsidRPr="003E5D50">
              <w:t>Method 2</w:t>
            </w:r>
          </w:p>
        </w:tc>
        <w:tc>
          <w:tcPr>
            <w:tcW w:w="2310" w:type="dxa"/>
          </w:tcPr>
          <w:p w14:paraId="73BE48FB" w14:textId="77777777" w:rsidR="001C3815" w:rsidRPr="00793B33" w:rsidRDefault="001C3815" w:rsidP="00793B33">
            <w:r w:rsidRPr="003E5D50">
              <w:t>Section 2.42</w:t>
            </w:r>
          </w:p>
        </w:tc>
        <w:tc>
          <w:tcPr>
            <w:tcW w:w="2310" w:type="dxa"/>
          </w:tcPr>
          <w:p w14:paraId="6602C2E9" w14:textId="77777777" w:rsidR="001C3815" w:rsidRPr="00793B33" w:rsidRDefault="001C3815" w:rsidP="00793B33">
            <w:r w:rsidRPr="003E5D50">
              <w:t>Section 2.48</w:t>
            </w:r>
          </w:p>
        </w:tc>
        <w:tc>
          <w:tcPr>
            <w:tcW w:w="2310" w:type="dxa"/>
          </w:tcPr>
          <w:p w14:paraId="12FC5D0F" w14:textId="77777777" w:rsidR="001C3815" w:rsidRPr="00793B33" w:rsidRDefault="001C3815" w:rsidP="00793B33">
            <w:r w:rsidRPr="003E5D50">
              <w:t>Section 2.48</w:t>
            </w:r>
          </w:p>
        </w:tc>
      </w:tr>
      <w:tr w:rsidR="001C3815" w:rsidRPr="00AD67EF" w14:paraId="6C047193" w14:textId="77777777" w:rsidTr="005A2568">
        <w:trPr>
          <w:trHeight w:val="872"/>
        </w:trPr>
        <w:tc>
          <w:tcPr>
            <w:tcW w:w="2503" w:type="dxa"/>
          </w:tcPr>
          <w:p w14:paraId="42BFEBA0" w14:textId="77777777" w:rsidR="001C3815" w:rsidRPr="00793B33" w:rsidRDefault="001C3815" w:rsidP="00793B33">
            <w:r w:rsidRPr="003E5D50">
              <w:t>Method 3</w:t>
            </w:r>
          </w:p>
        </w:tc>
        <w:tc>
          <w:tcPr>
            <w:tcW w:w="2310" w:type="dxa"/>
          </w:tcPr>
          <w:p w14:paraId="57BF26D3" w14:textId="77777777" w:rsidR="001C3815" w:rsidRPr="00793B33" w:rsidRDefault="001C3815" w:rsidP="00793B33">
            <w:r w:rsidRPr="003E5D50">
              <w:t>Section 2.47</w:t>
            </w:r>
          </w:p>
        </w:tc>
        <w:tc>
          <w:tcPr>
            <w:tcW w:w="2310" w:type="dxa"/>
          </w:tcPr>
          <w:p w14:paraId="5B41545A" w14:textId="77777777" w:rsidR="001C3815" w:rsidRPr="00793B33" w:rsidRDefault="001C3815" w:rsidP="00793B33">
            <w:r w:rsidRPr="003E5D50">
              <w:t>NA</w:t>
            </w:r>
          </w:p>
        </w:tc>
        <w:tc>
          <w:tcPr>
            <w:tcW w:w="2310" w:type="dxa"/>
          </w:tcPr>
          <w:p w14:paraId="744DE984" w14:textId="77777777" w:rsidR="001C3815" w:rsidRPr="00793B33" w:rsidRDefault="001C3815" w:rsidP="00793B33">
            <w:r w:rsidRPr="003E5D50">
              <w:t>NA</w:t>
            </w:r>
          </w:p>
        </w:tc>
      </w:tr>
      <w:tr w:rsidR="001C3815" w:rsidRPr="00AD67EF" w14:paraId="38A709A5" w14:textId="77777777" w:rsidTr="005A2568">
        <w:trPr>
          <w:trHeight w:val="858"/>
        </w:trPr>
        <w:tc>
          <w:tcPr>
            <w:tcW w:w="2503" w:type="dxa"/>
          </w:tcPr>
          <w:p w14:paraId="018601BA" w14:textId="77777777" w:rsidR="001C3815" w:rsidRPr="00793B33" w:rsidRDefault="001C3815" w:rsidP="00793B33">
            <w:r w:rsidRPr="003E5D50">
              <w:t>Method 4</w:t>
            </w:r>
          </w:p>
        </w:tc>
        <w:tc>
          <w:tcPr>
            <w:tcW w:w="2310" w:type="dxa"/>
          </w:tcPr>
          <w:p w14:paraId="0CFCF0A6" w14:textId="77777777" w:rsidR="001C3815" w:rsidRPr="006D6DA1" w:rsidRDefault="001C3815" w:rsidP="00793B33">
            <w:pPr>
              <w:rPr>
                <w:bCs/>
              </w:rPr>
            </w:pPr>
            <w:r w:rsidRPr="009B7BFA">
              <w:t>Part 1.3</w:t>
            </w:r>
          </w:p>
        </w:tc>
        <w:tc>
          <w:tcPr>
            <w:tcW w:w="2310" w:type="dxa"/>
          </w:tcPr>
          <w:p w14:paraId="5EA8CCFF" w14:textId="77777777" w:rsidR="001C3815" w:rsidRPr="006D6DA1" w:rsidRDefault="001C3815" w:rsidP="00793B33">
            <w:pPr>
              <w:rPr>
                <w:bCs/>
              </w:rPr>
            </w:pPr>
            <w:r w:rsidRPr="009B7BFA">
              <w:t>NA</w:t>
            </w:r>
          </w:p>
        </w:tc>
        <w:tc>
          <w:tcPr>
            <w:tcW w:w="2310" w:type="dxa"/>
          </w:tcPr>
          <w:p w14:paraId="0CCD3CED" w14:textId="77777777" w:rsidR="001C3815" w:rsidRPr="006D6DA1" w:rsidRDefault="001C3815" w:rsidP="00793B33">
            <w:pPr>
              <w:rPr>
                <w:bCs/>
              </w:rPr>
            </w:pPr>
            <w:r w:rsidRPr="009B7BFA">
              <w:t>NA</w:t>
            </w:r>
          </w:p>
        </w:tc>
      </w:tr>
    </w:tbl>
    <w:p w14:paraId="7B29C598" w14:textId="77777777" w:rsidR="001C3815" w:rsidRPr="00C67CDF" w:rsidRDefault="001C3815" w:rsidP="001C3815">
      <w:r w:rsidRPr="00AD67EF">
        <w:t>Note: NA = Not available.</w:t>
      </w:r>
      <w:r w:rsidRPr="00AD67EF" w:rsidDel="00C44BE7">
        <w:t xml:space="preserve"> </w:t>
      </w:r>
    </w:p>
    <w:p w14:paraId="0C8E6370" w14:textId="77777777" w:rsidR="001C3815" w:rsidRPr="00EB47F7" w:rsidRDefault="001C3815" w:rsidP="001C3815">
      <w:pPr>
        <w:pStyle w:val="Heading3"/>
      </w:pPr>
      <w:bookmarkStart w:id="116" w:name="_Toc423516798"/>
      <w:bookmarkStart w:id="117" w:name="_Toc495652714"/>
      <w:bookmarkStart w:id="118" w:name="_Toc43983123"/>
      <w:bookmarkStart w:id="119" w:name="_Toc76565706"/>
      <w:bookmarkStart w:id="120" w:name="_Toc204159003"/>
      <w:r>
        <w:t xml:space="preserve">3.4.1. </w:t>
      </w:r>
      <w:r w:rsidRPr="00EB47F7">
        <w:t xml:space="preserve">Method 1—emissions of carbon dioxide, methane and nitrous oxide from liquid fuels other than </w:t>
      </w:r>
      <w:r>
        <w:t>petroleum-based</w:t>
      </w:r>
      <w:r w:rsidRPr="00EB47F7">
        <w:t xml:space="preserve"> oils or greases</w:t>
      </w:r>
      <w:bookmarkEnd w:id="116"/>
      <w:bookmarkEnd w:id="117"/>
      <w:bookmarkEnd w:id="118"/>
      <w:bookmarkEnd w:id="119"/>
      <w:bookmarkEnd w:id="120"/>
    </w:p>
    <w:p w14:paraId="4D89860B" w14:textId="35E65FBE" w:rsidR="001C3815" w:rsidRPr="00EB47F7" w:rsidRDefault="001C3815" w:rsidP="001C3815">
      <w:r w:rsidRPr="00EB47F7">
        <w:t xml:space="preserve">As for solid and gaseous fuels, </w:t>
      </w:r>
      <w:r w:rsidR="2C1703A5">
        <w:t>M</w:t>
      </w:r>
      <w:r w:rsidRPr="00EB47F7">
        <w:t xml:space="preserve">ethod 1 is derived from the </w:t>
      </w:r>
      <w:r w:rsidRPr="00F149D6">
        <w:rPr>
          <w:iCs/>
        </w:rPr>
        <w:t>National Greenhouse Accounts</w:t>
      </w:r>
      <w:r w:rsidRPr="00EB47F7">
        <w:rPr>
          <w:i/>
        </w:rPr>
        <w:t xml:space="preserve"> </w:t>
      </w:r>
      <w:r w:rsidRPr="00EB47F7">
        <w:t xml:space="preserve">national methodology as published in the </w:t>
      </w:r>
      <w:r w:rsidRPr="00F149D6">
        <w:rPr>
          <w:iCs/>
        </w:rPr>
        <w:t>National Inventory Report</w:t>
      </w:r>
      <w:r w:rsidRPr="00EB47F7">
        <w:t>. Emissions are estimated for individual fuel types by multiplying a (physical) quantity of fuel combusted by a fuel-specific energy content factor and a fuel-specific emission factor for each relevant greenhouse gas (in this case, carbon dioxide, methane and nitrous oxide).</w:t>
      </w:r>
    </w:p>
    <w:p w14:paraId="2FE84357" w14:textId="124601E9" w:rsidR="001C3815" w:rsidRPr="00EB47F7" w:rsidRDefault="001C3815" w:rsidP="001C3815">
      <w:r w:rsidRPr="00EB47F7">
        <w:t xml:space="preserve">The list of liquid fuels for which emissions must be calculated is given </w:t>
      </w:r>
      <w:r w:rsidR="00D31DC1">
        <w:t xml:space="preserve">in </w:t>
      </w:r>
      <w:r>
        <w:t>S</w:t>
      </w:r>
      <w:r w:rsidRPr="00EB47F7">
        <w:t xml:space="preserve">chedule 1 </w:t>
      </w:r>
      <w:r>
        <w:t>to</w:t>
      </w:r>
      <w:r w:rsidRPr="00EB47F7">
        <w:t xml:space="preserve"> the </w:t>
      </w:r>
      <w:r>
        <w:t>NGER Regulations</w:t>
      </w:r>
      <w:r w:rsidRPr="00EB47F7">
        <w:t>.</w:t>
      </w:r>
    </w:p>
    <w:p w14:paraId="7C6C374B" w14:textId="77777777" w:rsidR="001C3815" w:rsidRPr="00EB47F7" w:rsidRDefault="001C3815" w:rsidP="001C3815">
      <w:pPr>
        <w:rPr>
          <w:lang w:eastAsia="en-AU"/>
        </w:rPr>
      </w:pPr>
      <w:r w:rsidRPr="00EB47F7">
        <w:t xml:space="preserve">Energy content </w:t>
      </w:r>
      <w:r>
        <w:t xml:space="preserve">factors for each fuel type are required to be estimated under section 6.5 of the NGER Measurement Determination. </w:t>
      </w:r>
      <w:r w:rsidRPr="00EB47F7">
        <w:rPr>
          <w:lang w:eastAsia="en-AU"/>
        </w:rPr>
        <w:t>Once selected</w:t>
      </w:r>
      <w:r>
        <w:rPr>
          <w:lang w:eastAsia="en-AU"/>
        </w:rPr>
        <w:t>,</w:t>
      </w:r>
      <w:r w:rsidRPr="00EB47F7">
        <w:rPr>
          <w:lang w:eastAsia="en-AU"/>
        </w:rPr>
        <w:t xml:space="preserve"> the energy content factor (EC</w:t>
      </w:r>
      <w:r w:rsidRPr="00EB47F7">
        <w:rPr>
          <w:vertAlign w:val="subscript"/>
          <w:lang w:eastAsia="en-AU"/>
        </w:rPr>
        <w:t>i</w:t>
      </w:r>
      <w:r w:rsidRPr="00EB47F7">
        <w:rPr>
          <w:lang w:eastAsia="en-AU"/>
        </w:rPr>
        <w:t>) for a particular fuel must be applied to all calculations of energy emissions from that fuel for a facility in the reporting year.</w:t>
      </w:r>
    </w:p>
    <w:p w14:paraId="5E923E84" w14:textId="01E3B8BF" w:rsidR="001C3815" w:rsidRPr="00EB47F7" w:rsidRDefault="001C3815" w:rsidP="001C3815">
      <w:r>
        <w:t>The</w:t>
      </w:r>
      <w:r w:rsidRPr="00EB47F7">
        <w:t xml:space="preserve"> emission factors required for the estimation of emissions using </w:t>
      </w:r>
      <w:r>
        <w:t>Method 1</w:t>
      </w:r>
      <w:r w:rsidRPr="00EB47F7">
        <w:t xml:space="preserve"> are given </w:t>
      </w:r>
      <w:r w:rsidRPr="00BE113F">
        <w:t xml:space="preserve">in Part </w:t>
      </w:r>
      <w:r>
        <w:t>3</w:t>
      </w:r>
      <w:r w:rsidRPr="00BE113F">
        <w:t xml:space="preserve"> of Schedule 1 of the NGER Measurement Determination</w:t>
      </w:r>
      <w:r>
        <w:t xml:space="preserve"> for stationary energy purposes</w:t>
      </w:r>
      <w:r w:rsidR="00BA2006">
        <w:t xml:space="preserve"> </w:t>
      </w:r>
      <w:r>
        <w:t>and in Division 4.1 of Schedule 1 for transport energy purposes</w:t>
      </w:r>
      <w:r w:rsidRPr="00EB47F7">
        <w:t xml:space="preserve">. </w:t>
      </w:r>
      <w:r w:rsidR="00AF3250">
        <w:t>‘T</w:t>
      </w:r>
      <w:r w:rsidR="00206474">
        <w:t xml:space="preserve">ransport </w:t>
      </w:r>
      <w:r w:rsidR="00DD2D6B">
        <w:t xml:space="preserve">energy </w:t>
      </w:r>
      <w:r w:rsidR="00206474">
        <w:t>purposes</w:t>
      </w:r>
      <w:r w:rsidR="00932942">
        <w:t>’</w:t>
      </w:r>
      <w:r w:rsidR="00206474">
        <w:t xml:space="preserve"> </w:t>
      </w:r>
      <w:r w:rsidR="00932942">
        <w:t xml:space="preserve">include transport </w:t>
      </w:r>
      <w:proofErr w:type="gramStart"/>
      <w:r w:rsidR="00932942">
        <w:t>by</w:t>
      </w:r>
      <w:r w:rsidR="00D9092E">
        <w:t>:</w:t>
      </w:r>
      <w:proofErr w:type="gramEnd"/>
      <w:r w:rsidR="00206474">
        <w:t xml:space="preserve"> rail, water, </w:t>
      </w:r>
      <w:r w:rsidR="00AA3EA3">
        <w:t xml:space="preserve">and </w:t>
      </w:r>
      <w:r w:rsidR="00206474">
        <w:t xml:space="preserve">air, </w:t>
      </w:r>
      <w:r w:rsidR="005D4F47">
        <w:t>and</w:t>
      </w:r>
      <w:r w:rsidR="00206474">
        <w:t xml:space="preserve"> vehicles registered for road use. </w:t>
      </w:r>
      <w:r w:rsidR="00C446B3">
        <w:t xml:space="preserve">Other purposes, including transport by vehicles that are not road-registered or </w:t>
      </w:r>
      <w:r w:rsidR="00544FE4">
        <w:t xml:space="preserve">equipment that does not move, </w:t>
      </w:r>
      <w:proofErr w:type="gramStart"/>
      <w:r w:rsidR="00BA2006">
        <w:t>are</w:t>
      </w:r>
      <w:r w:rsidR="00544FE4">
        <w:t xml:space="preserve"> considered to be</w:t>
      </w:r>
      <w:proofErr w:type="gramEnd"/>
      <w:r w:rsidR="00544FE4">
        <w:t xml:space="preserve"> stationary.</w:t>
      </w:r>
    </w:p>
    <w:p w14:paraId="3F5D6C36" w14:textId="3E5620E9" w:rsidR="00051810" w:rsidRDefault="001C3815" w:rsidP="001C3815">
      <w:r w:rsidRPr="00EB47F7">
        <w:t xml:space="preserve">Equipment specific factors for methane and nitrous oxide are provided for transport fleets.  It is intended that the methane and nitrous oxide factors applicable to </w:t>
      </w:r>
      <w:proofErr w:type="gramStart"/>
      <w:r w:rsidRPr="00EB47F7">
        <w:t>particular transport</w:t>
      </w:r>
      <w:proofErr w:type="gramEnd"/>
      <w:r w:rsidRPr="00EB47F7">
        <w:t xml:space="preserve"> fleet should be utilised in the estimation of emissions for the fuel combusted for those fleets. No transport factors are provided for vehicles not registered for road use.  Stationary energy factors for individual fuel types should be used in these cases.   </w:t>
      </w:r>
    </w:p>
    <w:p w14:paraId="4B64474F" w14:textId="4BEAE183" w:rsidR="001C3815" w:rsidRPr="00EB47F7" w:rsidRDefault="001C3815" w:rsidP="001C3815">
      <w:r w:rsidRPr="00EB47F7">
        <w:lastRenderedPageBreak/>
        <w:t xml:space="preserve">The emission factors listed have been estimated using the </w:t>
      </w:r>
      <w:hyperlink r:id="rId39" w:tooltip="A link to the Australian Greenhouse Emissions Information System on the Climate Change Authority webpage" w:history="1">
        <w:r w:rsidR="00FE206E">
          <w:rPr>
            <w:rStyle w:val="Hyperlink"/>
            <w:rFonts w:asciiTheme="minorHAnsi" w:hAnsiTheme="minorHAnsi"/>
            <w:iCs/>
          </w:rPr>
          <w:t>Australian</w:t>
        </w:r>
        <w:r w:rsidR="00FE206E">
          <w:rPr>
            <w:rStyle w:val="Hyperlink"/>
            <w:rFonts w:asciiTheme="minorHAnsi" w:hAnsiTheme="minorHAnsi"/>
            <w:iCs/>
          </w:rPr>
          <w:t xml:space="preserve"> </w:t>
        </w:r>
        <w:r w:rsidR="00FE206E">
          <w:rPr>
            <w:rStyle w:val="Hyperlink"/>
            <w:rFonts w:asciiTheme="minorHAnsi" w:hAnsiTheme="minorHAnsi"/>
            <w:iCs/>
          </w:rPr>
          <w:t>Greenhouse Emissions Information System</w:t>
        </w:r>
      </w:hyperlink>
      <w:r>
        <w:rPr>
          <w:rStyle w:val="FootnoteReference"/>
          <w:iCs/>
        </w:rPr>
        <w:footnoteReference w:id="20"/>
      </w:r>
      <w:r w:rsidRPr="00EB47F7">
        <w:rPr>
          <w:i/>
        </w:rPr>
        <w:t xml:space="preserve">. </w:t>
      </w:r>
      <w:r w:rsidRPr="00EB47F7">
        <w:t xml:space="preserve">Consequently, they are determined simultaneously with the production of </w:t>
      </w:r>
      <w:r w:rsidRPr="00F149D6">
        <w:rPr>
          <w:iCs/>
        </w:rPr>
        <w:t>Australia’s National Greenhouse Accounts</w:t>
      </w:r>
      <w:r w:rsidRPr="00EB47F7">
        <w:t xml:space="preserve"> ensuring that </w:t>
      </w:r>
      <w:r>
        <w:t>r</w:t>
      </w:r>
      <w:r w:rsidRPr="00EB47F7">
        <w:t xml:space="preserve">eporter inventories are consistent with those </w:t>
      </w:r>
      <w:r w:rsidRPr="003E2C95">
        <w:t>national accounts</w:t>
      </w:r>
      <w:r w:rsidRPr="00EB47F7">
        <w:t xml:space="preserve">. </w:t>
      </w:r>
    </w:p>
    <w:p w14:paraId="61108E45" w14:textId="77777777" w:rsidR="001C3815" w:rsidRPr="008C7251" w:rsidRDefault="001C3815" w:rsidP="001C3815">
      <w:pPr>
        <w:pStyle w:val="Heading3"/>
      </w:pPr>
      <w:bookmarkStart w:id="121" w:name="_Toc495652718"/>
      <w:bookmarkStart w:id="122" w:name="_Toc43983124"/>
      <w:bookmarkStart w:id="123" w:name="_Toc76565707"/>
      <w:bookmarkStart w:id="124" w:name="_Toc204159004"/>
      <w:r w:rsidRPr="00626852">
        <w:t>3.4.2. Metho</w:t>
      </w:r>
      <w:r w:rsidRPr="005618E8">
        <w:t xml:space="preserve">d 2—emissions of carbon dioxide from liquid fuels </w:t>
      </w:r>
      <w:r w:rsidRPr="00626852">
        <w:t>other than petroleum-based oils or greases</w:t>
      </w:r>
      <w:bookmarkEnd w:id="121"/>
      <w:bookmarkEnd w:id="122"/>
      <w:bookmarkEnd w:id="123"/>
      <w:bookmarkEnd w:id="124"/>
    </w:p>
    <w:p w14:paraId="532ECE79" w14:textId="77777777" w:rsidR="001C3815" w:rsidRPr="006A02E5" w:rsidRDefault="001C3815" w:rsidP="001C3815">
      <w:r w:rsidRPr="008C7251">
        <w:t xml:space="preserve">Method 2 is designed to enable more accurate estimates of emissions at a particular facility. </w:t>
      </w:r>
      <w:r w:rsidRPr="00637698">
        <w:t xml:space="preserve">At a facility level more accurate estimates of emissions </w:t>
      </w:r>
      <w:r>
        <w:t>are</w:t>
      </w:r>
      <w:r w:rsidRPr="00637698">
        <w:t xml:space="preserve"> obtained by sampling and analysing fuels for qualities that affect emission levels when the fuel is combusted. These qualities include the fuel’s carbon content which may vary from fuel to fuel, albeit marginally for standard commercial fuels.</w:t>
      </w:r>
    </w:p>
    <w:p w14:paraId="45B3D6E4" w14:textId="77777777" w:rsidR="001C3815" w:rsidRPr="006D32BD" w:rsidRDefault="001C3815" w:rsidP="006F6AB8">
      <w:pPr>
        <w:pStyle w:val="Heading4"/>
      </w:pPr>
      <w:bookmarkStart w:id="125" w:name="_Toc423516804"/>
      <w:bookmarkStart w:id="126" w:name="_Toc495652722"/>
      <w:bookmarkStart w:id="127" w:name="_Toc43983125"/>
      <w:bookmarkStart w:id="128" w:name="_Toc76565708"/>
      <w:bookmarkStart w:id="129" w:name="_Toc204159005"/>
      <w:r>
        <w:t xml:space="preserve">3.4.2.1. </w:t>
      </w:r>
      <w:r w:rsidRPr="006D32BD">
        <w:t>Sampling and analysis</w:t>
      </w:r>
      <w:bookmarkEnd w:id="125"/>
      <w:bookmarkEnd w:id="126"/>
      <w:bookmarkEnd w:id="127"/>
      <w:bookmarkEnd w:id="128"/>
      <w:bookmarkEnd w:id="129"/>
    </w:p>
    <w:p w14:paraId="1F47C7FD" w14:textId="61F3BE2F" w:rsidR="001C3815" w:rsidRDefault="001C3815" w:rsidP="001C3815">
      <w:r>
        <w:t>If using</w:t>
      </w:r>
      <w:r w:rsidRPr="006D32BD">
        <w:t xml:space="preserve"> </w:t>
      </w:r>
      <w:r w:rsidR="283922F5">
        <w:t>M</w:t>
      </w:r>
      <w:r w:rsidRPr="006D32BD">
        <w:t xml:space="preserve">ethod 2, representative and unbiased samples of fuels consumed must be obtained </w:t>
      </w:r>
      <w:r>
        <w:t>and analysed</w:t>
      </w:r>
      <w:r w:rsidRPr="006D32BD">
        <w:t xml:space="preserve">.  </w:t>
      </w:r>
      <w:r>
        <w:t xml:space="preserve">The general requirements for sampling are set out in section 2.44 of the NGER Measurement Determination. </w:t>
      </w:r>
    </w:p>
    <w:p w14:paraId="1FD0029D" w14:textId="77777777" w:rsidR="001C3815" w:rsidRPr="006D32BD" w:rsidRDefault="001C3815" w:rsidP="001C3815">
      <w:r w:rsidRPr="006D32BD">
        <w:t>Analysis of the fuels for carbon, energy content</w:t>
      </w:r>
      <w:r>
        <w:t xml:space="preserve"> and density</w:t>
      </w:r>
      <w:r w:rsidRPr="006D32BD">
        <w:t xml:space="preserve"> must be done in accordance with </w:t>
      </w:r>
      <w:r>
        <w:t xml:space="preserve">the </w:t>
      </w:r>
      <w:r w:rsidRPr="006D32BD">
        <w:t>Australian or international standards</w:t>
      </w:r>
      <w:r>
        <w:t xml:space="preserve"> listed in section 2.45, or an equivalent standard</w:t>
      </w:r>
      <w:r w:rsidRPr="006D32BD">
        <w:t xml:space="preserve">. Examples of equivalent standards include those produced by AS, NZ, ASTM, ISO and CEN standards organisations. The standards must be in force on the date stated in </w:t>
      </w:r>
      <w:r>
        <w:t>sub</w:t>
      </w:r>
      <w:r w:rsidRPr="006D32BD">
        <w:t>section 1.9</w:t>
      </w:r>
      <w:r>
        <w:t>(4) of the NGER Measurement Determination in force for the reporting period</w:t>
      </w:r>
      <w:r w:rsidRPr="006D32BD">
        <w:t xml:space="preserve">.  </w:t>
      </w:r>
    </w:p>
    <w:p w14:paraId="0A010260" w14:textId="5ED3F9D3" w:rsidR="001C3815" w:rsidRPr="006D32BD" w:rsidRDefault="001C3815" w:rsidP="001C3815">
      <w:r w:rsidRPr="006D32BD">
        <w:t xml:space="preserve">Unlike solid and gaseous fuels, standards for analysis have not been listed for </w:t>
      </w:r>
      <w:proofErr w:type="gramStart"/>
      <w:r w:rsidRPr="006D32BD">
        <w:t>a number of</w:t>
      </w:r>
      <w:proofErr w:type="gramEnd"/>
      <w:r w:rsidRPr="006D32BD">
        <w:t xml:space="preserve"> fuel types, reflecting the apparent absence of such standards particularly for volatile fuels. It is considered that for many liquid fuels that the use of </w:t>
      </w:r>
      <w:r w:rsidR="2F49821E">
        <w:t>M</w:t>
      </w:r>
      <w:r w:rsidRPr="006D32BD">
        <w:t xml:space="preserve">ethod 2 facility-specific emission factors would be likely to bring only marginal benefits in any case.    </w:t>
      </w:r>
    </w:p>
    <w:p w14:paraId="63C4DF56" w14:textId="77777777" w:rsidR="001C3815" w:rsidRPr="006D32BD" w:rsidRDefault="001C3815" w:rsidP="001C3815">
      <w:r w:rsidRPr="006D32BD">
        <w:t>A</w:t>
      </w:r>
      <w:r>
        <w:t>n</w:t>
      </w:r>
      <w:r w:rsidRPr="006D32BD">
        <w:t xml:space="preserve"> accredited laboratory </w:t>
      </w:r>
      <w:r>
        <w:t xml:space="preserve">as defined in section 1.8 of the NGER Measurement Determination, </w:t>
      </w:r>
      <w:r w:rsidRPr="006D32BD">
        <w:t xml:space="preserve">or similar laboratory </w:t>
      </w:r>
      <w:r>
        <w:t>that meets the requirements of</w:t>
      </w:r>
      <w:r w:rsidRPr="006D32BD">
        <w:t xml:space="preserve"> </w:t>
      </w:r>
      <w:r>
        <w:t xml:space="preserve">ASO </w:t>
      </w:r>
      <w:r w:rsidRPr="006D32BD">
        <w:t>ISO</w:t>
      </w:r>
      <w:r>
        <w:t>/IEC</w:t>
      </w:r>
      <w:r w:rsidRPr="006D32BD">
        <w:t xml:space="preserve"> 17025</w:t>
      </w:r>
      <w:r>
        <w:t>:2005</w:t>
      </w:r>
      <w:r w:rsidRPr="006D32BD">
        <w:t xml:space="preserve"> </w:t>
      </w:r>
      <w:r>
        <w:t>must</w:t>
      </w:r>
      <w:r w:rsidRPr="006D32BD">
        <w:t xml:space="preserve"> be used to conduct the analysis.  </w:t>
      </w:r>
    </w:p>
    <w:p w14:paraId="12B8C481" w14:textId="77777777" w:rsidR="001C3815" w:rsidRPr="006D32BD" w:rsidRDefault="001C3815" w:rsidP="001C3815">
      <w:r>
        <w:t>A</w:t>
      </w:r>
      <w:r w:rsidRPr="006D32BD">
        <w:t xml:space="preserve">nalysis </w:t>
      </w:r>
      <w:r>
        <w:t>must be performed at least as frequently as</w:t>
      </w:r>
      <w:r w:rsidRPr="006D32BD">
        <w:t xml:space="preserve"> provided for in section 2.46</w:t>
      </w:r>
      <w:r>
        <w:t xml:space="preserve"> of the NGER Measurement Determination (currently, quarterly, or by delivery of the fuel)</w:t>
      </w:r>
      <w:r w:rsidRPr="006D32BD">
        <w:t xml:space="preserve">. </w:t>
      </w:r>
    </w:p>
    <w:p w14:paraId="55574FAB" w14:textId="77777777" w:rsidR="001C3815" w:rsidRPr="006D32BD" w:rsidRDefault="001C3815" w:rsidP="001C3815">
      <w:pPr>
        <w:pStyle w:val="Heading3"/>
      </w:pPr>
      <w:bookmarkStart w:id="130" w:name="_Toc43983126"/>
      <w:bookmarkStart w:id="131" w:name="_Toc76565709"/>
      <w:bookmarkStart w:id="132" w:name="_Toc204159006"/>
      <w:r>
        <w:t xml:space="preserve">3.4.3. </w:t>
      </w:r>
      <w:r w:rsidRPr="006D32BD">
        <w:t xml:space="preserve">Method 3—emissions of carbon dioxide from liquid fuels other than </w:t>
      </w:r>
      <w:r>
        <w:t>petroleum-based</w:t>
      </w:r>
      <w:r w:rsidRPr="006D32BD">
        <w:t xml:space="preserve"> oils or greases</w:t>
      </w:r>
      <w:bookmarkEnd w:id="130"/>
      <w:bookmarkEnd w:id="131"/>
      <w:bookmarkEnd w:id="132"/>
    </w:p>
    <w:p w14:paraId="119845EA" w14:textId="77777777" w:rsidR="001C3815" w:rsidRDefault="001C3815" w:rsidP="001C3815">
      <w:r>
        <w:t xml:space="preserve">Method 3 is </w:t>
      </w:r>
      <w:proofErr w:type="gramStart"/>
      <w:r>
        <w:t>similar to</w:t>
      </w:r>
      <w:proofErr w:type="gramEnd"/>
      <w:r>
        <w:t xml:space="preserve"> Method 2. The main difference is that, in Method 3, the sampling of fuels should be conducted in accordance with the standard prescribed in section 2.47 of the Determination or its equivalent. Once the sampling is completed, the analysis processes of Method 2 should be employed, including the estimate of emissions specified in section 2.42 of the Determination.</w:t>
      </w:r>
    </w:p>
    <w:p w14:paraId="19BEDFFA" w14:textId="77777777" w:rsidR="001C3815" w:rsidRPr="006D32BD" w:rsidRDefault="001C3815" w:rsidP="001C3815">
      <w:pPr>
        <w:pStyle w:val="Heading3"/>
      </w:pPr>
      <w:bookmarkStart w:id="133" w:name="_Toc423516810"/>
      <w:bookmarkStart w:id="134" w:name="_Toc495652728"/>
      <w:bookmarkStart w:id="135" w:name="_Toc43983127"/>
      <w:bookmarkStart w:id="136" w:name="_Toc76565710"/>
      <w:bookmarkStart w:id="137" w:name="_Toc204159007"/>
      <w:r>
        <w:t xml:space="preserve">3.4.4. </w:t>
      </w:r>
      <w:r w:rsidRPr="006D32BD">
        <w:t xml:space="preserve">Method 2—emissions of methane and nitrous oxide from liquid fuels other than </w:t>
      </w:r>
      <w:r>
        <w:t>petroleum-based</w:t>
      </w:r>
      <w:r w:rsidRPr="006D32BD">
        <w:t xml:space="preserve"> oils or greases</w:t>
      </w:r>
      <w:bookmarkEnd w:id="133"/>
      <w:bookmarkEnd w:id="134"/>
      <w:bookmarkEnd w:id="135"/>
      <w:bookmarkEnd w:id="136"/>
      <w:bookmarkEnd w:id="137"/>
    </w:p>
    <w:p w14:paraId="4AA3359D" w14:textId="4A40CF6A" w:rsidR="001C3815" w:rsidRPr="006D32BD" w:rsidRDefault="001C3815" w:rsidP="001C3815">
      <w:r w:rsidRPr="006D32BD">
        <w:t xml:space="preserve">Method 2 for the estimation of methane and nitrous oxide emissions from the combustion of liquid fuels is </w:t>
      </w:r>
      <w:r>
        <w:t>the same as</w:t>
      </w:r>
      <w:r w:rsidRPr="006D32BD">
        <w:t xml:space="preserve"> </w:t>
      </w:r>
      <w:r w:rsidR="3B5F883B">
        <w:t>M</w:t>
      </w:r>
      <w:r w:rsidRPr="006D32BD">
        <w:t xml:space="preserve">ethod 1 </w:t>
      </w:r>
      <w:r>
        <w:t>under section 2.41, save that</w:t>
      </w:r>
      <w:r w:rsidRPr="006D32BD">
        <w:t xml:space="preserve"> the </w:t>
      </w:r>
      <w:r>
        <w:t>r</w:t>
      </w:r>
      <w:r w:rsidRPr="006D32BD">
        <w:t xml:space="preserve">eporter uses </w:t>
      </w:r>
      <w:r>
        <w:t>the</w:t>
      </w:r>
      <w:r w:rsidRPr="006D32BD">
        <w:t xml:space="preserve"> equipment-specific emission factor</w:t>
      </w:r>
      <w:r>
        <w:t>s</w:t>
      </w:r>
      <w:r w:rsidRPr="006D32BD">
        <w:t xml:space="preserve"> set out in </w:t>
      </w:r>
      <w:r>
        <w:t>s</w:t>
      </w:r>
      <w:r w:rsidRPr="006D32BD">
        <w:t xml:space="preserve">chedule 1 of the </w:t>
      </w:r>
      <w:r>
        <w:t xml:space="preserve">NGER </w:t>
      </w:r>
      <w:r w:rsidRPr="7B9D8C82">
        <w:rPr>
          <w:rFonts w:ascii="Calibri" w:hAnsi="Calibri" w:cs="Calibri"/>
          <w:color w:val="auto"/>
          <w:lang w:eastAsia="en-AU"/>
        </w:rPr>
        <w:t>Measurement Determination</w:t>
      </w:r>
      <w:r w:rsidRPr="006D32BD">
        <w:t xml:space="preserve">. This approach is only available for vehicles </w:t>
      </w:r>
      <w:r>
        <w:t xml:space="preserve">manufactured </w:t>
      </w:r>
      <w:r w:rsidRPr="006D32BD">
        <w:t>post-2004</w:t>
      </w:r>
      <w:r>
        <w:t xml:space="preserve"> (see paragraph 2.48(2)(a) of the NGER Measurement Determination)</w:t>
      </w:r>
      <w:r w:rsidRPr="006D32BD">
        <w:t xml:space="preserve"> and </w:t>
      </w:r>
      <w:r w:rsidRPr="006D32BD">
        <w:lastRenderedPageBreak/>
        <w:t xml:space="preserve">certain trucks </w:t>
      </w:r>
      <w:r>
        <w:t>that meet</w:t>
      </w:r>
      <w:r w:rsidRPr="006D32BD">
        <w:t xml:space="preserve"> </w:t>
      </w:r>
      <w:r>
        <w:t>specified</w:t>
      </w:r>
      <w:r w:rsidRPr="006D32BD">
        <w:t xml:space="preserve"> design</w:t>
      </w:r>
      <w:r>
        <w:t xml:space="preserve"> standards (see paragraph 2.48(2)(b) of the NGER Measurement Determination</w:t>
      </w:r>
      <w:r w:rsidR="00B01081">
        <w:t>)</w:t>
      </w:r>
      <w:r w:rsidRPr="006D32BD">
        <w:t xml:space="preserve">. </w:t>
      </w:r>
    </w:p>
    <w:p w14:paraId="724C9FEC" w14:textId="2CD127CA" w:rsidR="001C3815" w:rsidRDefault="001C3815" w:rsidP="001C3815">
      <w:r w:rsidRPr="006D32BD">
        <w:t xml:space="preserve">No sampling and analysis of fuels are required for this </w:t>
      </w:r>
      <w:r w:rsidR="7939032A">
        <w:t>M</w:t>
      </w:r>
      <w:r w:rsidRPr="006D32BD">
        <w:t xml:space="preserve">ethod 2 for non-carbon dioxide emissions. This is because the emissions of methane and nitrous oxide depend on combustion conditions and the equipment used to combust the fuel. In contrast, the carbon dioxide emissions depend on the chemical qualities of the fuels themselves which can only be ascertained by analysis.  </w:t>
      </w:r>
    </w:p>
    <w:tbl>
      <w:tblPr>
        <w:tblStyle w:val="CERCallout"/>
        <w:tblW w:w="0" w:type="auto"/>
        <w:tblLook w:val="04A0" w:firstRow="1" w:lastRow="0" w:firstColumn="1" w:lastColumn="0" w:noHBand="0" w:noVBand="1"/>
      </w:tblPr>
      <w:tblGrid>
        <w:gridCol w:w="9710"/>
      </w:tblGrid>
      <w:tr w:rsidR="001C3815" w14:paraId="0606C62E" w14:textId="77777777" w:rsidTr="5CBB9E4E">
        <w:trPr>
          <w:cnfStyle w:val="100000000000" w:firstRow="1" w:lastRow="0" w:firstColumn="0" w:lastColumn="0" w:oddVBand="0" w:evenVBand="0" w:oddHBand="0" w:evenHBand="0" w:firstRowFirstColumn="0" w:firstRowLastColumn="0" w:lastRowFirstColumn="0" w:lastRowLastColumn="0"/>
        </w:trPr>
        <w:tc>
          <w:tcPr>
            <w:tcW w:w="9730" w:type="dxa"/>
          </w:tcPr>
          <w:p w14:paraId="00A0236A" w14:textId="31902364" w:rsidR="001C3815" w:rsidRPr="00065B1A" w:rsidRDefault="001C3815" w:rsidP="006F6AB8">
            <w:pPr>
              <w:pStyle w:val="Heading5"/>
              <w:rPr>
                <w:b/>
                <w:bCs/>
              </w:rPr>
            </w:pPr>
            <w:bookmarkStart w:id="138" w:name="_Toc108022519"/>
            <w:bookmarkStart w:id="139" w:name="_Toc204159008"/>
            <w:r w:rsidRPr="00065B1A">
              <w:rPr>
                <w:b/>
              </w:rPr>
              <w:lastRenderedPageBreak/>
              <w:t>Example</w:t>
            </w:r>
            <w:bookmarkEnd w:id="138"/>
            <w:r w:rsidR="00B505F3">
              <w:rPr>
                <w:b/>
              </w:rPr>
              <w:t xml:space="preserve"> 3</w:t>
            </w:r>
            <w:bookmarkEnd w:id="139"/>
          </w:p>
          <w:p w14:paraId="1A7B4498" w14:textId="3133DAD7" w:rsidR="001C3815" w:rsidRPr="00065B1A" w:rsidRDefault="001C3815">
            <w:pPr>
              <w:rPr>
                <w:b w:val="0"/>
              </w:rPr>
            </w:pPr>
            <w:r w:rsidRPr="00065B1A">
              <w:rPr>
                <w:b w:val="0"/>
              </w:rPr>
              <w:t>A company consumes 35,000</w:t>
            </w:r>
            <w:r w:rsidR="009B17DA">
              <w:rPr>
                <w:b w:val="0"/>
              </w:rPr>
              <w:t> </w:t>
            </w:r>
            <w:r w:rsidRPr="00065B1A">
              <w:rPr>
                <w:b w:val="0"/>
              </w:rPr>
              <w:t>kL (kilolitres) of diesel oil: 25,000</w:t>
            </w:r>
            <w:r w:rsidR="009B17DA">
              <w:rPr>
                <w:b w:val="0"/>
              </w:rPr>
              <w:t> </w:t>
            </w:r>
            <w:r w:rsidRPr="00065B1A">
              <w:rPr>
                <w:b w:val="0"/>
              </w:rPr>
              <w:t>kL for transport purposes (with a post-2004 vehicle fleet) and 10,000</w:t>
            </w:r>
            <w:r w:rsidR="009B17DA">
              <w:rPr>
                <w:b w:val="0"/>
              </w:rPr>
              <w:t> </w:t>
            </w:r>
            <w:r w:rsidRPr="00065B1A">
              <w:rPr>
                <w:b w:val="0"/>
              </w:rPr>
              <w:t xml:space="preserve">kL for stationary energy purposes. The reporter elects to use </w:t>
            </w:r>
            <w:r w:rsidR="686823B5">
              <w:rPr>
                <w:b w:val="0"/>
              </w:rPr>
              <w:t>M</w:t>
            </w:r>
            <w:r w:rsidRPr="00065B1A">
              <w:rPr>
                <w:b w:val="0"/>
              </w:rPr>
              <w:t xml:space="preserve">ethod 1 (Division 2.4.2 of the NGER Measurement Determination) for each of the </w:t>
            </w:r>
            <w:r w:rsidR="007755FF" w:rsidRPr="00065B1A">
              <w:rPr>
                <w:b w:val="0"/>
              </w:rPr>
              <w:t xml:space="preserve">3 </w:t>
            </w:r>
            <w:r w:rsidRPr="00065B1A">
              <w:rPr>
                <w:b w:val="0"/>
              </w:rPr>
              <w:t xml:space="preserve">greenhouse emission gases (j) (carbon dioxide, methane and nitrous oxide) for the diesel consumed for stationary energy purposes and </w:t>
            </w:r>
            <w:r w:rsidR="1EC496ED">
              <w:rPr>
                <w:b w:val="0"/>
              </w:rPr>
              <w:t>M</w:t>
            </w:r>
            <w:r w:rsidRPr="00065B1A">
              <w:rPr>
                <w:b w:val="0"/>
              </w:rPr>
              <w:t>ethod 2 (Division 2.4.5 of the NGER Measurement Determination) for methane and nitrous oxide emissions from diesel consumed for transport by post 2004 vehicles.</w:t>
            </w:r>
          </w:p>
          <w:p w14:paraId="06033FB5" w14:textId="77777777" w:rsidR="001C3815" w:rsidRPr="00065B1A" w:rsidRDefault="001C3815">
            <w:pPr>
              <w:rPr>
                <w:b w:val="0"/>
              </w:rPr>
            </w:pPr>
            <w:r w:rsidRPr="00065B1A">
              <w:rPr>
                <w:b w:val="0"/>
              </w:rPr>
              <w:t>Emissions for the diesel consumed for stationary energy purposes are estimated as follows:</w:t>
            </w:r>
          </w:p>
          <w:p w14:paraId="45AFC27B" w14:textId="044FB32E" w:rsidR="001C3815" w:rsidRPr="00065B1A" w:rsidRDefault="00C90786">
            <w:pPr>
              <w:rPr>
                <w:b w:val="0"/>
                <w:sz w:val="28"/>
                <w:szCs w:val="28"/>
              </w:rPr>
            </w:pPr>
            <m:oMathPara>
              <m:oMathParaPr>
                <m:jc m:val="left"/>
              </m:oMathParaPr>
              <m:oMath>
                <m:sSub>
                  <m:sSubPr>
                    <m:ctrlPr>
                      <w:rPr>
                        <w:rFonts w:ascii="Cambria Math" w:hAnsi="Cambria Math"/>
                        <w:b w:val="0"/>
                        <w:sz w:val="28"/>
                        <w:szCs w:val="28"/>
                      </w:rPr>
                    </m:ctrlPr>
                  </m:sSubPr>
                  <m:e>
                    <m:r>
                      <m:rPr>
                        <m:sty m:val="b"/>
                      </m:rPr>
                      <w:rPr>
                        <w:rFonts w:ascii="Cambria Math" w:hAnsi="Cambria Math"/>
                        <w:sz w:val="28"/>
                        <w:szCs w:val="28"/>
                      </w:rPr>
                      <m:t>E</m:t>
                    </m:r>
                  </m:e>
                  <m:sub>
                    <m:r>
                      <m:rPr>
                        <m:sty m:val="b"/>
                      </m:rPr>
                      <w:rPr>
                        <w:rFonts w:ascii="Cambria Math" w:hAnsi="Cambria Math"/>
                        <w:sz w:val="28"/>
                        <w:szCs w:val="28"/>
                      </w:rPr>
                      <m:t>ij</m:t>
                    </m:r>
                  </m:sub>
                </m:sSub>
                <m:r>
                  <m:rPr>
                    <m:sty m:val="b"/>
                  </m:rPr>
                  <w:rPr>
                    <w:rFonts w:ascii="Cambria Math" w:hAnsi="Cambria Math"/>
                    <w:sz w:val="28"/>
                    <w:szCs w:val="28"/>
                  </w:rPr>
                  <m:t xml:space="preserve">= </m:t>
                </m:r>
                <m:f>
                  <m:fPr>
                    <m:ctrlPr>
                      <w:rPr>
                        <w:rFonts w:ascii="Cambria Math" w:hAnsi="Cambria Math"/>
                        <w:b w:val="0"/>
                        <w:sz w:val="28"/>
                        <w:szCs w:val="28"/>
                      </w:rPr>
                    </m:ctrlPr>
                  </m:fPr>
                  <m:num>
                    <m:sSub>
                      <m:sSubPr>
                        <m:ctrlPr>
                          <w:rPr>
                            <w:rFonts w:ascii="Cambria Math" w:hAnsi="Cambria Math"/>
                            <w:b w:val="0"/>
                            <w:sz w:val="28"/>
                            <w:szCs w:val="28"/>
                          </w:rPr>
                        </m:ctrlPr>
                      </m:sSubPr>
                      <m:e>
                        <m:r>
                          <m:rPr>
                            <m:sty m:val="b"/>
                          </m:rPr>
                          <w:rPr>
                            <w:rFonts w:ascii="Cambria Math" w:hAnsi="Cambria Math"/>
                            <w:sz w:val="28"/>
                            <w:szCs w:val="28"/>
                          </w:rPr>
                          <m:t>Q</m:t>
                        </m:r>
                      </m:e>
                      <m:sub>
                        <m:r>
                          <m:rPr>
                            <m:sty m:val="b"/>
                          </m:rPr>
                          <w:rPr>
                            <w:rFonts w:ascii="Cambria Math" w:hAnsi="Cambria Math"/>
                            <w:sz w:val="28"/>
                            <w:szCs w:val="28"/>
                          </w:rPr>
                          <m:t>i</m:t>
                        </m:r>
                      </m:sub>
                    </m:sSub>
                    <m:r>
                      <m:rPr>
                        <m:sty m:val="b"/>
                      </m:rPr>
                      <w:rPr>
                        <w:rFonts w:ascii="Cambria Math" w:hAnsi="Cambria Math"/>
                        <w:sz w:val="28"/>
                        <w:szCs w:val="28"/>
                      </w:rPr>
                      <m:t>×</m:t>
                    </m:r>
                    <m:sSub>
                      <m:sSubPr>
                        <m:ctrlPr>
                          <w:rPr>
                            <w:rFonts w:ascii="Cambria Math" w:hAnsi="Cambria Math"/>
                            <w:b w:val="0"/>
                            <w:sz w:val="28"/>
                            <w:szCs w:val="28"/>
                          </w:rPr>
                        </m:ctrlPr>
                      </m:sSubPr>
                      <m:e>
                        <m:r>
                          <m:rPr>
                            <m:sty m:val="b"/>
                          </m:rPr>
                          <w:rPr>
                            <w:rFonts w:ascii="Cambria Math" w:hAnsi="Cambria Math"/>
                            <w:sz w:val="28"/>
                            <w:szCs w:val="28"/>
                          </w:rPr>
                          <m:t>EC</m:t>
                        </m:r>
                      </m:e>
                      <m:sub>
                        <m:r>
                          <m:rPr>
                            <m:sty m:val="b"/>
                          </m:rPr>
                          <w:rPr>
                            <w:rFonts w:ascii="Cambria Math" w:hAnsi="Cambria Math"/>
                            <w:sz w:val="28"/>
                            <w:szCs w:val="28"/>
                          </w:rPr>
                          <m:t>i</m:t>
                        </m:r>
                      </m:sub>
                    </m:sSub>
                    <m:r>
                      <m:rPr>
                        <m:sty m:val="b"/>
                      </m:rPr>
                      <w:rPr>
                        <w:rFonts w:ascii="Cambria Math" w:hAnsi="Cambria Math"/>
                        <w:sz w:val="28"/>
                        <w:szCs w:val="28"/>
                      </w:rPr>
                      <m:t>×</m:t>
                    </m:r>
                    <m:sSub>
                      <m:sSubPr>
                        <m:ctrlPr>
                          <w:rPr>
                            <w:rFonts w:ascii="Cambria Math" w:hAnsi="Cambria Math"/>
                            <w:b w:val="0"/>
                            <w:sz w:val="28"/>
                            <w:szCs w:val="28"/>
                          </w:rPr>
                        </m:ctrlPr>
                      </m:sSubPr>
                      <m:e>
                        <m:r>
                          <m:rPr>
                            <m:sty m:val="b"/>
                          </m:rPr>
                          <w:rPr>
                            <w:rFonts w:ascii="Cambria Math" w:hAnsi="Cambria Math"/>
                            <w:sz w:val="28"/>
                            <w:szCs w:val="28"/>
                          </w:rPr>
                          <m:t>EF</m:t>
                        </m:r>
                      </m:e>
                      <m:sub>
                        <m:r>
                          <m:rPr>
                            <m:sty m:val="b"/>
                          </m:rPr>
                          <w:rPr>
                            <w:rFonts w:ascii="Cambria Math" w:hAnsi="Cambria Math"/>
                            <w:sz w:val="28"/>
                            <w:szCs w:val="28"/>
                          </w:rPr>
                          <m:t>ijoxec</m:t>
                        </m:r>
                      </m:sub>
                    </m:sSub>
                  </m:num>
                  <m:den>
                    <m:r>
                      <m:rPr>
                        <m:sty m:val="b"/>
                      </m:rPr>
                      <w:rPr>
                        <w:rFonts w:ascii="Cambria Math" w:hAnsi="Cambria Math"/>
                        <w:sz w:val="28"/>
                        <w:szCs w:val="28"/>
                      </w:rPr>
                      <m:t>1,000</m:t>
                    </m:r>
                  </m:den>
                </m:f>
              </m:oMath>
            </m:oMathPara>
          </w:p>
          <w:p w14:paraId="02C4C1F7" w14:textId="77777777" w:rsidR="001C3815" w:rsidRPr="00065B1A" w:rsidRDefault="001C3815">
            <w:pPr>
              <w:rPr>
                <w:b w:val="0"/>
              </w:rPr>
            </w:pPr>
            <w:r w:rsidRPr="00065B1A">
              <w:rPr>
                <w:b w:val="0"/>
              </w:rPr>
              <w:t xml:space="preserve"> </w:t>
            </w:r>
          </w:p>
          <w:p w14:paraId="5151D149" w14:textId="77777777" w:rsidR="001C3815" w:rsidRPr="00065B1A" w:rsidRDefault="001C3815">
            <w:pPr>
              <w:rPr>
                <w:b w:val="0"/>
              </w:rPr>
            </w:pPr>
            <w:r w:rsidRPr="00065B1A">
              <w:rPr>
                <w:b w:val="0"/>
              </w:rPr>
              <w:t>where:</w:t>
            </w:r>
          </w:p>
          <w:p w14:paraId="4AD6ABF9" w14:textId="3909803F" w:rsidR="001C3815" w:rsidRPr="00065B1A" w:rsidRDefault="001C3815">
            <w:pPr>
              <w:rPr>
                <w:b w:val="0"/>
              </w:rPr>
            </w:pPr>
            <w:r w:rsidRPr="00065B1A">
              <w:rPr>
                <w:b w:val="0"/>
                <w:i/>
                <w:iCs/>
              </w:rPr>
              <w:t>E</w:t>
            </w:r>
            <w:r w:rsidRPr="00065B1A">
              <w:rPr>
                <w:b w:val="0"/>
                <w:i/>
                <w:iCs/>
                <w:vertAlign w:val="subscript"/>
              </w:rPr>
              <w:t>ij</w:t>
            </w:r>
            <w:r w:rsidRPr="00065B1A">
              <w:rPr>
                <w:b w:val="0"/>
                <w:i/>
                <w:iCs/>
              </w:rPr>
              <w:t xml:space="preserve"> </w:t>
            </w:r>
            <w:r w:rsidRPr="00065B1A">
              <w:rPr>
                <w:b w:val="0"/>
              </w:rPr>
              <w:t>is emissions of gas type (j) released from the combustion of fuel type (</w:t>
            </w:r>
            <w:proofErr w:type="spellStart"/>
            <w:r w:rsidRPr="00065B1A">
              <w:rPr>
                <w:b w:val="0"/>
              </w:rPr>
              <w:t>i</w:t>
            </w:r>
            <w:proofErr w:type="spellEnd"/>
            <w:r w:rsidRPr="00065B1A">
              <w:rPr>
                <w:b w:val="0"/>
              </w:rPr>
              <w:t xml:space="preserve">) from the operation of the facility during the year measured in </w:t>
            </w:r>
            <w:r w:rsidR="009F4036">
              <w:rPr>
                <w:b w:val="0"/>
              </w:rPr>
              <w:t>t </w:t>
            </w:r>
            <w:r w:rsidRPr="00065B1A">
              <w:rPr>
                <w:b w:val="0"/>
              </w:rPr>
              <w:t>CO</w:t>
            </w:r>
            <w:r w:rsidRPr="00065B1A">
              <w:rPr>
                <w:b w:val="0"/>
                <w:vertAlign w:val="subscript"/>
              </w:rPr>
              <w:t>2</w:t>
            </w:r>
            <w:r w:rsidR="009F4036">
              <w:rPr>
                <w:b w:val="0"/>
              </w:rPr>
              <w:t>-</w:t>
            </w:r>
            <w:r w:rsidRPr="00065B1A">
              <w:rPr>
                <w:b w:val="0"/>
              </w:rPr>
              <w:t>e.</w:t>
            </w:r>
          </w:p>
          <w:p w14:paraId="289040C2" w14:textId="09450083" w:rsidR="001C3815" w:rsidRPr="00065B1A" w:rsidRDefault="001C3815">
            <w:pPr>
              <w:rPr>
                <w:b w:val="0"/>
              </w:rPr>
            </w:pPr>
            <w:r w:rsidRPr="00065B1A">
              <w:rPr>
                <w:b w:val="0"/>
              </w:rPr>
              <w:t>Q</w:t>
            </w:r>
            <w:r w:rsidRPr="00065B1A">
              <w:rPr>
                <w:b w:val="0"/>
                <w:vertAlign w:val="subscript"/>
              </w:rPr>
              <w:t>i</w:t>
            </w:r>
            <w:r w:rsidRPr="00065B1A">
              <w:rPr>
                <w:b w:val="0"/>
              </w:rPr>
              <w:t xml:space="preserve"> is the quantity of the fuel type (</w:t>
            </w:r>
            <w:proofErr w:type="spellStart"/>
            <w:r w:rsidRPr="00065B1A">
              <w:rPr>
                <w:b w:val="0"/>
              </w:rPr>
              <w:t>i</w:t>
            </w:r>
            <w:proofErr w:type="spellEnd"/>
            <w:r w:rsidRPr="00065B1A">
              <w:rPr>
                <w:b w:val="0"/>
              </w:rPr>
              <w:t>) combusted from the operation of the facility during the year measured in tonnes and estimated under Division 2.4.6. In this case 25,000</w:t>
            </w:r>
            <w:r w:rsidR="009F4036">
              <w:rPr>
                <w:b w:val="0"/>
              </w:rPr>
              <w:t> </w:t>
            </w:r>
            <w:r w:rsidRPr="00065B1A">
              <w:rPr>
                <w:b w:val="0"/>
              </w:rPr>
              <w:t>kL of diesel is used for transport purposes and 10,000</w:t>
            </w:r>
            <w:r w:rsidR="009F4036">
              <w:rPr>
                <w:b w:val="0"/>
              </w:rPr>
              <w:t> </w:t>
            </w:r>
            <w:r w:rsidRPr="00065B1A">
              <w:rPr>
                <w:b w:val="0"/>
              </w:rPr>
              <w:t>kL of diesel is for stationary energy purposes.</w:t>
            </w:r>
          </w:p>
          <w:p w14:paraId="41110906" w14:textId="77777777" w:rsidR="001C3815" w:rsidRPr="00065B1A" w:rsidRDefault="001C3815">
            <w:pPr>
              <w:rPr>
                <w:b w:val="0"/>
              </w:rPr>
            </w:pPr>
            <w:r w:rsidRPr="00065B1A">
              <w:rPr>
                <w:b w:val="0"/>
                <w:i/>
                <w:iCs/>
              </w:rPr>
              <w:t>EC</w:t>
            </w:r>
            <w:r w:rsidRPr="00065B1A">
              <w:rPr>
                <w:b w:val="0"/>
                <w:i/>
                <w:iCs/>
                <w:vertAlign w:val="subscript"/>
              </w:rPr>
              <w:t>i</w:t>
            </w:r>
            <w:r w:rsidRPr="00065B1A">
              <w:rPr>
                <w:b w:val="0"/>
              </w:rPr>
              <w:t xml:space="preserve"> is the energy content factor of fuel type (</w:t>
            </w:r>
            <w:proofErr w:type="spellStart"/>
            <w:r w:rsidRPr="00065B1A">
              <w:rPr>
                <w:b w:val="0"/>
              </w:rPr>
              <w:t>i</w:t>
            </w:r>
            <w:proofErr w:type="spellEnd"/>
            <w:r w:rsidRPr="00065B1A">
              <w:rPr>
                <w:b w:val="0"/>
              </w:rPr>
              <w:t>) estimated under section 6.5</w:t>
            </w:r>
          </w:p>
          <w:p w14:paraId="45940E03" w14:textId="4F616ED2" w:rsidR="001C3815" w:rsidRPr="00065B1A" w:rsidRDefault="001C3815" w:rsidP="001C3815">
            <w:pPr>
              <w:pStyle w:val="CERbullets"/>
              <w:numPr>
                <w:ilvl w:val="0"/>
                <w:numId w:val="56"/>
              </w:numPr>
              <w:spacing w:beforeAutospacing="0"/>
              <w:rPr>
                <w:b w:val="0"/>
              </w:rPr>
            </w:pPr>
            <w:r w:rsidRPr="00065B1A">
              <w:rPr>
                <w:b w:val="0"/>
              </w:rPr>
              <w:t xml:space="preserve">for stationary energy purposes — column 3 of part 3 of schedule 1 of the NGER Measurement Determination. In this case being 38.6 </w:t>
            </w:r>
            <w:r w:rsidR="00762DC0">
              <w:rPr>
                <w:b w:val="0"/>
              </w:rPr>
              <w:t>gigajoules per kilolitre</w:t>
            </w:r>
            <w:r w:rsidR="009F4036">
              <w:rPr>
                <w:b w:val="0"/>
              </w:rPr>
              <w:t> </w:t>
            </w:r>
            <w:r w:rsidR="00762DC0">
              <w:rPr>
                <w:b w:val="0"/>
              </w:rPr>
              <w:t>(</w:t>
            </w:r>
            <w:r w:rsidRPr="00065B1A">
              <w:rPr>
                <w:b w:val="0"/>
              </w:rPr>
              <w:t>GJ/kL</w:t>
            </w:r>
            <w:r w:rsidR="00762DC0">
              <w:rPr>
                <w:b w:val="0"/>
              </w:rPr>
              <w:t>)</w:t>
            </w:r>
            <w:r w:rsidRPr="00065B1A">
              <w:rPr>
                <w:b w:val="0"/>
              </w:rPr>
              <w:t>.</w:t>
            </w:r>
          </w:p>
          <w:p w14:paraId="5BEA52F8" w14:textId="622ED058" w:rsidR="001C3815" w:rsidRPr="00065B1A" w:rsidRDefault="001C3815" w:rsidP="001C3815">
            <w:pPr>
              <w:pStyle w:val="CERbullets"/>
              <w:numPr>
                <w:ilvl w:val="0"/>
                <w:numId w:val="56"/>
              </w:numPr>
              <w:spacing w:beforeAutospacing="0"/>
              <w:rPr>
                <w:b w:val="0"/>
              </w:rPr>
            </w:pPr>
            <w:r w:rsidRPr="00065B1A">
              <w:rPr>
                <w:b w:val="0"/>
              </w:rPr>
              <w:t>for post 2004 vehicles — column 3 of Division 4.2 of part 4 of schedule 1 of the NGER Measurement Determination. In this case being 38.6</w:t>
            </w:r>
            <w:r w:rsidR="00762DC0">
              <w:rPr>
                <w:b w:val="0"/>
              </w:rPr>
              <w:t> </w:t>
            </w:r>
            <w:r w:rsidRPr="00065B1A">
              <w:rPr>
                <w:b w:val="0"/>
              </w:rPr>
              <w:t>GJ/kL.</w:t>
            </w:r>
          </w:p>
          <w:p w14:paraId="477DD1AE" w14:textId="4E451E38" w:rsidR="001C3815" w:rsidRPr="00065B1A" w:rsidRDefault="001C3815">
            <w:pPr>
              <w:rPr>
                <w:b w:val="0"/>
              </w:rPr>
            </w:pPr>
            <w:r w:rsidRPr="00065B1A">
              <w:rPr>
                <w:b w:val="0"/>
              </w:rPr>
              <w:t>EF</w:t>
            </w:r>
            <w:r w:rsidRPr="00065B1A">
              <w:rPr>
                <w:b w:val="0"/>
                <w:vertAlign w:val="subscript"/>
              </w:rPr>
              <w:t>ijoxec</w:t>
            </w:r>
            <w:r w:rsidRPr="00065B1A">
              <w:rPr>
                <w:b w:val="0"/>
              </w:rPr>
              <w:t xml:space="preserve"> is the emission factor for each gas type (j) released from the operation of the facility during the year (which includes the effect of a default oxidation factor) measured in </w:t>
            </w:r>
            <w:r w:rsidR="003228C5">
              <w:rPr>
                <w:b w:val="0"/>
              </w:rPr>
              <w:t>kg </w:t>
            </w:r>
            <w:r w:rsidRPr="00065B1A">
              <w:rPr>
                <w:b w:val="0"/>
              </w:rPr>
              <w:t>CO</w:t>
            </w:r>
            <w:r w:rsidRPr="00065B1A">
              <w:rPr>
                <w:b w:val="0"/>
                <w:vertAlign w:val="subscript"/>
              </w:rPr>
              <w:t>2</w:t>
            </w:r>
            <w:r w:rsidR="005F27BD">
              <w:rPr>
                <w:b w:val="0"/>
              </w:rPr>
              <w:t>-</w:t>
            </w:r>
            <w:r w:rsidRPr="00065B1A">
              <w:rPr>
                <w:b w:val="0"/>
              </w:rPr>
              <w:t>e</w:t>
            </w:r>
            <w:r w:rsidR="003228C5">
              <w:rPr>
                <w:b w:val="0"/>
              </w:rPr>
              <w:t>/</w:t>
            </w:r>
            <w:r w:rsidRPr="00065B1A">
              <w:rPr>
                <w:b w:val="0"/>
              </w:rPr>
              <w:t>GJ of the fuel type (</w:t>
            </w:r>
            <w:proofErr w:type="spellStart"/>
            <w:r w:rsidRPr="00065B1A">
              <w:rPr>
                <w:b w:val="0"/>
              </w:rPr>
              <w:t>i</w:t>
            </w:r>
            <w:proofErr w:type="spellEnd"/>
            <w:r w:rsidRPr="00065B1A">
              <w:rPr>
                <w:b w:val="0"/>
              </w:rPr>
              <w:t>) according to source as mentioned in:</w:t>
            </w:r>
          </w:p>
          <w:p w14:paraId="40E1D508" w14:textId="5FDB0ED8" w:rsidR="001C3815" w:rsidRPr="00065B1A" w:rsidRDefault="001C3815">
            <w:pPr>
              <w:rPr>
                <w:b w:val="0"/>
              </w:rPr>
            </w:pPr>
            <w:r w:rsidRPr="00065B1A">
              <w:rPr>
                <w:b w:val="0"/>
              </w:rPr>
              <w:t>(a) for stationary energy purposes — columns 4</w:t>
            </w:r>
            <w:r w:rsidR="009B485C">
              <w:rPr>
                <w:b w:val="0"/>
              </w:rPr>
              <w:t>–</w:t>
            </w:r>
            <w:r w:rsidRPr="00065B1A">
              <w:rPr>
                <w:b w:val="0"/>
              </w:rPr>
              <w:t>6 of part 3 of schedule 1 of the NGER Measurement Determination; and</w:t>
            </w:r>
          </w:p>
          <w:p w14:paraId="32B65F0F" w14:textId="3F9EC6F6" w:rsidR="001C3815" w:rsidRPr="00065B1A" w:rsidRDefault="001C3815">
            <w:pPr>
              <w:rPr>
                <w:b w:val="0"/>
              </w:rPr>
            </w:pPr>
            <w:r w:rsidRPr="00065B1A">
              <w:rPr>
                <w:b w:val="0"/>
              </w:rPr>
              <w:t>(b) for post 2004 vehicles — column 4</w:t>
            </w:r>
            <w:r w:rsidR="009B485C">
              <w:rPr>
                <w:b w:val="0"/>
              </w:rPr>
              <w:t>–</w:t>
            </w:r>
            <w:r w:rsidRPr="00065B1A">
              <w:rPr>
                <w:b w:val="0"/>
              </w:rPr>
              <w:t>6 of Division 4.2 of part 4 of schedule 1 of the NGER Measurement Determination.</w:t>
            </w:r>
          </w:p>
          <w:p w14:paraId="1969A369" w14:textId="72444136" w:rsidR="001C3815" w:rsidRPr="00065B1A" w:rsidRDefault="001C3815">
            <w:pPr>
              <w:rPr>
                <w:b w:val="0"/>
              </w:rPr>
            </w:pPr>
            <w:r w:rsidRPr="00065B1A">
              <w:rPr>
                <w:b w:val="0"/>
              </w:rPr>
              <w:t xml:space="preserve">Therefore, emissions of greenhouse gases (carbon dioxide, methane and nitrous oxide) </w:t>
            </w:r>
            <w:r w:rsidR="00072EDB" w:rsidRPr="00065B1A">
              <w:rPr>
                <w:b w:val="0"/>
              </w:rPr>
              <w:t>in</w:t>
            </w:r>
            <w:r w:rsidRPr="00065B1A">
              <w:rPr>
                <w:b w:val="0"/>
              </w:rPr>
              <w:t xml:space="preserve"> t</w:t>
            </w:r>
            <w:r w:rsidR="00072EDB">
              <w:rPr>
                <w:b w:val="0"/>
              </w:rPr>
              <w:t> </w:t>
            </w:r>
            <w:r w:rsidRPr="00065B1A">
              <w:rPr>
                <w:b w:val="0"/>
              </w:rPr>
              <w:t>CO</w:t>
            </w:r>
            <w:r w:rsidRPr="00065B1A">
              <w:rPr>
                <w:b w:val="0"/>
                <w:vertAlign w:val="subscript"/>
              </w:rPr>
              <w:t>2</w:t>
            </w:r>
            <w:r w:rsidR="00762DC0">
              <w:rPr>
                <w:b w:val="0"/>
              </w:rPr>
              <w:t>-</w:t>
            </w:r>
            <w:r w:rsidRPr="00065B1A">
              <w:rPr>
                <w:b w:val="0"/>
              </w:rPr>
              <w:t xml:space="preserve">e are estimated as follows: </w:t>
            </w:r>
          </w:p>
          <w:p w14:paraId="04AEA846" w14:textId="3F86B353" w:rsidR="001C3815" w:rsidRPr="00065B1A" w:rsidRDefault="001C3815">
            <w:pPr>
              <w:rPr>
                <w:b w:val="0"/>
              </w:rPr>
            </w:pPr>
            <w:r w:rsidRPr="00065B1A">
              <w:rPr>
                <w:b w:val="0"/>
              </w:rPr>
              <w:t>Combustion of diesel oil for stationary energy purposes (</w:t>
            </w:r>
            <w:r w:rsidR="7FD31633">
              <w:rPr>
                <w:b w:val="0"/>
              </w:rPr>
              <w:t>M</w:t>
            </w:r>
            <w:r w:rsidRPr="00065B1A">
              <w:rPr>
                <w:b w:val="0"/>
              </w:rPr>
              <w:t xml:space="preserve">ethod 1): </w:t>
            </w:r>
          </w:p>
          <w:p w14:paraId="3B7A3097" w14:textId="34D4ACB3" w:rsidR="001C3815" w:rsidRPr="00065B1A" w:rsidRDefault="001C3815">
            <w:pPr>
              <w:rPr>
                <w:b w:val="0"/>
              </w:rPr>
            </w:pPr>
            <w:r w:rsidRPr="00065B1A">
              <w:rPr>
                <w:b w:val="0"/>
              </w:rPr>
              <w:lastRenderedPageBreak/>
              <w:t>Emissions of carbon dioxide = (10,000 x 38.6 x 69.9)/1,000 = 26,981</w:t>
            </w:r>
            <w:r w:rsidR="00072EDB">
              <w:rPr>
                <w:b w:val="0"/>
              </w:rPr>
              <w:t> </w:t>
            </w:r>
            <w:r w:rsidRPr="00065B1A">
              <w:rPr>
                <w:b w:val="0"/>
              </w:rPr>
              <w:t>t</w:t>
            </w:r>
            <w:r w:rsidR="00072EDB">
              <w:rPr>
                <w:b w:val="0"/>
              </w:rPr>
              <w:t> </w:t>
            </w:r>
            <w:r w:rsidRPr="00065B1A">
              <w:rPr>
                <w:b w:val="0"/>
              </w:rPr>
              <w:t>CO</w:t>
            </w:r>
            <w:r w:rsidRPr="00065B1A">
              <w:rPr>
                <w:b w:val="0"/>
                <w:vertAlign w:val="subscript"/>
              </w:rPr>
              <w:t>2</w:t>
            </w:r>
            <w:r w:rsidRPr="00065B1A">
              <w:rPr>
                <w:b w:val="0"/>
              </w:rPr>
              <w:t>-e</w:t>
            </w:r>
          </w:p>
          <w:p w14:paraId="59A6DC4F" w14:textId="2DFCBF7C" w:rsidR="001C3815" w:rsidRPr="00065B1A" w:rsidRDefault="001C3815">
            <w:pPr>
              <w:rPr>
                <w:b w:val="0"/>
              </w:rPr>
            </w:pPr>
            <w:r w:rsidRPr="00065B1A">
              <w:rPr>
                <w:b w:val="0"/>
              </w:rPr>
              <w:t>Emissions of methane = (10,000 x 38.6 x 0.1)/1,000 = 39</w:t>
            </w:r>
            <w:r w:rsidR="00072EDB">
              <w:rPr>
                <w:b w:val="0"/>
              </w:rPr>
              <w:t> </w:t>
            </w:r>
            <w:r w:rsidRPr="00065B1A">
              <w:rPr>
                <w:b w:val="0"/>
              </w:rPr>
              <w:t>t</w:t>
            </w:r>
            <w:r w:rsidR="00072EDB">
              <w:rPr>
                <w:b w:val="0"/>
              </w:rPr>
              <w:t> </w:t>
            </w:r>
            <w:r w:rsidRPr="00065B1A">
              <w:rPr>
                <w:b w:val="0"/>
              </w:rPr>
              <w:t>CO</w:t>
            </w:r>
            <w:r w:rsidRPr="00065B1A">
              <w:rPr>
                <w:b w:val="0"/>
                <w:vertAlign w:val="subscript"/>
              </w:rPr>
              <w:t>2</w:t>
            </w:r>
            <w:r w:rsidRPr="00065B1A">
              <w:rPr>
                <w:b w:val="0"/>
              </w:rPr>
              <w:t>-e</w:t>
            </w:r>
          </w:p>
          <w:p w14:paraId="715E992A" w14:textId="5520A61C" w:rsidR="001C3815" w:rsidRPr="00065B1A" w:rsidRDefault="001C3815">
            <w:pPr>
              <w:rPr>
                <w:b w:val="0"/>
              </w:rPr>
            </w:pPr>
            <w:r w:rsidRPr="00065B1A">
              <w:rPr>
                <w:b w:val="0"/>
              </w:rPr>
              <w:t>Emissions of nitrous oxide = (10,000 x 38.6 x 0.2)/1,000 = 77</w:t>
            </w:r>
            <w:r w:rsidR="00072EDB">
              <w:rPr>
                <w:b w:val="0"/>
              </w:rPr>
              <w:t> </w:t>
            </w:r>
            <w:r w:rsidRPr="00065B1A">
              <w:rPr>
                <w:b w:val="0"/>
              </w:rPr>
              <w:t>t</w:t>
            </w:r>
            <w:r w:rsidR="00072EDB">
              <w:rPr>
                <w:b w:val="0"/>
              </w:rPr>
              <w:t> </w:t>
            </w:r>
            <w:r w:rsidRPr="00065B1A">
              <w:rPr>
                <w:b w:val="0"/>
              </w:rPr>
              <w:t>CO</w:t>
            </w:r>
            <w:r w:rsidRPr="00065B1A">
              <w:rPr>
                <w:b w:val="0"/>
                <w:vertAlign w:val="subscript"/>
              </w:rPr>
              <w:t>2</w:t>
            </w:r>
            <w:r w:rsidRPr="00065B1A">
              <w:rPr>
                <w:b w:val="0"/>
              </w:rPr>
              <w:t>-e</w:t>
            </w:r>
          </w:p>
          <w:p w14:paraId="5526D1A0" w14:textId="77777777" w:rsidR="001C3815" w:rsidRPr="00065B1A" w:rsidRDefault="001C3815">
            <w:pPr>
              <w:rPr>
                <w:b w:val="0"/>
              </w:rPr>
            </w:pPr>
            <w:r w:rsidRPr="00065B1A">
              <w:rPr>
                <w:b w:val="0"/>
              </w:rPr>
              <w:t xml:space="preserve">Combustion of diesel oil for transport purposes for post-2004 vehicles: </w:t>
            </w:r>
          </w:p>
          <w:p w14:paraId="4D44BA38" w14:textId="45DA785F" w:rsidR="001C3815" w:rsidRPr="00065B1A" w:rsidRDefault="001C3815">
            <w:pPr>
              <w:rPr>
                <w:b w:val="0"/>
              </w:rPr>
            </w:pPr>
            <w:r w:rsidRPr="00065B1A">
              <w:rPr>
                <w:b w:val="0"/>
              </w:rPr>
              <w:t>Emissions of carbon dioxide = (25,000 x 38.6 x 69.9)/1,000 = 67,454</w:t>
            </w:r>
            <w:r w:rsidR="00072EDB">
              <w:rPr>
                <w:b w:val="0"/>
              </w:rPr>
              <w:t> </w:t>
            </w:r>
            <w:r w:rsidRPr="00065B1A">
              <w:rPr>
                <w:b w:val="0"/>
              </w:rPr>
              <w:t>t</w:t>
            </w:r>
            <w:r w:rsidR="00072EDB">
              <w:rPr>
                <w:b w:val="0"/>
              </w:rPr>
              <w:t> </w:t>
            </w:r>
            <w:r w:rsidRPr="00065B1A">
              <w:rPr>
                <w:b w:val="0"/>
              </w:rPr>
              <w:t>CO</w:t>
            </w:r>
            <w:r w:rsidRPr="00065B1A">
              <w:rPr>
                <w:b w:val="0"/>
                <w:vertAlign w:val="subscript"/>
              </w:rPr>
              <w:t>2</w:t>
            </w:r>
            <w:r w:rsidRPr="00065B1A">
              <w:rPr>
                <w:b w:val="0"/>
              </w:rPr>
              <w:t xml:space="preserve">-e </w:t>
            </w:r>
          </w:p>
          <w:p w14:paraId="60A8E10A" w14:textId="11BBB3DD" w:rsidR="001C3815" w:rsidRPr="00065B1A" w:rsidRDefault="001C3815">
            <w:pPr>
              <w:rPr>
                <w:b w:val="0"/>
              </w:rPr>
            </w:pPr>
            <w:r w:rsidRPr="00065B1A">
              <w:rPr>
                <w:b w:val="0"/>
              </w:rPr>
              <w:t>Emissions of methane (</w:t>
            </w:r>
            <w:r w:rsidR="124E3197">
              <w:rPr>
                <w:b w:val="0"/>
              </w:rPr>
              <w:t>M</w:t>
            </w:r>
            <w:r w:rsidRPr="00065B1A">
              <w:rPr>
                <w:b w:val="0"/>
              </w:rPr>
              <w:t>ethod 2) = (25,000 x 38.6 x 0.01)/1,000 = 10</w:t>
            </w:r>
            <w:r w:rsidR="00072EDB">
              <w:rPr>
                <w:b w:val="0"/>
              </w:rPr>
              <w:t> </w:t>
            </w:r>
            <w:r w:rsidRPr="00065B1A">
              <w:rPr>
                <w:b w:val="0"/>
              </w:rPr>
              <w:t>t</w:t>
            </w:r>
            <w:r w:rsidR="00072EDB">
              <w:rPr>
                <w:b w:val="0"/>
              </w:rPr>
              <w:t> </w:t>
            </w:r>
            <w:r w:rsidRPr="00065B1A">
              <w:rPr>
                <w:b w:val="0"/>
              </w:rPr>
              <w:t>CO</w:t>
            </w:r>
            <w:r w:rsidRPr="00065B1A">
              <w:rPr>
                <w:b w:val="0"/>
                <w:vertAlign w:val="subscript"/>
              </w:rPr>
              <w:t>2</w:t>
            </w:r>
            <w:r w:rsidRPr="00065B1A">
              <w:rPr>
                <w:b w:val="0"/>
              </w:rPr>
              <w:t>-e</w:t>
            </w:r>
          </w:p>
          <w:p w14:paraId="49CE2FA6" w14:textId="04873996" w:rsidR="001C3815" w:rsidRPr="00F149D6" w:rsidRDefault="001C3815">
            <w:r w:rsidRPr="00065B1A">
              <w:rPr>
                <w:b w:val="0"/>
              </w:rPr>
              <w:t>Emissions of nitrous oxide (</w:t>
            </w:r>
            <w:r w:rsidR="2A24D5FF">
              <w:rPr>
                <w:b w:val="0"/>
              </w:rPr>
              <w:t>M</w:t>
            </w:r>
            <w:r w:rsidRPr="00065B1A">
              <w:rPr>
                <w:b w:val="0"/>
              </w:rPr>
              <w:t>ethod 2) = (25,000 x 38.6 x 0.5)/1,000 = 483</w:t>
            </w:r>
            <w:r w:rsidR="00072EDB">
              <w:rPr>
                <w:b w:val="0"/>
              </w:rPr>
              <w:t> </w:t>
            </w:r>
            <w:r w:rsidRPr="00065B1A">
              <w:rPr>
                <w:b w:val="0"/>
              </w:rPr>
              <w:t>t</w:t>
            </w:r>
            <w:r w:rsidR="00072EDB">
              <w:rPr>
                <w:b w:val="0"/>
              </w:rPr>
              <w:t> </w:t>
            </w:r>
            <w:r w:rsidRPr="00065B1A">
              <w:rPr>
                <w:b w:val="0"/>
              </w:rPr>
              <w:t>CO</w:t>
            </w:r>
            <w:r w:rsidRPr="00065B1A">
              <w:rPr>
                <w:b w:val="0"/>
                <w:vertAlign w:val="subscript"/>
              </w:rPr>
              <w:t>2</w:t>
            </w:r>
            <w:r w:rsidRPr="00065B1A">
              <w:rPr>
                <w:b w:val="0"/>
              </w:rPr>
              <w:t>-e</w:t>
            </w:r>
          </w:p>
        </w:tc>
      </w:tr>
    </w:tbl>
    <w:p w14:paraId="4CED8224" w14:textId="7E06D8DC" w:rsidR="001C3815" w:rsidRDefault="001C3815" w:rsidP="003C2B22">
      <w:pPr>
        <w:pStyle w:val="Heading3"/>
        <w:numPr>
          <w:ilvl w:val="2"/>
          <w:numId w:val="64"/>
        </w:numPr>
      </w:pPr>
      <w:bookmarkStart w:id="140" w:name="_Toc423516812"/>
      <w:bookmarkStart w:id="141" w:name="_Toc495652732"/>
      <w:bookmarkStart w:id="142" w:name="_Toc43983128"/>
      <w:bookmarkStart w:id="143" w:name="_Toc76565711"/>
      <w:bookmarkStart w:id="144" w:name="_Toc204159009"/>
      <w:r w:rsidRPr="006D32BD">
        <w:lastRenderedPageBreak/>
        <w:t xml:space="preserve">Methods for estimating emissions from </w:t>
      </w:r>
      <w:r>
        <w:t>petroleum-based</w:t>
      </w:r>
      <w:r w:rsidRPr="006D32BD">
        <w:t xml:space="preserve"> oils </w:t>
      </w:r>
      <w:bookmarkEnd w:id="140"/>
      <w:bookmarkEnd w:id="141"/>
      <w:bookmarkEnd w:id="142"/>
      <w:bookmarkEnd w:id="143"/>
      <w:r w:rsidR="00C508F4">
        <w:t>when used as fuel</w:t>
      </w:r>
      <w:bookmarkEnd w:id="144"/>
    </w:p>
    <w:p w14:paraId="5D7A70E5" w14:textId="2082CFAD" w:rsidR="00517B3B" w:rsidRDefault="00AF65B2" w:rsidP="00C7293A">
      <w:r>
        <w:t>P</w:t>
      </w:r>
      <w:r w:rsidR="001E0ABF">
        <w:t>etroleum-based oils (</w:t>
      </w:r>
      <w:r w:rsidR="005843BD">
        <w:t>PBOs</w:t>
      </w:r>
      <w:r w:rsidR="001E0ABF">
        <w:t>)</w:t>
      </w:r>
      <w:r w:rsidR="005843BD">
        <w:t xml:space="preserve"> are </w:t>
      </w:r>
      <w:r w:rsidR="00517B3B">
        <w:t xml:space="preserve">considered to have been ‘used as a fuel’ when they are combusted: </w:t>
      </w:r>
    </w:p>
    <w:p w14:paraId="3596E05C" w14:textId="57CA5FFC" w:rsidR="00517B3B" w:rsidRDefault="00C610CA" w:rsidP="005E2132">
      <w:pPr>
        <w:pStyle w:val="CERbullets"/>
      </w:pPr>
      <w:r>
        <w:t>to produce heat or electricity</w:t>
      </w:r>
      <w:r w:rsidR="00517B3B">
        <w:t>, or</w:t>
      </w:r>
      <w:r w:rsidR="00C84A76" w:rsidRPr="00C84A76">
        <w:t xml:space="preserve"> </w:t>
      </w:r>
    </w:p>
    <w:p w14:paraId="4792C2F1" w14:textId="223C9DA4" w:rsidR="00517B3B" w:rsidRDefault="00C84A76" w:rsidP="005E2132">
      <w:pPr>
        <w:pStyle w:val="CERbullets"/>
      </w:pPr>
      <w:r>
        <w:t>for stationary energy purposes</w:t>
      </w:r>
      <w:r w:rsidR="7CE22645">
        <w:t>.</w:t>
      </w:r>
      <w:r w:rsidR="005843BD">
        <w:t xml:space="preserve"> </w:t>
      </w:r>
    </w:p>
    <w:p w14:paraId="0A2EF7DB" w14:textId="61D2FC3E" w:rsidR="00C7293A" w:rsidRDefault="00C7293A" w:rsidP="00C7293A">
      <w:r>
        <w:t xml:space="preserve">Emissions from the combustion of PBOs used as a fuel should be reported when the amount exceeds 1 kL (as described in section 2.39(b) of the NGER Measurement Determination). </w:t>
      </w:r>
      <w:r>
        <w:br/>
      </w:r>
      <w:r>
        <w:br/>
        <w:t>When a PBO is used as a fuel, the methods described in subdivision 2.4.1.1 of the NGER Measurement Determination</w:t>
      </w:r>
      <w:r w:rsidR="009216C9">
        <w:t xml:space="preserve"> apply</w:t>
      </w:r>
      <w:r>
        <w:t xml:space="preserve">. The most suitable fuel type is likely to be </w:t>
      </w:r>
      <w:r w:rsidRPr="00B07177">
        <w:t>item ‘</w:t>
      </w:r>
      <w:r w:rsidR="00F21BA0" w:rsidRPr="00906484">
        <w:rPr>
          <w:i/>
          <w:iCs/>
        </w:rPr>
        <w:t>49</w:t>
      </w:r>
      <w:r w:rsidRPr="00906484">
        <w:rPr>
          <w:i/>
          <w:iCs/>
        </w:rPr>
        <w:t xml:space="preserve"> - Petroleum based products other than: (a) </w:t>
      </w:r>
      <w:proofErr w:type="gramStart"/>
      <w:r w:rsidRPr="00906484">
        <w:rPr>
          <w:i/>
          <w:iCs/>
        </w:rPr>
        <w:t>petroleum based</w:t>
      </w:r>
      <w:proofErr w:type="gramEnd"/>
      <w:r w:rsidRPr="00906484">
        <w:rPr>
          <w:i/>
          <w:iCs/>
        </w:rPr>
        <w:t xml:space="preserve"> oils and </w:t>
      </w:r>
      <w:proofErr w:type="gramStart"/>
      <w:r w:rsidRPr="00906484">
        <w:rPr>
          <w:i/>
          <w:iCs/>
        </w:rPr>
        <w:t>petroleum based</w:t>
      </w:r>
      <w:proofErr w:type="gramEnd"/>
      <w:r w:rsidRPr="00906484">
        <w:rPr>
          <w:i/>
          <w:iCs/>
        </w:rPr>
        <w:t xml:space="preserve"> greases mentioned in items 31 and 32</w:t>
      </w:r>
      <w:r w:rsidRPr="00B07177">
        <w:t xml:space="preserve">’ or another appropriate item listed in Schedule 1 of the NGER </w:t>
      </w:r>
      <w:r w:rsidR="00F21BA0">
        <w:t>Measurement Determination</w:t>
      </w:r>
      <w:r w:rsidRPr="00B07177">
        <w:t>.</w:t>
      </w:r>
    </w:p>
    <w:p w14:paraId="46E749A0" w14:textId="77777777" w:rsidR="00C7293A" w:rsidRDefault="00C7293A" w:rsidP="00C7293A">
      <w:r>
        <w:t xml:space="preserve">There is no method to report emissions from petroleum-based </w:t>
      </w:r>
      <w:r w:rsidRPr="007F78A7">
        <w:t>grease</w:t>
      </w:r>
      <w:r>
        <w:t xml:space="preserve">s (PBGs) used as a fuel under the NGER Scheme. </w:t>
      </w:r>
    </w:p>
    <w:tbl>
      <w:tblPr>
        <w:tblStyle w:val="CERCallout"/>
        <w:tblW w:w="0" w:type="auto"/>
        <w:tblLook w:val="04A0" w:firstRow="1" w:lastRow="0" w:firstColumn="1" w:lastColumn="0" w:noHBand="0" w:noVBand="1"/>
      </w:tblPr>
      <w:tblGrid>
        <w:gridCol w:w="9710"/>
      </w:tblGrid>
      <w:tr w:rsidR="0093409C" w14:paraId="624F8590" w14:textId="77777777">
        <w:trPr>
          <w:cnfStyle w:val="100000000000" w:firstRow="1" w:lastRow="0" w:firstColumn="0" w:lastColumn="0" w:oddVBand="0" w:evenVBand="0" w:oddHBand="0" w:evenHBand="0" w:firstRowFirstColumn="0" w:firstRowLastColumn="0" w:lastRowFirstColumn="0" w:lastRowLastColumn="0"/>
        </w:trPr>
        <w:tc>
          <w:tcPr>
            <w:tcW w:w="9730" w:type="dxa"/>
          </w:tcPr>
          <w:p w14:paraId="32005A64" w14:textId="77777777" w:rsidR="00C7293A" w:rsidRPr="00D76143" w:rsidRDefault="00C7293A">
            <w:pPr>
              <w:rPr>
                <w:bCs/>
              </w:rPr>
            </w:pPr>
            <w:r w:rsidRPr="00D76143">
              <w:rPr>
                <w:bCs/>
              </w:rPr>
              <w:t xml:space="preserve">PBOs and PBGs </w:t>
            </w:r>
            <w:r>
              <w:rPr>
                <w:bCs/>
              </w:rPr>
              <w:t>consumed for other purposes</w:t>
            </w:r>
          </w:p>
          <w:p w14:paraId="52986AF2" w14:textId="50536C65" w:rsidR="00C7293A" w:rsidRPr="00C50759" w:rsidRDefault="00C7293A">
            <w:pPr>
              <w:rPr>
                <w:b w:val="0"/>
                <w:bCs/>
              </w:rPr>
            </w:pPr>
            <w:r w:rsidRPr="00C50759">
              <w:rPr>
                <w:b w:val="0"/>
                <w:bCs/>
              </w:rPr>
              <w:t xml:space="preserve">PBOs and PBGs are consumed by combustion when used as lubricants. </w:t>
            </w:r>
            <w:r w:rsidR="00A6462B" w:rsidRPr="00C50759">
              <w:rPr>
                <w:b w:val="0"/>
                <w:bCs/>
              </w:rPr>
              <w:t>Read</w:t>
            </w:r>
            <w:r w:rsidRPr="00C50759">
              <w:rPr>
                <w:b w:val="0"/>
                <w:bCs/>
              </w:rPr>
              <w:t xml:space="preserve"> </w:t>
            </w:r>
            <w:r w:rsidR="00301A3E">
              <w:rPr>
                <w:bCs/>
              </w:rPr>
              <w:t>chapter</w:t>
            </w:r>
            <w:r w:rsidRPr="00906484">
              <w:rPr>
                <w:bCs/>
              </w:rPr>
              <w:t xml:space="preserve"> 5 </w:t>
            </w:r>
            <w:r w:rsidR="00083E33" w:rsidRPr="00906484">
              <w:rPr>
                <w:bCs/>
              </w:rPr>
              <w:t xml:space="preserve">of the </w:t>
            </w:r>
            <w:hyperlink r:id="rId40" w:tooltip="A link to the Petroleum-based oils and greases guideline on the Clean Energy Regulator webpage" w:history="1">
              <w:r w:rsidR="00C50759" w:rsidRPr="00C50759">
                <w:rPr>
                  <w:rStyle w:val="Hyperlink"/>
                  <w:rFonts w:asciiTheme="minorHAnsi" w:hAnsiTheme="minorHAnsi"/>
                  <w:b w:val="0"/>
                  <w:bCs/>
                </w:rPr>
                <w:t>Petroleum-based oils and greases guidelin</w:t>
              </w:r>
              <w:r w:rsidR="00F863FC">
                <w:rPr>
                  <w:rStyle w:val="Hyperlink"/>
                  <w:rFonts w:asciiTheme="minorHAnsi" w:hAnsiTheme="minorHAnsi"/>
                  <w:b w:val="0"/>
                  <w:bCs/>
                </w:rPr>
                <w:t>e</w:t>
              </w:r>
            </w:hyperlink>
            <w:r w:rsidR="00F90106" w:rsidRPr="00C50759">
              <w:rPr>
                <w:rStyle w:val="FootnoteReference"/>
                <w:bCs/>
              </w:rPr>
              <w:footnoteReference w:id="21"/>
            </w:r>
            <w:r w:rsidRPr="00C50759">
              <w:rPr>
                <w:b w:val="0"/>
                <w:bCs/>
              </w:rPr>
              <w:t xml:space="preserve"> for information on reporting emissions of carbon dioxide released from the use of PBOs and PBGs as lubricants. </w:t>
            </w:r>
          </w:p>
          <w:p w14:paraId="3C4B9DBB" w14:textId="457F54C2" w:rsidR="00C7293A" w:rsidRDefault="00C7293A">
            <w:r w:rsidRPr="00C50759">
              <w:rPr>
                <w:b w:val="0"/>
                <w:bCs/>
              </w:rPr>
              <w:t xml:space="preserve">PBOs and PBGs can also be consumed without combustion. </w:t>
            </w:r>
            <w:r w:rsidR="00A6462B" w:rsidRPr="00C50759">
              <w:rPr>
                <w:b w:val="0"/>
                <w:bCs/>
              </w:rPr>
              <w:t>Read</w:t>
            </w:r>
            <w:r w:rsidRPr="00C50759">
              <w:rPr>
                <w:b w:val="0"/>
                <w:bCs/>
              </w:rPr>
              <w:t xml:space="preserve"> </w:t>
            </w:r>
            <w:r w:rsidR="00301A3E">
              <w:rPr>
                <w:bCs/>
              </w:rPr>
              <w:t>chapter</w:t>
            </w:r>
            <w:r w:rsidRPr="00906484">
              <w:rPr>
                <w:bCs/>
              </w:rPr>
              <w:t xml:space="preserve"> 6 </w:t>
            </w:r>
            <w:r w:rsidR="004C5E68" w:rsidRPr="00906484">
              <w:rPr>
                <w:bCs/>
              </w:rPr>
              <w:t>of</w:t>
            </w:r>
            <w:r w:rsidR="00C50759" w:rsidRPr="00906484">
              <w:rPr>
                <w:bCs/>
              </w:rPr>
              <w:t xml:space="preserve"> the </w:t>
            </w:r>
            <w:hyperlink r:id="rId41" w:tooltip="A link to the Petroleum-based oils and greases guideline on the Clean Energy Regulator webpage" w:history="1">
              <w:r w:rsidR="00C50759" w:rsidRPr="00C50759">
                <w:rPr>
                  <w:rStyle w:val="Hyperlink"/>
                  <w:rFonts w:asciiTheme="minorHAnsi" w:hAnsiTheme="minorHAnsi"/>
                  <w:b w:val="0"/>
                  <w:bCs/>
                </w:rPr>
                <w:t>Petroleum-based oils and greases guideline</w:t>
              </w:r>
            </w:hyperlink>
            <w:r w:rsidRPr="00C50759">
              <w:rPr>
                <w:b w:val="0"/>
                <w:bCs/>
              </w:rPr>
              <w:t xml:space="preserve"> for information on how to report energy from the</w:t>
            </w:r>
            <w:r w:rsidRPr="00D76143">
              <w:rPr>
                <w:b w:val="0"/>
                <w:bCs/>
              </w:rPr>
              <w:t xml:space="preserve"> consumption of PBOs and PBGs without combustion. </w:t>
            </w:r>
          </w:p>
        </w:tc>
      </w:tr>
    </w:tbl>
    <w:p w14:paraId="08D5CFD4" w14:textId="77777777" w:rsidR="001C3815" w:rsidRPr="00871510" w:rsidRDefault="001C3815" w:rsidP="001C3815">
      <w:pPr>
        <w:pStyle w:val="Heading2"/>
      </w:pPr>
      <w:bookmarkStart w:id="145" w:name="_Toc423516844"/>
      <w:bookmarkStart w:id="146" w:name="_Toc495652762"/>
      <w:bookmarkStart w:id="147" w:name="_Toc43983129"/>
      <w:bookmarkStart w:id="148" w:name="_Toc76565712"/>
      <w:bookmarkStart w:id="149" w:name="_Toc204159010"/>
      <w:r>
        <w:lastRenderedPageBreak/>
        <w:t xml:space="preserve">3.5. </w:t>
      </w:r>
      <w:r w:rsidRPr="00871510">
        <w:t>Amount of energy consumed in a cogeneration process</w:t>
      </w:r>
      <w:bookmarkEnd w:id="145"/>
      <w:bookmarkEnd w:id="146"/>
      <w:bookmarkEnd w:id="147"/>
      <w:bookmarkEnd w:id="148"/>
      <w:bookmarkEnd w:id="149"/>
    </w:p>
    <w:p w14:paraId="0D92B8C2" w14:textId="2EF4F72A" w:rsidR="001C3815" w:rsidRPr="00AD67EF" w:rsidRDefault="001C3815" w:rsidP="001C3815">
      <w:r w:rsidRPr="00871510">
        <w:t>Cogeneration processes are situations where electricity and another product are produced from the consumption of a single quantity of fuel.</w:t>
      </w:r>
      <w:r>
        <w:t xml:space="preserve"> For the reporting requirements of a co-generation process please see the </w:t>
      </w:r>
      <w:bookmarkStart w:id="150" w:name="_Hlk43962958"/>
      <w:r>
        <w:rPr>
          <w:iCs/>
        </w:rPr>
        <w:fldChar w:fldCharType="begin"/>
      </w:r>
      <w:r w:rsidR="006B57FC">
        <w:rPr>
          <w:iCs/>
        </w:rPr>
        <w:instrText>HYPERLINK "https://cer.gov.au/document_page/estimating-emissions-and-energy-electricity-generation-transmission-and-distribution-sectors" \o "A link to the Estimating emissions and energy from electricty production and conumption guideline on the Clean Energy Regulator webpage"</w:instrText>
      </w:r>
      <w:r>
        <w:rPr>
          <w:iCs/>
        </w:rPr>
      </w:r>
      <w:r>
        <w:rPr>
          <w:iCs/>
        </w:rPr>
        <w:fldChar w:fldCharType="separate"/>
      </w:r>
      <w:bookmarkEnd w:id="150"/>
      <w:r w:rsidR="00E05B86">
        <w:rPr>
          <w:rStyle w:val="Hyperlink"/>
          <w:rFonts w:asciiTheme="minorHAnsi" w:hAnsiTheme="minorHAnsi"/>
          <w:iCs/>
        </w:rPr>
        <w:t>Estimating emissions  and energy from electricity production and consumption guideline</w:t>
      </w:r>
      <w:r>
        <w:rPr>
          <w:iCs/>
        </w:rPr>
        <w:fldChar w:fldCharType="end"/>
      </w:r>
      <w:r w:rsidRPr="00F149D6">
        <w:rPr>
          <w:rStyle w:val="FootnoteReference"/>
          <w:iCs/>
        </w:rPr>
        <w:footnoteReference w:id="22"/>
      </w:r>
      <w:r>
        <w:rPr>
          <w:iCs/>
        </w:rPr>
        <w:t xml:space="preserve"> for more information.</w:t>
      </w:r>
    </w:p>
    <w:p w14:paraId="50C69B8E" w14:textId="77777777" w:rsidR="001C3815" w:rsidRPr="006D32BD" w:rsidRDefault="001C3815" w:rsidP="001C3815">
      <w:pPr>
        <w:pStyle w:val="Heading2"/>
      </w:pPr>
      <w:bookmarkStart w:id="151" w:name="_Toc423516845"/>
      <w:bookmarkStart w:id="152" w:name="_Toc495652763"/>
      <w:bookmarkStart w:id="153" w:name="_Toc43983130"/>
      <w:bookmarkStart w:id="154" w:name="_Toc76565713"/>
      <w:bookmarkStart w:id="155" w:name="_Toc204159011"/>
      <w:r>
        <w:t xml:space="preserve">3.6. </w:t>
      </w:r>
      <w:r w:rsidRPr="006D32BD">
        <w:t>Apportionment of energy consumed for electricity, transport and for stationary energy</w:t>
      </w:r>
      <w:bookmarkEnd w:id="151"/>
      <w:bookmarkEnd w:id="152"/>
      <w:bookmarkEnd w:id="153"/>
      <w:bookmarkEnd w:id="154"/>
      <w:bookmarkEnd w:id="155"/>
    </w:p>
    <w:p w14:paraId="3E218025" w14:textId="37770063" w:rsidR="00F80C7F" w:rsidRDefault="00930651" w:rsidP="001C3815">
      <w:r>
        <w:t>S</w:t>
      </w:r>
      <w:r w:rsidRPr="005A08E4">
        <w:t>ubject to section 2.70 of the NGER Measurement Determination</w:t>
      </w:r>
      <w:r>
        <w:t>, w</w:t>
      </w:r>
      <w:r w:rsidR="00695766">
        <w:t xml:space="preserve">hen a single </w:t>
      </w:r>
      <w:r w:rsidR="00242E0B">
        <w:t xml:space="preserve">fuel type is consumed </w:t>
      </w:r>
      <w:r w:rsidR="00F6379C">
        <w:t>in multiple activities, a</w:t>
      </w:r>
      <w:r w:rsidR="001C3815" w:rsidRPr="006D32BD">
        <w:t xml:space="preserve">llocations of </w:t>
      </w:r>
      <w:r w:rsidR="00F6379C">
        <w:t>the</w:t>
      </w:r>
      <w:r w:rsidR="001C3815" w:rsidRPr="006D32BD">
        <w:t xml:space="preserve"> fuel between </w:t>
      </w:r>
      <w:r w:rsidR="00F6379C">
        <w:t>the activities</w:t>
      </w:r>
      <w:r w:rsidR="001C3815" w:rsidRPr="006D32BD">
        <w:t xml:space="preserve"> may be determined </w:t>
      </w:r>
      <w:r w:rsidR="0029263A">
        <w:t>from</w:t>
      </w:r>
      <w:r w:rsidR="00520079">
        <w:t xml:space="preserve"> </w:t>
      </w:r>
      <w:r w:rsidR="0029263A">
        <w:t>your records</w:t>
      </w:r>
      <w:r w:rsidR="00A96B1E">
        <w:t>, if the records are based on measurement equipment</w:t>
      </w:r>
      <w:r w:rsidR="006D2BDF">
        <w:t xml:space="preserve"> </w:t>
      </w:r>
      <w:r w:rsidR="006D2BDF" w:rsidRPr="005A08E4">
        <w:t>(see section 2.71 of the NGER Measurement Determination)</w:t>
      </w:r>
      <w:r w:rsidR="00520079">
        <w:t>.</w:t>
      </w:r>
    </w:p>
    <w:p w14:paraId="62FFD5DE" w14:textId="6BAD1655" w:rsidR="00C26E52" w:rsidRDefault="00BA27B8" w:rsidP="00BA27B8">
      <w:r>
        <w:t xml:space="preserve">As noted above, ‘Transport energy purposes’ include transport </w:t>
      </w:r>
      <w:proofErr w:type="gramStart"/>
      <w:r>
        <w:t>by:</w:t>
      </w:r>
      <w:proofErr w:type="gramEnd"/>
      <w:r>
        <w:t xml:space="preserve"> rail, water, and air, and vehicles registered for road use. Other purposes, including transport by vehicles that are not road-registered or equipment that does not move, </w:t>
      </w:r>
      <w:proofErr w:type="gramStart"/>
      <w:r>
        <w:t>are considered to be</w:t>
      </w:r>
      <w:proofErr w:type="gramEnd"/>
      <w:r>
        <w:t xml:space="preserve"> stationary.</w:t>
      </w:r>
    </w:p>
    <w:p w14:paraId="407062F7" w14:textId="77777777" w:rsidR="001C3815" w:rsidRPr="00F149D6" w:rsidRDefault="001C3815" w:rsidP="001C3815">
      <w:pPr>
        <w:pStyle w:val="Heading1"/>
        <w:keepNext/>
        <w:numPr>
          <w:ilvl w:val="0"/>
          <w:numId w:val="49"/>
        </w:numPr>
        <w:spacing w:before="280" w:after="200"/>
      </w:pPr>
      <w:bookmarkStart w:id="156" w:name="_Toc43983131"/>
      <w:bookmarkStart w:id="157" w:name="_Toc76565714"/>
      <w:bookmarkStart w:id="158" w:name="_Toc204159012"/>
      <w:r w:rsidRPr="002C556E">
        <w:t>Uncertainty</w:t>
      </w:r>
      <w:bookmarkEnd w:id="156"/>
      <w:bookmarkEnd w:id="157"/>
      <w:bookmarkEnd w:id="158"/>
    </w:p>
    <w:p w14:paraId="32916CC8" w14:textId="039CC384" w:rsidR="001C3815" w:rsidRDefault="001C3815" w:rsidP="001C3815">
      <w:pPr>
        <w:rPr>
          <w:color w:val="auto"/>
        </w:rPr>
      </w:pPr>
      <w:r w:rsidRPr="002C556E">
        <w:rPr>
          <w:color w:val="auto"/>
        </w:rPr>
        <w:t>Uncertainty must be reported for a facility if the direct (Scope 1) emissions from the combustion of an energy type or for a source are 25,000</w:t>
      </w:r>
      <w:r w:rsidR="005F27BD">
        <w:rPr>
          <w:color w:val="auto"/>
        </w:rPr>
        <w:t> </w:t>
      </w:r>
      <w:r w:rsidRPr="002C556E">
        <w:rPr>
          <w:color w:val="auto"/>
        </w:rPr>
        <w:t>t</w:t>
      </w:r>
      <w:r w:rsidR="005F27BD">
        <w:rPr>
          <w:color w:val="auto"/>
        </w:rPr>
        <w:t> </w:t>
      </w:r>
      <w:r w:rsidRPr="002C556E">
        <w:rPr>
          <w:color w:val="auto"/>
        </w:rPr>
        <w:t>CO</w:t>
      </w:r>
      <w:r w:rsidRPr="002C556E">
        <w:rPr>
          <w:color w:val="auto"/>
          <w:vertAlign w:val="subscript"/>
        </w:rPr>
        <w:t>2</w:t>
      </w:r>
      <w:r w:rsidRPr="002C556E">
        <w:rPr>
          <w:color w:val="auto"/>
        </w:rPr>
        <w:t xml:space="preserve">-e or more in a reporting year. </w:t>
      </w:r>
    </w:p>
    <w:p w14:paraId="10070056" w14:textId="53ACEDD7" w:rsidR="001C3815" w:rsidRPr="002C556E" w:rsidRDefault="001C3815" w:rsidP="001C3815">
      <w:pPr>
        <w:rPr>
          <w:color w:val="auto"/>
        </w:rPr>
      </w:pPr>
      <w:r w:rsidRPr="002C556E">
        <w:rPr>
          <w:color w:val="auto"/>
        </w:rPr>
        <w:t xml:space="preserve">Uncertainty is </w:t>
      </w:r>
      <w:r>
        <w:rPr>
          <w:color w:val="auto"/>
        </w:rPr>
        <w:t xml:space="preserve">reported per above-threshold source and is </w:t>
      </w:r>
      <w:r w:rsidRPr="002C556E">
        <w:rPr>
          <w:color w:val="auto"/>
        </w:rPr>
        <w:t xml:space="preserve">not required to be </w:t>
      </w:r>
      <w:r>
        <w:rPr>
          <w:color w:val="auto"/>
        </w:rPr>
        <w:t>summed and reported at</w:t>
      </w:r>
      <w:r w:rsidRPr="002C556E">
        <w:rPr>
          <w:color w:val="auto"/>
        </w:rPr>
        <w:t xml:space="preserve"> the facility</w:t>
      </w:r>
      <w:r>
        <w:rPr>
          <w:color w:val="auto"/>
        </w:rPr>
        <w:t>,</w:t>
      </w:r>
      <w:r w:rsidRPr="002C556E">
        <w:rPr>
          <w:color w:val="auto"/>
        </w:rPr>
        <w:t xml:space="preserve"> </w:t>
      </w:r>
      <w:r w:rsidR="00065B1A" w:rsidRPr="002C556E">
        <w:rPr>
          <w:color w:val="auto"/>
        </w:rPr>
        <w:t>corporation,</w:t>
      </w:r>
      <w:r w:rsidRPr="002C556E">
        <w:rPr>
          <w:color w:val="auto"/>
        </w:rPr>
        <w:t xml:space="preserve"> or group levels. </w:t>
      </w:r>
    </w:p>
    <w:p w14:paraId="77A4A840" w14:textId="2B5F5EC8" w:rsidR="001C3815" w:rsidRPr="00340EC3" w:rsidRDefault="001C3815" w:rsidP="001C3815">
      <w:pPr>
        <w:rPr>
          <w:iCs/>
          <w:color w:val="auto"/>
        </w:rPr>
      </w:pPr>
      <w:r w:rsidRPr="002C556E">
        <w:rPr>
          <w:color w:val="auto"/>
        </w:rPr>
        <w:t xml:space="preserve">Part 8.3 of the </w:t>
      </w:r>
      <w:r>
        <w:rPr>
          <w:color w:val="auto"/>
        </w:rPr>
        <w:t>NGER Measurement Determination</w:t>
      </w:r>
      <w:r w:rsidRPr="002C556E">
        <w:rPr>
          <w:color w:val="auto"/>
        </w:rPr>
        <w:t xml:space="preserve"> sets out how to assess uncertainty where </w:t>
      </w:r>
      <w:r w:rsidR="38A11450" w:rsidRPr="002C556E">
        <w:rPr>
          <w:color w:val="auto"/>
        </w:rPr>
        <w:t>M</w:t>
      </w:r>
      <w:r w:rsidRPr="002C556E">
        <w:rPr>
          <w:color w:val="auto"/>
        </w:rPr>
        <w:t xml:space="preserve">ethod 1 is used to estimate Scope 1 emissions. </w:t>
      </w:r>
      <w:r>
        <w:rPr>
          <w:color w:val="auto"/>
        </w:rPr>
        <w:t>P</w:t>
      </w:r>
      <w:r w:rsidRPr="002C556E">
        <w:rPr>
          <w:color w:val="auto"/>
        </w:rPr>
        <w:t xml:space="preserve">art 8.4 of the </w:t>
      </w:r>
      <w:r>
        <w:rPr>
          <w:color w:val="auto"/>
        </w:rPr>
        <w:t>NGER Measurement Determination</w:t>
      </w:r>
      <w:r w:rsidRPr="002C556E">
        <w:rPr>
          <w:color w:val="auto"/>
        </w:rPr>
        <w:t xml:space="preserve"> sets out the requirements for assessing uncertainty where </w:t>
      </w:r>
      <w:r w:rsidR="345F3D8A" w:rsidRPr="002C556E">
        <w:rPr>
          <w:color w:val="auto"/>
        </w:rPr>
        <w:t>M</w:t>
      </w:r>
      <w:r w:rsidRPr="002C556E">
        <w:rPr>
          <w:color w:val="auto"/>
        </w:rPr>
        <w:t xml:space="preserve">ethod 2, 3 or 4 is used to estimate Scope 1 emissions. </w:t>
      </w:r>
      <w:r>
        <w:rPr>
          <w:color w:val="auto"/>
        </w:rPr>
        <w:t xml:space="preserve">See the </w:t>
      </w:r>
      <w:hyperlink r:id="rId42" w:tooltip="A link to the Reporting uncertainty guideline on the Clean Energy Regulator webpage" w:history="1">
        <w:r w:rsidRPr="00F149D6">
          <w:rPr>
            <w:rStyle w:val="Hyperlink"/>
            <w:rFonts w:asciiTheme="minorHAnsi" w:hAnsiTheme="minorHAnsi"/>
            <w:iCs/>
          </w:rPr>
          <w:t>Reporting uncertainty guideline</w:t>
        </w:r>
      </w:hyperlink>
      <w:r>
        <w:rPr>
          <w:rStyle w:val="FootnoteReference"/>
          <w:iCs/>
          <w:color w:val="auto"/>
        </w:rPr>
        <w:footnoteReference w:id="23"/>
      </w:r>
      <w:r>
        <w:rPr>
          <w:iCs/>
          <w:color w:val="auto"/>
        </w:rPr>
        <w:t xml:space="preserve"> for more information</w:t>
      </w:r>
      <w:r w:rsidRPr="00F149D6">
        <w:rPr>
          <w:iCs/>
          <w:color w:val="auto"/>
        </w:rPr>
        <w:t xml:space="preserve">. </w:t>
      </w:r>
    </w:p>
    <w:p w14:paraId="02D78442" w14:textId="77777777" w:rsidR="001C3815" w:rsidRDefault="001C3815" w:rsidP="001C3815">
      <w:pPr>
        <w:spacing w:after="0"/>
        <w:rPr>
          <w:rFonts w:eastAsia="Times New Roman"/>
          <w:b/>
          <w:bCs/>
          <w:color w:val="005874"/>
          <w:kern w:val="32"/>
          <w:sz w:val="40"/>
        </w:rPr>
      </w:pPr>
      <w:bookmarkStart w:id="159" w:name="_Toc510679826"/>
      <w:bookmarkStart w:id="160" w:name="_Toc43983132"/>
      <w:bookmarkStart w:id="161" w:name="_Toc509935606"/>
      <w:r>
        <w:br w:type="page"/>
      </w:r>
    </w:p>
    <w:p w14:paraId="20F985C3" w14:textId="77777777" w:rsidR="001C3815" w:rsidRPr="00F149D6" w:rsidRDefault="001C3815" w:rsidP="001C3815">
      <w:pPr>
        <w:pStyle w:val="Heading1"/>
        <w:keepNext/>
        <w:numPr>
          <w:ilvl w:val="0"/>
          <w:numId w:val="49"/>
        </w:numPr>
        <w:spacing w:before="280" w:after="200"/>
      </w:pPr>
      <w:bookmarkStart w:id="162" w:name="_Toc76565715"/>
      <w:bookmarkStart w:id="163" w:name="_Toc204159013"/>
      <w:r w:rsidRPr="00F149D6">
        <w:lastRenderedPageBreak/>
        <w:t>More information and references</w:t>
      </w:r>
      <w:bookmarkEnd w:id="159"/>
      <w:bookmarkEnd w:id="160"/>
      <w:bookmarkEnd w:id="162"/>
      <w:bookmarkEnd w:id="163"/>
    </w:p>
    <w:p w14:paraId="1F8D3CA5" w14:textId="7DD9DAED" w:rsidR="001C3815" w:rsidRPr="002C556E" w:rsidRDefault="001C3815" w:rsidP="001C3815">
      <w:r w:rsidRPr="002C556E">
        <w:t xml:space="preserve">This </w:t>
      </w:r>
      <w:r>
        <w:t>information</w:t>
      </w:r>
      <w:r w:rsidRPr="002C556E">
        <w:t xml:space="preserve"> has been provided by</w:t>
      </w:r>
      <w:r w:rsidR="00952F8C">
        <w:t xml:space="preserve"> the</w:t>
      </w:r>
      <w:r w:rsidRPr="002C556E">
        <w:t xml:space="preserve"> </w:t>
      </w:r>
      <w:r w:rsidR="001E2090">
        <w:t>CER</w:t>
      </w:r>
      <w:r w:rsidRPr="002C556E">
        <w:t xml:space="preserve"> for use by entities to assist in the consistent accounting and reporting of greenhouse gas emissions, energy consumption and energy production using the NGER </w:t>
      </w:r>
      <w:r>
        <w:t>L</w:t>
      </w:r>
      <w:r w:rsidRPr="002C556E">
        <w:t>egislation.</w:t>
      </w:r>
    </w:p>
    <w:p w14:paraId="085C5645" w14:textId="77777777" w:rsidR="001C3815" w:rsidRPr="002B2985" w:rsidRDefault="001C3815" w:rsidP="001C3815">
      <w:pPr>
        <w:pStyle w:val="Heading2"/>
      </w:pPr>
      <w:bookmarkStart w:id="164" w:name="_Toc510679827"/>
      <w:bookmarkStart w:id="165" w:name="_Toc50111264"/>
      <w:bookmarkStart w:id="166" w:name="_Toc76565716"/>
      <w:bookmarkStart w:id="167" w:name="_Toc108022525"/>
      <w:bookmarkStart w:id="168" w:name="_Toc204159014"/>
      <w:r>
        <w:t>More</w:t>
      </w:r>
      <w:r w:rsidRPr="002B2985">
        <w:t xml:space="preserve"> information</w:t>
      </w:r>
      <w:bookmarkEnd w:id="164"/>
      <w:bookmarkEnd w:id="165"/>
      <w:bookmarkEnd w:id="166"/>
      <w:bookmarkEnd w:id="167"/>
      <w:bookmarkEnd w:id="168"/>
    </w:p>
    <w:p w14:paraId="59663DC0" w14:textId="047CEA6F" w:rsidR="001C3815" w:rsidRPr="002C556E" w:rsidRDefault="001C3815" w:rsidP="001C3815">
      <w:r w:rsidRPr="002C556E">
        <w:t>For more information</w:t>
      </w:r>
      <w:r>
        <w:t>,</w:t>
      </w:r>
      <w:r w:rsidRPr="002C556E">
        <w:t xml:space="preserve"> please contact </w:t>
      </w:r>
      <w:r w:rsidR="001E2090">
        <w:t>CER</w:t>
      </w:r>
      <w:r w:rsidRPr="002C556E">
        <w:t>.</w:t>
      </w:r>
    </w:p>
    <w:p w14:paraId="425BE0CB" w14:textId="1A348370" w:rsidR="001C3815" w:rsidRPr="002C556E" w:rsidRDefault="001C3815" w:rsidP="001C3815">
      <w:r w:rsidRPr="002C556E">
        <w:t>Email:</w:t>
      </w:r>
      <w:r>
        <w:t xml:space="preserve"> </w:t>
      </w:r>
      <w:hyperlink r:id="rId43" w:history="1">
        <w:r w:rsidR="004D7F4B">
          <w:rPr>
            <w:color w:val="005874"/>
            <w:szCs w:val="22"/>
            <w:u w:val="single"/>
          </w:rPr>
          <w:t>cer-nger-reporting@</w:t>
        </w:r>
        <w:r w:rsidR="00F23A14">
          <w:rPr>
            <w:color w:val="005874"/>
            <w:szCs w:val="22"/>
            <w:u w:val="single"/>
          </w:rPr>
          <w:t>cer.gov.au</w:t>
        </w:r>
      </w:hyperlink>
    </w:p>
    <w:p w14:paraId="59CB90C1" w14:textId="77777777" w:rsidR="001C3815" w:rsidRPr="002C556E" w:rsidRDefault="001C3815" w:rsidP="001C3815">
      <w:r w:rsidRPr="002C556E">
        <w:t>Phone:</w:t>
      </w:r>
      <w:r>
        <w:t xml:space="preserve"> </w:t>
      </w:r>
      <w:r w:rsidRPr="00F149D6">
        <w:rPr>
          <w:bCs/>
        </w:rPr>
        <w:t>1300 553 542</w:t>
      </w:r>
      <w:r w:rsidRPr="002C556E">
        <w:rPr>
          <w:b/>
        </w:rPr>
        <w:t xml:space="preserve"> </w:t>
      </w:r>
      <w:r w:rsidRPr="002C556E">
        <w:t xml:space="preserve">within Australia </w:t>
      </w:r>
    </w:p>
    <w:p w14:paraId="717D211D" w14:textId="0A560D37" w:rsidR="001C3815" w:rsidRPr="002C556E" w:rsidRDefault="001C3815" w:rsidP="001C3815">
      <w:r w:rsidRPr="002C556E">
        <w:t>Web</w:t>
      </w:r>
      <w:r>
        <w:t>site</w:t>
      </w:r>
      <w:r w:rsidRPr="002C556E">
        <w:t>:</w:t>
      </w:r>
      <w:r>
        <w:t xml:space="preserve"> </w:t>
      </w:r>
      <w:hyperlink r:id="rId44" w:tooltip="A link to the Clean Energy Regulator webpage" w:history="1">
        <w:r w:rsidR="00D0092E">
          <w:rPr>
            <w:color w:val="005874"/>
            <w:u w:val="single"/>
          </w:rPr>
          <w:t>www.cer.gov.au</w:t>
        </w:r>
      </w:hyperlink>
    </w:p>
    <w:p w14:paraId="686C500A" w14:textId="77777777" w:rsidR="001C3815" w:rsidRPr="002B2985" w:rsidRDefault="001C3815" w:rsidP="00277423">
      <w:pPr>
        <w:pStyle w:val="Heading2"/>
      </w:pPr>
      <w:bookmarkStart w:id="169" w:name="_Toc510679828"/>
      <w:bookmarkStart w:id="170" w:name="_Toc204159015"/>
      <w:r w:rsidRPr="002B2985">
        <w:t>References</w:t>
      </w:r>
      <w:bookmarkEnd w:id="169"/>
      <w:bookmarkEnd w:id="170"/>
    </w:p>
    <w:p w14:paraId="50F1B928" w14:textId="44D101ED" w:rsidR="001C3815" w:rsidRPr="002C556E" w:rsidRDefault="001C3815" w:rsidP="001C3815">
      <w:pPr>
        <w:pStyle w:val="CERbullets"/>
      </w:pPr>
      <w:r>
        <w:t>See</w:t>
      </w:r>
      <w:r w:rsidR="008E6D09">
        <w:t xml:space="preserve"> </w:t>
      </w:r>
      <w:hyperlink r:id="rId45" w:tooltip="A link to the NGER reporting guides on the Clean Energy Regulator webpage" w:history="1">
        <w:r w:rsidR="00040B0E" w:rsidRPr="00F52822">
          <w:rPr>
            <w:rStyle w:val="Hyperlink"/>
            <w:rFonts w:asciiTheme="minorHAnsi" w:hAnsiTheme="minorHAnsi"/>
          </w:rPr>
          <w:t>NGER reporting g</w:t>
        </w:r>
        <w:r w:rsidR="006339FA" w:rsidRPr="00F52822">
          <w:rPr>
            <w:rStyle w:val="Hyperlink"/>
            <w:rFonts w:asciiTheme="minorHAnsi" w:hAnsiTheme="minorHAnsi"/>
          </w:rPr>
          <w:t>uide</w:t>
        </w:r>
        <w:r w:rsidR="00040B0E" w:rsidRPr="00F52822">
          <w:rPr>
            <w:rStyle w:val="Hyperlink"/>
            <w:rFonts w:asciiTheme="minorHAnsi" w:hAnsiTheme="minorHAnsi"/>
          </w:rPr>
          <w:t>s</w:t>
        </w:r>
      </w:hyperlink>
      <w:r w:rsidRPr="00F52822">
        <w:rPr>
          <w:rStyle w:val="FootnoteReference"/>
        </w:rPr>
        <w:footnoteReference w:id="24"/>
      </w:r>
      <w:r w:rsidRPr="00F52822">
        <w:t xml:space="preserve"> for</w:t>
      </w:r>
      <w:r>
        <w:t xml:space="preserve"> additional guidance</w:t>
      </w:r>
      <w:r w:rsidRPr="002C556E">
        <w:t xml:space="preserve"> on:</w:t>
      </w:r>
    </w:p>
    <w:p w14:paraId="64591B74" w14:textId="77777777" w:rsidR="001C3815" w:rsidRPr="005E2132" w:rsidRDefault="001C3815" w:rsidP="005E2132">
      <w:pPr>
        <w:pStyle w:val="CERbullets"/>
        <w:numPr>
          <w:ilvl w:val="1"/>
          <w:numId w:val="21"/>
        </w:numPr>
      </w:pPr>
      <w:r w:rsidRPr="005E2132">
        <w:t>methods and measurement criteria</w:t>
      </w:r>
    </w:p>
    <w:p w14:paraId="497F2EDF" w14:textId="77777777" w:rsidR="001C3815" w:rsidRPr="005E2132" w:rsidRDefault="001C3815" w:rsidP="005E2132">
      <w:pPr>
        <w:pStyle w:val="CERbullets"/>
        <w:numPr>
          <w:ilvl w:val="1"/>
          <w:numId w:val="21"/>
        </w:numPr>
      </w:pPr>
      <w:r w:rsidRPr="005E2132">
        <w:t>reporting energy production and consumption</w:t>
      </w:r>
    </w:p>
    <w:p w14:paraId="2F35F2E9" w14:textId="77777777" w:rsidR="001C3815" w:rsidRPr="005E2132" w:rsidRDefault="001C3815" w:rsidP="005E2132">
      <w:pPr>
        <w:pStyle w:val="CERbullets"/>
        <w:numPr>
          <w:ilvl w:val="1"/>
          <w:numId w:val="21"/>
        </w:numPr>
      </w:pPr>
      <w:r w:rsidRPr="005E2132">
        <w:t>reporting hydrofluorocarbons and sulphur hexafluoride gases</w:t>
      </w:r>
    </w:p>
    <w:p w14:paraId="43B49C93" w14:textId="72ECD589" w:rsidR="001C3815" w:rsidRPr="005E2132" w:rsidRDefault="00F057CE" w:rsidP="005E2132">
      <w:pPr>
        <w:pStyle w:val="CERbullets"/>
        <w:numPr>
          <w:ilvl w:val="1"/>
          <w:numId w:val="21"/>
        </w:numPr>
      </w:pPr>
      <w:r w:rsidRPr="005E2132">
        <w:t>blended fuels, other fuel mixes, bitumen and explosives</w:t>
      </w:r>
    </w:p>
    <w:p w14:paraId="02E79BA2" w14:textId="02C8D56B" w:rsidR="001C3815" w:rsidRPr="005E2132" w:rsidRDefault="001C3815" w:rsidP="005E2132">
      <w:pPr>
        <w:pStyle w:val="CERbullets"/>
        <w:numPr>
          <w:ilvl w:val="1"/>
          <w:numId w:val="21"/>
        </w:numPr>
      </w:pPr>
      <w:r w:rsidRPr="005E2132">
        <w:t>petroleum-</w:t>
      </w:r>
      <w:r w:rsidR="00003AC6" w:rsidRPr="005E2132">
        <w:t>b</w:t>
      </w:r>
      <w:r w:rsidRPr="005E2132">
        <w:t>ased oils and greases measuring and reporting consumption</w:t>
      </w:r>
    </w:p>
    <w:p w14:paraId="0A4A3C5E" w14:textId="77777777" w:rsidR="001C3815" w:rsidRPr="005E2132" w:rsidRDefault="001C3815" w:rsidP="005E2132">
      <w:pPr>
        <w:pStyle w:val="CERbullets"/>
        <w:numPr>
          <w:ilvl w:val="1"/>
          <w:numId w:val="21"/>
        </w:numPr>
      </w:pPr>
      <w:r w:rsidRPr="005E2132">
        <w:t>reporting uncertainty.</w:t>
      </w:r>
      <w:bookmarkEnd w:id="161"/>
    </w:p>
    <w:p w14:paraId="40B874F5" w14:textId="759EC84B" w:rsidR="00235142" w:rsidRPr="005E2132" w:rsidRDefault="00235142" w:rsidP="009A4DB9">
      <w:pPr>
        <w:pStyle w:val="CERbullets"/>
        <w:numPr>
          <w:ilvl w:val="0"/>
          <w:numId w:val="0"/>
        </w:numPr>
        <w:ind w:left="720"/>
      </w:pPr>
    </w:p>
    <w:sectPr w:rsidR="00235142" w:rsidRPr="005E2132" w:rsidSect="00873613">
      <w:headerReference w:type="default" r:id="rId46"/>
      <w:footerReference w:type="even" r:id="rId47"/>
      <w:footerReference w:type="default" r:id="rId48"/>
      <w:headerReference w:type="first" r:id="rId49"/>
      <w:footerReference w:type="first" r:id="rId50"/>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5FA5D" w14:textId="77777777" w:rsidR="00833A01" w:rsidRDefault="00833A01" w:rsidP="00176C28">
      <w:r>
        <w:separator/>
      </w:r>
    </w:p>
    <w:p w14:paraId="6A62AB95" w14:textId="77777777" w:rsidR="00833A01" w:rsidRDefault="00833A01"/>
  </w:endnote>
  <w:endnote w:type="continuationSeparator" w:id="0">
    <w:p w14:paraId="271BF836" w14:textId="77777777" w:rsidR="00833A01" w:rsidRDefault="00833A01" w:rsidP="00176C28">
      <w:r>
        <w:continuationSeparator/>
      </w:r>
    </w:p>
    <w:p w14:paraId="770E00E9" w14:textId="77777777" w:rsidR="00833A01" w:rsidRDefault="00833A01"/>
  </w:endnote>
  <w:endnote w:type="continuationNotice" w:id="1">
    <w:p w14:paraId="68C53333" w14:textId="77777777" w:rsidR="00833A01" w:rsidRDefault="00833A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1920" w14:textId="040D060B"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02A7BEB" w14:textId="105A5E38" w:rsidR="00977234" w:rsidRDefault="00977234" w:rsidP="009633DE">
    <w:pPr>
      <w:pStyle w:val="Footer"/>
      <w:ind w:right="360"/>
      <w:rPr>
        <w:rStyle w:val="PageNumber"/>
      </w:rPr>
    </w:pPr>
  </w:p>
  <w:p w14:paraId="302821B3" w14:textId="77777777" w:rsidR="00977234" w:rsidRDefault="00977234" w:rsidP="009633DE">
    <w:pPr>
      <w:pStyle w:val="Footer"/>
    </w:pPr>
  </w:p>
  <w:p w14:paraId="4C431A8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D5A3" w14:textId="17BE90BF" w:rsidR="006E3CA9" w:rsidRPr="00B50E27" w:rsidRDefault="002D18F3" w:rsidP="00C73199">
    <w:pPr>
      <w:pStyle w:val="Footer"/>
      <w:tabs>
        <w:tab w:val="clear" w:pos="2694"/>
        <w:tab w:val="clear" w:pos="3969"/>
        <w:tab w:val="clear" w:pos="6946"/>
        <w:tab w:val="clear" w:pos="9498"/>
        <w:tab w:val="center" w:pos="9639"/>
      </w:tabs>
      <w:spacing w:before="360" w:after="0"/>
      <w:ind w:left="0"/>
    </w:pPr>
    <w:r w:rsidRPr="002D18F3">
      <w:rPr>
        <w:b/>
        <w:bCs/>
      </w:rPr>
      <w:t>W:</w:t>
    </w:r>
    <w:r w:rsidRPr="002D18F3">
      <w:t xml:space="preserve"> </w:t>
    </w:r>
    <w:r w:rsidR="006E3CA9" w:rsidRPr="002D18F3">
      <w:t>www.</w:t>
    </w:r>
    <w:r w:rsidR="002671C4" w:rsidRPr="002D18F3">
      <w:t>c</w:t>
    </w:r>
    <w:r w:rsidR="002671C4">
      <w:t>e</w:t>
    </w:r>
    <w:r w:rsidR="002671C4" w:rsidRPr="002D18F3">
      <w:t>r</w:t>
    </w:r>
    <w:r w:rsidR="006E3CA9" w:rsidRPr="002D18F3">
      <w:t>.gov.au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w:t>
    </w:r>
    <w:r w:rsidR="002671C4" w:rsidRPr="002D18F3">
      <w:rPr>
        <w:rStyle w:val="PageNumber"/>
      </w:rPr>
      <w:t>c</w:t>
    </w:r>
    <w:r w:rsidR="002671C4">
      <w:rPr>
        <w:rStyle w:val="PageNumber"/>
      </w:rPr>
      <w:t>e</w:t>
    </w:r>
    <w:r w:rsidR="002671C4" w:rsidRPr="002D18F3">
      <w:rPr>
        <w:rStyle w:val="PageNumber"/>
      </w:rPr>
      <w:t>r</w:t>
    </w:r>
    <w:r w:rsidRPr="002D18F3">
      <w:rPr>
        <w:rStyle w:val="PageNumber"/>
      </w:rPr>
      <w:t>.gov.au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788087B7" w14:textId="467C511A" w:rsidR="00F76419" w:rsidRPr="009633DE" w:rsidRDefault="00F76419" w:rsidP="00E349EF">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8CCF" w14:textId="7839AB4F" w:rsidR="0065750A" w:rsidRPr="009C30B4" w:rsidRDefault="00862D08" w:rsidP="00AA2792">
    <w:pPr>
      <w:tabs>
        <w:tab w:val="left" w:pos="2694"/>
        <w:tab w:val="left" w:pos="3969"/>
        <w:tab w:val="left" w:pos="6946"/>
        <w:tab w:val="right" w:pos="9498"/>
      </w:tabs>
      <w:spacing w:after="720"/>
      <w:ind w:right="242"/>
      <w:rPr>
        <w:color w:val="005874"/>
        <w:sz w:val="16"/>
        <w:szCs w:val="16"/>
      </w:rPr>
    </w:pPr>
    <w:r w:rsidRPr="00862D08">
      <w:t xml:space="preserve"> </w:t>
    </w:r>
    <w:r>
      <w:rPr>
        <w:noProof/>
      </w:rPr>
      <w:drawing>
        <wp:inline distT="0" distB="0" distL="0" distR="0" wp14:anchorId="24F8CBCA" wp14:editId="1428B1CC">
          <wp:extent cx="2097679" cy="6381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425" cy="6535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E7E68" w14:textId="77777777" w:rsidR="00833A01" w:rsidRDefault="00833A01" w:rsidP="00176C28">
      <w:r>
        <w:separator/>
      </w:r>
    </w:p>
    <w:p w14:paraId="311454B7" w14:textId="77777777" w:rsidR="00833A01" w:rsidRDefault="00833A01"/>
  </w:footnote>
  <w:footnote w:type="continuationSeparator" w:id="0">
    <w:p w14:paraId="2B157215" w14:textId="77777777" w:rsidR="00833A01" w:rsidRDefault="00833A01" w:rsidP="00176C28">
      <w:r>
        <w:continuationSeparator/>
      </w:r>
    </w:p>
    <w:p w14:paraId="70C657C8" w14:textId="77777777" w:rsidR="00833A01" w:rsidRDefault="00833A01"/>
  </w:footnote>
  <w:footnote w:type="continuationNotice" w:id="1">
    <w:p w14:paraId="3D19560C" w14:textId="77777777" w:rsidR="00833A01" w:rsidRDefault="00833A01">
      <w:pPr>
        <w:spacing w:after="0"/>
      </w:pPr>
    </w:p>
  </w:footnote>
  <w:footnote w:id="2">
    <w:p w14:paraId="6B794AAF" w14:textId="4A322F5B" w:rsidR="00493215" w:rsidRPr="00D0347F" w:rsidRDefault="00493215">
      <w:pPr>
        <w:pStyle w:val="FootnoteText"/>
        <w:rPr>
          <w:lang w:val="en-AU"/>
        </w:rPr>
      </w:pPr>
      <w:r>
        <w:rPr>
          <w:rStyle w:val="FootnoteReference"/>
        </w:rPr>
        <w:footnoteRef/>
      </w:r>
      <w:r>
        <w:t xml:space="preserve"> </w:t>
      </w:r>
      <w:r w:rsidR="003C5F99" w:rsidRPr="00946BD1">
        <w:t>https://cer.gov.au/schemes/safeguard-mechanism</w:t>
      </w:r>
    </w:p>
  </w:footnote>
  <w:footnote w:id="3">
    <w:p w14:paraId="54F65E15" w14:textId="617E4500" w:rsidR="004D13A2" w:rsidRPr="00D0347F" w:rsidRDefault="004D13A2">
      <w:pPr>
        <w:pStyle w:val="FootnoteText"/>
        <w:rPr>
          <w:lang w:val="en-AU"/>
        </w:rPr>
      </w:pPr>
      <w:r>
        <w:rPr>
          <w:rStyle w:val="FootnoteReference"/>
        </w:rPr>
        <w:footnoteRef/>
      </w:r>
      <w:r>
        <w:t xml:space="preserve"> </w:t>
      </w:r>
      <w:r w:rsidR="00B71FB4" w:rsidRPr="00B71FB4">
        <w:t>https://cer.gov.au/schemes/national-greenhouse-and-energy-reporting-scheme/report-emissions-and-energy/nger-reporting-guides#nger-quick-help-topics</w:t>
      </w:r>
      <w:r w:rsidR="004871F7">
        <w:t xml:space="preserve"> </w:t>
      </w:r>
    </w:p>
  </w:footnote>
  <w:footnote w:id="4">
    <w:p w14:paraId="74E321B5" w14:textId="4552A3F3" w:rsidR="00016DDD" w:rsidRPr="008F212C" w:rsidRDefault="00016DDD" w:rsidP="00016DDD">
      <w:pPr>
        <w:pStyle w:val="FootnoteText"/>
        <w:rPr>
          <w:lang w:val="en-AU"/>
        </w:rPr>
      </w:pPr>
      <w:r>
        <w:rPr>
          <w:rStyle w:val="FootnoteReference"/>
        </w:rPr>
        <w:footnoteRef/>
      </w:r>
      <w:r>
        <w:t xml:space="preserve"> </w:t>
      </w:r>
      <w:r w:rsidR="003C5F99" w:rsidRPr="00946BD1">
        <w:t>https://www.legislation.gov.au/help-and-resources/understanding-legislation/reading-legislation</w:t>
      </w:r>
      <w:r>
        <w:t xml:space="preserve"> </w:t>
      </w:r>
    </w:p>
  </w:footnote>
  <w:footnote w:id="5">
    <w:p w14:paraId="306072CD" w14:textId="2C01EC31" w:rsidR="001C3815" w:rsidRPr="002B7D58" w:rsidRDefault="001C3815" w:rsidP="001C3815">
      <w:pPr>
        <w:pStyle w:val="FootnoteText"/>
        <w:rPr>
          <w:lang w:val="en-AU"/>
        </w:rPr>
      </w:pPr>
      <w:r w:rsidRPr="002B7D58">
        <w:rPr>
          <w:rStyle w:val="FootnoteReference"/>
        </w:rPr>
        <w:footnoteRef/>
      </w:r>
      <w:r w:rsidRPr="002B7D58">
        <w:t xml:space="preserve"> </w:t>
      </w:r>
      <w:r w:rsidR="006C2A8F" w:rsidRPr="00946BD1">
        <w:t>https://www.legislation.gov.au/Series/C2007A00175</w:t>
      </w:r>
      <w:r w:rsidRPr="002B7D58">
        <w:t xml:space="preserve"> </w:t>
      </w:r>
    </w:p>
  </w:footnote>
  <w:footnote w:id="6">
    <w:p w14:paraId="7F20F950" w14:textId="59F6BFE0" w:rsidR="001C3815" w:rsidRPr="002B7D58" w:rsidRDefault="001C3815" w:rsidP="001C3815">
      <w:pPr>
        <w:pStyle w:val="FootnoteText"/>
        <w:rPr>
          <w:lang w:val="en-AU"/>
        </w:rPr>
      </w:pPr>
      <w:r w:rsidRPr="002B7D58">
        <w:rPr>
          <w:rStyle w:val="FootnoteReference"/>
        </w:rPr>
        <w:footnoteRef/>
      </w:r>
      <w:r w:rsidRPr="002B7D58">
        <w:t xml:space="preserve"> </w:t>
      </w:r>
      <w:r w:rsidR="006C2A8F" w:rsidRPr="00946BD1">
        <w:t>https://www.legislation.gov.au/Series/F2008L0223</w:t>
      </w:r>
    </w:p>
  </w:footnote>
  <w:footnote w:id="7">
    <w:p w14:paraId="2F095FE9" w14:textId="2018A018" w:rsidR="001C3815" w:rsidRPr="002B7D58" w:rsidRDefault="001C3815" w:rsidP="001C3815">
      <w:pPr>
        <w:pStyle w:val="FootnoteText"/>
        <w:rPr>
          <w:lang w:val="en-AU"/>
        </w:rPr>
      </w:pPr>
      <w:r w:rsidRPr="002B7D58">
        <w:rPr>
          <w:rStyle w:val="FootnoteReference"/>
        </w:rPr>
        <w:footnoteRef/>
      </w:r>
      <w:r w:rsidRPr="002B7D58">
        <w:t xml:space="preserve"> </w:t>
      </w:r>
      <w:r w:rsidR="006C2A8F" w:rsidRPr="00946BD1">
        <w:t>https://www.legislation.gov.au/Series/F2008L02309</w:t>
      </w:r>
      <w:r w:rsidRPr="002B7D58">
        <w:t xml:space="preserve"> </w:t>
      </w:r>
    </w:p>
  </w:footnote>
  <w:footnote w:id="8">
    <w:p w14:paraId="15B12C36" w14:textId="52A4CD6F" w:rsidR="001C3815" w:rsidRPr="00740092" w:rsidRDefault="001C3815" w:rsidP="001C3815">
      <w:pPr>
        <w:pStyle w:val="FootnoteText"/>
        <w:rPr>
          <w:lang w:val="en-AU"/>
        </w:rPr>
      </w:pPr>
      <w:r w:rsidRPr="002B7D58">
        <w:rPr>
          <w:rStyle w:val="FootnoteReference"/>
        </w:rPr>
        <w:footnoteRef/>
      </w:r>
      <w:r w:rsidRPr="002B7D58">
        <w:t xml:space="preserve"> </w:t>
      </w:r>
      <w:r w:rsidR="00BB4AE3" w:rsidRPr="00BB4AE3">
        <w:t xml:space="preserve"> </w:t>
      </w:r>
      <w:r w:rsidR="006C2A8F" w:rsidRPr="00946BD1">
        <w:t>https://cer.gov.au/schemes/national-greenhouse-and-energy-reporting-scheme</w:t>
      </w:r>
      <w:r w:rsidR="00BB4AE3">
        <w:rPr>
          <w:rStyle w:val="Hyperlink"/>
          <w:sz w:val="20"/>
        </w:rPr>
        <w:t xml:space="preserve"> </w:t>
      </w:r>
    </w:p>
  </w:footnote>
  <w:footnote w:id="9">
    <w:p w14:paraId="5440D019" w14:textId="59E1F1CC" w:rsidR="004F4464" w:rsidRPr="00906484" w:rsidRDefault="004F4464">
      <w:pPr>
        <w:pStyle w:val="FootnoteText"/>
        <w:rPr>
          <w:lang w:val="en-AU"/>
        </w:rPr>
      </w:pPr>
      <w:r>
        <w:rPr>
          <w:rStyle w:val="FootnoteReference"/>
        </w:rPr>
        <w:footnoteRef/>
      </w:r>
      <w:r>
        <w:t xml:space="preserve"> </w:t>
      </w:r>
      <w:r w:rsidR="006D217E" w:rsidRPr="00946BD1">
        <w:t>https://cer.gov.au/schemes/national-greenhouse-and-energy-reporting-scheme/report-emissions-and-energy/amendments</w:t>
      </w:r>
      <w:r>
        <w:t xml:space="preserve"> </w:t>
      </w:r>
    </w:p>
  </w:footnote>
  <w:footnote w:id="10">
    <w:p w14:paraId="0AA0549F" w14:textId="010E1C04" w:rsidR="001C3815" w:rsidRPr="00A04039" w:rsidRDefault="001C3815" w:rsidP="001C3815">
      <w:pPr>
        <w:pStyle w:val="FootnoteText"/>
      </w:pPr>
      <w:r w:rsidRPr="00A04039">
        <w:rPr>
          <w:rStyle w:val="FootnoteReference"/>
        </w:rPr>
        <w:footnoteRef/>
      </w:r>
      <w:r w:rsidRPr="00A04039">
        <w:t xml:space="preserve"> </w:t>
      </w:r>
      <w:bookmarkStart w:id="32" w:name="_Hlk43901209"/>
      <w:r w:rsidR="006D217E" w:rsidRPr="00946BD1">
        <w:t>https://cer.gov.au/schemes/national-greenhouse-and-energy-reporting-scheme/report-emissions-and-energy/nger-reporting-guides</w:t>
      </w:r>
      <w:r w:rsidR="00761080">
        <w:t xml:space="preserve"> </w:t>
      </w:r>
      <w:bookmarkEnd w:id="32"/>
    </w:p>
  </w:footnote>
  <w:footnote w:id="11">
    <w:p w14:paraId="43DB10DB" w14:textId="4B1899E0" w:rsidR="001C3815" w:rsidRPr="00F149D6" w:rsidRDefault="001C3815" w:rsidP="001C3815">
      <w:pPr>
        <w:pStyle w:val="FootnoteText"/>
        <w:rPr>
          <w:lang w:val="en-AU"/>
        </w:rPr>
      </w:pPr>
      <w:r>
        <w:rPr>
          <w:rStyle w:val="FootnoteReference"/>
        </w:rPr>
        <w:footnoteRef/>
      </w:r>
      <w:r>
        <w:t xml:space="preserve"> </w:t>
      </w:r>
      <w:r w:rsidR="00353F1A" w:rsidRPr="00946BD1">
        <w:t>https://www.industry.gov.au/policies-and-initiatives/australias-climate-change-strategies/tracking-and-reporting-greenhouse-gas-emissions</w:t>
      </w:r>
      <w:r>
        <w:t xml:space="preserve"> </w:t>
      </w:r>
      <w:r w:rsidRPr="00C16F1F" w:rsidDel="00C16F1F">
        <w:t xml:space="preserve"> </w:t>
      </w:r>
    </w:p>
  </w:footnote>
  <w:footnote w:id="12">
    <w:p w14:paraId="46228B22" w14:textId="763F37F9" w:rsidR="001C3815" w:rsidRPr="00CB09E2" w:rsidRDefault="001C3815" w:rsidP="001C3815">
      <w:pPr>
        <w:pStyle w:val="FootnoteText"/>
        <w:rPr>
          <w:lang w:val="en-AU"/>
        </w:rPr>
      </w:pPr>
      <w:r>
        <w:rPr>
          <w:rStyle w:val="FootnoteReference"/>
        </w:rPr>
        <w:footnoteRef/>
      </w:r>
      <w:r>
        <w:t xml:space="preserve"> </w:t>
      </w:r>
      <w:r w:rsidRPr="00CB09E2">
        <w:t xml:space="preserve">Note that there is a difference in meaning between the common usage of the word ‘confidence’ and its statistical usage in relation to </w:t>
      </w:r>
      <w:r>
        <w:t>‘</w:t>
      </w:r>
      <w:r w:rsidRPr="00CB09E2">
        <w:t>95</w:t>
      </w:r>
      <w:r>
        <w:t>%</w:t>
      </w:r>
      <w:r w:rsidRPr="00CB09E2">
        <w:t xml:space="preserve"> confidence interval’. In natural science and technical experiments, it is often standard practice to estimate uncertainty at the 95</w:t>
      </w:r>
      <w:r>
        <w:t>%</w:t>
      </w:r>
      <w:r w:rsidRPr="00CB09E2">
        <w:t xml:space="preserve"> confidence interval. The ‘confidence interval’ is defined by a probability value (in this case a probability of 95</w:t>
      </w:r>
      <w:r>
        <w:t>%</w:t>
      </w:r>
      <w:r w:rsidRPr="00CB09E2">
        <w:t>) and confidence limits on either side of the mean value. This means that the uncertainty level (the +/- percentages – otherwise known as the confidence limits) is to be calculated so that there is a 95</w:t>
      </w:r>
      <w:r>
        <w:t>%</w:t>
      </w:r>
      <w:r w:rsidRPr="00CB09E2">
        <w:t xml:space="preserve"> probability that the true value of the estimate is encompassed by the estimated uncertainty levels (the confidence limits). For example, an emission estimate of 100</w:t>
      </w:r>
      <w:r w:rsidR="0041438C">
        <w:t> </w:t>
      </w:r>
      <w:r w:rsidRPr="00793B33">
        <w:rPr>
          <w:lang w:val="en-AU"/>
        </w:rPr>
        <w:t>kilotonne</w:t>
      </w:r>
      <w:r w:rsidR="0041438C">
        <w:t> </w:t>
      </w:r>
      <w:r>
        <w:t>(</w:t>
      </w:r>
      <w:r w:rsidRPr="00CB09E2">
        <w:t>kt</w:t>
      </w:r>
      <w:r>
        <w:t>)</w:t>
      </w:r>
      <w:r w:rsidRPr="00CB09E2">
        <w:t xml:space="preserve"> +/- 10</w:t>
      </w:r>
      <w:r>
        <w:t>%</w:t>
      </w:r>
      <w:r w:rsidRPr="00CB09E2">
        <w:t xml:space="preserve"> at the 95</w:t>
      </w:r>
      <w:r>
        <w:t>%</w:t>
      </w:r>
      <w:r w:rsidRPr="00CB09E2">
        <w:t xml:space="preserve"> confidence interval means that the true value lies between 90</w:t>
      </w:r>
      <w:r w:rsidR="0041438C">
        <w:t> </w:t>
      </w:r>
      <w:r w:rsidRPr="00CB09E2">
        <w:t>kt and 110</w:t>
      </w:r>
      <w:r w:rsidR="0041438C">
        <w:t> </w:t>
      </w:r>
      <w:r w:rsidRPr="00CB09E2">
        <w:t>kt with a probability of 95</w:t>
      </w:r>
      <w:r>
        <w:t>%</w:t>
      </w:r>
      <w:r w:rsidRPr="00CB09E2">
        <w:t>.</w:t>
      </w:r>
    </w:p>
  </w:footnote>
  <w:footnote w:id="13">
    <w:p w14:paraId="20054111" w14:textId="102D365D" w:rsidR="002E20C7" w:rsidRPr="00E03892" w:rsidRDefault="002E20C7">
      <w:pPr>
        <w:pStyle w:val="FootnoteText"/>
        <w:rPr>
          <w:lang w:val="en-AU"/>
        </w:rPr>
      </w:pPr>
      <w:r>
        <w:rPr>
          <w:rStyle w:val="FootnoteReference"/>
        </w:rPr>
        <w:footnoteRef/>
      </w:r>
      <w:r>
        <w:t xml:space="preserve"> </w:t>
      </w:r>
      <w:r w:rsidR="004F486F" w:rsidRPr="00946BD1">
        <w:t>https://cer.gov.au/document/methods-and-measurement-criteria-guideline</w:t>
      </w:r>
      <w:r>
        <w:t xml:space="preserve"> </w:t>
      </w:r>
    </w:p>
  </w:footnote>
  <w:footnote w:id="14">
    <w:p w14:paraId="7508C35C" w14:textId="08CBF93A" w:rsidR="006820ED" w:rsidRPr="006C7E99" w:rsidRDefault="006820ED" w:rsidP="006820ED">
      <w:pPr>
        <w:pStyle w:val="FootnoteText"/>
        <w:rPr>
          <w:lang w:val="en-AU"/>
        </w:rPr>
      </w:pPr>
      <w:r>
        <w:rPr>
          <w:rStyle w:val="FootnoteReference"/>
        </w:rPr>
        <w:footnoteRef/>
      </w:r>
      <w:r>
        <w:t xml:space="preserve"> </w:t>
      </w:r>
      <w:r w:rsidR="00E52258" w:rsidRPr="00946BD1">
        <w:t>https://cer.gov.au/document_page/reporting-blended-fuels-other-fuel-mixes-bitumen-and-explosives-guideline</w:t>
      </w:r>
      <w:r>
        <w:t xml:space="preserve"> </w:t>
      </w:r>
    </w:p>
  </w:footnote>
  <w:footnote w:id="15">
    <w:p w14:paraId="36406E92" w14:textId="2D11B0E6" w:rsidR="001C3815" w:rsidRPr="00F149D6" w:rsidRDefault="001C3815" w:rsidP="001C3815">
      <w:pPr>
        <w:pStyle w:val="FootnoteText"/>
        <w:rPr>
          <w:lang w:val="en-AU"/>
        </w:rPr>
      </w:pPr>
      <w:r>
        <w:rPr>
          <w:rStyle w:val="FootnoteReference"/>
        </w:rPr>
        <w:footnoteRef/>
      </w:r>
      <w:r>
        <w:t xml:space="preserve"> </w:t>
      </w:r>
      <w:r w:rsidR="00F43D7E" w:rsidRPr="00946BD1">
        <w:t>https://www.dcceew.gov.au/climate-change/publications/national-inventory-reports</w:t>
      </w:r>
      <w:r w:rsidR="00362034">
        <w:t xml:space="preserve"> </w:t>
      </w:r>
    </w:p>
  </w:footnote>
  <w:footnote w:id="16">
    <w:p w14:paraId="393FBA93" w14:textId="04BA6B82" w:rsidR="006C0201" w:rsidRDefault="001C3815" w:rsidP="001C3815">
      <w:pPr>
        <w:pStyle w:val="FootnoteText"/>
      </w:pPr>
      <w:r>
        <w:rPr>
          <w:rStyle w:val="FootnoteReference"/>
        </w:rPr>
        <w:footnoteRef/>
      </w:r>
      <w:r>
        <w:t xml:space="preserve"> </w:t>
      </w:r>
      <w:r w:rsidR="007812C7" w:rsidRPr="00946BD1">
        <w:t>https://store.standards.org.au/product/as-4264-4-1996</w:t>
      </w:r>
      <w:r w:rsidR="006C0201" w:rsidDel="006C0201">
        <w:t xml:space="preserve"> </w:t>
      </w:r>
    </w:p>
    <w:p w14:paraId="60DE9AFF" w14:textId="797EA773" w:rsidR="001C3815" w:rsidRPr="00556C93" w:rsidRDefault="001C3815" w:rsidP="001C3815">
      <w:pPr>
        <w:pStyle w:val="FootnoteText"/>
        <w:rPr>
          <w:lang w:val="en-AU"/>
        </w:rPr>
      </w:pPr>
    </w:p>
  </w:footnote>
  <w:footnote w:id="17">
    <w:p w14:paraId="56ED1F2C" w14:textId="5263D402" w:rsidR="001C3815" w:rsidRPr="00F149D6" w:rsidRDefault="001C3815" w:rsidP="001C3815">
      <w:pPr>
        <w:pStyle w:val="FootnoteText"/>
        <w:rPr>
          <w:lang w:val="en-AU"/>
        </w:rPr>
      </w:pPr>
      <w:r>
        <w:rPr>
          <w:rStyle w:val="FootnoteReference"/>
        </w:rPr>
        <w:footnoteRef/>
      </w:r>
      <w:r>
        <w:t xml:space="preserve"> </w:t>
      </w:r>
      <w:r w:rsidR="007812C7" w:rsidRPr="00946BD1">
        <w:t>https://store.standards.org.au/product/as-3583-2-1991</w:t>
      </w:r>
      <w:r w:rsidR="00F85E67">
        <w:t xml:space="preserve"> </w:t>
      </w:r>
    </w:p>
  </w:footnote>
  <w:footnote w:id="18">
    <w:p w14:paraId="61D1C275" w14:textId="75A1A27A" w:rsidR="001C3815" w:rsidRPr="00F149D6" w:rsidRDefault="001C3815" w:rsidP="001C3815">
      <w:pPr>
        <w:pStyle w:val="FootnoteText"/>
        <w:rPr>
          <w:lang w:val="en-AU"/>
        </w:rPr>
      </w:pPr>
      <w:r>
        <w:rPr>
          <w:rStyle w:val="FootnoteReference"/>
        </w:rPr>
        <w:footnoteRef/>
      </w:r>
      <w:r>
        <w:t xml:space="preserve"> </w:t>
      </w:r>
      <w:r w:rsidR="007812C7" w:rsidRPr="00946BD1">
        <w:t>https://store.standards.org.au/product/as-3583-3-1991</w:t>
      </w:r>
    </w:p>
  </w:footnote>
  <w:footnote w:id="19">
    <w:p w14:paraId="3D6FC7E3" w14:textId="47B081D5" w:rsidR="00DF3ABE" w:rsidRPr="006C7E99" w:rsidRDefault="00DF3ABE" w:rsidP="00DF3ABE">
      <w:pPr>
        <w:pStyle w:val="FootnoteText"/>
        <w:rPr>
          <w:lang w:val="en-AU"/>
        </w:rPr>
      </w:pPr>
      <w:r>
        <w:rPr>
          <w:rStyle w:val="FootnoteReference"/>
        </w:rPr>
        <w:footnoteRef/>
      </w:r>
      <w:r>
        <w:t xml:space="preserve"> </w:t>
      </w:r>
      <w:r w:rsidR="006D6DA1" w:rsidRPr="00946BD1">
        <w:t>https://cer.gov.au/document_page/reporting-blended-fuels-other-fuel-mixes-bitumen-and-explosives-guideline</w:t>
      </w:r>
      <w:r>
        <w:t xml:space="preserve"> </w:t>
      </w:r>
    </w:p>
  </w:footnote>
  <w:footnote w:id="20">
    <w:p w14:paraId="471DFCC9" w14:textId="30FA2DD6" w:rsidR="001C3815" w:rsidRPr="00F149D6" w:rsidRDefault="001C3815" w:rsidP="001C3815">
      <w:pPr>
        <w:pStyle w:val="FootnoteText"/>
        <w:rPr>
          <w:lang w:val="en-AU"/>
        </w:rPr>
      </w:pPr>
      <w:r>
        <w:rPr>
          <w:rStyle w:val="FootnoteReference"/>
        </w:rPr>
        <w:footnoteRef/>
      </w:r>
      <w:r>
        <w:t xml:space="preserve"> </w:t>
      </w:r>
      <w:r w:rsidR="00402E09" w:rsidRPr="00946BD1">
        <w:t>https://ageis.climatechange.gov.au</w:t>
      </w:r>
      <w:r>
        <w:t xml:space="preserve"> </w:t>
      </w:r>
    </w:p>
  </w:footnote>
  <w:footnote w:id="21">
    <w:p w14:paraId="760E1B4F" w14:textId="2FD8786E" w:rsidR="00F90106" w:rsidRPr="00906484" w:rsidRDefault="00F90106">
      <w:pPr>
        <w:pStyle w:val="FootnoteText"/>
        <w:rPr>
          <w:lang w:val="en-AU"/>
        </w:rPr>
      </w:pPr>
      <w:r>
        <w:rPr>
          <w:rStyle w:val="FootnoteReference"/>
        </w:rPr>
        <w:footnoteRef/>
      </w:r>
      <w:r>
        <w:t xml:space="preserve"> </w:t>
      </w:r>
      <w:r w:rsidR="001E1F14" w:rsidRPr="00946BD1">
        <w:t>https://cer.gov.au/document_page/petroleum-based-oils-and-greases-guideline</w:t>
      </w:r>
      <w:r w:rsidR="006F10DA">
        <w:t xml:space="preserve"> </w:t>
      </w:r>
    </w:p>
  </w:footnote>
  <w:footnote w:id="22">
    <w:p w14:paraId="647795A4" w14:textId="5C649092" w:rsidR="001C3815" w:rsidRPr="001A051D" w:rsidRDefault="001C3815" w:rsidP="001C3815">
      <w:pPr>
        <w:pStyle w:val="FootnoteText"/>
        <w:rPr>
          <w:lang w:val="en-AU"/>
        </w:rPr>
      </w:pPr>
      <w:r>
        <w:rPr>
          <w:rStyle w:val="FootnoteReference"/>
        </w:rPr>
        <w:footnoteRef/>
      </w:r>
      <w:r>
        <w:t xml:space="preserve"> </w:t>
      </w:r>
      <w:r w:rsidR="0036009F" w:rsidRPr="00946BD1">
        <w:t>https://cer.gov.au/document_page/estimating-emissions-and-energy-electricity-generation-transmission-and-distribution-sectors</w:t>
      </w:r>
      <w:r>
        <w:t xml:space="preserve"> </w:t>
      </w:r>
    </w:p>
  </w:footnote>
  <w:footnote w:id="23">
    <w:p w14:paraId="5AB4A0A0" w14:textId="46384CF8" w:rsidR="001C3815" w:rsidRPr="00F149D6" w:rsidRDefault="001C3815" w:rsidP="001C3815">
      <w:pPr>
        <w:pStyle w:val="FootnoteText"/>
        <w:rPr>
          <w:lang w:val="en-AU"/>
        </w:rPr>
      </w:pPr>
      <w:r>
        <w:rPr>
          <w:rStyle w:val="FootnoteReference"/>
        </w:rPr>
        <w:footnoteRef/>
      </w:r>
      <w:r>
        <w:t xml:space="preserve"> </w:t>
      </w:r>
      <w:r w:rsidR="0036009F" w:rsidRPr="00946BD1">
        <w:t>https://cer.gov.au/document_page/reporting-uncertainty-guideline</w:t>
      </w:r>
      <w:r>
        <w:t xml:space="preserve"> </w:t>
      </w:r>
    </w:p>
  </w:footnote>
  <w:footnote w:id="24">
    <w:p w14:paraId="5E82F11D" w14:textId="1D94565F" w:rsidR="001C3815" w:rsidRPr="00F149D6" w:rsidRDefault="001C3815" w:rsidP="001C3815">
      <w:pPr>
        <w:pStyle w:val="FootnoteText"/>
        <w:rPr>
          <w:lang w:val="en-AU"/>
        </w:rPr>
      </w:pPr>
      <w:r>
        <w:rPr>
          <w:rStyle w:val="FootnoteReference"/>
        </w:rPr>
        <w:footnoteRef/>
      </w:r>
      <w:r>
        <w:t xml:space="preserve"> </w:t>
      </w:r>
      <w:r w:rsidR="00DE6FFF" w:rsidRPr="00DE6FFF">
        <w:t>https://cer.gov.au/schemes/national-greenhouse-and-energy-reporting-scheme/report-emissions-and-energy/nger-reporting-guides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5302" w14:textId="77777777" w:rsidR="00987F95" w:rsidRDefault="00987F95" w:rsidP="00E349EF">
    <w:pPr>
      <w:pStyle w:val="LegislativesecrecyACT"/>
    </w:pPr>
  </w:p>
  <w:p w14:paraId="1657C533" w14:textId="7D6EAE6C"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31857C65" wp14:editId="31480086">
          <wp:simplePos x="0" y="0"/>
          <wp:positionH relativeFrom="column">
            <wp:posOffset>4721420</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3326" w14:textId="33E264B4" w:rsidR="00CA2954" w:rsidRDefault="008352D1" w:rsidP="00E349EF">
    <w:pPr>
      <w:pStyle w:val="Header"/>
      <w:spacing w:before="600"/>
    </w:pPr>
    <w:r>
      <w:rPr>
        <w:noProof/>
      </w:rPr>
      <w:t xml:space="preserve">  </w:t>
    </w:r>
    <w:r w:rsidR="00CA2954">
      <w:rPr>
        <w:noProof/>
      </w:rPr>
      <w:drawing>
        <wp:inline distT="0" distB="0" distL="0" distR="0" wp14:anchorId="5D91E6F5" wp14:editId="0F3E109B">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A6F88"/>
    <w:multiLevelType w:val="hybridMultilevel"/>
    <w:tmpl w:val="26CAA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531DA3"/>
    <w:multiLevelType w:val="multilevel"/>
    <w:tmpl w:val="78C82B2C"/>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087407FD"/>
    <w:multiLevelType w:val="multilevel"/>
    <w:tmpl w:val="DE5272D0"/>
    <w:lvl w:ilvl="0">
      <w:start w:val="1"/>
      <w:numFmt w:val="lowerLetter"/>
      <w:lvlText w:val="(%1)"/>
      <w:lvlJc w:val="left"/>
      <w:pPr>
        <w:ind w:left="360" w:hanging="360"/>
      </w:pPr>
      <w:rPr>
        <w:rFonts w:cs="Times New Roman" w:hint="default"/>
        <w:color w:val="005874"/>
      </w:rPr>
    </w:lvl>
    <w:lvl w:ilvl="1">
      <w:start w:val="1"/>
      <w:numFmt w:val="bullet"/>
      <w:lvlText w:val="»"/>
      <w:lvlJc w:val="left"/>
      <w:pPr>
        <w:ind w:left="720" w:hanging="360"/>
      </w:pPr>
      <w:rPr>
        <w:rFonts w:ascii="Arial" w:hAnsi="Arial" w:hint="default"/>
        <w:color w:val="005874"/>
      </w:rPr>
    </w:lvl>
    <w:lvl w:ilvl="2">
      <w:start w:val="1"/>
      <w:numFmt w:val="lowerLetter"/>
      <w:lvlText w:val="(%3)"/>
      <w:lvlJc w:val="left"/>
      <w:pPr>
        <w:ind w:left="1080" w:hanging="360"/>
      </w:pPr>
      <w:rPr>
        <w:rFonts w:asciiTheme="minorHAnsi" w:eastAsia="Cambria" w:hAnsiTheme="minorHAnsi" w:cstheme="minorHAnsi"/>
        <w:b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9D159CC"/>
    <w:multiLevelType w:val="multilevel"/>
    <w:tmpl w:val="2092E474"/>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lowerLetter"/>
      <w:lvlText w:val="(%3)"/>
      <w:lvlJc w:val="left"/>
      <w:pPr>
        <w:ind w:left="1080" w:hanging="360"/>
      </w:pPr>
      <w:rPr>
        <w:rFonts w:asciiTheme="minorHAnsi" w:eastAsia="Cambria" w:hAnsiTheme="minorHAnsi" w:cstheme="minorHAnsi"/>
        <w:b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1D547F2"/>
    <w:multiLevelType w:val="hybridMultilevel"/>
    <w:tmpl w:val="CA8E241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13AC726D"/>
    <w:multiLevelType w:val="hybridMultilevel"/>
    <w:tmpl w:val="011498D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174A3816"/>
    <w:multiLevelType w:val="multilevel"/>
    <w:tmpl w:val="DE5272D0"/>
    <w:lvl w:ilvl="0">
      <w:start w:val="1"/>
      <w:numFmt w:val="lowerLetter"/>
      <w:lvlText w:val="(%1)"/>
      <w:lvlJc w:val="left"/>
      <w:pPr>
        <w:ind w:left="360" w:hanging="360"/>
      </w:pPr>
      <w:rPr>
        <w:rFonts w:cs="Times New Roman" w:hint="default"/>
        <w:color w:val="005874"/>
      </w:rPr>
    </w:lvl>
    <w:lvl w:ilvl="1">
      <w:start w:val="1"/>
      <w:numFmt w:val="bullet"/>
      <w:lvlText w:val="»"/>
      <w:lvlJc w:val="left"/>
      <w:pPr>
        <w:ind w:left="720" w:hanging="360"/>
      </w:pPr>
      <w:rPr>
        <w:rFonts w:ascii="Arial" w:hAnsi="Arial" w:hint="default"/>
        <w:color w:val="005874"/>
      </w:rPr>
    </w:lvl>
    <w:lvl w:ilvl="2">
      <w:start w:val="1"/>
      <w:numFmt w:val="lowerLetter"/>
      <w:lvlText w:val="(%3)"/>
      <w:lvlJc w:val="left"/>
      <w:pPr>
        <w:ind w:left="1080" w:hanging="360"/>
      </w:pPr>
      <w:rPr>
        <w:rFonts w:asciiTheme="minorHAnsi" w:eastAsia="Cambria" w:hAnsiTheme="minorHAnsi" w:cstheme="minorHAnsi"/>
        <w:b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CF51F86"/>
    <w:multiLevelType w:val="multilevel"/>
    <w:tmpl w:val="3C22774A"/>
    <w:lvl w:ilvl="0">
      <w:start w:val="1"/>
      <w:numFmt w:val="bullet"/>
      <w:lvlText w:val=""/>
      <w:lvlJc w:val="left"/>
      <w:pPr>
        <w:ind w:left="360" w:hanging="360"/>
      </w:pPr>
      <w:rPr>
        <w:rFonts w:ascii="Symbol" w:hAnsi="Symbol" w:hint="default"/>
        <w:color w:val="005874"/>
      </w:rPr>
    </w:lvl>
    <w:lvl w:ilvl="1">
      <w:start w:val="1"/>
      <w:numFmt w:val="lowerLetter"/>
      <w:lvlText w:val="%2)"/>
      <w:lvlJc w:val="left"/>
      <w:pPr>
        <w:ind w:left="720" w:hanging="360"/>
      </w:pPr>
      <w:rPr>
        <w:rFonts w:hint="default"/>
        <w:color w:val="005874"/>
      </w:rPr>
    </w:lvl>
    <w:lvl w:ilvl="2">
      <w:start w:val="1"/>
      <w:numFmt w:val="lowerLetter"/>
      <w:lvlText w:val="(%3)"/>
      <w:lvlJc w:val="left"/>
      <w:pPr>
        <w:ind w:left="1080" w:hanging="360"/>
      </w:pPr>
      <w:rPr>
        <w:rFonts w:asciiTheme="minorHAnsi" w:eastAsia="Cambria" w:hAnsiTheme="minorHAnsi" w:cstheme="minorHAnsi"/>
        <w:b w:val="0"/>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D061B89"/>
    <w:multiLevelType w:val="multilevel"/>
    <w:tmpl w:val="573AB46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sz w:val="25"/>
        <w:szCs w:val="25"/>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21A44741"/>
    <w:multiLevelType w:val="multilevel"/>
    <w:tmpl w:val="F16EB5E0"/>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B11637"/>
    <w:multiLevelType w:val="multilevel"/>
    <w:tmpl w:val="53A4127A"/>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lowerLetter"/>
      <w:lvlText w:val="(%3)"/>
      <w:lvlJc w:val="left"/>
      <w:pPr>
        <w:ind w:left="1080" w:hanging="360"/>
      </w:pPr>
      <w:rPr>
        <w:rFonts w:asciiTheme="minorHAnsi" w:eastAsia="Cambria" w:hAnsiTheme="minorHAnsi" w:cstheme="minorHAnsi"/>
        <w:b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E43B8D"/>
    <w:multiLevelType w:val="multilevel"/>
    <w:tmpl w:val="9D124DBC"/>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3CB60FB"/>
    <w:multiLevelType w:val="hybridMultilevel"/>
    <w:tmpl w:val="B06227D4"/>
    <w:lvl w:ilvl="0" w:tplc="0C090001">
      <w:start w:val="1"/>
      <w:numFmt w:val="bullet"/>
      <w:lvlText w:val=""/>
      <w:lvlJc w:val="left"/>
      <w:pPr>
        <w:ind w:left="1080" w:hanging="360"/>
      </w:pPr>
      <w:rPr>
        <w:rFonts w:ascii="Symbol" w:hAnsi="Symbol" w:hint="default"/>
      </w:rPr>
    </w:lvl>
    <w:lvl w:ilvl="1" w:tplc="169E0710">
      <w:start w:val="1"/>
      <w:numFmt w:val="bullet"/>
      <w:lvlText w:val="»"/>
      <w:lvlJc w:val="left"/>
      <w:pPr>
        <w:ind w:left="1800" w:hanging="360"/>
      </w:pPr>
      <w:rPr>
        <w:rFonts w:ascii="Courier New" w:hAnsi="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247C5188"/>
    <w:multiLevelType w:val="multilevel"/>
    <w:tmpl w:val="9F8646FE"/>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A181FBF"/>
    <w:multiLevelType w:val="hybridMultilevel"/>
    <w:tmpl w:val="6868ECF0"/>
    <w:lvl w:ilvl="0" w:tplc="3EACCD2A">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B836AD0"/>
    <w:multiLevelType w:val="hybridMultilevel"/>
    <w:tmpl w:val="3618AD24"/>
    <w:lvl w:ilvl="0" w:tplc="19924852">
      <w:start w:val="1"/>
      <w:numFmt w:val="lowerRoman"/>
      <w:lvlText w:val="%1)"/>
      <w:lvlJc w:val="left"/>
      <w:pPr>
        <w:tabs>
          <w:tab w:val="num" w:pos="1440"/>
        </w:tabs>
        <w:ind w:left="1440" w:hanging="720"/>
      </w:pPr>
      <w:rPr>
        <w:rFonts w:cs="Times New Roman" w:hint="default"/>
      </w:rPr>
    </w:lvl>
    <w:lvl w:ilvl="1" w:tplc="0C090019" w:tentative="1">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36" w15:restartNumberingAfterBreak="0">
    <w:nsid w:val="2D1700C5"/>
    <w:multiLevelType w:val="multilevel"/>
    <w:tmpl w:val="050AA180"/>
    <w:lvl w:ilvl="0">
      <w:start w:val="3"/>
      <w:numFmt w:val="decimal"/>
      <w:lvlText w:val="%1."/>
      <w:lvlJc w:val="left"/>
      <w:pPr>
        <w:ind w:left="720" w:hanging="360"/>
      </w:pPr>
      <w:rPr>
        <w:rFonts w:hint="default"/>
        <w:b w:val="0"/>
        <w:bCs w:val="0"/>
      </w:rPr>
    </w:lvl>
    <w:lvl w:ilvl="1">
      <w:start w:val="4"/>
      <w:numFmt w:val="decimal"/>
      <w:isLgl/>
      <w:lvlText w:val="%1.%2."/>
      <w:lvlJc w:val="left"/>
      <w:pPr>
        <w:ind w:left="1050" w:hanging="69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1315F8D"/>
    <w:multiLevelType w:val="multilevel"/>
    <w:tmpl w:val="2092E474"/>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lowerLetter"/>
      <w:lvlText w:val="(%3)"/>
      <w:lvlJc w:val="left"/>
      <w:pPr>
        <w:ind w:left="1080" w:hanging="360"/>
      </w:pPr>
      <w:rPr>
        <w:rFonts w:asciiTheme="minorHAnsi" w:eastAsia="Cambria" w:hAnsiTheme="minorHAnsi" w:cstheme="minorHAnsi"/>
        <w:b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635402F"/>
    <w:multiLevelType w:val="multilevel"/>
    <w:tmpl w:val="AD24E5AE"/>
    <w:lvl w:ilvl="0">
      <w:start w:val="1"/>
      <w:numFmt w:val="lowerLetter"/>
      <w:lvlText w:val="%1)"/>
      <w:lvlJc w:val="left"/>
      <w:pPr>
        <w:ind w:left="360" w:hanging="360"/>
      </w:pPr>
      <w:rPr>
        <w:rFonts w:hint="default"/>
        <w:color w:val="auto"/>
      </w:rPr>
    </w:lvl>
    <w:lvl w:ilvl="1">
      <w:start w:val="1"/>
      <w:numFmt w:val="bullet"/>
      <w:lvlText w:val="»"/>
      <w:lvlJc w:val="left"/>
      <w:pPr>
        <w:ind w:left="720" w:hanging="360"/>
      </w:pPr>
      <w:rPr>
        <w:rFonts w:ascii="Arial" w:hAnsi="Arial" w:hint="default"/>
        <w:color w:val="005874"/>
      </w:rPr>
    </w:lvl>
    <w:lvl w:ilvl="2">
      <w:start w:val="1"/>
      <w:numFmt w:val="lowerLetter"/>
      <w:lvlText w:val="(%3)"/>
      <w:lvlJc w:val="left"/>
      <w:pPr>
        <w:ind w:left="1080" w:hanging="360"/>
      </w:pPr>
      <w:rPr>
        <w:rFonts w:asciiTheme="minorHAnsi" w:eastAsia="Cambria" w:hAnsiTheme="minorHAnsi" w:cstheme="minorHAnsi"/>
        <w:b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6A63A3C"/>
    <w:multiLevelType w:val="hybridMultilevel"/>
    <w:tmpl w:val="7CB6B1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7515457"/>
    <w:multiLevelType w:val="multilevel"/>
    <w:tmpl w:val="2092E474"/>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lowerLetter"/>
      <w:lvlText w:val="(%3)"/>
      <w:lvlJc w:val="left"/>
      <w:pPr>
        <w:ind w:left="1080" w:hanging="360"/>
      </w:pPr>
      <w:rPr>
        <w:rFonts w:asciiTheme="minorHAnsi" w:eastAsia="Cambria" w:hAnsiTheme="minorHAnsi" w:cstheme="minorHAnsi"/>
        <w:b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2" w15:restartNumberingAfterBreak="0">
    <w:nsid w:val="3A120414"/>
    <w:multiLevelType w:val="hybridMultilevel"/>
    <w:tmpl w:val="3348C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3A203031"/>
    <w:multiLevelType w:val="hybridMultilevel"/>
    <w:tmpl w:val="E38272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2284927"/>
    <w:multiLevelType w:val="multilevel"/>
    <w:tmpl w:val="2092E474"/>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lowerLetter"/>
      <w:lvlText w:val="(%3)"/>
      <w:lvlJc w:val="left"/>
      <w:pPr>
        <w:ind w:left="1080" w:hanging="360"/>
      </w:pPr>
      <w:rPr>
        <w:rFonts w:asciiTheme="minorHAnsi" w:eastAsia="Cambria" w:hAnsiTheme="minorHAnsi" w:cstheme="minorHAnsi"/>
        <w:b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A0267F2"/>
    <w:multiLevelType w:val="hybridMultilevel"/>
    <w:tmpl w:val="D6F61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A6430D4"/>
    <w:multiLevelType w:val="multilevel"/>
    <w:tmpl w:val="A8927880"/>
    <w:lvl w:ilvl="0">
      <w:start w:val="4"/>
      <w:numFmt w:val="lowerLetter"/>
      <w:lvlText w:val="(%1)"/>
      <w:lvlJc w:val="left"/>
      <w:pPr>
        <w:ind w:left="360" w:hanging="360"/>
      </w:pPr>
      <w:rPr>
        <w:rFonts w:cs="Times New Roman" w:hint="default"/>
        <w:color w:val="005874"/>
      </w:rPr>
    </w:lvl>
    <w:lvl w:ilvl="1">
      <w:start w:val="1"/>
      <w:numFmt w:val="bullet"/>
      <w:lvlText w:val="»"/>
      <w:lvlJc w:val="left"/>
      <w:pPr>
        <w:ind w:left="720" w:hanging="360"/>
      </w:pPr>
      <w:rPr>
        <w:rFonts w:ascii="Arial" w:hAnsi="Arial" w:hint="default"/>
        <w:color w:val="005874"/>
      </w:rPr>
    </w:lvl>
    <w:lvl w:ilvl="2">
      <w:start w:val="1"/>
      <w:numFmt w:val="lowerLetter"/>
      <w:lvlText w:val="(%3)"/>
      <w:lvlJc w:val="left"/>
      <w:pPr>
        <w:ind w:left="1080" w:hanging="360"/>
      </w:pPr>
      <w:rPr>
        <w:rFonts w:asciiTheme="minorHAnsi" w:eastAsia="Cambria" w:hAnsiTheme="minorHAnsi" w:cstheme="minorHAnsi" w:hint="default"/>
        <w:b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B2E7901"/>
    <w:multiLevelType w:val="hybridMultilevel"/>
    <w:tmpl w:val="F752A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50B31E17"/>
    <w:multiLevelType w:val="multilevel"/>
    <w:tmpl w:val="21D2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24E4040"/>
    <w:multiLevelType w:val="multilevel"/>
    <w:tmpl w:val="2092E474"/>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lowerLetter"/>
      <w:lvlText w:val="(%3)"/>
      <w:lvlJc w:val="left"/>
      <w:pPr>
        <w:ind w:left="1080" w:hanging="360"/>
      </w:pPr>
      <w:rPr>
        <w:rFonts w:asciiTheme="minorHAnsi" w:eastAsia="Cambria" w:hAnsiTheme="minorHAnsi" w:cstheme="minorHAnsi"/>
        <w:b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4BD1A07"/>
    <w:multiLevelType w:val="multilevel"/>
    <w:tmpl w:val="73088B4C"/>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C955ED"/>
    <w:multiLevelType w:val="multilevel"/>
    <w:tmpl w:val="D3064CB0"/>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7" w15:restartNumberingAfterBreak="0">
    <w:nsid w:val="5CFD18CA"/>
    <w:multiLevelType w:val="multilevel"/>
    <w:tmpl w:val="D5A239B8"/>
    <w:lvl w:ilvl="0">
      <w:start w:val="1"/>
      <w:numFmt w:val="decimal"/>
      <w:lvlText w:val="%1."/>
      <w:lvlJc w:val="left"/>
      <w:pPr>
        <w:ind w:left="720" w:hanging="360"/>
      </w:pPr>
      <w:rPr>
        <w:rFonts w:hint="default"/>
        <w:color w:val="006C93" w:themeColor="accent3"/>
      </w:rPr>
    </w:lvl>
    <w:lvl w:ilvl="1">
      <w:start w:val="1"/>
      <w:numFmt w:val="bullet"/>
      <w:lvlText w:val="»"/>
      <w:lvlJc w:val="left"/>
      <w:pPr>
        <w:ind w:left="1080" w:hanging="360"/>
      </w:pPr>
      <w:rPr>
        <w:rFonts w:ascii="Arial" w:hAnsi="Arial" w:hint="default"/>
        <w:color w:val="005874"/>
      </w:rPr>
    </w:lvl>
    <w:lvl w:ilvl="2">
      <w:start w:val="1"/>
      <w:numFmt w:val="bullet"/>
      <w:lvlText w:val="›"/>
      <w:lvlJc w:val="left"/>
      <w:pPr>
        <w:ind w:left="1440" w:hanging="360"/>
      </w:pPr>
      <w:rPr>
        <w:rFonts w:ascii="Arial" w:hAnsi="Arial" w:hint="default"/>
        <w:color w:val="00587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8"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10D0399"/>
    <w:multiLevelType w:val="multilevel"/>
    <w:tmpl w:val="1D7A4C38"/>
    <w:lvl w:ilvl="0">
      <w:start w:val="1"/>
      <w:numFmt w:val="decimal"/>
      <w:lvlText w:val="%1."/>
      <w:lvlJc w:val="left"/>
      <w:pPr>
        <w:ind w:left="357" w:hanging="357"/>
      </w:pPr>
      <w:rPr>
        <w:rFonts w:hint="default"/>
      </w:rPr>
    </w:lvl>
    <w:lvl w:ilvl="1">
      <w:start w:val="1"/>
      <w:numFmt w:val="decimal"/>
      <w:isLgl/>
      <w:lvlText w:val="%1.%2."/>
      <w:lvlJc w:val="left"/>
      <w:pPr>
        <w:ind w:left="357" w:hanging="357"/>
      </w:pPr>
      <w:rPr>
        <w:rFonts w:hint="default"/>
      </w:rPr>
    </w:lvl>
    <w:lvl w:ilvl="2">
      <w:start w:val="1"/>
      <w:numFmt w:val="decimal"/>
      <w:isLgl/>
      <w:lvlText w:val="%1.%2.%3."/>
      <w:lvlJc w:val="left"/>
      <w:pPr>
        <w:ind w:left="357" w:hanging="357"/>
      </w:pPr>
      <w:rPr>
        <w:rFonts w:hint="default"/>
      </w:rPr>
    </w:lvl>
    <w:lvl w:ilvl="3">
      <w:start w:val="1"/>
      <w:numFmt w:val="decimal"/>
      <w:isLgl/>
      <w:lvlText w:val="%1.%2.%3.%4."/>
      <w:lvlJc w:val="left"/>
      <w:pPr>
        <w:ind w:left="357" w:hanging="357"/>
      </w:pPr>
      <w:rPr>
        <w:rFonts w:hint="default"/>
      </w:rPr>
    </w:lvl>
    <w:lvl w:ilvl="4">
      <w:start w:val="1"/>
      <w:numFmt w:val="decimal"/>
      <w:isLgl/>
      <w:lvlText w:val="%1.%2.%3.%4.%5."/>
      <w:lvlJc w:val="left"/>
      <w:pPr>
        <w:ind w:left="357" w:hanging="357"/>
      </w:pPr>
      <w:rPr>
        <w:rFonts w:hint="default"/>
      </w:rPr>
    </w:lvl>
    <w:lvl w:ilvl="5">
      <w:start w:val="1"/>
      <w:numFmt w:val="decimal"/>
      <w:isLgl/>
      <w:lvlText w:val="%1.%2.%3.%4.%5.%6."/>
      <w:lvlJc w:val="left"/>
      <w:pPr>
        <w:ind w:left="357" w:hanging="357"/>
      </w:pPr>
      <w:rPr>
        <w:rFonts w:hint="default"/>
      </w:rPr>
    </w:lvl>
    <w:lvl w:ilvl="6">
      <w:start w:val="1"/>
      <w:numFmt w:val="decimal"/>
      <w:isLgl/>
      <w:lvlText w:val="%1.%2.%3.%4.%5.%6.%7."/>
      <w:lvlJc w:val="left"/>
      <w:pPr>
        <w:ind w:left="357" w:hanging="357"/>
      </w:pPr>
      <w:rPr>
        <w:rFonts w:hint="default"/>
      </w:rPr>
    </w:lvl>
    <w:lvl w:ilvl="7">
      <w:start w:val="1"/>
      <w:numFmt w:val="decimal"/>
      <w:isLgl/>
      <w:lvlText w:val="%1.%2.%3.%4.%5.%6.%7.%8."/>
      <w:lvlJc w:val="left"/>
      <w:pPr>
        <w:ind w:left="357" w:hanging="357"/>
      </w:pPr>
      <w:rPr>
        <w:rFonts w:hint="default"/>
      </w:rPr>
    </w:lvl>
    <w:lvl w:ilvl="8">
      <w:start w:val="1"/>
      <w:numFmt w:val="decimal"/>
      <w:isLgl/>
      <w:lvlText w:val="%1.%2.%3.%4.%5.%6.%7.%8.%9."/>
      <w:lvlJc w:val="left"/>
      <w:pPr>
        <w:ind w:left="357" w:hanging="357"/>
      </w:pPr>
      <w:rPr>
        <w:rFonts w:hint="default"/>
      </w:rPr>
    </w:lvl>
  </w:abstractNum>
  <w:abstractNum w:abstractNumId="60" w15:restartNumberingAfterBreak="0">
    <w:nsid w:val="64601250"/>
    <w:multiLevelType w:val="hybridMultilevel"/>
    <w:tmpl w:val="C84200B4"/>
    <w:lvl w:ilvl="0" w:tplc="0C090001">
      <w:start w:val="1"/>
      <w:numFmt w:val="bullet"/>
      <w:lvlText w:val=""/>
      <w:lvlJc w:val="left"/>
      <w:pPr>
        <w:ind w:left="1080" w:hanging="360"/>
      </w:pPr>
      <w:rPr>
        <w:rFonts w:ascii="Symbol" w:hAnsi="Symbol" w:hint="default"/>
      </w:rPr>
    </w:lvl>
    <w:lvl w:ilvl="1" w:tplc="50761E9A">
      <w:start w:val="1"/>
      <w:numFmt w:val="bullet"/>
      <w:lvlText w:val="»"/>
      <w:lvlJc w:val="left"/>
      <w:pPr>
        <w:ind w:left="1800" w:hanging="360"/>
      </w:pPr>
      <w:rPr>
        <w:rFonts w:ascii="Arial" w:hAnsi="Arial"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646139DD"/>
    <w:multiLevelType w:val="hybridMultilevel"/>
    <w:tmpl w:val="4372CA36"/>
    <w:lvl w:ilvl="0" w:tplc="04090001">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011E0A"/>
    <w:multiLevelType w:val="multilevel"/>
    <w:tmpl w:val="050AA180"/>
    <w:lvl w:ilvl="0">
      <w:start w:val="3"/>
      <w:numFmt w:val="decimal"/>
      <w:lvlText w:val="%1."/>
      <w:lvlJc w:val="left"/>
      <w:pPr>
        <w:ind w:left="720" w:hanging="360"/>
      </w:pPr>
      <w:rPr>
        <w:rFonts w:hint="default"/>
        <w:b w:val="0"/>
        <w:bCs w:val="0"/>
      </w:rPr>
    </w:lvl>
    <w:lvl w:ilvl="1">
      <w:start w:val="4"/>
      <w:numFmt w:val="decimal"/>
      <w:isLgl/>
      <w:lvlText w:val="%1.%2."/>
      <w:lvlJc w:val="left"/>
      <w:pPr>
        <w:ind w:left="1050" w:hanging="69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50B16ED"/>
    <w:multiLevelType w:val="multilevel"/>
    <w:tmpl w:val="5A421D8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9121D50"/>
    <w:multiLevelType w:val="multilevel"/>
    <w:tmpl w:val="5B449B44"/>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A33651B"/>
    <w:multiLevelType w:val="multilevel"/>
    <w:tmpl w:val="DE8AD5AA"/>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A4E06A7"/>
    <w:multiLevelType w:val="multilevel"/>
    <w:tmpl w:val="DE5272D0"/>
    <w:lvl w:ilvl="0">
      <w:start w:val="1"/>
      <w:numFmt w:val="lowerLetter"/>
      <w:lvlText w:val="(%1)"/>
      <w:lvlJc w:val="left"/>
      <w:pPr>
        <w:ind w:left="360" w:hanging="360"/>
      </w:pPr>
      <w:rPr>
        <w:rFonts w:cs="Times New Roman" w:hint="default"/>
        <w:color w:val="005874"/>
      </w:rPr>
    </w:lvl>
    <w:lvl w:ilvl="1">
      <w:start w:val="1"/>
      <w:numFmt w:val="bullet"/>
      <w:lvlText w:val="»"/>
      <w:lvlJc w:val="left"/>
      <w:pPr>
        <w:ind w:left="720" w:hanging="360"/>
      </w:pPr>
      <w:rPr>
        <w:rFonts w:ascii="Arial" w:hAnsi="Arial" w:hint="default"/>
        <w:color w:val="005874"/>
      </w:rPr>
    </w:lvl>
    <w:lvl w:ilvl="2">
      <w:start w:val="1"/>
      <w:numFmt w:val="lowerLetter"/>
      <w:lvlText w:val="(%3)"/>
      <w:lvlJc w:val="left"/>
      <w:pPr>
        <w:ind w:left="1080" w:hanging="360"/>
      </w:pPr>
      <w:rPr>
        <w:rFonts w:asciiTheme="minorHAnsi" w:eastAsia="Cambria" w:hAnsiTheme="minorHAnsi" w:cstheme="minorHAnsi"/>
        <w:b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CB9524E"/>
    <w:multiLevelType w:val="hybridMultilevel"/>
    <w:tmpl w:val="2D06ADC0"/>
    <w:lvl w:ilvl="0" w:tplc="4A8C70A2">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69" w15:restartNumberingAfterBreak="0">
    <w:nsid w:val="6DE529C2"/>
    <w:multiLevelType w:val="multilevel"/>
    <w:tmpl w:val="BAE44DB6"/>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73B95DFA"/>
    <w:multiLevelType w:val="hybridMultilevel"/>
    <w:tmpl w:val="22F8C76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768E7DD7"/>
    <w:multiLevelType w:val="hybridMultilevel"/>
    <w:tmpl w:val="C4E4F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8761F77"/>
    <w:multiLevelType w:val="multilevel"/>
    <w:tmpl w:val="3CE0E580"/>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790F16CF"/>
    <w:multiLevelType w:val="hybridMultilevel"/>
    <w:tmpl w:val="46405A2C"/>
    <w:lvl w:ilvl="0" w:tplc="0C090003">
      <w:start w:val="1"/>
      <w:numFmt w:val="lowerLetter"/>
      <w:lvlText w:val="(%1)"/>
      <w:lvlJc w:val="left"/>
      <w:pPr>
        <w:tabs>
          <w:tab w:val="num" w:pos="720"/>
        </w:tabs>
        <w:ind w:left="720" w:hanging="360"/>
      </w:pPr>
      <w:rPr>
        <w:rFonts w:cs="Times New Roman" w:hint="default"/>
      </w:rPr>
    </w:lvl>
    <w:lvl w:ilvl="1" w:tplc="0C090003">
      <w:start w:val="1"/>
      <w:numFmt w:val="decimal"/>
      <w:lvlText w:val="%2"/>
      <w:lvlJc w:val="left"/>
      <w:pPr>
        <w:tabs>
          <w:tab w:val="num" w:pos="1440"/>
        </w:tabs>
        <w:ind w:left="1440" w:hanging="360"/>
      </w:pPr>
      <w:rPr>
        <w:rFonts w:cs="Times New Roman" w:hint="default"/>
      </w:rPr>
    </w:lvl>
    <w:lvl w:ilvl="2" w:tplc="0C090005" w:tentative="1">
      <w:start w:val="1"/>
      <w:numFmt w:val="lowerRoman"/>
      <w:lvlText w:val="%3."/>
      <w:lvlJc w:val="right"/>
      <w:pPr>
        <w:tabs>
          <w:tab w:val="num" w:pos="2160"/>
        </w:tabs>
        <w:ind w:left="2160" w:hanging="180"/>
      </w:pPr>
      <w:rPr>
        <w:rFonts w:cs="Times New Roman"/>
      </w:rPr>
    </w:lvl>
    <w:lvl w:ilvl="3" w:tplc="0C090001" w:tentative="1">
      <w:start w:val="1"/>
      <w:numFmt w:val="decimal"/>
      <w:lvlText w:val="%4."/>
      <w:lvlJc w:val="left"/>
      <w:pPr>
        <w:tabs>
          <w:tab w:val="num" w:pos="2880"/>
        </w:tabs>
        <w:ind w:left="2880" w:hanging="360"/>
      </w:pPr>
      <w:rPr>
        <w:rFonts w:cs="Times New Roman"/>
      </w:rPr>
    </w:lvl>
    <w:lvl w:ilvl="4" w:tplc="0C090003" w:tentative="1">
      <w:start w:val="1"/>
      <w:numFmt w:val="lowerLetter"/>
      <w:lvlText w:val="%5."/>
      <w:lvlJc w:val="left"/>
      <w:pPr>
        <w:tabs>
          <w:tab w:val="num" w:pos="3600"/>
        </w:tabs>
        <w:ind w:left="3600" w:hanging="360"/>
      </w:pPr>
      <w:rPr>
        <w:rFonts w:cs="Times New Roman"/>
      </w:rPr>
    </w:lvl>
    <w:lvl w:ilvl="5" w:tplc="0C090005" w:tentative="1">
      <w:start w:val="1"/>
      <w:numFmt w:val="lowerRoman"/>
      <w:lvlText w:val="%6."/>
      <w:lvlJc w:val="right"/>
      <w:pPr>
        <w:tabs>
          <w:tab w:val="num" w:pos="4320"/>
        </w:tabs>
        <w:ind w:left="4320" w:hanging="180"/>
      </w:pPr>
      <w:rPr>
        <w:rFonts w:cs="Times New Roman"/>
      </w:rPr>
    </w:lvl>
    <w:lvl w:ilvl="6" w:tplc="0C090001" w:tentative="1">
      <w:start w:val="1"/>
      <w:numFmt w:val="decimal"/>
      <w:lvlText w:val="%7."/>
      <w:lvlJc w:val="left"/>
      <w:pPr>
        <w:tabs>
          <w:tab w:val="num" w:pos="5040"/>
        </w:tabs>
        <w:ind w:left="5040" w:hanging="360"/>
      </w:pPr>
      <w:rPr>
        <w:rFonts w:cs="Times New Roman"/>
      </w:rPr>
    </w:lvl>
    <w:lvl w:ilvl="7" w:tplc="0C090003" w:tentative="1">
      <w:start w:val="1"/>
      <w:numFmt w:val="lowerLetter"/>
      <w:lvlText w:val="%8."/>
      <w:lvlJc w:val="left"/>
      <w:pPr>
        <w:tabs>
          <w:tab w:val="num" w:pos="5760"/>
        </w:tabs>
        <w:ind w:left="5760" w:hanging="360"/>
      </w:pPr>
      <w:rPr>
        <w:rFonts w:cs="Times New Roman"/>
      </w:rPr>
    </w:lvl>
    <w:lvl w:ilvl="8" w:tplc="0C090005" w:tentative="1">
      <w:start w:val="1"/>
      <w:numFmt w:val="lowerRoman"/>
      <w:lvlText w:val="%9."/>
      <w:lvlJc w:val="right"/>
      <w:pPr>
        <w:tabs>
          <w:tab w:val="num" w:pos="6480"/>
        </w:tabs>
        <w:ind w:left="6480" w:hanging="180"/>
      </w:pPr>
      <w:rPr>
        <w:rFonts w:cs="Times New Roman"/>
      </w:rPr>
    </w:lvl>
  </w:abstractNum>
  <w:abstractNum w:abstractNumId="74" w15:restartNumberingAfterBreak="0">
    <w:nsid w:val="79DB23C0"/>
    <w:multiLevelType w:val="multilevel"/>
    <w:tmpl w:val="11A43BFC"/>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A5151B0"/>
    <w:multiLevelType w:val="hybridMultilevel"/>
    <w:tmpl w:val="73641CB6"/>
    <w:lvl w:ilvl="0" w:tplc="CC4E4586">
      <w:start w:val="1"/>
      <w:numFmt w:val="decimal"/>
      <w:lvlText w:val="%1."/>
      <w:lvlJc w:val="left"/>
      <w:pPr>
        <w:ind w:left="340" w:hanging="34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E096033"/>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8047229">
    <w:abstractNumId w:val="50"/>
  </w:num>
  <w:num w:numId="2" w16cid:durableId="828205622">
    <w:abstractNumId w:val="31"/>
  </w:num>
  <w:num w:numId="3" w16cid:durableId="2046782690">
    <w:abstractNumId w:val="32"/>
  </w:num>
  <w:num w:numId="4" w16cid:durableId="500656000">
    <w:abstractNumId w:val="14"/>
  </w:num>
  <w:num w:numId="5" w16cid:durableId="1850438783">
    <w:abstractNumId w:val="16"/>
  </w:num>
  <w:num w:numId="6" w16cid:durableId="28115375">
    <w:abstractNumId w:val="41"/>
  </w:num>
  <w:num w:numId="7" w16cid:durableId="591937058">
    <w:abstractNumId w:val="56"/>
  </w:num>
  <w:num w:numId="8" w16cid:durableId="2003848107">
    <w:abstractNumId w:val="16"/>
  </w:num>
  <w:num w:numId="9" w16cid:durableId="1579293262">
    <w:abstractNumId w:val="9"/>
  </w:num>
  <w:num w:numId="10" w16cid:durableId="991326670">
    <w:abstractNumId w:val="7"/>
  </w:num>
  <w:num w:numId="11" w16cid:durableId="566653349">
    <w:abstractNumId w:val="6"/>
  </w:num>
  <w:num w:numId="12" w16cid:durableId="1834104528">
    <w:abstractNumId w:val="5"/>
  </w:num>
  <w:num w:numId="13" w16cid:durableId="1778720202">
    <w:abstractNumId w:val="4"/>
  </w:num>
  <w:num w:numId="14" w16cid:durableId="104036730">
    <w:abstractNumId w:val="8"/>
  </w:num>
  <w:num w:numId="15" w16cid:durableId="1529946704">
    <w:abstractNumId w:val="3"/>
  </w:num>
  <w:num w:numId="16" w16cid:durableId="1434788813">
    <w:abstractNumId w:val="2"/>
  </w:num>
  <w:num w:numId="17" w16cid:durableId="825704475">
    <w:abstractNumId w:val="1"/>
  </w:num>
  <w:num w:numId="18" w16cid:durableId="2088376687">
    <w:abstractNumId w:val="0"/>
  </w:num>
  <w:num w:numId="19" w16cid:durableId="1845974421">
    <w:abstractNumId w:val="13"/>
  </w:num>
  <w:num w:numId="20" w16cid:durableId="1738629698">
    <w:abstractNumId w:val="22"/>
  </w:num>
  <w:num w:numId="21" w16cid:durableId="67240323">
    <w:abstractNumId w:val="74"/>
  </w:num>
  <w:num w:numId="22" w16cid:durableId="1558198137">
    <w:abstractNumId w:val="11"/>
  </w:num>
  <w:num w:numId="23" w16cid:durableId="953752410">
    <w:abstractNumId w:val="76"/>
  </w:num>
  <w:num w:numId="24" w16cid:durableId="86780496">
    <w:abstractNumId w:val="44"/>
  </w:num>
  <w:num w:numId="25" w16cid:durableId="160509488">
    <w:abstractNumId w:val="33"/>
  </w:num>
  <w:num w:numId="26" w16cid:durableId="589432220">
    <w:abstractNumId w:val="28"/>
  </w:num>
  <w:num w:numId="27" w16cid:durableId="187069191">
    <w:abstractNumId w:val="67"/>
  </w:num>
  <w:num w:numId="28" w16cid:durableId="547566974">
    <w:abstractNumId w:val="54"/>
  </w:num>
  <w:num w:numId="29" w16cid:durableId="1487894493">
    <w:abstractNumId w:val="49"/>
  </w:num>
  <w:num w:numId="30" w16cid:durableId="1445686536">
    <w:abstractNumId w:val="57"/>
  </w:num>
  <w:num w:numId="31" w16cid:durableId="1290281742">
    <w:abstractNumId w:val="63"/>
  </w:num>
  <w:num w:numId="32" w16cid:durableId="1918828699">
    <w:abstractNumId w:val="12"/>
  </w:num>
  <w:num w:numId="33" w16cid:durableId="367224362">
    <w:abstractNumId w:val="58"/>
  </w:num>
  <w:num w:numId="34" w16cid:durableId="20788816">
    <w:abstractNumId w:val="42"/>
  </w:num>
  <w:num w:numId="35" w16cid:durableId="1931043019">
    <w:abstractNumId w:val="70"/>
  </w:num>
  <w:num w:numId="36" w16cid:durableId="466434210">
    <w:abstractNumId w:val="24"/>
  </w:num>
  <w:num w:numId="37" w16cid:durableId="900361203">
    <w:abstractNumId w:val="27"/>
  </w:num>
  <w:num w:numId="38" w16cid:durableId="1999456951">
    <w:abstractNumId w:val="68"/>
  </w:num>
  <w:num w:numId="39" w16cid:durableId="253756519">
    <w:abstractNumId w:val="23"/>
  </w:num>
  <w:num w:numId="40" w16cid:durableId="620301028">
    <w:abstractNumId w:val="73"/>
  </w:num>
  <w:num w:numId="41" w16cid:durableId="1513226783">
    <w:abstractNumId w:val="35"/>
  </w:num>
  <w:num w:numId="42" w16cid:durableId="874347521">
    <w:abstractNumId w:val="75"/>
  </w:num>
  <w:num w:numId="43" w16cid:durableId="726490765">
    <w:abstractNumId w:val="39"/>
  </w:num>
  <w:num w:numId="44" w16cid:durableId="1124151438">
    <w:abstractNumId w:val="43"/>
  </w:num>
  <w:num w:numId="45" w16cid:durableId="794100436">
    <w:abstractNumId w:val="61"/>
  </w:num>
  <w:num w:numId="46" w16cid:durableId="215629882">
    <w:abstractNumId w:val="77"/>
  </w:num>
  <w:num w:numId="47" w16cid:durableId="799343707">
    <w:abstractNumId w:val="48"/>
  </w:num>
  <w:num w:numId="48" w16cid:durableId="1036585910">
    <w:abstractNumId w:val="71"/>
  </w:num>
  <w:num w:numId="49" w16cid:durableId="1206405453">
    <w:abstractNumId w:val="59"/>
  </w:num>
  <w:num w:numId="50" w16cid:durableId="495001055">
    <w:abstractNumId w:val="18"/>
  </w:num>
  <w:num w:numId="51" w16cid:durableId="1715737653">
    <w:abstractNumId w:val="21"/>
  </w:num>
  <w:num w:numId="52" w16cid:durableId="784272469">
    <w:abstractNumId w:val="17"/>
  </w:num>
  <w:num w:numId="53" w16cid:durableId="1279876492">
    <w:abstractNumId w:val="37"/>
  </w:num>
  <w:num w:numId="54" w16cid:durableId="1347176178">
    <w:abstractNumId w:val="45"/>
  </w:num>
  <w:num w:numId="55" w16cid:durableId="1358391222">
    <w:abstractNumId w:val="52"/>
  </w:num>
  <w:num w:numId="56" w16cid:durableId="901712907">
    <w:abstractNumId w:val="66"/>
  </w:num>
  <w:num w:numId="57" w16cid:durableId="210269202">
    <w:abstractNumId w:val="40"/>
  </w:num>
  <w:num w:numId="58" w16cid:durableId="121249439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06880107">
    <w:abstractNumId w:val="47"/>
  </w:num>
  <w:num w:numId="60" w16cid:durableId="1809978899">
    <w:abstractNumId w:val="20"/>
  </w:num>
  <w:num w:numId="61" w16cid:durableId="1511526200">
    <w:abstractNumId w:val="29"/>
  </w:num>
  <w:num w:numId="62" w16cid:durableId="438182827">
    <w:abstractNumId w:val="60"/>
  </w:num>
  <w:num w:numId="63" w16cid:durableId="1822769699">
    <w:abstractNumId w:val="10"/>
  </w:num>
  <w:num w:numId="64" w16cid:durableId="26298279">
    <w:abstractNumId w:val="36"/>
  </w:num>
  <w:num w:numId="65" w16cid:durableId="516575346">
    <w:abstractNumId w:val="34"/>
  </w:num>
  <w:num w:numId="66" w16cid:durableId="1648509913">
    <w:abstractNumId w:val="69"/>
  </w:num>
  <w:num w:numId="67" w16cid:durableId="796727219">
    <w:abstractNumId w:val="65"/>
  </w:num>
  <w:num w:numId="68" w16cid:durableId="1392995740">
    <w:abstractNumId w:val="55"/>
  </w:num>
  <w:num w:numId="69" w16cid:durableId="979841079">
    <w:abstractNumId w:val="30"/>
  </w:num>
  <w:num w:numId="70" w16cid:durableId="1482118879">
    <w:abstractNumId w:val="25"/>
  </w:num>
  <w:num w:numId="71" w16cid:durableId="1748729021">
    <w:abstractNumId w:val="53"/>
  </w:num>
  <w:num w:numId="72" w16cid:durableId="870269532">
    <w:abstractNumId w:val="26"/>
  </w:num>
  <w:num w:numId="73" w16cid:durableId="400374947">
    <w:abstractNumId w:val="38"/>
  </w:num>
  <w:num w:numId="74" w16cid:durableId="1800763734">
    <w:abstractNumId w:val="72"/>
  </w:num>
  <w:num w:numId="75" w16cid:durableId="750664339">
    <w:abstractNumId w:val="15"/>
  </w:num>
  <w:num w:numId="76" w16cid:durableId="1515726440">
    <w:abstractNumId w:val="64"/>
  </w:num>
  <w:num w:numId="77" w16cid:durableId="154928869">
    <w:abstractNumId w:val="51"/>
  </w:num>
  <w:num w:numId="78" w16cid:durableId="1299457871">
    <w:abstractNumId w:val="46"/>
  </w:num>
  <w:num w:numId="79" w16cid:durableId="226190376">
    <w:abstractNumId w:val="62"/>
  </w:num>
  <w:num w:numId="80" w16cid:durableId="1483812373">
    <w:abstractNumId w:val="1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revisionView w:inkAnnotations="0"/>
  <w:documentProtection w:edit="readOnly" w:enforcement="1" w:spinCount="100000" w:hashValue="tiFDNm4A170ExF+TYH+lFoQ2BMftgPYpAY/X1KBChr4=" w:saltValue="t94R8F8DY5Uy5gwG7iHflQ=="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B2"/>
    <w:rsid w:val="0000192B"/>
    <w:rsid w:val="000034DD"/>
    <w:rsid w:val="00003AC6"/>
    <w:rsid w:val="000046FB"/>
    <w:rsid w:val="00012FE4"/>
    <w:rsid w:val="00014C46"/>
    <w:rsid w:val="00015D28"/>
    <w:rsid w:val="0001601D"/>
    <w:rsid w:val="000164C7"/>
    <w:rsid w:val="000168B7"/>
    <w:rsid w:val="00016DDD"/>
    <w:rsid w:val="00016F53"/>
    <w:rsid w:val="000227B0"/>
    <w:rsid w:val="0002292A"/>
    <w:rsid w:val="0002468B"/>
    <w:rsid w:val="00026522"/>
    <w:rsid w:val="000265DE"/>
    <w:rsid w:val="00027A9C"/>
    <w:rsid w:val="00031090"/>
    <w:rsid w:val="00031099"/>
    <w:rsid w:val="00031682"/>
    <w:rsid w:val="00032ED8"/>
    <w:rsid w:val="0003441A"/>
    <w:rsid w:val="00035321"/>
    <w:rsid w:val="0003582F"/>
    <w:rsid w:val="000369FF"/>
    <w:rsid w:val="000378B6"/>
    <w:rsid w:val="00040B0E"/>
    <w:rsid w:val="00042519"/>
    <w:rsid w:val="00043B52"/>
    <w:rsid w:val="0004400D"/>
    <w:rsid w:val="000442F7"/>
    <w:rsid w:val="00047AE7"/>
    <w:rsid w:val="000510E1"/>
    <w:rsid w:val="00051810"/>
    <w:rsid w:val="000533AE"/>
    <w:rsid w:val="00053895"/>
    <w:rsid w:val="00056650"/>
    <w:rsid w:val="00056FF0"/>
    <w:rsid w:val="0005769F"/>
    <w:rsid w:val="00057ABC"/>
    <w:rsid w:val="0006120E"/>
    <w:rsid w:val="000615EF"/>
    <w:rsid w:val="00061800"/>
    <w:rsid w:val="00062182"/>
    <w:rsid w:val="0006349F"/>
    <w:rsid w:val="00064BDA"/>
    <w:rsid w:val="00065B1A"/>
    <w:rsid w:val="00066ED7"/>
    <w:rsid w:val="00066EFB"/>
    <w:rsid w:val="000678AA"/>
    <w:rsid w:val="0007081F"/>
    <w:rsid w:val="00071443"/>
    <w:rsid w:val="00072139"/>
    <w:rsid w:val="000725AF"/>
    <w:rsid w:val="00072EDB"/>
    <w:rsid w:val="000749BD"/>
    <w:rsid w:val="000749D7"/>
    <w:rsid w:val="00074C62"/>
    <w:rsid w:val="00074D48"/>
    <w:rsid w:val="00075587"/>
    <w:rsid w:val="00075EA6"/>
    <w:rsid w:val="00076112"/>
    <w:rsid w:val="0008045B"/>
    <w:rsid w:val="00080964"/>
    <w:rsid w:val="0008125F"/>
    <w:rsid w:val="00082001"/>
    <w:rsid w:val="00083E33"/>
    <w:rsid w:val="00083FFC"/>
    <w:rsid w:val="00085C0E"/>
    <w:rsid w:val="000873E6"/>
    <w:rsid w:val="000906DE"/>
    <w:rsid w:val="0009091D"/>
    <w:rsid w:val="00091145"/>
    <w:rsid w:val="00091282"/>
    <w:rsid w:val="00092AE1"/>
    <w:rsid w:val="000948C0"/>
    <w:rsid w:val="000948D5"/>
    <w:rsid w:val="0009519C"/>
    <w:rsid w:val="000956FF"/>
    <w:rsid w:val="000960DD"/>
    <w:rsid w:val="00096632"/>
    <w:rsid w:val="00096878"/>
    <w:rsid w:val="000974DC"/>
    <w:rsid w:val="000A00DD"/>
    <w:rsid w:val="000A0DD5"/>
    <w:rsid w:val="000A2AD5"/>
    <w:rsid w:val="000A2CDA"/>
    <w:rsid w:val="000A3011"/>
    <w:rsid w:val="000A322A"/>
    <w:rsid w:val="000A385F"/>
    <w:rsid w:val="000A41F2"/>
    <w:rsid w:val="000A4848"/>
    <w:rsid w:val="000A4D88"/>
    <w:rsid w:val="000A62BB"/>
    <w:rsid w:val="000A68D9"/>
    <w:rsid w:val="000A6BEF"/>
    <w:rsid w:val="000A737F"/>
    <w:rsid w:val="000A7819"/>
    <w:rsid w:val="000B2225"/>
    <w:rsid w:val="000B5826"/>
    <w:rsid w:val="000B5835"/>
    <w:rsid w:val="000B6323"/>
    <w:rsid w:val="000C255F"/>
    <w:rsid w:val="000C3C41"/>
    <w:rsid w:val="000C45E3"/>
    <w:rsid w:val="000C4E68"/>
    <w:rsid w:val="000C5CE4"/>
    <w:rsid w:val="000C5EDC"/>
    <w:rsid w:val="000C7DB2"/>
    <w:rsid w:val="000D0AC8"/>
    <w:rsid w:val="000D0DA7"/>
    <w:rsid w:val="000D29C2"/>
    <w:rsid w:val="000D5090"/>
    <w:rsid w:val="000D55C1"/>
    <w:rsid w:val="000D66EF"/>
    <w:rsid w:val="000E034C"/>
    <w:rsid w:val="000E0691"/>
    <w:rsid w:val="000E2397"/>
    <w:rsid w:val="000E35EC"/>
    <w:rsid w:val="000E37F9"/>
    <w:rsid w:val="000E4247"/>
    <w:rsid w:val="000E4E24"/>
    <w:rsid w:val="000E4E8F"/>
    <w:rsid w:val="000E5A13"/>
    <w:rsid w:val="000E7826"/>
    <w:rsid w:val="000F075F"/>
    <w:rsid w:val="000F0A13"/>
    <w:rsid w:val="000F2006"/>
    <w:rsid w:val="000F203C"/>
    <w:rsid w:val="000F20E1"/>
    <w:rsid w:val="000F5860"/>
    <w:rsid w:val="000F61F0"/>
    <w:rsid w:val="000F6B44"/>
    <w:rsid w:val="00103EC4"/>
    <w:rsid w:val="0010442E"/>
    <w:rsid w:val="00104784"/>
    <w:rsid w:val="001052FE"/>
    <w:rsid w:val="00105423"/>
    <w:rsid w:val="00105682"/>
    <w:rsid w:val="001079EC"/>
    <w:rsid w:val="001100C1"/>
    <w:rsid w:val="00110196"/>
    <w:rsid w:val="00110663"/>
    <w:rsid w:val="001112E0"/>
    <w:rsid w:val="00111395"/>
    <w:rsid w:val="0011159B"/>
    <w:rsid w:val="001115C2"/>
    <w:rsid w:val="00111D8D"/>
    <w:rsid w:val="00111FE5"/>
    <w:rsid w:val="00112BD8"/>
    <w:rsid w:val="00112E29"/>
    <w:rsid w:val="001144DD"/>
    <w:rsid w:val="00114A41"/>
    <w:rsid w:val="00114E7B"/>
    <w:rsid w:val="00114EFA"/>
    <w:rsid w:val="00115A1C"/>
    <w:rsid w:val="00117043"/>
    <w:rsid w:val="001206AE"/>
    <w:rsid w:val="00121AFA"/>
    <w:rsid w:val="00121DF8"/>
    <w:rsid w:val="00124BC7"/>
    <w:rsid w:val="00125E12"/>
    <w:rsid w:val="00125FC3"/>
    <w:rsid w:val="00126048"/>
    <w:rsid w:val="0012729F"/>
    <w:rsid w:val="001276AA"/>
    <w:rsid w:val="0013040E"/>
    <w:rsid w:val="001309F5"/>
    <w:rsid w:val="0013356F"/>
    <w:rsid w:val="001337D9"/>
    <w:rsid w:val="001348DD"/>
    <w:rsid w:val="00135226"/>
    <w:rsid w:val="00135385"/>
    <w:rsid w:val="00136416"/>
    <w:rsid w:val="001371AF"/>
    <w:rsid w:val="00137471"/>
    <w:rsid w:val="001376F2"/>
    <w:rsid w:val="0014088C"/>
    <w:rsid w:val="00140939"/>
    <w:rsid w:val="0014105B"/>
    <w:rsid w:val="001453E8"/>
    <w:rsid w:val="00146CC9"/>
    <w:rsid w:val="00146F3D"/>
    <w:rsid w:val="00146FC8"/>
    <w:rsid w:val="001512C0"/>
    <w:rsid w:val="00152842"/>
    <w:rsid w:val="001538AC"/>
    <w:rsid w:val="00153E80"/>
    <w:rsid w:val="001540F4"/>
    <w:rsid w:val="001559B6"/>
    <w:rsid w:val="00156D2A"/>
    <w:rsid w:val="00156F93"/>
    <w:rsid w:val="00157175"/>
    <w:rsid w:val="00157397"/>
    <w:rsid w:val="00162114"/>
    <w:rsid w:val="0016269D"/>
    <w:rsid w:val="00162DB4"/>
    <w:rsid w:val="00162E5A"/>
    <w:rsid w:val="00163285"/>
    <w:rsid w:val="00164EBE"/>
    <w:rsid w:val="001651A1"/>
    <w:rsid w:val="001651F7"/>
    <w:rsid w:val="00165483"/>
    <w:rsid w:val="00165C70"/>
    <w:rsid w:val="00165E2F"/>
    <w:rsid w:val="00166274"/>
    <w:rsid w:val="00166FC1"/>
    <w:rsid w:val="00167D27"/>
    <w:rsid w:val="00172F37"/>
    <w:rsid w:val="001736DE"/>
    <w:rsid w:val="00173E56"/>
    <w:rsid w:val="00174AA2"/>
    <w:rsid w:val="00176871"/>
    <w:rsid w:val="00176C28"/>
    <w:rsid w:val="00177B5F"/>
    <w:rsid w:val="001804F7"/>
    <w:rsid w:val="001808F1"/>
    <w:rsid w:val="001813DE"/>
    <w:rsid w:val="001818A9"/>
    <w:rsid w:val="00183065"/>
    <w:rsid w:val="00183341"/>
    <w:rsid w:val="0018349E"/>
    <w:rsid w:val="00183817"/>
    <w:rsid w:val="001843A7"/>
    <w:rsid w:val="00184C96"/>
    <w:rsid w:val="001856A4"/>
    <w:rsid w:val="00186186"/>
    <w:rsid w:val="00187432"/>
    <w:rsid w:val="00187B2E"/>
    <w:rsid w:val="0019087A"/>
    <w:rsid w:val="00192532"/>
    <w:rsid w:val="001937C8"/>
    <w:rsid w:val="001939CE"/>
    <w:rsid w:val="00193A6C"/>
    <w:rsid w:val="0019639D"/>
    <w:rsid w:val="001966CD"/>
    <w:rsid w:val="00196966"/>
    <w:rsid w:val="00197769"/>
    <w:rsid w:val="00197BD1"/>
    <w:rsid w:val="00197F43"/>
    <w:rsid w:val="001A1D08"/>
    <w:rsid w:val="001A25F1"/>
    <w:rsid w:val="001A29F3"/>
    <w:rsid w:val="001A4D0B"/>
    <w:rsid w:val="001A7C1F"/>
    <w:rsid w:val="001B1A4E"/>
    <w:rsid w:val="001B2A44"/>
    <w:rsid w:val="001B333D"/>
    <w:rsid w:val="001B3A16"/>
    <w:rsid w:val="001B45BA"/>
    <w:rsid w:val="001B5867"/>
    <w:rsid w:val="001B66AA"/>
    <w:rsid w:val="001C0B1A"/>
    <w:rsid w:val="001C14F4"/>
    <w:rsid w:val="001C191F"/>
    <w:rsid w:val="001C2CB6"/>
    <w:rsid w:val="001C3815"/>
    <w:rsid w:val="001C6E61"/>
    <w:rsid w:val="001C7190"/>
    <w:rsid w:val="001C7430"/>
    <w:rsid w:val="001C7D81"/>
    <w:rsid w:val="001D2DB3"/>
    <w:rsid w:val="001D35F4"/>
    <w:rsid w:val="001D3E7E"/>
    <w:rsid w:val="001D5A9F"/>
    <w:rsid w:val="001D5E01"/>
    <w:rsid w:val="001E0ABF"/>
    <w:rsid w:val="001E1E08"/>
    <w:rsid w:val="001E1F14"/>
    <w:rsid w:val="001E2090"/>
    <w:rsid w:val="001E316D"/>
    <w:rsid w:val="001E3752"/>
    <w:rsid w:val="001E4F5F"/>
    <w:rsid w:val="001E5770"/>
    <w:rsid w:val="001E5791"/>
    <w:rsid w:val="001E5945"/>
    <w:rsid w:val="001E61E2"/>
    <w:rsid w:val="001E7906"/>
    <w:rsid w:val="001F035C"/>
    <w:rsid w:val="001F1401"/>
    <w:rsid w:val="001F22B5"/>
    <w:rsid w:val="001F41A3"/>
    <w:rsid w:val="001F7FDF"/>
    <w:rsid w:val="002024B4"/>
    <w:rsid w:val="00202D23"/>
    <w:rsid w:val="00203479"/>
    <w:rsid w:val="00203979"/>
    <w:rsid w:val="002041E1"/>
    <w:rsid w:val="00204786"/>
    <w:rsid w:val="0020498A"/>
    <w:rsid w:val="00204BB0"/>
    <w:rsid w:val="00204EB2"/>
    <w:rsid w:val="00205C31"/>
    <w:rsid w:val="00206379"/>
    <w:rsid w:val="00206474"/>
    <w:rsid w:val="002072E1"/>
    <w:rsid w:val="002077D0"/>
    <w:rsid w:val="002104F9"/>
    <w:rsid w:val="00210DF7"/>
    <w:rsid w:val="00211893"/>
    <w:rsid w:val="002118E5"/>
    <w:rsid w:val="00212FE6"/>
    <w:rsid w:val="0021463B"/>
    <w:rsid w:val="00215098"/>
    <w:rsid w:val="00216E5D"/>
    <w:rsid w:val="0021782A"/>
    <w:rsid w:val="00220695"/>
    <w:rsid w:val="0022157A"/>
    <w:rsid w:val="00223676"/>
    <w:rsid w:val="0022379A"/>
    <w:rsid w:val="00223A7A"/>
    <w:rsid w:val="00224022"/>
    <w:rsid w:val="00224265"/>
    <w:rsid w:val="002245B1"/>
    <w:rsid w:val="00224C5C"/>
    <w:rsid w:val="00224EA5"/>
    <w:rsid w:val="00225E82"/>
    <w:rsid w:val="00230976"/>
    <w:rsid w:val="002318EF"/>
    <w:rsid w:val="002325A1"/>
    <w:rsid w:val="00233A15"/>
    <w:rsid w:val="00234D3F"/>
    <w:rsid w:val="002350D4"/>
    <w:rsid w:val="00235142"/>
    <w:rsid w:val="00235B98"/>
    <w:rsid w:val="00235D9D"/>
    <w:rsid w:val="00236F45"/>
    <w:rsid w:val="002370BC"/>
    <w:rsid w:val="00240C6E"/>
    <w:rsid w:val="00240D97"/>
    <w:rsid w:val="00240F62"/>
    <w:rsid w:val="00242E0B"/>
    <w:rsid w:val="00243A7E"/>
    <w:rsid w:val="00244630"/>
    <w:rsid w:val="00244E09"/>
    <w:rsid w:val="0024546B"/>
    <w:rsid w:val="002460AC"/>
    <w:rsid w:val="002466EC"/>
    <w:rsid w:val="0024723C"/>
    <w:rsid w:val="0025160E"/>
    <w:rsid w:val="00251921"/>
    <w:rsid w:val="002537CF"/>
    <w:rsid w:val="00253FFC"/>
    <w:rsid w:val="00254321"/>
    <w:rsid w:val="0025533E"/>
    <w:rsid w:val="00255513"/>
    <w:rsid w:val="00255D42"/>
    <w:rsid w:val="00256E4B"/>
    <w:rsid w:val="00257E76"/>
    <w:rsid w:val="002622E9"/>
    <w:rsid w:val="0026275A"/>
    <w:rsid w:val="00266F47"/>
    <w:rsid w:val="002671C4"/>
    <w:rsid w:val="0026733C"/>
    <w:rsid w:val="00270898"/>
    <w:rsid w:val="00270902"/>
    <w:rsid w:val="00270A02"/>
    <w:rsid w:val="0027168F"/>
    <w:rsid w:val="00275776"/>
    <w:rsid w:val="00275F6D"/>
    <w:rsid w:val="00276CDE"/>
    <w:rsid w:val="00276EDC"/>
    <w:rsid w:val="00277423"/>
    <w:rsid w:val="00277566"/>
    <w:rsid w:val="002801C5"/>
    <w:rsid w:val="002814CC"/>
    <w:rsid w:val="00283137"/>
    <w:rsid w:val="00283C70"/>
    <w:rsid w:val="00285FC1"/>
    <w:rsid w:val="002869A0"/>
    <w:rsid w:val="00287783"/>
    <w:rsid w:val="00290E3D"/>
    <w:rsid w:val="00291A26"/>
    <w:rsid w:val="0029262D"/>
    <w:rsid w:val="0029263A"/>
    <w:rsid w:val="00292CB0"/>
    <w:rsid w:val="0029575B"/>
    <w:rsid w:val="00295B66"/>
    <w:rsid w:val="002978F6"/>
    <w:rsid w:val="002A0449"/>
    <w:rsid w:val="002A0AFA"/>
    <w:rsid w:val="002A195B"/>
    <w:rsid w:val="002A1BAD"/>
    <w:rsid w:val="002A3C10"/>
    <w:rsid w:val="002A3FA4"/>
    <w:rsid w:val="002A4020"/>
    <w:rsid w:val="002A7371"/>
    <w:rsid w:val="002A7C71"/>
    <w:rsid w:val="002A7E7E"/>
    <w:rsid w:val="002A7EA6"/>
    <w:rsid w:val="002B1B4E"/>
    <w:rsid w:val="002B24E2"/>
    <w:rsid w:val="002B260F"/>
    <w:rsid w:val="002B3071"/>
    <w:rsid w:val="002B3BFC"/>
    <w:rsid w:val="002B4775"/>
    <w:rsid w:val="002B4888"/>
    <w:rsid w:val="002C0239"/>
    <w:rsid w:val="002C19F9"/>
    <w:rsid w:val="002C2F36"/>
    <w:rsid w:val="002C3183"/>
    <w:rsid w:val="002C3BD0"/>
    <w:rsid w:val="002C427B"/>
    <w:rsid w:val="002C6D9F"/>
    <w:rsid w:val="002C6EA4"/>
    <w:rsid w:val="002C702A"/>
    <w:rsid w:val="002C7387"/>
    <w:rsid w:val="002D1279"/>
    <w:rsid w:val="002D18F3"/>
    <w:rsid w:val="002D1912"/>
    <w:rsid w:val="002D19ED"/>
    <w:rsid w:val="002D21F0"/>
    <w:rsid w:val="002D30B2"/>
    <w:rsid w:val="002D3779"/>
    <w:rsid w:val="002D4B4B"/>
    <w:rsid w:val="002D5537"/>
    <w:rsid w:val="002D5E20"/>
    <w:rsid w:val="002D6338"/>
    <w:rsid w:val="002D66F0"/>
    <w:rsid w:val="002D6E6D"/>
    <w:rsid w:val="002E0F94"/>
    <w:rsid w:val="002E1A66"/>
    <w:rsid w:val="002E1BE5"/>
    <w:rsid w:val="002E20C7"/>
    <w:rsid w:val="002E620E"/>
    <w:rsid w:val="002E6645"/>
    <w:rsid w:val="002F021A"/>
    <w:rsid w:val="002F084D"/>
    <w:rsid w:val="002F16E8"/>
    <w:rsid w:val="002F1986"/>
    <w:rsid w:val="002F2E21"/>
    <w:rsid w:val="002F2F44"/>
    <w:rsid w:val="002F3AA4"/>
    <w:rsid w:val="002F3CD1"/>
    <w:rsid w:val="002F54AF"/>
    <w:rsid w:val="002F59A7"/>
    <w:rsid w:val="002F74CF"/>
    <w:rsid w:val="00300639"/>
    <w:rsid w:val="00301A3E"/>
    <w:rsid w:val="00302BAF"/>
    <w:rsid w:val="00302D0F"/>
    <w:rsid w:val="00303050"/>
    <w:rsid w:val="00303251"/>
    <w:rsid w:val="003035BE"/>
    <w:rsid w:val="003039DA"/>
    <w:rsid w:val="00305BFB"/>
    <w:rsid w:val="00305CDA"/>
    <w:rsid w:val="00306949"/>
    <w:rsid w:val="00307DA8"/>
    <w:rsid w:val="0031044E"/>
    <w:rsid w:val="003105AC"/>
    <w:rsid w:val="00310D5E"/>
    <w:rsid w:val="00312334"/>
    <w:rsid w:val="00312743"/>
    <w:rsid w:val="00314508"/>
    <w:rsid w:val="003163AA"/>
    <w:rsid w:val="00317C72"/>
    <w:rsid w:val="00320497"/>
    <w:rsid w:val="00322390"/>
    <w:rsid w:val="003228C5"/>
    <w:rsid w:val="00322988"/>
    <w:rsid w:val="0032335B"/>
    <w:rsid w:val="003266B0"/>
    <w:rsid w:val="00331655"/>
    <w:rsid w:val="0033223F"/>
    <w:rsid w:val="0033229F"/>
    <w:rsid w:val="003324A4"/>
    <w:rsid w:val="00333529"/>
    <w:rsid w:val="0033373E"/>
    <w:rsid w:val="0033400C"/>
    <w:rsid w:val="00334BF5"/>
    <w:rsid w:val="00334C11"/>
    <w:rsid w:val="003351AA"/>
    <w:rsid w:val="00335452"/>
    <w:rsid w:val="00335EE3"/>
    <w:rsid w:val="0033636D"/>
    <w:rsid w:val="00336B9D"/>
    <w:rsid w:val="00337130"/>
    <w:rsid w:val="00337CCB"/>
    <w:rsid w:val="00337FC7"/>
    <w:rsid w:val="0034045A"/>
    <w:rsid w:val="00340919"/>
    <w:rsid w:val="00341885"/>
    <w:rsid w:val="00341A32"/>
    <w:rsid w:val="00343929"/>
    <w:rsid w:val="003456B2"/>
    <w:rsid w:val="0034669A"/>
    <w:rsid w:val="00346AEF"/>
    <w:rsid w:val="003517B3"/>
    <w:rsid w:val="00353F1A"/>
    <w:rsid w:val="00355204"/>
    <w:rsid w:val="00356328"/>
    <w:rsid w:val="003570A2"/>
    <w:rsid w:val="0036009F"/>
    <w:rsid w:val="0036040F"/>
    <w:rsid w:val="00362034"/>
    <w:rsid w:val="003650D1"/>
    <w:rsid w:val="003657C5"/>
    <w:rsid w:val="00365C90"/>
    <w:rsid w:val="00365CD3"/>
    <w:rsid w:val="00366B55"/>
    <w:rsid w:val="003707EF"/>
    <w:rsid w:val="00370CE8"/>
    <w:rsid w:val="00370D81"/>
    <w:rsid w:val="00371059"/>
    <w:rsid w:val="003722CE"/>
    <w:rsid w:val="00372CB0"/>
    <w:rsid w:val="00372CCB"/>
    <w:rsid w:val="00372D8A"/>
    <w:rsid w:val="00373F7C"/>
    <w:rsid w:val="003741BC"/>
    <w:rsid w:val="00374D88"/>
    <w:rsid w:val="00377D6B"/>
    <w:rsid w:val="0038124F"/>
    <w:rsid w:val="00381B2F"/>
    <w:rsid w:val="00381DB4"/>
    <w:rsid w:val="003825BF"/>
    <w:rsid w:val="00382A48"/>
    <w:rsid w:val="003836C9"/>
    <w:rsid w:val="00383B89"/>
    <w:rsid w:val="00384ADE"/>
    <w:rsid w:val="00386F7C"/>
    <w:rsid w:val="00387C92"/>
    <w:rsid w:val="00390164"/>
    <w:rsid w:val="00393FF2"/>
    <w:rsid w:val="003941CA"/>
    <w:rsid w:val="0039440A"/>
    <w:rsid w:val="00395472"/>
    <w:rsid w:val="003954B7"/>
    <w:rsid w:val="003A0D22"/>
    <w:rsid w:val="003A24B7"/>
    <w:rsid w:val="003A2D97"/>
    <w:rsid w:val="003A3140"/>
    <w:rsid w:val="003A3D36"/>
    <w:rsid w:val="003A442A"/>
    <w:rsid w:val="003A5739"/>
    <w:rsid w:val="003A7290"/>
    <w:rsid w:val="003A760B"/>
    <w:rsid w:val="003A76F4"/>
    <w:rsid w:val="003A7D4F"/>
    <w:rsid w:val="003B0500"/>
    <w:rsid w:val="003B261F"/>
    <w:rsid w:val="003B2A94"/>
    <w:rsid w:val="003B56F2"/>
    <w:rsid w:val="003B7688"/>
    <w:rsid w:val="003C1F99"/>
    <w:rsid w:val="003C2B22"/>
    <w:rsid w:val="003C2EDE"/>
    <w:rsid w:val="003C390C"/>
    <w:rsid w:val="003C5F99"/>
    <w:rsid w:val="003C6DBE"/>
    <w:rsid w:val="003C6EE8"/>
    <w:rsid w:val="003D21DE"/>
    <w:rsid w:val="003D336D"/>
    <w:rsid w:val="003D46A1"/>
    <w:rsid w:val="003D4D08"/>
    <w:rsid w:val="003D52F8"/>
    <w:rsid w:val="003D5C96"/>
    <w:rsid w:val="003D63E1"/>
    <w:rsid w:val="003D6828"/>
    <w:rsid w:val="003D7FCF"/>
    <w:rsid w:val="003E0922"/>
    <w:rsid w:val="003E12B9"/>
    <w:rsid w:val="003E1DD5"/>
    <w:rsid w:val="003E2F13"/>
    <w:rsid w:val="003E30D8"/>
    <w:rsid w:val="003E42C0"/>
    <w:rsid w:val="003E5D50"/>
    <w:rsid w:val="003E6DA4"/>
    <w:rsid w:val="003E707D"/>
    <w:rsid w:val="003F0154"/>
    <w:rsid w:val="003F024B"/>
    <w:rsid w:val="003F4018"/>
    <w:rsid w:val="003F4E6A"/>
    <w:rsid w:val="003F6C0D"/>
    <w:rsid w:val="003F6F00"/>
    <w:rsid w:val="003F7579"/>
    <w:rsid w:val="00400BA0"/>
    <w:rsid w:val="00400BE0"/>
    <w:rsid w:val="00400D4D"/>
    <w:rsid w:val="00401FD9"/>
    <w:rsid w:val="00402CE5"/>
    <w:rsid w:val="00402E09"/>
    <w:rsid w:val="00404940"/>
    <w:rsid w:val="00407A5F"/>
    <w:rsid w:val="00407A97"/>
    <w:rsid w:val="00407DC6"/>
    <w:rsid w:val="00411ECB"/>
    <w:rsid w:val="00412216"/>
    <w:rsid w:val="00413DEA"/>
    <w:rsid w:val="0041416D"/>
    <w:rsid w:val="0041438C"/>
    <w:rsid w:val="00414DA9"/>
    <w:rsid w:val="00416532"/>
    <w:rsid w:val="00416589"/>
    <w:rsid w:val="004170AB"/>
    <w:rsid w:val="00420516"/>
    <w:rsid w:val="004207DC"/>
    <w:rsid w:val="00420BF6"/>
    <w:rsid w:val="00421EA7"/>
    <w:rsid w:val="00424CC6"/>
    <w:rsid w:val="00426275"/>
    <w:rsid w:val="0042679F"/>
    <w:rsid w:val="00430661"/>
    <w:rsid w:val="00433AE4"/>
    <w:rsid w:val="00436059"/>
    <w:rsid w:val="0043666C"/>
    <w:rsid w:val="00437117"/>
    <w:rsid w:val="00437520"/>
    <w:rsid w:val="00440366"/>
    <w:rsid w:val="00440641"/>
    <w:rsid w:val="00441522"/>
    <w:rsid w:val="004442E9"/>
    <w:rsid w:val="004447CF"/>
    <w:rsid w:val="00445676"/>
    <w:rsid w:val="004458B4"/>
    <w:rsid w:val="00445CB7"/>
    <w:rsid w:val="00447512"/>
    <w:rsid w:val="00447B8B"/>
    <w:rsid w:val="00450B3F"/>
    <w:rsid w:val="00451271"/>
    <w:rsid w:val="004513B2"/>
    <w:rsid w:val="004530E9"/>
    <w:rsid w:val="00453CBA"/>
    <w:rsid w:val="00453D82"/>
    <w:rsid w:val="00454CA1"/>
    <w:rsid w:val="00455364"/>
    <w:rsid w:val="00455455"/>
    <w:rsid w:val="004559EF"/>
    <w:rsid w:val="004566AE"/>
    <w:rsid w:val="00457420"/>
    <w:rsid w:val="00457E35"/>
    <w:rsid w:val="00460007"/>
    <w:rsid w:val="00462C32"/>
    <w:rsid w:val="00464CD8"/>
    <w:rsid w:val="004651F6"/>
    <w:rsid w:val="00465287"/>
    <w:rsid w:val="004656AA"/>
    <w:rsid w:val="00465730"/>
    <w:rsid w:val="00466DEF"/>
    <w:rsid w:val="004671B6"/>
    <w:rsid w:val="0046758D"/>
    <w:rsid w:val="00470F11"/>
    <w:rsid w:val="0047104D"/>
    <w:rsid w:val="00471682"/>
    <w:rsid w:val="00472B94"/>
    <w:rsid w:val="0047523D"/>
    <w:rsid w:val="00475E7F"/>
    <w:rsid w:val="00476973"/>
    <w:rsid w:val="00476A6D"/>
    <w:rsid w:val="00476D9E"/>
    <w:rsid w:val="00476E37"/>
    <w:rsid w:val="00477859"/>
    <w:rsid w:val="00480154"/>
    <w:rsid w:val="0048085B"/>
    <w:rsid w:val="004831D7"/>
    <w:rsid w:val="004834F3"/>
    <w:rsid w:val="004861ED"/>
    <w:rsid w:val="00486852"/>
    <w:rsid w:val="00486B50"/>
    <w:rsid w:val="0048701A"/>
    <w:rsid w:val="004871F7"/>
    <w:rsid w:val="00487801"/>
    <w:rsid w:val="00487C45"/>
    <w:rsid w:val="0049034C"/>
    <w:rsid w:val="00492489"/>
    <w:rsid w:val="00492C11"/>
    <w:rsid w:val="00493215"/>
    <w:rsid w:val="00494F07"/>
    <w:rsid w:val="00495352"/>
    <w:rsid w:val="004966E7"/>
    <w:rsid w:val="004979F5"/>
    <w:rsid w:val="004A0323"/>
    <w:rsid w:val="004A10FA"/>
    <w:rsid w:val="004A1C9D"/>
    <w:rsid w:val="004A39A3"/>
    <w:rsid w:val="004A3AA9"/>
    <w:rsid w:val="004A3EF0"/>
    <w:rsid w:val="004A4C1A"/>
    <w:rsid w:val="004A581F"/>
    <w:rsid w:val="004A5F95"/>
    <w:rsid w:val="004A609F"/>
    <w:rsid w:val="004A6246"/>
    <w:rsid w:val="004B0491"/>
    <w:rsid w:val="004B270E"/>
    <w:rsid w:val="004B36BE"/>
    <w:rsid w:val="004B3C24"/>
    <w:rsid w:val="004B49B3"/>
    <w:rsid w:val="004B4C43"/>
    <w:rsid w:val="004B56D8"/>
    <w:rsid w:val="004B573E"/>
    <w:rsid w:val="004B5C06"/>
    <w:rsid w:val="004B6AF5"/>
    <w:rsid w:val="004B6F2F"/>
    <w:rsid w:val="004B7584"/>
    <w:rsid w:val="004B7E4A"/>
    <w:rsid w:val="004C0627"/>
    <w:rsid w:val="004C08CE"/>
    <w:rsid w:val="004C1C08"/>
    <w:rsid w:val="004C1C88"/>
    <w:rsid w:val="004C4234"/>
    <w:rsid w:val="004C43E0"/>
    <w:rsid w:val="004C504A"/>
    <w:rsid w:val="004C5E68"/>
    <w:rsid w:val="004C697D"/>
    <w:rsid w:val="004C6C8C"/>
    <w:rsid w:val="004C6DF4"/>
    <w:rsid w:val="004C794C"/>
    <w:rsid w:val="004C7A7A"/>
    <w:rsid w:val="004C7EF2"/>
    <w:rsid w:val="004D0162"/>
    <w:rsid w:val="004D13A2"/>
    <w:rsid w:val="004D1F03"/>
    <w:rsid w:val="004D3F8B"/>
    <w:rsid w:val="004D5872"/>
    <w:rsid w:val="004D5928"/>
    <w:rsid w:val="004D70CF"/>
    <w:rsid w:val="004D7F4B"/>
    <w:rsid w:val="004E082D"/>
    <w:rsid w:val="004E0E35"/>
    <w:rsid w:val="004E426A"/>
    <w:rsid w:val="004E5E6F"/>
    <w:rsid w:val="004E60D4"/>
    <w:rsid w:val="004E6336"/>
    <w:rsid w:val="004E6FB6"/>
    <w:rsid w:val="004F2190"/>
    <w:rsid w:val="004F309F"/>
    <w:rsid w:val="004F3E1A"/>
    <w:rsid w:val="004F4464"/>
    <w:rsid w:val="004F486F"/>
    <w:rsid w:val="004F496D"/>
    <w:rsid w:val="0050034E"/>
    <w:rsid w:val="005005C8"/>
    <w:rsid w:val="00501423"/>
    <w:rsid w:val="0050341D"/>
    <w:rsid w:val="0050462C"/>
    <w:rsid w:val="005057AE"/>
    <w:rsid w:val="00506617"/>
    <w:rsid w:val="005071FE"/>
    <w:rsid w:val="00507796"/>
    <w:rsid w:val="00511072"/>
    <w:rsid w:val="005112C6"/>
    <w:rsid w:val="00512052"/>
    <w:rsid w:val="00516089"/>
    <w:rsid w:val="00516797"/>
    <w:rsid w:val="005173DA"/>
    <w:rsid w:val="00517B3B"/>
    <w:rsid w:val="00520079"/>
    <w:rsid w:val="005205E9"/>
    <w:rsid w:val="00520929"/>
    <w:rsid w:val="00520B78"/>
    <w:rsid w:val="00521016"/>
    <w:rsid w:val="00521C97"/>
    <w:rsid w:val="005230BD"/>
    <w:rsid w:val="005230D7"/>
    <w:rsid w:val="00523467"/>
    <w:rsid w:val="0052457E"/>
    <w:rsid w:val="005250AE"/>
    <w:rsid w:val="00525B00"/>
    <w:rsid w:val="0052676E"/>
    <w:rsid w:val="00531A39"/>
    <w:rsid w:val="00531F3B"/>
    <w:rsid w:val="00531F92"/>
    <w:rsid w:val="00532AEE"/>
    <w:rsid w:val="005338B6"/>
    <w:rsid w:val="00536F5E"/>
    <w:rsid w:val="00537000"/>
    <w:rsid w:val="00537D04"/>
    <w:rsid w:val="00540BE5"/>
    <w:rsid w:val="0054199F"/>
    <w:rsid w:val="00542839"/>
    <w:rsid w:val="00542E7D"/>
    <w:rsid w:val="005430A4"/>
    <w:rsid w:val="00544FE4"/>
    <w:rsid w:val="005455FF"/>
    <w:rsid w:val="00546BFC"/>
    <w:rsid w:val="00546F47"/>
    <w:rsid w:val="00550BFB"/>
    <w:rsid w:val="00551A0B"/>
    <w:rsid w:val="00551D2C"/>
    <w:rsid w:val="0055598C"/>
    <w:rsid w:val="00557BFE"/>
    <w:rsid w:val="00563680"/>
    <w:rsid w:val="005636E8"/>
    <w:rsid w:val="00564F11"/>
    <w:rsid w:val="00565531"/>
    <w:rsid w:val="005740D0"/>
    <w:rsid w:val="00574408"/>
    <w:rsid w:val="00574D14"/>
    <w:rsid w:val="00574E17"/>
    <w:rsid w:val="00575A37"/>
    <w:rsid w:val="0057673A"/>
    <w:rsid w:val="00577DBC"/>
    <w:rsid w:val="00577EBD"/>
    <w:rsid w:val="005800E5"/>
    <w:rsid w:val="00580A57"/>
    <w:rsid w:val="005812AD"/>
    <w:rsid w:val="00581534"/>
    <w:rsid w:val="00581AF2"/>
    <w:rsid w:val="00581D39"/>
    <w:rsid w:val="005820E2"/>
    <w:rsid w:val="00583568"/>
    <w:rsid w:val="005843BD"/>
    <w:rsid w:val="00584D27"/>
    <w:rsid w:val="00585398"/>
    <w:rsid w:val="00585D42"/>
    <w:rsid w:val="00585D8D"/>
    <w:rsid w:val="00585E7A"/>
    <w:rsid w:val="005908FE"/>
    <w:rsid w:val="005929C3"/>
    <w:rsid w:val="00592E0A"/>
    <w:rsid w:val="00595451"/>
    <w:rsid w:val="0059657E"/>
    <w:rsid w:val="00596C29"/>
    <w:rsid w:val="005A0230"/>
    <w:rsid w:val="005A0815"/>
    <w:rsid w:val="005A08E4"/>
    <w:rsid w:val="005A1486"/>
    <w:rsid w:val="005A2568"/>
    <w:rsid w:val="005A266D"/>
    <w:rsid w:val="005A302B"/>
    <w:rsid w:val="005A7447"/>
    <w:rsid w:val="005A77D5"/>
    <w:rsid w:val="005B0B33"/>
    <w:rsid w:val="005B2609"/>
    <w:rsid w:val="005B2D1B"/>
    <w:rsid w:val="005B5B29"/>
    <w:rsid w:val="005B68F5"/>
    <w:rsid w:val="005B705B"/>
    <w:rsid w:val="005B7220"/>
    <w:rsid w:val="005B7D34"/>
    <w:rsid w:val="005C0710"/>
    <w:rsid w:val="005C0A94"/>
    <w:rsid w:val="005C0BC8"/>
    <w:rsid w:val="005C30C1"/>
    <w:rsid w:val="005C3E3C"/>
    <w:rsid w:val="005C71F7"/>
    <w:rsid w:val="005C7FC3"/>
    <w:rsid w:val="005D208E"/>
    <w:rsid w:val="005D36A1"/>
    <w:rsid w:val="005D39F7"/>
    <w:rsid w:val="005D4174"/>
    <w:rsid w:val="005D45F1"/>
    <w:rsid w:val="005D4D95"/>
    <w:rsid w:val="005D4F47"/>
    <w:rsid w:val="005D5374"/>
    <w:rsid w:val="005D6F9D"/>
    <w:rsid w:val="005D788C"/>
    <w:rsid w:val="005D7FC9"/>
    <w:rsid w:val="005E2132"/>
    <w:rsid w:val="005E24A2"/>
    <w:rsid w:val="005E4805"/>
    <w:rsid w:val="005E509F"/>
    <w:rsid w:val="005E607C"/>
    <w:rsid w:val="005E6AE3"/>
    <w:rsid w:val="005F27BD"/>
    <w:rsid w:val="005F29B7"/>
    <w:rsid w:val="005F2C2D"/>
    <w:rsid w:val="005F301E"/>
    <w:rsid w:val="005F33FF"/>
    <w:rsid w:val="005F373A"/>
    <w:rsid w:val="005F391F"/>
    <w:rsid w:val="005F4BE4"/>
    <w:rsid w:val="005F4CCF"/>
    <w:rsid w:val="00600376"/>
    <w:rsid w:val="00601019"/>
    <w:rsid w:val="00602668"/>
    <w:rsid w:val="00602E93"/>
    <w:rsid w:val="00605F76"/>
    <w:rsid w:val="00607172"/>
    <w:rsid w:val="00607E20"/>
    <w:rsid w:val="00607E92"/>
    <w:rsid w:val="0061010A"/>
    <w:rsid w:val="00610198"/>
    <w:rsid w:val="00610C81"/>
    <w:rsid w:val="006122AE"/>
    <w:rsid w:val="006133CF"/>
    <w:rsid w:val="006140FC"/>
    <w:rsid w:val="0061424E"/>
    <w:rsid w:val="006143E5"/>
    <w:rsid w:val="00614F7C"/>
    <w:rsid w:val="00615218"/>
    <w:rsid w:val="00616CD9"/>
    <w:rsid w:val="0062080A"/>
    <w:rsid w:val="006211D2"/>
    <w:rsid w:val="00621798"/>
    <w:rsid w:val="00621C74"/>
    <w:rsid w:val="00621E53"/>
    <w:rsid w:val="00622600"/>
    <w:rsid w:val="00622CBB"/>
    <w:rsid w:val="00622DA5"/>
    <w:rsid w:val="00622E1B"/>
    <w:rsid w:val="00625F60"/>
    <w:rsid w:val="00626ED8"/>
    <w:rsid w:val="0063056F"/>
    <w:rsid w:val="00631AB7"/>
    <w:rsid w:val="006323AD"/>
    <w:rsid w:val="00632E89"/>
    <w:rsid w:val="006339FA"/>
    <w:rsid w:val="00633B22"/>
    <w:rsid w:val="006342AB"/>
    <w:rsid w:val="00636472"/>
    <w:rsid w:val="00636CEB"/>
    <w:rsid w:val="0063738F"/>
    <w:rsid w:val="00637E0B"/>
    <w:rsid w:val="00640012"/>
    <w:rsid w:val="006400CE"/>
    <w:rsid w:val="00640256"/>
    <w:rsid w:val="00640C77"/>
    <w:rsid w:val="00640C85"/>
    <w:rsid w:val="00640EED"/>
    <w:rsid w:val="00642093"/>
    <w:rsid w:val="006423DF"/>
    <w:rsid w:val="0064304D"/>
    <w:rsid w:val="006440E7"/>
    <w:rsid w:val="006442B1"/>
    <w:rsid w:val="006455D1"/>
    <w:rsid w:val="00646C30"/>
    <w:rsid w:val="00651187"/>
    <w:rsid w:val="00652442"/>
    <w:rsid w:val="0065275C"/>
    <w:rsid w:val="006530B0"/>
    <w:rsid w:val="00653C86"/>
    <w:rsid w:val="0065405A"/>
    <w:rsid w:val="00656F54"/>
    <w:rsid w:val="006572AE"/>
    <w:rsid w:val="0065750A"/>
    <w:rsid w:val="006577CF"/>
    <w:rsid w:val="00657CE0"/>
    <w:rsid w:val="0066005F"/>
    <w:rsid w:val="00660EFD"/>
    <w:rsid w:val="00661176"/>
    <w:rsid w:val="00661D8A"/>
    <w:rsid w:val="006628AD"/>
    <w:rsid w:val="00662C02"/>
    <w:rsid w:val="00662ED8"/>
    <w:rsid w:val="00663403"/>
    <w:rsid w:val="0066412F"/>
    <w:rsid w:val="00664B2F"/>
    <w:rsid w:val="006665A9"/>
    <w:rsid w:val="00670DB4"/>
    <w:rsid w:val="006746E9"/>
    <w:rsid w:val="00674932"/>
    <w:rsid w:val="00674F66"/>
    <w:rsid w:val="00674F87"/>
    <w:rsid w:val="00674FAB"/>
    <w:rsid w:val="006803EC"/>
    <w:rsid w:val="00680B5A"/>
    <w:rsid w:val="0068119C"/>
    <w:rsid w:val="006820ED"/>
    <w:rsid w:val="006823A0"/>
    <w:rsid w:val="006829ED"/>
    <w:rsid w:val="0068486A"/>
    <w:rsid w:val="00685E5D"/>
    <w:rsid w:val="006861F0"/>
    <w:rsid w:val="00687E72"/>
    <w:rsid w:val="00690087"/>
    <w:rsid w:val="00690147"/>
    <w:rsid w:val="00691D3E"/>
    <w:rsid w:val="00692459"/>
    <w:rsid w:val="00692802"/>
    <w:rsid w:val="006950B8"/>
    <w:rsid w:val="00695766"/>
    <w:rsid w:val="00695ACF"/>
    <w:rsid w:val="00695B71"/>
    <w:rsid w:val="006972D2"/>
    <w:rsid w:val="00697C7E"/>
    <w:rsid w:val="00697E8B"/>
    <w:rsid w:val="006A030D"/>
    <w:rsid w:val="006A04EF"/>
    <w:rsid w:val="006A1052"/>
    <w:rsid w:val="006A1906"/>
    <w:rsid w:val="006A203D"/>
    <w:rsid w:val="006A30B9"/>
    <w:rsid w:val="006A37D7"/>
    <w:rsid w:val="006A3FE0"/>
    <w:rsid w:val="006A4F34"/>
    <w:rsid w:val="006A55B2"/>
    <w:rsid w:val="006A5DE2"/>
    <w:rsid w:val="006A7A4E"/>
    <w:rsid w:val="006B0A30"/>
    <w:rsid w:val="006B1532"/>
    <w:rsid w:val="006B18FB"/>
    <w:rsid w:val="006B1D54"/>
    <w:rsid w:val="006B57FC"/>
    <w:rsid w:val="006B6F12"/>
    <w:rsid w:val="006B7AD9"/>
    <w:rsid w:val="006C0201"/>
    <w:rsid w:val="006C0627"/>
    <w:rsid w:val="006C121A"/>
    <w:rsid w:val="006C2A8F"/>
    <w:rsid w:val="006C2FB4"/>
    <w:rsid w:val="006C35D9"/>
    <w:rsid w:val="006C496C"/>
    <w:rsid w:val="006C58B9"/>
    <w:rsid w:val="006C673D"/>
    <w:rsid w:val="006C7477"/>
    <w:rsid w:val="006D0E6F"/>
    <w:rsid w:val="006D0E92"/>
    <w:rsid w:val="006D20AE"/>
    <w:rsid w:val="006D217E"/>
    <w:rsid w:val="006D25F3"/>
    <w:rsid w:val="006D2BDF"/>
    <w:rsid w:val="006D3BD1"/>
    <w:rsid w:val="006D43B5"/>
    <w:rsid w:val="006D4444"/>
    <w:rsid w:val="006D4604"/>
    <w:rsid w:val="006D461B"/>
    <w:rsid w:val="006D5FCC"/>
    <w:rsid w:val="006D6014"/>
    <w:rsid w:val="006D63C8"/>
    <w:rsid w:val="006D6851"/>
    <w:rsid w:val="006D6DA1"/>
    <w:rsid w:val="006D6DB7"/>
    <w:rsid w:val="006D70F9"/>
    <w:rsid w:val="006E0542"/>
    <w:rsid w:val="006E20EA"/>
    <w:rsid w:val="006E27DF"/>
    <w:rsid w:val="006E3171"/>
    <w:rsid w:val="006E3CA9"/>
    <w:rsid w:val="006E6B45"/>
    <w:rsid w:val="006F06FF"/>
    <w:rsid w:val="006F10DA"/>
    <w:rsid w:val="006F24B7"/>
    <w:rsid w:val="006F2A57"/>
    <w:rsid w:val="006F3CB7"/>
    <w:rsid w:val="006F4C33"/>
    <w:rsid w:val="006F4E14"/>
    <w:rsid w:val="006F67D3"/>
    <w:rsid w:val="006F6AB8"/>
    <w:rsid w:val="006F7677"/>
    <w:rsid w:val="006F7FEC"/>
    <w:rsid w:val="0070002C"/>
    <w:rsid w:val="00701730"/>
    <w:rsid w:val="007025D6"/>
    <w:rsid w:val="00702D68"/>
    <w:rsid w:val="00704E56"/>
    <w:rsid w:val="00705DD0"/>
    <w:rsid w:val="0071160E"/>
    <w:rsid w:val="0071163B"/>
    <w:rsid w:val="00712A1A"/>
    <w:rsid w:val="007147F2"/>
    <w:rsid w:val="00716D6A"/>
    <w:rsid w:val="007213C2"/>
    <w:rsid w:val="00724B10"/>
    <w:rsid w:val="00725DBE"/>
    <w:rsid w:val="007262DC"/>
    <w:rsid w:val="007263CA"/>
    <w:rsid w:val="007270A5"/>
    <w:rsid w:val="00727425"/>
    <w:rsid w:val="00731D04"/>
    <w:rsid w:val="00733C45"/>
    <w:rsid w:val="00733FB1"/>
    <w:rsid w:val="007344A2"/>
    <w:rsid w:val="0073547B"/>
    <w:rsid w:val="0073555D"/>
    <w:rsid w:val="00737A25"/>
    <w:rsid w:val="00741DD4"/>
    <w:rsid w:val="0074688E"/>
    <w:rsid w:val="0074695A"/>
    <w:rsid w:val="0075081E"/>
    <w:rsid w:val="007510FD"/>
    <w:rsid w:val="00752D20"/>
    <w:rsid w:val="00753BCD"/>
    <w:rsid w:val="00756FA6"/>
    <w:rsid w:val="00757A04"/>
    <w:rsid w:val="00757C4B"/>
    <w:rsid w:val="00761080"/>
    <w:rsid w:val="00761FD7"/>
    <w:rsid w:val="00762DC0"/>
    <w:rsid w:val="0076397A"/>
    <w:rsid w:val="00764035"/>
    <w:rsid w:val="007647E7"/>
    <w:rsid w:val="00767FAB"/>
    <w:rsid w:val="00770562"/>
    <w:rsid w:val="007706FC"/>
    <w:rsid w:val="00770908"/>
    <w:rsid w:val="00770CD3"/>
    <w:rsid w:val="0077149D"/>
    <w:rsid w:val="007734A8"/>
    <w:rsid w:val="00774402"/>
    <w:rsid w:val="0077544E"/>
    <w:rsid w:val="007755FF"/>
    <w:rsid w:val="00776647"/>
    <w:rsid w:val="007773D1"/>
    <w:rsid w:val="007812C7"/>
    <w:rsid w:val="007813EC"/>
    <w:rsid w:val="00783D2B"/>
    <w:rsid w:val="00784215"/>
    <w:rsid w:val="00786E16"/>
    <w:rsid w:val="00790E79"/>
    <w:rsid w:val="00791B9E"/>
    <w:rsid w:val="0079317C"/>
    <w:rsid w:val="00793B33"/>
    <w:rsid w:val="00795E44"/>
    <w:rsid w:val="007962E5"/>
    <w:rsid w:val="007963F6"/>
    <w:rsid w:val="0079652F"/>
    <w:rsid w:val="007967BB"/>
    <w:rsid w:val="0079730E"/>
    <w:rsid w:val="007A0A14"/>
    <w:rsid w:val="007A2B44"/>
    <w:rsid w:val="007A2C69"/>
    <w:rsid w:val="007A2F22"/>
    <w:rsid w:val="007A4DDA"/>
    <w:rsid w:val="007A5CF8"/>
    <w:rsid w:val="007A6992"/>
    <w:rsid w:val="007A6BDE"/>
    <w:rsid w:val="007A7969"/>
    <w:rsid w:val="007B22CD"/>
    <w:rsid w:val="007B23BB"/>
    <w:rsid w:val="007B2652"/>
    <w:rsid w:val="007B31E7"/>
    <w:rsid w:val="007B4779"/>
    <w:rsid w:val="007B483F"/>
    <w:rsid w:val="007B5836"/>
    <w:rsid w:val="007B6EED"/>
    <w:rsid w:val="007B710A"/>
    <w:rsid w:val="007B76B2"/>
    <w:rsid w:val="007C0E20"/>
    <w:rsid w:val="007C310C"/>
    <w:rsid w:val="007C4C49"/>
    <w:rsid w:val="007C643D"/>
    <w:rsid w:val="007C7046"/>
    <w:rsid w:val="007D1A54"/>
    <w:rsid w:val="007D222E"/>
    <w:rsid w:val="007D30F9"/>
    <w:rsid w:val="007D40F4"/>
    <w:rsid w:val="007D55E7"/>
    <w:rsid w:val="007D5A96"/>
    <w:rsid w:val="007D5D90"/>
    <w:rsid w:val="007D7DD1"/>
    <w:rsid w:val="007D7EEC"/>
    <w:rsid w:val="007E1172"/>
    <w:rsid w:val="007E1AF0"/>
    <w:rsid w:val="007E357E"/>
    <w:rsid w:val="007E373A"/>
    <w:rsid w:val="007E523B"/>
    <w:rsid w:val="007E5EE2"/>
    <w:rsid w:val="007E7671"/>
    <w:rsid w:val="007E7B84"/>
    <w:rsid w:val="007F020B"/>
    <w:rsid w:val="007F3928"/>
    <w:rsid w:val="007F3B1D"/>
    <w:rsid w:val="007F5595"/>
    <w:rsid w:val="007F72B5"/>
    <w:rsid w:val="007F78A7"/>
    <w:rsid w:val="008002B5"/>
    <w:rsid w:val="00801049"/>
    <w:rsid w:val="00801DF8"/>
    <w:rsid w:val="00801E63"/>
    <w:rsid w:val="00801EDE"/>
    <w:rsid w:val="00802140"/>
    <w:rsid w:val="0080356A"/>
    <w:rsid w:val="00804C22"/>
    <w:rsid w:val="008057E5"/>
    <w:rsid w:val="00805956"/>
    <w:rsid w:val="00805B1B"/>
    <w:rsid w:val="00810FEF"/>
    <w:rsid w:val="00811F70"/>
    <w:rsid w:val="00812282"/>
    <w:rsid w:val="00812F34"/>
    <w:rsid w:val="008142FE"/>
    <w:rsid w:val="008149D2"/>
    <w:rsid w:val="00815AD7"/>
    <w:rsid w:val="00816B1A"/>
    <w:rsid w:val="00816D8B"/>
    <w:rsid w:val="00816FA9"/>
    <w:rsid w:val="00817934"/>
    <w:rsid w:val="00821D5E"/>
    <w:rsid w:val="00821DE7"/>
    <w:rsid w:val="00826A84"/>
    <w:rsid w:val="00830471"/>
    <w:rsid w:val="00830AB6"/>
    <w:rsid w:val="008311B2"/>
    <w:rsid w:val="00832922"/>
    <w:rsid w:val="0083374F"/>
    <w:rsid w:val="00833843"/>
    <w:rsid w:val="00833A01"/>
    <w:rsid w:val="00833CD6"/>
    <w:rsid w:val="0083483B"/>
    <w:rsid w:val="00834EEF"/>
    <w:rsid w:val="008352D1"/>
    <w:rsid w:val="008355F4"/>
    <w:rsid w:val="00836574"/>
    <w:rsid w:val="008368B5"/>
    <w:rsid w:val="0083796D"/>
    <w:rsid w:val="00841FE8"/>
    <w:rsid w:val="0084205C"/>
    <w:rsid w:val="00842487"/>
    <w:rsid w:val="0084322C"/>
    <w:rsid w:val="00843F8D"/>
    <w:rsid w:val="0084447E"/>
    <w:rsid w:val="008444A8"/>
    <w:rsid w:val="008444C4"/>
    <w:rsid w:val="00844EF9"/>
    <w:rsid w:val="00844FED"/>
    <w:rsid w:val="0084675E"/>
    <w:rsid w:val="00846987"/>
    <w:rsid w:val="00847E04"/>
    <w:rsid w:val="00850095"/>
    <w:rsid w:val="00850AFD"/>
    <w:rsid w:val="00852ABE"/>
    <w:rsid w:val="00852E76"/>
    <w:rsid w:val="008554CE"/>
    <w:rsid w:val="00855D67"/>
    <w:rsid w:val="00857343"/>
    <w:rsid w:val="00857A18"/>
    <w:rsid w:val="008613C1"/>
    <w:rsid w:val="00862ACD"/>
    <w:rsid w:val="00862D08"/>
    <w:rsid w:val="0086398F"/>
    <w:rsid w:val="00863D5D"/>
    <w:rsid w:val="00863F48"/>
    <w:rsid w:val="00865721"/>
    <w:rsid w:val="00865CB6"/>
    <w:rsid w:val="00872AAE"/>
    <w:rsid w:val="00873613"/>
    <w:rsid w:val="00873709"/>
    <w:rsid w:val="00873944"/>
    <w:rsid w:val="0087449B"/>
    <w:rsid w:val="00877837"/>
    <w:rsid w:val="00880D82"/>
    <w:rsid w:val="00881131"/>
    <w:rsid w:val="00882EC3"/>
    <w:rsid w:val="00883C81"/>
    <w:rsid w:val="008858E2"/>
    <w:rsid w:val="00885AB6"/>
    <w:rsid w:val="00886543"/>
    <w:rsid w:val="0088745C"/>
    <w:rsid w:val="00890472"/>
    <w:rsid w:val="00891179"/>
    <w:rsid w:val="00891F85"/>
    <w:rsid w:val="00896709"/>
    <w:rsid w:val="008A0244"/>
    <w:rsid w:val="008A1345"/>
    <w:rsid w:val="008A13A2"/>
    <w:rsid w:val="008A1C11"/>
    <w:rsid w:val="008A1CE4"/>
    <w:rsid w:val="008A1FE2"/>
    <w:rsid w:val="008A39AE"/>
    <w:rsid w:val="008A3E34"/>
    <w:rsid w:val="008A4236"/>
    <w:rsid w:val="008A497B"/>
    <w:rsid w:val="008A4F2A"/>
    <w:rsid w:val="008A4FF6"/>
    <w:rsid w:val="008A6DC1"/>
    <w:rsid w:val="008B0D79"/>
    <w:rsid w:val="008B22B1"/>
    <w:rsid w:val="008B2670"/>
    <w:rsid w:val="008B2B7A"/>
    <w:rsid w:val="008B37FC"/>
    <w:rsid w:val="008B3D90"/>
    <w:rsid w:val="008B4202"/>
    <w:rsid w:val="008B434A"/>
    <w:rsid w:val="008B530F"/>
    <w:rsid w:val="008B5726"/>
    <w:rsid w:val="008B5BAD"/>
    <w:rsid w:val="008B6223"/>
    <w:rsid w:val="008B653E"/>
    <w:rsid w:val="008B69DC"/>
    <w:rsid w:val="008B6DCE"/>
    <w:rsid w:val="008B6F12"/>
    <w:rsid w:val="008C1378"/>
    <w:rsid w:val="008C1490"/>
    <w:rsid w:val="008C1E23"/>
    <w:rsid w:val="008C2831"/>
    <w:rsid w:val="008C3940"/>
    <w:rsid w:val="008C63A1"/>
    <w:rsid w:val="008C7050"/>
    <w:rsid w:val="008C74DE"/>
    <w:rsid w:val="008D1903"/>
    <w:rsid w:val="008D2976"/>
    <w:rsid w:val="008D32D6"/>
    <w:rsid w:val="008D3758"/>
    <w:rsid w:val="008D3882"/>
    <w:rsid w:val="008D42A9"/>
    <w:rsid w:val="008D4B26"/>
    <w:rsid w:val="008D5128"/>
    <w:rsid w:val="008D5437"/>
    <w:rsid w:val="008D5725"/>
    <w:rsid w:val="008D69F6"/>
    <w:rsid w:val="008D6E95"/>
    <w:rsid w:val="008E05F1"/>
    <w:rsid w:val="008E15DF"/>
    <w:rsid w:val="008E1895"/>
    <w:rsid w:val="008E280A"/>
    <w:rsid w:val="008E2B99"/>
    <w:rsid w:val="008E3C16"/>
    <w:rsid w:val="008E421D"/>
    <w:rsid w:val="008E44B8"/>
    <w:rsid w:val="008E621D"/>
    <w:rsid w:val="008E6CE0"/>
    <w:rsid w:val="008E6D09"/>
    <w:rsid w:val="008E6F76"/>
    <w:rsid w:val="008F1C36"/>
    <w:rsid w:val="008F27BE"/>
    <w:rsid w:val="008F331C"/>
    <w:rsid w:val="008F53BE"/>
    <w:rsid w:val="008F548E"/>
    <w:rsid w:val="008F5E44"/>
    <w:rsid w:val="008F68ED"/>
    <w:rsid w:val="008F6BA7"/>
    <w:rsid w:val="008F7774"/>
    <w:rsid w:val="008F7A22"/>
    <w:rsid w:val="00900511"/>
    <w:rsid w:val="009016EA"/>
    <w:rsid w:val="009033DB"/>
    <w:rsid w:val="00906484"/>
    <w:rsid w:val="00906DED"/>
    <w:rsid w:val="00906E34"/>
    <w:rsid w:val="009075CE"/>
    <w:rsid w:val="00907DA9"/>
    <w:rsid w:val="009106A8"/>
    <w:rsid w:val="00913779"/>
    <w:rsid w:val="009142A2"/>
    <w:rsid w:val="00914F0D"/>
    <w:rsid w:val="00916132"/>
    <w:rsid w:val="009216C9"/>
    <w:rsid w:val="00922848"/>
    <w:rsid w:val="0092412D"/>
    <w:rsid w:val="0092568B"/>
    <w:rsid w:val="00926301"/>
    <w:rsid w:val="009263A5"/>
    <w:rsid w:val="0092749B"/>
    <w:rsid w:val="0092780A"/>
    <w:rsid w:val="00930550"/>
    <w:rsid w:val="00930651"/>
    <w:rsid w:val="00930D2E"/>
    <w:rsid w:val="00930D3F"/>
    <w:rsid w:val="009313E5"/>
    <w:rsid w:val="009315CA"/>
    <w:rsid w:val="0093226C"/>
    <w:rsid w:val="009328E9"/>
    <w:rsid w:val="00932942"/>
    <w:rsid w:val="00932BCE"/>
    <w:rsid w:val="00932E12"/>
    <w:rsid w:val="0093409C"/>
    <w:rsid w:val="00936682"/>
    <w:rsid w:val="009368CE"/>
    <w:rsid w:val="0094099A"/>
    <w:rsid w:val="00941607"/>
    <w:rsid w:val="00941DB9"/>
    <w:rsid w:val="00942A7A"/>
    <w:rsid w:val="009444A8"/>
    <w:rsid w:val="00944E6D"/>
    <w:rsid w:val="00944EEB"/>
    <w:rsid w:val="00944F1B"/>
    <w:rsid w:val="009464E2"/>
    <w:rsid w:val="00946581"/>
    <w:rsid w:val="00946BD1"/>
    <w:rsid w:val="0094736E"/>
    <w:rsid w:val="00950189"/>
    <w:rsid w:val="00950260"/>
    <w:rsid w:val="00950F8C"/>
    <w:rsid w:val="00951AA8"/>
    <w:rsid w:val="00951B1E"/>
    <w:rsid w:val="00952EB8"/>
    <w:rsid w:val="00952F8C"/>
    <w:rsid w:val="009560F8"/>
    <w:rsid w:val="0095729A"/>
    <w:rsid w:val="00961388"/>
    <w:rsid w:val="009632D3"/>
    <w:rsid w:val="009633DE"/>
    <w:rsid w:val="009637D4"/>
    <w:rsid w:val="00964338"/>
    <w:rsid w:val="00970063"/>
    <w:rsid w:val="00971429"/>
    <w:rsid w:val="00972C33"/>
    <w:rsid w:val="00975067"/>
    <w:rsid w:val="009755B9"/>
    <w:rsid w:val="009757EB"/>
    <w:rsid w:val="00975BE2"/>
    <w:rsid w:val="00977234"/>
    <w:rsid w:val="00977FA8"/>
    <w:rsid w:val="009801E4"/>
    <w:rsid w:val="00980419"/>
    <w:rsid w:val="00983F54"/>
    <w:rsid w:val="009844AF"/>
    <w:rsid w:val="00987F95"/>
    <w:rsid w:val="00990C52"/>
    <w:rsid w:val="00992789"/>
    <w:rsid w:val="00992E7A"/>
    <w:rsid w:val="00997192"/>
    <w:rsid w:val="00997764"/>
    <w:rsid w:val="00997D43"/>
    <w:rsid w:val="009A1919"/>
    <w:rsid w:val="009A2199"/>
    <w:rsid w:val="009A2E7F"/>
    <w:rsid w:val="009A303A"/>
    <w:rsid w:val="009A351C"/>
    <w:rsid w:val="009A3D58"/>
    <w:rsid w:val="009A4215"/>
    <w:rsid w:val="009A4585"/>
    <w:rsid w:val="009A4DB9"/>
    <w:rsid w:val="009A6C18"/>
    <w:rsid w:val="009A7CCD"/>
    <w:rsid w:val="009B1104"/>
    <w:rsid w:val="009B17DA"/>
    <w:rsid w:val="009B2DAE"/>
    <w:rsid w:val="009B41AE"/>
    <w:rsid w:val="009B485C"/>
    <w:rsid w:val="009B62C8"/>
    <w:rsid w:val="009B632B"/>
    <w:rsid w:val="009B6EDD"/>
    <w:rsid w:val="009B7A58"/>
    <w:rsid w:val="009B7BFA"/>
    <w:rsid w:val="009C094A"/>
    <w:rsid w:val="009C0F93"/>
    <w:rsid w:val="009C165C"/>
    <w:rsid w:val="009C30B4"/>
    <w:rsid w:val="009C379A"/>
    <w:rsid w:val="009C4122"/>
    <w:rsid w:val="009C5178"/>
    <w:rsid w:val="009C6208"/>
    <w:rsid w:val="009D01EB"/>
    <w:rsid w:val="009D09B4"/>
    <w:rsid w:val="009D1196"/>
    <w:rsid w:val="009D1466"/>
    <w:rsid w:val="009D320A"/>
    <w:rsid w:val="009D4D75"/>
    <w:rsid w:val="009D5CA9"/>
    <w:rsid w:val="009D66A1"/>
    <w:rsid w:val="009D68BA"/>
    <w:rsid w:val="009D7813"/>
    <w:rsid w:val="009D7D09"/>
    <w:rsid w:val="009E0F6D"/>
    <w:rsid w:val="009E1A76"/>
    <w:rsid w:val="009E2CCD"/>
    <w:rsid w:val="009E31BF"/>
    <w:rsid w:val="009E3C2B"/>
    <w:rsid w:val="009E4858"/>
    <w:rsid w:val="009E4E7A"/>
    <w:rsid w:val="009E4E8F"/>
    <w:rsid w:val="009E5A0B"/>
    <w:rsid w:val="009E6193"/>
    <w:rsid w:val="009E6F5D"/>
    <w:rsid w:val="009E7461"/>
    <w:rsid w:val="009E7E99"/>
    <w:rsid w:val="009F009A"/>
    <w:rsid w:val="009F0203"/>
    <w:rsid w:val="009F0988"/>
    <w:rsid w:val="009F1865"/>
    <w:rsid w:val="009F38C4"/>
    <w:rsid w:val="009F4036"/>
    <w:rsid w:val="009F464E"/>
    <w:rsid w:val="009F4AB1"/>
    <w:rsid w:val="009F4BBD"/>
    <w:rsid w:val="00A00C57"/>
    <w:rsid w:val="00A019DF"/>
    <w:rsid w:val="00A0214F"/>
    <w:rsid w:val="00A03A33"/>
    <w:rsid w:val="00A04413"/>
    <w:rsid w:val="00A04906"/>
    <w:rsid w:val="00A0563F"/>
    <w:rsid w:val="00A05933"/>
    <w:rsid w:val="00A07056"/>
    <w:rsid w:val="00A114F2"/>
    <w:rsid w:val="00A115D3"/>
    <w:rsid w:val="00A1195B"/>
    <w:rsid w:val="00A11EC3"/>
    <w:rsid w:val="00A11FE0"/>
    <w:rsid w:val="00A13508"/>
    <w:rsid w:val="00A1456E"/>
    <w:rsid w:val="00A15067"/>
    <w:rsid w:val="00A1623F"/>
    <w:rsid w:val="00A16249"/>
    <w:rsid w:val="00A16E90"/>
    <w:rsid w:val="00A17363"/>
    <w:rsid w:val="00A21C4F"/>
    <w:rsid w:val="00A21F86"/>
    <w:rsid w:val="00A224B1"/>
    <w:rsid w:val="00A23C1D"/>
    <w:rsid w:val="00A2487D"/>
    <w:rsid w:val="00A24C79"/>
    <w:rsid w:val="00A25C0F"/>
    <w:rsid w:val="00A276D6"/>
    <w:rsid w:val="00A27AD0"/>
    <w:rsid w:val="00A3119E"/>
    <w:rsid w:val="00A3126C"/>
    <w:rsid w:val="00A315E4"/>
    <w:rsid w:val="00A32B85"/>
    <w:rsid w:val="00A34BB2"/>
    <w:rsid w:val="00A34DBA"/>
    <w:rsid w:val="00A35BD8"/>
    <w:rsid w:val="00A36263"/>
    <w:rsid w:val="00A375F9"/>
    <w:rsid w:val="00A40B4D"/>
    <w:rsid w:val="00A410EC"/>
    <w:rsid w:val="00A41A11"/>
    <w:rsid w:val="00A42C14"/>
    <w:rsid w:val="00A42DA8"/>
    <w:rsid w:val="00A43FC2"/>
    <w:rsid w:val="00A44142"/>
    <w:rsid w:val="00A44C0C"/>
    <w:rsid w:val="00A46CC0"/>
    <w:rsid w:val="00A47D24"/>
    <w:rsid w:val="00A50A5F"/>
    <w:rsid w:val="00A50A9D"/>
    <w:rsid w:val="00A54361"/>
    <w:rsid w:val="00A5793A"/>
    <w:rsid w:val="00A629A1"/>
    <w:rsid w:val="00A6310F"/>
    <w:rsid w:val="00A63CA1"/>
    <w:rsid w:val="00A63EC2"/>
    <w:rsid w:val="00A6462B"/>
    <w:rsid w:val="00A649EB"/>
    <w:rsid w:val="00A6655F"/>
    <w:rsid w:val="00A671DB"/>
    <w:rsid w:val="00A67EBC"/>
    <w:rsid w:val="00A7054F"/>
    <w:rsid w:val="00A745AB"/>
    <w:rsid w:val="00A74BAF"/>
    <w:rsid w:val="00A757CD"/>
    <w:rsid w:val="00A81AFE"/>
    <w:rsid w:val="00A81EA9"/>
    <w:rsid w:val="00A8311B"/>
    <w:rsid w:val="00A83D34"/>
    <w:rsid w:val="00A84B52"/>
    <w:rsid w:val="00A852CF"/>
    <w:rsid w:val="00A85369"/>
    <w:rsid w:val="00A8565A"/>
    <w:rsid w:val="00A85D21"/>
    <w:rsid w:val="00A86907"/>
    <w:rsid w:val="00A9228B"/>
    <w:rsid w:val="00A924CA"/>
    <w:rsid w:val="00A9280D"/>
    <w:rsid w:val="00A92BC7"/>
    <w:rsid w:val="00A94D08"/>
    <w:rsid w:val="00A95376"/>
    <w:rsid w:val="00A96176"/>
    <w:rsid w:val="00A9662A"/>
    <w:rsid w:val="00A96B1E"/>
    <w:rsid w:val="00A96DE2"/>
    <w:rsid w:val="00AA08E0"/>
    <w:rsid w:val="00AA0F20"/>
    <w:rsid w:val="00AA1E12"/>
    <w:rsid w:val="00AA2792"/>
    <w:rsid w:val="00AA3EA3"/>
    <w:rsid w:val="00AA4E95"/>
    <w:rsid w:val="00AA574B"/>
    <w:rsid w:val="00AA705A"/>
    <w:rsid w:val="00AA7B04"/>
    <w:rsid w:val="00AB04A4"/>
    <w:rsid w:val="00AB1458"/>
    <w:rsid w:val="00AB1D66"/>
    <w:rsid w:val="00AB25A0"/>
    <w:rsid w:val="00AB3A41"/>
    <w:rsid w:val="00AB3D6C"/>
    <w:rsid w:val="00AB6C5C"/>
    <w:rsid w:val="00AC14C3"/>
    <w:rsid w:val="00AC28AB"/>
    <w:rsid w:val="00AC2AAD"/>
    <w:rsid w:val="00AC2F10"/>
    <w:rsid w:val="00AC3831"/>
    <w:rsid w:val="00AC3A68"/>
    <w:rsid w:val="00AC4AD9"/>
    <w:rsid w:val="00AC6297"/>
    <w:rsid w:val="00AC792B"/>
    <w:rsid w:val="00AD026D"/>
    <w:rsid w:val="00AD0B91"/>
    <w:rsid w:val="00AD1541"/>
    <w:rsid w:val="00AD189E"/>
    <w:rsid w:val="00AD3999"/>
    <w:rsid w:val="00AD39E2"/>
    <w:rsid w:val="00AD469A"/>
    <w:rsid w:val="00AD4A69"/>
    <w:rsid w:val="00AD649E"/>
    <w:rsid w:val="00AD7729"/>
    <w:rsid w:val="00AD7D8E"/>
    <w:rsid w:val="00AE0201"/>
    <w:rsid w:val="00AE0772"/>
    <w:rsid w:val="00AE14AB"/>
    <w:rsid w:val="00AE1BD2"/>
    <w:rsid w:val="00AE5936"/>
    <w:rsid w:val="00AE66A1"/>
    <w:rsid w:val="00AE76A3"/>
    <w:rsid w:val="00AF0140"/>
    <w:rsid w:val="00AF0A20"/>
    <w:rsid w:val="00AF0A78"/>
    <w:rsid w:val="00AF3250"/>
    <w:rsid w:val="00AF5955"/>
    <w:rsid w:val="00AF5F77"/>
    <w:rsid w:val="00AF65B2"/>
    <w:rsid w:val="00AF6DDB"/>
    <w:rsid w:val="00AF798C"/>
    <w:rsid w:val="00B00768"/>
    <w:rsid w:val="00B00E22"/>
    <w:rsid w:val="00B01081"/>
    <w:rsid w:val="00B01AD1"/>
    <w:rsid w:val="00B02714"/>
    <w:rsid w:val="00B02E4B"/>
    <w:rsid w:val="00B0349F"/>
    <w:rsid w:val="00B03827"/>
    <w:rsid w:val="00B051A3"/>
    <w:rsid w:val="00B056CD"/>
    <w:rsid w:val="00B062FE"/>
    <w:rsid w:val="00B07096"/>
    <w:rsid w:val="00B07177"/>
    <w:rsid w:val="00B07D16"/>
    <w:rsid w:val="00B108FC"/>
    <w:rsid w:val="00B15A8C"/>
    <w:rsid w:val="00B15D39"/>
    <w:rsid w:val="00B16D30"/>
    <w:rsid w:val="00B20C6D"/>
    <w:rsid w:val="00B20D98"/>
    <w:rsid w:val="00B24A09"/>
    <w:rsid w:val="00B2535A"/>
    <w:rsid w:val="00B26F5A"/>
    <w:rsid w:val="00B272EE"/>
    <w:rsid w:val="00B2750A"/>
    <w:rsid w:val="00B315A9"/>
    <w:rsid w:val="00B32C23"/>
    <w:rsid w:val="00B32EE3"/>
    <w:rsid w:val="00B339F5"/>
    <w:rsid w:val="00B36568"/>
    <w:rsid w:val="00B36827"/>
    <w:rsid w:val="00B36A69"/>
    <w:rsid w:val="00B37029"/>
    <w:rsid w:val="00B3721C"/>
    <w:rsid w:val="00B37508"/>
    <w:rsid w:val="00B4052B"/>
    <w:rsid w:val="00B42140"/>
    <w:rsid w:val="00B42777"/>
    <w:rsid w:val="00B4309E"/>
    <w:rsid w:val="00B44479"/>
    <w:rsid w:val="00B4546B"/>
    <w:rsid w:val="00B45921"/>
    <w:rsid w:val="00B469D3"/>
    <w:rsid w:val="00B50301"/>
    <w:rsid w:val="00B505F3"/>
    <w:rsid w:val="00B50B5E"/>
    <w:rsid w:val="00B51CD3"/>
    <w:rsid w:val="00B531D4"/>
    <w:rsid w:val="00B536DB"/>
    <w:rsid w:val="00B53842"/>
    <w:rsid w:val="00B54053"/>
    <w:rsid w:val="00B5514A"/>
    <w:rsid w:val="00B57609"/>
    <w:rsid w:val="00B60197"/>
    <w:rsid w:val="00B60AC7"/>
    <w:rsid w:val="00B61CEA"/>
    <w:rsid w:val="00B62193"/>
    <w:rsid w:val="00B66A68"/>
    <w:rsid w:val="00B70738"/>
    <w:rsid w:val="00B711A9"/>
    <w:rsid w:val="00B71A11"/>
    <w:rsid w:val="00B71FB4"/>
    <w:rsid w:val="00B725E4"/>
    <w:rsid w:val="00B74680"/>
    <w:rsid w:val="00B77C04"/>
    <w:rsid w:val="00B832A4"/>
    <w:rsid w:val="00B8519E"/>
    <w:rsid w:val="00B8563A"/>
    <w:rsid w:val="00B85801"/>
    <w:rsid w:val="00B86E45"/>
    <w:rsid w:val="00B87519"/>
    <w:rsid w:val="00B91A75"/>
    <w:rsid w:val="00B923E4"/>
    <w:rsid w:val="00B93195"/>
    <w:rsid w:val="00B936B3"/>
    <w:rsid w:val="00B958F1"/>
    <w:rsid w:val="00B95BE8"/>
    <w:rsid w:val="00B9661D"/>
    <w:rsid w:val="00B96DE8"/>
    <w:rsid w:val="00B97045"/>
    <w:rsid w:val="00B97306"/>
    <w:rsid w:val="00B973F8"/>
    <w:rsid w:val="00B97EE3"/>
    <w:rsid w:val="00BA034B"/>
    <w:rsid w:val="00BA07C3"/>
    <w:rsid w:val="00BA1C8A"/>
    <w:rsid w:val="00BA2006"/>
    <w:rsid w:val="00BA2750"/>
    <w:rsid w:val="00BA27B8"/>
    <w:rsid w:val="00BA3D6B"/>
    <w:rsid w:val="00BA3E87"/>
    <w:rsid w:val="00BA44AD"/>
    <w:rsid w:val="00BA7994"/>
    <w:rsid w:val="00BB1358"/>
    <w:rsid w:val="00BB1D55"/>
    <w:rsid w:val="00BB491A"/>
    <w:rsid w:val="00BB4AE3"/>
    <w:rsid w:val="00BB5971"/>
    <w:rsid w:val="00BB5A83"/>
    <w:rsid w:val="00BB7D33"/>
    <w:rsid w:val="00BB7DA2"/>
    <w:rsid w:val="00BC0B3E"/>
    <w:rsid w:val="00BC134A"/>
    <w:rsid w:val="00BC2CC3"/>
    <w:rsid w:val="00BC3013"/>
    <w:rsid w:val="00BC480C"/>
    <w:rsid w:val="00BC4F79"/>
    <w:rsid w:val="00BC5572"/>
    <w:rsid w:val="00BC5669"/>
    <w:rsid w:val="00BC5965"/>
    <w:rsid w:val="00BC5E39"/>
    <w:rsid w:val="00BC62EA"/>
    <w:rsid w:val="00BD1EFA"/>
    <w:rsid w:val="00BD2E80"/>
    <w:rsid w:val="00BD3E2B"/>
    <w:rsid w:val="00BD48E7"/>
    <w:rsid w:val="00BD5ED5"/>
    <w:rsid w:val="00BD6998"/>
    <w:rsid w:val="00BD7147"/>
    <w:rsid w:val="00BE025B"/>
    <w:rsid w:val="00BE2349"/>
    <w:rsid w:val="00BE280C"/>
    <w:rsid w:val="00BE28D4"/>
    <w:rsid w:val="00BE2C7C"/>
    <w:rsid w:val="00BE2FD5"/>
    <w:rsid w:val="00BE4539"/>
    <w:rsid w:val="00BE7D59"/>
    <w:rsid w:val="00BF14FD"/>
    <w:rsid w:val="00BF159F"/>
    <w:rsid w:val="00BF2399"/>
    <w:rsid w:val="00BF28DD"/>
    <w:rsid w:val="00BF6B20"/>
    <w:rsid w:val="00C00118"/>
    <w:rsid w:val="00C00DFE"/>
    <w:rsid w:val="00C02368"/>
    <w:rsid w:val="00C02CEC"/>
    <w:rsid w:val="00C03129"/>
    <w:rsid w:val="00C033D8"/>
    <w:rsid w:val="00C037E6"/>
    <w:rsid w:val="00C04D92"/>
    <w:rsid w:val="00C04F14"/>
    <w:rsid w:val="00C05433"/>
    <w:rsid w:val="00C05A55"/>
    <w:rsid w:val="00C067A3"/>
    <w:rsid w:val="00C06FDE"/>
    <w:rsid w:val="00C07DA0"/>
    <w:rsid w:val="00C1149C"/>
    <w:rsid w:val="00C11718"/>
    <w:rsid w:val="00C119AC"/>
    <w:rsid w:val="00C13A44"/>
    <w:rsid w:val="00C1414E"/>
    <w:rsid w:val="00C155A1"/>
    <w:rsid w:val="00C16030"/>
    <w:rsid w:val="00C17F57"/>
    <w:rsid w:val="00C20B0F"/>
    <w:rsid w:val="00C226A4"/>
    <w:rsid w:val="00C22E9C"/>
    <w:rsid w:val="00C23140"/>
    <w:rsid w:val="00C2365C"/>
    <w:rsid w:val="00C25C04"/>
    <w:rsid w:val="00C26DA5"/>
    <w:rsid w:val="00C26E52"/>
    <w:rsid w:val="00C27341"/>
    <w:rsid w:val="00C27466"/>
    <w:rsid w:val="00C304FE"/>
    <w:rsid w:val="00C308A6"/>
    <w:rsid w:val="00C30CBC"/>
    <w:rsid w:val="00C30E11"/>
    <w:rsid w:val="00C3122E"/>
    <w:rsid w:val="00C31720"/>
    <w:rsid w:val="00C31EA3"/>
    <w:rsid w:val="00C32BEA"/>
    <w:rsid w:val="00C33420"/>
    <w:rsid w:val="00C33D61"/>
    <w:rsid w:val="00C34227"/>
    <w:rsid w:val="00C34AB3"/>
    <w:rsid w:val="00C368B0"/>
    <w:rsid w:val="00C36C13"/>
    <w:rsid w:val="00C371E3"/>
    <w:rsid w:val="00C40CF0"/>
    <w:rsid w:val="00C41BE8"/>
    <w:rsid w:val="00C42E57"/>
    <w:rsid w:val="00C4381F"/>
    <w:rsid w:val="00C446B3"/>
    <w:rsid w:val="00C451BD"/>
    <w:rsid w:val="00C45348"/>
    <w:rsid w:val="00C45EAC"/>
    <w:rsid w:val="00C46B97"/>
    <w:rsid w:val="00C47609"/>
    <w:rsid w:val="00C501E9"/>
    <w:rsid w:val="00C50278"/>
    <w:rsid w:val="00C50759"/>
    <w:rsid w:val="00C508F4"/>
    <w:rsid w:val="00C545AA"/>
    <w:rsid w:val="00C548A6"/>
    <w:rsid w:val="00C54A37"/>
    <w:rsid w:val="00C608E6"/>
    <w:rsid w:val="00C60F61"/>
    <w:rsid w:val="00C610CA"/>
    <w:rsid w:val="00C61AD2"/>
    <w:rsid w:val="00C62497"/>
    <w:rsid w:val="00C6261C"/>
    <w:rsid w:val="00C626A0"/>
    <w:rsid w:val="00C63EE7"/>
    <w:rsid w:val="00C64798"/>
    <w:rsid w:val="00C6668B"/>
    <w:rsid w:val="00C6715F"/>
    <w:rsid w:val="00C67E1B"/>
    <w:rsid w:val="00C7293A"/>
    <w:rsid w:val="00C73199"/>
    <w:rsid w:val="00C75083"/>
    <w:rsid w:val="00C76077"/>
    <w:rsid w:val="00C7748D"/>
    <w:rsid w:val="00C77C5B"/>
    <w:rsid w:val="00C81863"/>
    <w:rsid w:val="00C81C10"/>
    <w:rsid w:val="00C81F89"/>
    <w:rsid w:val="00C8230D"/>
    <w:rsid w:val="00C83C70"/>
    <w:rsid w:val="00C84141"/>
    <w:rsid w:val="00C84A76"/>
    <w:rsid w:val="00C852FC"/>
    <w:rsid w:val="00C86233"/>
    <w:rsid w:val="00C86B48"/>
    <w:rsid w:val="00C90786"/>
    <w:rsid w:val="00C9504F"/>
    <w:rsid w:val="00C95CB8"/>
    <w:rsid w:val="00C95E2C"/>
    <w:rsid w:val="00CA1C8D"/>
    <w:rsid w:val="00CA2954"/>
    <w:rsid w:val="00CA388C"/>
    <w:rsid w:val="00CA3DBC"/>
    <w:rsid w:val="00CA53E3"/>
    <w:rsid w:val="00CA63D2"/>
    <w:rsid w:val="00CA6B33"/>
    <w:rsid w:val="00CA6BE5"/>
    <w:rsid w:val="00CA7368"/>
    <w:rsid w:val="00CB0D43"/>
    <w:rsid w:val="00CB1A0B"/>
    <w:rsid w:val="00CB37FE"/>
    <w:rsid w:val="00CB3BC5"/>
    <w:rsid w:val="00CB483C"/>
    <w:rsid w:val="00CB4ECC"/>
    <w:rsid w:val="00CB60DD"/>
    <w:rsid w:val="00CB7ED6"/>
    <w:rsid w:val="00CC30F5"/>
    <w:rsid w:val="00CC44BD"/>
    <w:rsid w:val="00CC5C35"/>
    <w:rsid w:val="00CC65BC"/>
    <w:rsid w:val="00CD088D"/>
    <w:rsid w:val="00CD0FA8"/>
    <w:rsid w:val="00CD2848"/>
    <w:rsid w:val="00CD3048"/>
    <w:rsid w:val="00CD36D8"/>
    <w:rsid w:val="00CD43E1"/>
    <w:rsid w:val="00CE0011"/>
    <w:rsid w:val="00CE274A"/>
    <w:rsid w:val="00CE299F"/>
    <w:rsid w:val="00CE2C68"/>
    <w:rsid w:val="00CE30CC"/>
    <w:rsid w:val="00CE38C5"/>
    <w:rsid w:val="00CE3E30"/>
    <w:rsid w:val="00CE3FAB"/>
    <w:rsid w:val="00CE4266"/>
    <w:rsid w:val="00CE4500"/>
    <w:rsid w:val="00CE4AAB"/>
    <w:rsid w:val="00CE7D0D"/>
    <w:rsid w:val="00CF0B42"/>
    <w:rsid w:val="00CF18F4"/>
    <w:rsid w:val="00CF3C02"/>
    <w:rsid w:val="00CF5D51"/>
    <w:rsid w:val="00CF606F"/>
    <w:rsid w:val="00CF7C3C"/>
    <w:rsid w:val="00D0092E"/>
    <w:rsid w:val="00D00B36"/>
    <w:rsid w:val="00D025CB"/>
    <w:rsid w:val="00D02FEF"/>
    <w:rsid w:val="00D03985"/>
    <w:rsid w:val="00D051F6"/>
    <w:rsid w:val="00D0582F"/>
    <w:rsid w:val="00D05BC6"/>
    <w:rsid w:val="00D06640"/>
    <w:rsid w:val="00D06A17"/>
    <w:rsid w:val="00D076CE"/>
    <w:rsid w:val="00D07937"/>
    <w:rsid w:val="00D102D0"/>
    <w:rsid w:val="00D10B24"/>
    <w:rsid w:val="00D14022"/>
    <w:rsid w:val="00D14960"/>
    <w:rsid w:val="00D165F8"/>
    <w:rsid w:val="00D16CC6"/>
    <w:rsid w:val="00D203EB"/>
    <w:rsid w:val="00D208E5"/>
    <w:rsid w:val="00D20E32"/>
    <w:rsid w:val="00D21C46"/>
    <w:rsid w:val="00D22163"/>
    <w:rsid w:val="00D22C3E"/>
    <w:rsid w:val="00D235A5"/>
    <w:rsid w:val="00D23E5F"/>
    <w:rsid w:val="00D26635"/>
    <w:rsid w:val="00D26C9C"/>
    <w:rsid w:val="00D27F45"/>
    <w:rsid w:val="00D3007D"/>
    <w:rsid w:val="00D3046F"/>
    <w:rsid w:val="00D31DC1"/>
    <w:rsid w:val="00D346AB"/>
    <w:rsid w:val="00D34833"/>
    <w:rsid w:val="00D34887"/>
    <w:rsid w:val="00D36498"/>
    <w:rsid w:val="00D36B1B"/>
    <w:rsid w:val="00D37112"/>
    <w:rsid w:val="00D3735E"/>
    <w:rsid w:val="00D37916"/>
    <w:rsid w:val="00D41831"/>
    <w:rsid w:val="00D42A56"/>
    <w:rsid w:val="00D435BB"/>
    <w:rsid w:val="00D445F3"/>
    <w:rsid w:val="00D450C3"/>
    <w:rsid w:val="00D457AA"/>
    <w:rsid w:val="00D458B2"/>
    <w:rsid w:val="00D47C94"/>
    <w:rsid w:val="00D503B5"/>
    <w:rsid w:val="00D5130D"/>
    <w:rsid w:val="00D51A7B"/>
    <w:rsid w:val="00D52A97"/>
    <w:rsid w:val="00D53427"/>
    <w:rsid w:val="00D53CB3"/>
    <w:rsid w:val="00D55A2B"/>
    <w:rsid w:val="00D5617A"/>
    <w:rsid w:val="00D5640C"/>
    <w:rsid w:val="00D617B6"/>
    <w:rsid w:val="00D6225A"/>
    <w:rsid w:val="00D63931"/>
    <w:rsid w:val="00D63A04"/>
    <w:rsid w:val="00D65CA0"/>
    <w:rsid w:val="00D65F28"/>
    <w:rsid w:val="00D66192"/>
    <w:rsid w:val="00D66C95"/>
    <w:rsid w:val="00D707F1"/>
    <w:rsid w:val="00D71FCE"/>
    <w:rsid w:val="00D722FC"/>
    <w:rsid w:val="00D75FD1"/>
    <w:rsid w:val="00D76143"/>
    <w:rsid w:val="00D81782"/>
    <w:rsid w:val="00D82005"/>
    <w:rsid w:val="00D82791"/>
    <w:rsid w:val="00D831F9"/>
    <w:rsid w:val="00D85475"/>
    <w:rsid w:val="00D85DCF"/>
    <w:rsid w:val="00D904ED"/>
    <w:rsid w:val="00D9092E"/>
    <w:rsid w:val="00D9111D"/>
    <w:rsid w:val="00D91D31"/>
    <w:rsid w:val="00D920D5"/>
    <w:rsid w:val="00D922FD"/>
    <w:rsid w:val="00D93B8C"/>
    <w:rsid w:val="00D96207"/>
    <w:rsid w:val="00D9637B"/>
    <w:rsid w:val="00D96E4C"/>
    <w:rsid w:val="00D96FB1"/>
    <w:rsid w:val="00D972E6"/>
    <w:rsid w:val="00DA0F26"/>
    <w:rsid w:val="00DA10E6"/>
    <w:rsid w:val="00DA1E5A"/>
    <w:rsid w:val="00DA2C51"/>
    <w:rsid w:val="00DA2F4B"/>
    <w:rsid w:val="00DA417A"/>
    <w:rsid w:val="00DA439D"/>
    <w:rsid w:val="00DA4A65"/>
    <w:rsid w:val="00DA4B18"/>
    <w:rsid w:val="00DA7737"/>
    <w:rsid w:val="00DA793E"/>
    <w:rsid w:val="00DA7C6F"/>
    <w:rsid w:val="00DB03CC"/>
    <w:rsid w:val="00DB0EA4"/>
    <w:rsid w:val="00DB11AE"/>
    <w:rsid w:val="00DB16FB"/>
    <w:rsid w:val="00DB21EE"/>
    <w:rsid w:val="00DB2250"/>
    <w:rsid w:val="00DB299A"/>
    <w:rsid w:val="00DB47D0"/>
    <w:rsid w:val="00DB6A46"/>
    <w:rsid w:val="00DB7744"/>
    <w:rsid w:val="00DB7B65"/>
    <w:rsid w:val="00DB7E63"/>
    <w:rsid w:val="00DC15FB"/>
    <w:rsid w:val="00DC226B"/>
    <w:rsid w:val="00DC27A5"/>
    <w:rsid w:val="00DC3254"/>
    <w:rsid w:val="00DC3881"/>
    <w:rsid w:val="00DC3A30"/>
    <w:rsid w:val="00DC3FDD"/>
    <w:rsid w:val="00DC407D"/>
    <w:rsid w:val="00DC587E"/>
    <w:rsid w:val="00DC5D0E"/>
    <w:rsid w:val="00DC7D3F"/>
    <w:rsid w:val="00DD2D6B"/>
    <w:rsid w:val="00DD43C7"/>
    <w:rsid w:val="00DD4AB6"/>
    <w:rsid w:val="00DD4BC0"/>
    <w:rsid w:val="00DD61F7"/>
    <w:rsid w:val="00DD6E1F"/>
    <w:rsid w:val="00DE1CF2"/>
    <w:rsid w:val="00DE2ABF"/>
    <w:rsid w:val="00DE47E2"/>
    <w:rsid w:val="00DE5725"/>
    <w:rsid w:val="00DE6CB8"/>
    <w:rsid w:val="00DE6FFF"/>
    <w:rsid w:val="00DE7494"/>
    <w:rsid w:val="00DF0074"/>
    <w:rsid w:val="00DF0F4C"/>
    <w:rsid w:val="00DF1922"/>
    <w:rsid w:val="00DF3ABE"/>
    <w:rsid w:val="00DF4814"/>
    <w:rsid w:val="00DF59D0"/>
    <w:rsid w:val="00DF7ED3"/>
    <w:rsid w:val="00E008F2"/>
    <w:rsid w:val="00E00A80"/>
    <w:rsid w:val="00E0102A"/>
    <w:rsid w:val="00E0301C"/>
    <w:rsid w:val="00E03892"/>
    <w:rsid w:val="00E03F55"/>
    <w:rsid w:val="00E051E0"/>
    <w:rsid w:val="00E05B86"/>
    <w:rsid w:val="00E07652"/>
    <w:rsid w:val="00E121A1"/>
    <w:rsid w:val="00E12286"/>
    <w:rsid w:val="00E13878"/>
    <w:rsid w:val="00E13E20"/>
    <w:rsid w:val="00E17A35"/>
    <w:rsid w:val="00E20711"/>
    <w:rsid w:val="00E20C7A"/>
    <w:rsid w:val="00E21AD4"/>
    <w:rsid w:val="00E2246D"/>
    <w:rsid w:val="00E244B2"/>
    <w:rsid w:val="00E24CEE"/>
    <w:rsid w:val="00E25BDE"/>
    <w:rsid w:val="00E32BDF"/>
    <w:rsid w:val="00E33D61"/>
    <w:rsid w:val="00E349EF"/>
    <w:rsid w:val="00E36BD6"/>
    <w:rsid w:val="00E432F2"/>
    <w:rsid w:val="00E434EE"/>
    <w:rsid w:val="00E435B1"/>
    <w:rsid w:val="00E43C37"/>
    <w:rsid w:val="00E46A76"/>
    <w:rsid w:val="00E479EA"/>
    <w:rsid w:val="00E47AAA"/>
    <w:rsid w:val="00E50B9E"/>
    <w:rsid w:val="00E51358"/>
    <w:rsid w:val="00E52258"/>
    <w:rsid w:val="00E54184"/>
    <w:rsid w:val="00E561D9"/>
    <w:rsid w:val="00E56D11"/>
    <w:rsid w:val="00E60F0B"/>
    <w:rsid w:val="00E60FBE"/>
    <w:rsid w:val="00E62444"/>
    <w:rsid w:val="00E63978"/>
    <w:rsid w:val="00E64C16"/>
    <w:rsid w:val="00E6563B"/>
    <w:rsid w:val="00E6587E"/>
    <w:rsid w:val="00E664C6"/>
    <w:rsid w:val="00E67316"/>
    <w:rsid w:val="00E67401"/>
    <w:rsid w:val="00E67FEA"/>
    <w:rsid w:val="00E7067F"/>
    <w:rsid w:val="00E71644"/>
    <w:rsid w:val="00E71903"/>
    <w:rsid w:val="00E71BAE"/>
    <w:rsid w:val="00E72517"/>
    <w:rsid w:val="00E728C6"/>
    <w:rsid w:val="00E7352A"/>
    <w:rsid w:val="00E73F27"/>
    <w:rsid w:val="00E74E93"/>
    <w:rsid w:val="00E7501C"/>
    <w:rsid w:val="00E75BAF"/>
    <w:rsid w:val="00E767C6"/>
    <w:rsid w:val="00E770EC"/>
    <w:rsid w:val="00E77C1F"/>
    <w:rsid w:val="00E8047F"/>
    <w:rsid w:val="00E8199A"/>
    <w:rsid w:val="00E841D1"/>
    <w:rsid w:val="00E849D1"/>
    <w:rsid w:val="00E8575B"/>
    <w:rsid w:val="00E85BF6"/>
    <w:rsid w:val="00E86150"/>
    <w:rsid w:val="00E90C68"/>
    <w:rsid w:val="00E92417"/>
    <w:rsid w:val="00E93D4D"/>
    <w:rsid w:val="00E94094"/>
    <w:rsid w:val="00E94FFF"/>
    <w:rsid w:val="00E956A9"/>
    <w:rsid w:val="00E95E23"/>
    <w:rsid w:val="00E9791D"/>
    <w:rsid w:val="00EA002B"/>
    <w:rsid w:val="00EA09BF"/>
    <w:rsid w:val="00EA1502"/>
    <w:rsid w:val="00EA1C2B"/>
    <w:rsid w:val="00EA24C6"/>
    <w:rsid w:val="00EA3AC8"/>
    <w:rsid w:val="00EA5822"/>
    <w:rsid w:val="00EA5DA6"/>
    <w:rsid w:val="00EA5FD5"/>
    <w:rsid w:val="00EA774E"/>
    <w:rsid w:val="00EA7A28"/>
    <w:rsid w:val="00EB0A89"/>
    <w:rsid w:val="00EB0D67"/>
    <w:rsid w:val="00EB24CB"/>
    <w:rsid w:val="00EB3787"/>
    <w:rsid w:val="00EB6200"/>
    <w:rsid w:val="00EB6AAA"/>
    <w:rsid w:val="00EB6BE7"/>
    <w:rsid w:val="00EB6DD1"/>
    <w:rsid w:val="00EB73C5"/>
    <w:rsid w:val="00EB7F53"/>
    <w:rsid w:val="00EB7F5F"/>
    <w:rsid w:val="00EC0480"/>
    <w:rsid w:val="00EC071F"/>
    <w:rsid w:val="00EC2347"/>
    <w:rsid w:val="00EC352F"/>
    <w:rsid w:val="00EC363B"/>
    <w:rsid w:val="00EC4437"/>
    <w:rsid w:val="00EC4D03"/>
    <w:rsid w:val="00EC50D1"/>
    <w:rsid w:val="00EC5359"/>
    <w:rsid w:val="00EC59F1"/>
    <w:rsid w:val="00EC6535"/>
    <w:rsid w:val="00EC696F"/>
    <w:rsid w:val="00EC71FD"/>
    <w:rsid w:val="00EC73EF"/>
    <w:rsid w:val="00ED07D4"/>
    <w:rsid w:val="00ED1CE2"/>
    <w:rsid w:val="00ED20ED"/>
    <w:rsid w:val="00ED31BC"/>
    <w:rsid w:val="00ED49DA"/>
    <w:rsid w:val="00ED4E67"/>
    <w:rsid w:val="00ED53AE"/>
    <w:rsid w:val="00ED59DE"/>
    <w:rsid w:val="00ED5B5F"/>
    <w:rsid w:val="00EE0548"/>
    <w:rsid w:val="00EE0783"/>
    <w:rsid w:val="00EE1211"/>
    <w:rsid w:val="00EE1321"/>
    <w:rsid w:val="00EE1725"/>
    <w:rsid w:val="00EE248A"/>
    <w:rsid w:val="00EE2BBF"/>
    <w:rsid w:val="00EE378F"/>
    <w:rsid w:val="00EE3BB5"/>
    <w:rsid w:val="00EE52C6"/>
    <w:rsid w:val="00EE5A0A"/>
    <w:rsid w:val="00EE5D7B"/>
    <w:rsid w:val="00EE675E"/>
    <w:rsid w:val="00EF0355"/>
    <w:rsid w:val="00EF1A49"/>
    <w:rsid w:val="00EF26AD"/>
    <w:rsid w:val="00EF2E5D"/>
    <w:rsid w:val="00EF411B"/>
    <w:rsid w:val="00EF5C11"/>
    <w:rsid w:val="00EF66FF"/>
    <w:rsid w:val="00F00722"/>
    <w:rsid w:val="00F00B52"/>
    <w:rsid w:val="00F01CB4"/>
    <w:rsid w:val="00F02BED"/>
    <w:rsid w:val="00F032E2"/>
    <w:rsid w:val="00F057CE"/>
    <w:rsid w:val="00F05CF7"/>
    <w:rsid w:val="00F101A2"/>
    <w:rsid w:val="00F1084B"/>
    <w:rsid w:val="00F10A3E"/>
    <w:rsid w:val="00F11D8A"/>
    <w:rsid w:val="00F11E50"/>
    <w:rsid w:val="00F12ABF"/>
    <w:rsid w:val="00F1398C"/>
    <w:rsid w:val="00F14020"/>
    <w:rsid w:val="00F14570"/>
    <w:rsid w:val="00F14E0C"/>
    <w:rsid w:val="00F16978"/>
    <w:rsid w:val="00F169A2"/>
    <w:rsid w:val="00F170AE"/>
    <w:rsid w:val="00F21BA0"/>
    <w:rsid w:val="00F21C1A"/>
    <w:rsid w:val="00F220E4"/>
    <w:rsid w:val="00F23A14"/>
    <w:rsid w:val="00F242C4"/>
    <w:rsid w:val="00F2515B"/>
    <w:rsid w:val="00F26F48"/>
    <w:rsid w:val="00F2767A"/>
    <w:rsid w:val="00F27EF5"/>
    <w:rsid w:val="00F32404"/>
    <w:rsid w:val="00F325E3"/>
    <w:rsid w:val="00F32D73"/>
    <w:rsid w:val="00F3340C"/>
    <w:rsid w:val="00F3522B"/>
    <w:rsid w:val="00F353EB"/>
    <w:rsid w:val="00F35D67"/>
    <w:rsid w:val="00F4018B"/>
    <w:rsid w:val="00F42537"/>
    <w:rsid w:val="00F43D7E"/>
    <w:rsid w:val="00F45642"/>
    <w:rsid w:val="00F46334"/>
    <w:rsid w:val="00F526AB"/>
    <w:rsid w:val="00F52822"/>
    <w:rsid w:val="00F533DE"/>
    <w:rsid w:val="00F5453F"/>
    <w:rsid w:val="00F57239"/>
    <w:rsid w:val="00F6010C"/>
    <w:rsid w:val="00F60134"/>
    <w:rsid w:val="00F60338"/>
    <w:rsid w:val="00F633FF"/>
    <w:rsid w:val="00F63638"/>
    <w:rsid w:val="00F6379C"/>
    <w:rsid w:val="00F64328"/>
    <w:rsid w:val="00F64AFF"/>
    <w:rsid w:val="00F654F6"/>
    <w:rsid w:val="00F66943"/>
    <w:rsid w:val="00F66CE0"/>
    <w:rsid w:val="00F67D9B"/>
    <w:rsid w:val="00F67F4E"/>
    <w:rsid w:val="00F70B17"/>
    <w:rsid w:val="00F710CC"/>
    <w:rsid w:val="00F71D97"/>
    <w:rsid w:val="00F72F2B"/>
    <w:rsid w:val="00F73127"/>
    <w:rsid w:val="00F73386"/>
    <w:rsid w:val="00F74762"/>
    <w:rsid w:val="00F747A0"/>
    <w:rsid w:val="00F76419"/>
    <w:rsid w:val="00F76B6C"/>
    <w:rsid w:val="00F76C23"/>
    <w:rsid w:val="00F77422"/>
    <w:rsid w:val="00F77725"/>
    <w:rsid w:val="00F802FE"/>
    <w:rsid w:val="00F8070C"/>
    <w:rsid w:val="00F80C7F"/>
    <w:rsid w:val="00F80CCB"/>
    <w:rsid w:val="00F82091"/>
    <w:rsid w:val="00F831A1"/>
    <w:rsid w:val="00F84658"/>
    <w:rsid w:val="00F8590D"/>
    <w:rsid w:val="00F85E67"/>
    <w:rsid w:val="00F86189"/>
    <w:rsid w:val="00F863FC"/>
    <w:rsid w:val="00F866FD"/>
    <w:rsid w:val="00F86717"/>
    <w:rsid w:val="00F86ABC"/>
    <w:rsid w:val="00F90106"/>
    <w:rsid w:val="00F90CAF"/>
    <w:rsid w:val="00F91323"/>
    <w:rsid w:val="00F915D4"/>
    <w:rsid w:val="00F915DC"/>
    <w:rsid w:val="00F94571"/>
    <w:rsid w:val="00F94E15"/>
    <w:rsid w:val="00F95861"/>
    <w:rsid w:val="00F972DB"/>
    <w:rsid w:val="00FA2CD5"/>
    <w:rsid w:val="00FA4810"/>
    <w:rsid w:val="00FA5311"/>
    <w:rsid w:val="00FA6037"/>
    <w:rsid w:val="00FA6C8F"/>
    <w:rsid w:val="00FA760E"/>
    <w:rsid w:val="00FA7635"/>
    <w:rsid w:val="00FB18CF"/>
    <w:rsid w:val="00FB220B"/>
    <w:rsid w:val="00FB26CE"/>
    <w:rsid w:val="00FB319A"/>
    <w:rsid w:val="00FB347A"/>
    <w:rsid w:val="00FB437E"/>
    <w:rsid w:val="00FB5667"/>
    <w:rsid w:val="00FB576A"/>
    <w:rsid w:val="00FB7CBC"/>
    <w:rsid w:val="00FB7EF1"/>
    <w:rsid w:val="00FC0CE2"/>
    <w:rsid w:val="00FC0EC2"/>
    <w:rsid w:val="00FC1493"/>
    <w:rsid w:val="00FC1787"/>
    <w:rsid w:val="00FC20CB"/>
    <w:rsid w:val="00FC3639"/>
    <w:rsid w:val="00FC3CD6"/>
    <w:rsid w:val="00FC59E1"/>
    <w:rsid w:val="00FC5CAA"/>
    <w:rsid w:val="00FC679C"/>
    <w:rsid w:val="00FC7476"/>
    <w:rsid w:val="00FD1827"/>
    <w:rsid w:val="00FD2635"/>
    <w:rsid w:val="00FD36F0"/>
    <w:rsid w:val="00FD3B44"/>
    <w:rsid w:val="00FD58FE"/>
    <w:rsid w:val="00FD7023"/>
    <w:rsid w:val="00FD73F0"/>
    <w:rsid w:val="00FE07BB"/>
    <w:rsid w:val="00FE08CE"/>
    <w:rsid w:val="00FE19EC"/>
    <w:rsid w:val="00FE206E"/>
    <w:rsid w:val="00FE2F68"/>
    <w:rsid w:val="00FE4E00"/>
    <w:rsid w:val="00FE57A8"/>
    <w:rsid w:val="00FE7A5B"/>
    <w:rsid w:val="00FF0007"/>
    <w:rsid w:val="00FF12D7"/>
    <w:rsid w:val="00FF1461"/>
    <w:rsid w:val="00FF209B"/>
    <w:rsid w:val="00FF255C"/>
    <w:rsid w:val="00FF2723"/>
    <w:rsid w:val="00FF281D"/>
    <w:rsid w:val="00FF4335"/>
    <w:rsid w:val="00FF4665"/>
    <w:rsid w:val="00FF4684"/>
    <w:rsid w:val="00FF5A5D"/>
    <w:rsid w:val="00FF5F3D"/>
    <w:rsid w:val="00FF659D"/>
    <w:rsid w:val="016FEDBB"/>
    <w:rsid w:val="031BEC66"/>
    <w:rsid w:val="11A3D202"/>
    <w:rsid w:val="124E3197"/>
    <w:rsid w:val="1D296218"/>
    <w:rsid w:val="1EC496ED"/>
    <w:rsid w:val="251DAEC4"/>
    <w:rsid w:val="25D180A2"/>
    <w:rsid w:val="283922F5"/>
    <w:rsid w:val="2A24D5FF"/>
    <w:rsid w:val="2A561660"/>
    <w:rsid w:val="2A6EA6DB"/>
    <w:rsid w:val="2B62EEAE"/>
    <w:rsid w:val="2C1703A5"/>
    <w:rsid w:val="2C4F8F6D"/>
    <w:rsid w:val="2D92F8BA"/>
    <w:rsid w:val="2E807EFD"/>
    <w:rsid w:val="2F49821E"/>
    <w:rsid w:val="345F3D8A"/>
    <w:rsid w:val="34AC0A62"/>
    <w:rsid w:val="36BE000C"/>
    <w:rsid w:val="38A11450"/>
    <w:rsid w:val="3961F64E"/>
    <w:rsid w:val="3B5F883B"/>
    <w:rsid w:val="40531069"/>
    <w:rsid w:val="44C6735B"/>
    <w:rsid w:val="48EB30FB"/>
    <w:rsid w:val="49C9ADB7"/>
    <w:rsid w:val="4A1099EA"/>
    <w:rsid w:val="4AB9D180"/>
    <w:rsid w:val="4D999809"/>
    <w:rsid w:val="5B405C46"/>
    <w:rsid w:val="5CBB9E4E"/>
    <w:rsid w:val="5F568751"/>
    <w:rsid w:val="5FE5E67B"/>
    <w:rsid w:val="6368FAFE"/>
    <w:rsid w:val="63EA1D5F"/>
    <w:rsid w:val="641B0BDB"/>
    <w:rsid w:val="65C0CC1A"/>
    <w:rsid w:val="67B10B62"/>
    <w:rsid w:val="686823B5"/>
    <w:rsid w:val="68AD96DE"/>
    <w:rsid w:val="6925DFB8"/>
    <w:rsid w:val="6A949BE3"/>
    <w:rsid w:val="6B160BBF"/>
    <w:rsid w:val="6D5796E2"/>
    <w:rsid w:val="6F54C1B9"/>
    <w:rsid w:val="714746C0"/>
    <w:rsid w:val="71E76EEE"/>
    <w:rsid w:val="7248F1C9"/>
    <w:rsid w:val="728B7EF4"/>
    <w:rsid w:val="74698ED5"/>
    <w:rsid w:val="75D6EBC7"/>
    <w:rsid w:val="7939032A"/>
    <w:rsid w:val="7B9D8C82"/>
    <w:rsid w:val="7CE22645"/>
    <w:rsid w:val="7F0B69D5"/>
    <w:rsid w:val="7FD31633"/>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A7635"/>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uiPriority w:val="59"/>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CERbullets"/>
    <w:link w:val="CERnumberingChar"/>
    <w:uiPriority w:val="8"/>
    <w:qFormat/>
    <w:rsid w:val="00FE2F68"/>
    <w:pPr>
      <w:numPr>
        <w:numId w:val="0"/>
      </w:numPr>
    </w:pPr>
    <w:rPr>
      <w:lang w:val="en-US"/>
    </w:r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FE2F68"/>
    <w:rPr>
      <w:rFonts w:asciiTheme="minorHAnsi" w:hAnsiTheme="minorHAnsi" w:cstheme="minorHAnsi"/>
      <w:sz w:val="22"/>
      <w:szCs w:val="24"/>
      <w:lang w:val="en-US"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9633DE"/>
    <w:rPr>
      <w:rFonts w:asciiTheme="minorHAnsi" w:hAnsiTheme="minorHAnsi"/>
      <w:b/>
      <w:color w:val="FF0000"/>
      <w:sz w:val="24"/>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5005C8"/>
    <w:pPr>
      <w:tabs>
        <w:tab w:val="left" w:pos="440"/>
        <w:tab w:val="right" w:leader="dot" w:pos="9730"/>
      </w:tabs>
      <w:spacing w:after="100"/>
    </w:pPr>
    <w:rPr>
      <w:b/>
    </w:rPr>
  </w:style>
  <w:style w:type="paragraph" w:styleId="TOC3">
    <w:name w:val="toc 3"/>
    <w:basedOn w:val="Normal"/>
    <w:next w:val="Normal"/>
    <w:autoRedefine/>
    <w:uiPriority w:val="39"/>
    <w:unhideWhenUsed/>
    <w:rsid w:val="008002B5"/>
    <w:pPr>
      <w:tabs>
        <w:tab w:val="right" w:leader="dot" w:pos="9730"/>
      </w:tabs>
      <w:spacing w:after="100"/>
      <w:ind w:left="440"/>
    </w:pPr>
  </w:style>
  <w:style w:type="paragraph" w:styleId="TOC4">
    <w:name w:val="toc 4"/>
    <w:basedOn w:val="Normal"/>
    <w:next w:val="Normal"/>
    <w:autoRedefine/>
    <w:uiPriority w:val="39"/>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unhideWhenUsed/>
    <w:rsid w:val="00E12286"/>
    <w:rPr>
      <w:rFonts w:cs="Times New Roman"/>
      <w:sz w:val="24"/>
    </w:rPr>
  </w:style>
  <w:style w:type="paragraph" w:styleId="ListParagraph">
    <w:name w:val="List Paragraph"/>
    <w:basedOn w:val="Normal"/>
    <w:uiPriority w:val="34"/>
    <w:qFormat/>
    <w:rsid w:val="00235142"/>
    <w:pPr>
      <w:ind w:left="720"/>
      <w:contextualSpacing/>
    </w:pPr>
    <w:rPr>
      <w:lang w:val="en-GB"/>
    </w:rPr>
  </w:style>
  <w:style w:type="character" w:styleId="CommentReference">
    <w:name w:val="annotation reference"/>
    <w:basedOn w:val="DefaultParagraphFont"/>
    <w:uiPriority w:val="99"/>
    <w:unhideWhenUsed/>
    <w:rsid w:val="00235142"/>
    <w:rPr>
      <w:sz w:val="16"/>
      <w:szCs w:val="16"/>
    </w:rPr>
  </w:style>
  <w:style w:type="paragraph" w:styleId="CommentText">
    <w:name w:val="annotation text"/>
    <w:basedOn w:val="Normal"/>
    <w:link w:val="CommentTextChar"/>
    <w:uiPriority w:val="99"/>
    <w:unhideWhenUsed/>
    <w:rsid w:val="00235142"/>
    <w:rPr>
      <w:sz w:val="20"/>
      <w:szCs w:val="20"/>
      <w:lang w:val="en-GB"/>
    </w:rPr>
  </w:style>
  <w:style w:type="character" w:customStyle="1" w:styleId="CommentTextChar">
    <w:name w:val="Comment Text Char"/>
    <w:basedOn w:val="DefaultParagraphFont"/>
    <w:link w:val="CommentText"/>
    <w:uiPriority w:val="99"/>
    <w:rsid w:val="00235142"/>
    <w:rPr>
      <w:rFonts w:asciiTheme="minorHAnsi" w:hAnsiTheme="minorHAnsi" w:cstheme="minorHAnsi"/>
      <w:color w:val="000000" w:themeColor="text1"/>
      <w:lang w:val="en-GB" w:eastAsia="en-US"/>
    </w:rPr>
  </w:style>
  <w:style w:type="paragraph" w:styleId="FootnoteText">
    <w:name w:val="footnote text"/>
    <w:basedOn w:val="Normal"/>
    <w:link w:val="FootnoteTextChar"/>
    <w:uiPriority w:val="99"/>
    <w:unhideWhenUsed/>
    <w:rsid w:val="00235142"/>
    <w:pPr>
      <w:spacing w:after="0"/>
    </w:pPr>
    <w:rPr>
      <w:sz w:val="20"/>
      <w:szCs w:val="20"/>
      <w:lang w:val="en-GB"/>
    </w:rPr>
  </w:style>
  <w:style w:type="character" w:customStyle="1" w:styleId="FootnoteTextChar">
    <w:name w:val="Footnote Text Char"/>
    <w:basedOn w:val="DefaultParagraphFont"/>
    <w:link w:val="FootnoteText"/>
    <w:uiPriority w:val="99"/>
    <w:rsid w:val="00235142"/>
    <w:rPr>
      <w:rFonts w:asciiTheme="minorHAnsi" w:hAnsiTheme="minorHAnsi" w:cstheme="minorHAnsi"/>
      <w:color w:val="000000" w:themeColor="text1"/>
      <w:lang w:val="en-GB" w:eastAsia="en-US"/>
    </w:rPr>
  </w:style>
  <w:style w:type="character" w:styleId="FootnoteReference">
    <w:name w:val="footnote reference"/>
    <w:basedOn w:val="DefaultParagraphFont"/>
    <w:uiPriority w:val="99"/>
    <w:unhideWhenUsed/>
    <w:rsid w:val="00235142"/>
    <w:rPr>
      <w:vertAlign w:val="superscript"/>
    </w:rPr>
  </w:style>
  <w:style w:type="paragraph" w:styleId="TOCHeading">
    <w:name w:val="TOC Heading"/>
    <w:basedOn w:val="Heading1"/>
    <w:next w:val="Normal"/>
    <w:uiPriority w:val="39"/>
    <w:unhideWhenUsed/>
    <w:qFormat/>
    <w:rsid w:val="001C3815"/>
    <w:pPr>
      <w:keepNext/>
      <w:keepLines/>
      <w:spacing w:before="240" w:line="259" w:lineRule="auto"/>
      <w:outlineLvl w:val="9"/>
    </w:pPr>
    <w:rPr>
      <w:rFonts w:asciiTheme="majorHAnsi" w:eastAsiaTheme="majorEastAsia" w:hAnsiTheme="majorHAnsi" w:cstheme="majorBidi"/>
      <w:b w:val="0"/>
      <w:bCs w:val="0"/>
      <w:color w:val="7A9249" w:themeColor="accent1" w:themeShade="BF"/>
      <w:kern w:val="0"/>
      <w:sz w:val="32"/>
      <w:szCs w:val="32"/>
      <w:lang w:val="en-US"/>
    </w:rPr>
  </w:style>
  <w:style w:type="paragraph" w:customStyle="1" w:styleId="Default">
    <w:name w:val="Default"/>
    <w:rsid w:val="001C3815"/>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unhideWhenUsed/>
    <w:rsid w:val="001C3815"/>
    <w:rPr>
      <w:b/>
      <w:bCs/>
    </w:rPr>
  </w:style>
  <w:style w:type="character" w:customStyle="1" w:styleId="CommentSubjectChar">
    <w:name w:val="Comment Subject Char"/>
    <w:basedOn w:val="CommentTextChar"/>
    <w:link w:val="CommentSubject"/>
    <w:uiPriority w:val="99"/>
    <w:semiHidden/>
    <w:rsid w:val="001C3815"/>
    <w:rPr>
      <w:rFonts w:asciiTheme="minorHAnsi" w:hAnsiTheme="minorHAnsi" w:cstheme="minorHAnsi"/>
      <w:b/>
      <w:bCs/>
      <w:color w:val="000000" w:themeColor="text1"/>
      <w:lang w:val="en-GB" w:eastAsia="en-US"/>
    </w:rPr>
  </w:style>
  <w:style w:type="paragraph" w:styleId="BalloonText">
    <w:name w:val="Balloon Text"/>
    <w:basedOn w:val="Normal"/>
    <w:link w:val="BalloonTextChar"/>
    <w:semiHidden/>
    <w:unhideWhenUsed/>
    <w:rsid w:val="001C3815"/>
    <w:pPr>
      <w:spacing w:after="0"/>
    </w:pPr>
    <w:rPr>
      <w:rFonts w:ascii="Segoe UI" w:hAnsi="Segoe UI" w:cs="Segoe UI"/>
      <w:sz w:val="18"/>
      <w:szCs w:val="18"/>
      <w:lang w:val="en-GB"/>
    </w:rPr>
  </w:style>
  <w:style w:type="character" w:customStyle="1" w:styleId="BalloonTextChar">
    <w:name w:val="Balloon Text Char"/>
    <w:basedOn w:val="DefaultParagraphFont"/>
    <w:link w:val="BalloonText"/>
    <w:semiHidden/>
    <w:rsid w:val="001C3815"/>
    <w:rPr>
      <w:rFonts w:ascii="Segoe UI" w:hAnsi="Segoe UI" w:cs="Segoe UI"/>
      <w:color w:val="000000" w:themeColor="text1"/>
      <w:sz w:val="18"/>
      <w:szCs w:val="18"/>
      <w:lang w:val="en-GB" w:eastAsia="en-US"/>
    </w:rPr>
  </w:style>
  <w:style w:type="table" w:customStyle="1" w:styleId="CERTable1">
    <w:name w:val="CER Table1"/>
    <w:basedOn w:val="TableNormal"/>
    <w:uiPriority w:val="99"/>
    <w:rsid w:val="001C3815"/>
    <w:pPr>
      <w:spacing w:before="120"/>
    </w:pPr>
    <w:rPr>
      <w:rFonts w:ascii="Arial" w:hAnsi="Arial"/>
      <w:color w:val="000000" w:themeColor="text1"/>
      <w:kern w:val="2"/>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Segoe UI" w:hAnsi="Segoe UI"/>
        <w:b/>
        <w:color w:val="auto"/>
        <w:sz w:val="20"/>
      </w:rPr>
      <w:tblPr/>
      <w:tcPr>
        <w:shd w:val="clear" w:color="auto" w:fill="CDCDCD"/>
      </w:tcPr>
    </w:tblStylePr>
    <w:tblStylePr w:type="lastRow">
      <w:pPr>
        <w:wordWrap/>
        <w:spacing w:beforeLines="0" w:before="10" w:beforeAutospacing="0" w:afterLines="0" w:after="10" w:afterAutospacing="0"/>
      </w:pPr>
      <w:tblPr/>
      <w:tcPr>
        <w:vAlign w:val="center"/>
      </w:tcPr>
    </w:tblStylePr>
    <w:tblStylePr w:type="firstCol">
      <w:pPr>
        <w:wordWrap/>
        <w:ind w:leftChars="0" w:left="0" w:rightChars="0" w:right="0"/>
        <w:contextualSpacing w:val="0"/>
      </w:pPr>
      <w:rPr>
        <w:rFonts w:ascii="Segoe UI" w:hAnsi="Segoe UI"/>
        <w:b/>
        <w:i w:val="0"/>
        <w:color w:val="000000" w:themeColor="text1"/>
      </w:rPr>
      <w:tblPr/>
      <w:tcPr>
        <w:shd w:val="clear" w:color="auto" w:fill="EAE9E7"/>
      </w:tcPr>
    </w:tblStylePr>
    <w:tblStylePr w:type="band1Horz">
      <w:rPr>
        <w:rFonts w:ascii="Arial" w:hAnsi="Arial"/>
      </w:rPr>
    </w:tblStylePr>
    <w:tblStylePr w:type="band2Horz">
      <w:rPr>
        <w:rFonts w:ascii="Arial" w:hAnsi="Arial"/>
      </w:rPr>
    </w:tblStylePr>
  </w:style>
  <w:style w:type="table" w:customStyle="1" w:styleId="TableGrid1">
    <w:name w:val="Table Grid1"/>
    <w:basedOn w:val="TableNormal"/>
    <w:next w:val="TableGrid"/>
    <w:uiPriority w:val="39"/>
    <w:rsid w:val="001C3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C3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C3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1C3815"/>
    <w:rPr>
      <w:rFonts w:asciiTheme="minorHAnsi" w:hAnsiTheme="minorHAnsi" w:cstheme="minorHAnsi"/>
      <w:color w:val="000000" w:themeColor="text1"/>
      <w:sz w:val="22"/>
      <w:szCs w:val="24"/>
      <w:lang w:val="en-GB" w:eastAsia="en-US"/>
    </w:rPr>
  </w:style>
  <w:style w:type="character" w:customStyle="1" w:styleId="BodyChar">
    <w:name w:val="Body Char"/>
    <w:link w:val="Body"/>
    <w:locked/>
    <w:rsid w:val="001C3815"/>
    <w:rPr>
      <w:rFonts w:ascii="Arial" w:eastAsia="Times New Roman" w:hAnsi="Arial" w:cs="Arial"/>
      <w:szCs w:val="24"/>
      <w:lang w:eastAsia="en-US"/>
    </w:rPr>
  </w:style>
  <w:style w:type="paragraph" w:customStyle="1" w:styleId="Body">
    <w:name w:val="Body"/>
    <w:basedOn w:val="Normal"/>
    <w:link w:val="BodyChar"/>
    <w:rsid w:val="001C3815"/>
    <w:pPr>
      <w:spacing w:before="60" w:after="120" w:line="280" w:lineRule="atLeast"/>
      <w:ind w:left="567"/>
    </w:pPr>
    <w:rPr>
      <w:rFonts w:ascii="Arial" w:eastAsia="Times New Roman" w:hAnsi="Arial" w:cs="Arial"/>
      <w:color w:val="auto"/>
      <w:sz w:val="20"/>
    </w:rPr>
  </w:style>
  <w:style w:type="paragraph" w:customStyle="1" w:styleId="Sub-para">
    <w:name w:val="Sub-para"/>
    <w:basedOn w:val="Normal"/>
    <w:uiPriority w:val="8"/>
    <w:qFormat/>
    <w:rsid w:val="001C3815"/>
    <w:pPr>
      <w:spacing w:before="120" w:after="120"/>
      <w:ind w:left="720" w:hanging="360"/>
    </w:pPr>
    <w:rPr>
      <w:color w:val="auto"/>
      <w:lang w:val="en-GB"/>
    </w:rPr>
  </w:style>
  <w:style w:type="paragraph" w:customStyle="1" w:styleId="subsection">
    <w:name w:val="subsection"/>
    <w:aliases w:val="ss"/>
    <w:basedOn w:val="Normal"/>
    <w:link w:val="subsectionChar"/>
    <w:rsid w:val="001C3815"/>
    <w:pPr>
      <w:tabs>
        <w:tab w:val="right" w:pos="1021"/>
      </w:tabs>
      <w:spacing w:before="180" w:after="0"/>
      <w:ind w:left="1134" w:hanging="1134"/>
    </w:pPr>
    <w:rPr>
      <w:rFonts w:ascii="Times New Roman" w:eastAsia="Times New Roman" w:hAnsi="Times New Roman" w:cs="Times New Roman"/>
      <w:color w:val="auto"/>
      <w:szCs w:val="20"/>
      <w:lang w:eastAsia="en-AU"/>
    </w:rPr>
  </w:style>
  <w:style w:type="paragraph" w:customStyle="1" w:styleId="Definition">
    <w:name w:val="Definition"/>
    <w:aliases w:val="dd"/>
    <w:basedOn w:val="Normal"/>
    <w:rsid w:val="001C3815"/>
    <w:pPr>
      <w:spacing w:before="180" w:after="0"/>
      <w:ind w:left="1134"/>
    </w:pPr>
    <w:rPr>
      <w:rFonts w:ascii="Times New Roman" w:eastAsia="Times New Roman" w:hAnsi="Times New Roman" w:cs="Times New Roman"/>
      <w:color w:val="auto"/>
      <w:szCs w:val="20"/>
      <w:lang w:eastAsia="en-AU"/>
    </w:rPr>
  </w:style>
  <w:style w:type="paragraph" w:customStyle="1" w:styleId="paragraph">
    <w:name w:val="paragraph"/>
    <w:aliases w:val="a"/>
    <w:basedOn w:val="Normal"/>
    <w:link w:val="paragraphChar"/>
    <w:rsid w:val="001C3815"/>
    <w:pPr>
      <w:tabs>
        <w:tab w:val="right" w:pos="1531"/>
      </w:tabs>
      <w:spacing w:before="40" w:after="0"/>
      <w:ind w:left="1644" w:hanging="1644"/>
    </w:pPr>
    <w:rPr>
      <w:rFonts w:ascii="Times New Roman" w:eastAsia="Times New Roman" w:hAnsi="Times New Roman" w:cs="Times New Roman"/>
      <w:color w:val="auto"/>
      <w:szCs w:val="20"/>
      <w:lang w:eastAsia="en-AU"/>
    </w:rPr>
  </w:style>
  <w:style w:type="paragraph" w:customStyle="1" w:styleId="subsection2">
    <w:name w:val="subsection2"/>
    <w:aliases w:val="ss2"/>
    <w:basedOn w:val="Normal"/>
    <w:next w:val="subsection"/>
    <w:rsid w:val="001C3815"/>
    <w:pPr>
      <w:spacing w:before="40" w:after="0"/>
      <w:ind w:left="1134"/>
    </w:pPr>
    <w:rPr>
      <w:rFonts w:ascii="Times New Roman" w:eastAsia="Times New Roman" w:hAnsi="Times New Roman" w:cs="Times New Roman"/>
      <w:color w:val="auto"/>
      <w:szCs w:val="20"/>
      <w:lang w:eastAsia="en-AU"/>
    </w:rPr>
  </w:style>
  <w:style w:type="character" w:customStyle="1" w:styleId="subsectionChar">
    <w:name w:val="subsection Char"/>
    <w:aliases w:val="ss Char"/>
    <w:link w:val="subsection"/>
    <w:locked/>
    <w:rsid w:val="001C3815"/>
    <w:rPr>
      <w:rFonts w:ascii="Times New Roman" w:eastAsia="Times New Roman" w:hAnsi="Times New Roman"/>
      <w:sz w:val="22"/>
    </w:rPr>
  </w:style>
  <w:style w:type="character" w:customStyle="1" w:styleId="paragraphChar">
    <w:name w:val="paragraph Char"/>
    <w:aliases w:val="a Char"/>
    <w:basedOn w:val="DefaultParagraphFont"/>
    <w:link w:val="paragraph"/>
    <w:locked/>
    <w:rsid w:val="001C3815"/>
    <w:rPr>
      <w:rFonts w:ascii="Times New Roman" w:eastAsia="Times New Roman" w:hAnsi="Times New Roman"/>
      <w:sz w:val="22"/>
    </w:rPr>
  </w:style>
  <w:style w:type="paragraph" w:customStyle="1" w:styleId="SubsectionHead">
    <w:name w:val="SubsectionHead"/>
    <w:aliases w:val="ssh"/>
    <w:basedOn w:val="Normal"/>
    <w:next w:val="subsection"/>
    <w:rsid w:val="001C3815"/>
    <w:pPr>
      <w:keepNext/>
      <w:keepLines/>
      <w:spacing w:before="240" w:after="0"/>
      <w:ind w:left="1134"/>
    </w:pPr>
    <w:rPr>
      <w:rFonts w:ascii="Times New Roman" w:eastAsia="Times New Roman" w:hAnsi="Times New Roman" w:cs="Times New Roman"/>
      <w:i/>
      <w:color w:val="auto"/>
      <w:szCs w:val="20"/>
      <w:lang w:eastAsia="en-AU"/>
    </w:rPr>
  </w:style>
  <w:style w:type="paragraph" w:customStyle="1" w:styleId="Text">
    <w:name w:val="Text"/>
    <w:link w:val="TextChar"/>
    <w:rsid w:val="001C3815"/>
    <w:pPr>
      <w:spacing w:before="240" w:after="120" w:line="312" w:lineRule="auto"/>
    </w:pPr>
    <w:rPr>
      <w:rFonts w:ascii="Times New Roman" w:eastAsia="Times New Roman" w:hAnsi="Times New Roman"/>
      <w:lang w:eastAsia="en-US"/>
    </w:rPr>
  </w:style>
  <w:style w:type="character" w:customStyle="1" w:styleId="TextChar">
    <w:name w:val="Text Char"/>
    <w:basedOn w:val="DefaultParagraphFont"/>
    <w:link w:val="Text"/>
    <w:locked/>
    <w:rsid w:val="001C3815"/>
    <w:rPr>
      <w:rFonts w:ascii="Times New Roman" w:eastAsia="Times New Roman" w:hAnsi="Times New Roman"/>
      <w:lang w:eastAsia="en-US"/>
    </w:rPr>
  </w:style>
  <w:style w:type="paragraph" w:customStyle="1" w:styleId="Formula">
    <w:name w:val="Formula"/>
    <w:basedOn w:val="Normal"/>
    <w:next w:val="Normal"/>
    <w:rsid w:val="001C3815"/>
    <w:pPr>
      <w:spacing w:before="180" w:after="180" w:line="360" w:lineRule="auto"/>
      <w:jc w:val="center"/>
    </w:pPr>
    <w:rPr>
      <w:rFonts w:ascii="Times New Roman" w:eastAsia="Times New Roman" w:hAnsi="Times New Roman" w:cs="Times New Roman"/>
      <w:color w:val="auto"/>
      <w:sz w:val="24"/>
      <w:lang w:eastAsia="en-AU"/>
    </w:rPr>
  </w:style>
  <w:style w:type="paragraph" w:customStyle="1" w:styleId="R2">
    <w:name w:val="R2"/>
    <w:aliases w:val="(2)"/>
    <w:basedOn w:val="Normal"/>
    <w:uiPriority w:val="99"/>
    <w:rsid w:val="001C3815"/>
    <w:pPr>
      <w:keepLines/>
      <w:tabs>
        <w:tab w:val="right" w:pos="794"/>
      </w:tabs>
      <w:spacing w:before="180" w:after="120" w:line="260" w:lineRule="exact"/>
      <w:ind w:left="964" w:hanging="964"/>
      <w:jc w:val="both"/>
    </w:pPr>
    <w:rPr>
      <w:rFonts w:ascii="Times New Roman" w:eastAsia="Times New Roman" w:hAnsi="Times New Roman" w:cs="Times New Roman"/>
      <w:color w:val="auto"/>
      <w:sz w:val="24"/>
      <w:lang w:eastAsia="en-AU"/>
    </w:rPr>
  </w:style>
  <w:style w:type="character" w:customStyle="1" w:styleId="CharSectno">
    <w:name w:val="CharSectno"/>
    <w:basedOn w:val="DefaultParagraphFont"/>
    <w:qFormat/>
    <w:rsid w:val="001C3815"/>
    <w:rPr>
      <w:rFonts w:cs="Times New Roman"/>
    </w:rPr>
  </w:style>
  <w:style w:type="paragraph" w:customStyle="1" w:styleId="R1">
    <w:name w:val="R1"/>
    <w:aliases w:val="1. or 1.(1)"/>
    <w:basedOn w:val="Normal"/>
    <w:next w:val="R2"/>
    <w:rsid w:val="001C3815"/>
    <w:pPr>
      <w:keepLines/>
      <w:tabs>
        <w:tab w:val="right" w:pos="794"/>
      </w:tabs>
      <w:spacing w:before="120" w:after="120" w:line="260" w:lineRule="exact"/>
      <w:ind w:left="964" w:hanging="964"/>
      <w:jc w:val="both"/>
    </w:pPr>
    <w:rPr>
      <w:rFonts w:ascii="Times New Roman" w:eastAsia="Times New Roman" w:hAnsi="Times New Roman" w:cs="Times New Roman"/>
      <w:color w:val="auto"/>
      <w:sz w:val="24"/>
      <w:lang w:eastAsia="en-AU"/>
    </w:rPr>
  </w:style>
  <w:style w:type="paragraph" w:customStyle="1" w:styleId="ActHead5">
    <w:name w:val="ActHead 5"/>
    <w:aliases w:val="s"/>
    <w:basedOn w:val="Normal"/>
    <w:next w:val="subsection"/>
    <w:qFormat/>
    <w:rsid w:val="001C3815"/>
    <w:pPr>
      <w:keepNext/>
      <w:keepLines/>
      <w:spacing w:before="280" w:after="0"/>
      <w:ind w:left="1134" w:hanging="1134"/>
      <w:outlineLvl w:val="4"/>
    </w:pPr>
    <w:rPr>
      <w:rFonts w:ascii="Times New Roman" w:eastAsia="Times New Roman" w:hAnsi="Times New Roman" w:cs="Times New Roman"/>
      <w:b/>
      <w:color w:val="auto"/>
      <w:kern w:val="28"/>
      <w:sz w:val="24"/>
      <w:szCs w:val="20"/>
      <w:lang w:eastAsia="en-AU"/>
    </w:rPr>
  </w:style>
  <w:style w:type="character" w:styleId="UnresolvedMention">
    <w:name w:val="Unresolved Mention"/>
    <w:basedOn w:val="DefaultParagraphFont"/>
    <w:uiPriority w:val="99"/>
    <w:unhideWhenUsed/>
    <w:rsid w:val="001C3815"/>
    <w:rPr>
      <w:color w:val="605E5C"/>
      <w:shd w:val="clear" w:color="auto" w:fill="E1DFDD"/>
    </w:rPr>
  </w:style>
  <w:style w:type="character" w:customStyle="1" w:styleId="CharDivNo">
    <w:name w:val="CharDivNo"/>
    <w:basedOn w:val="DefaultParagraphFont"/>
    <w:qFormat/>
    <w:rsid w:val="001C3815"/>
    <w:rPr>
      <w:rFonts w:cs="Times New Roman"/>
    </w:rPr>
  </w:style>
  <w:style w:type="character" w:customStyle="1" w:styleId="CharDivText">
    <w:name w:val="CharDivText"/>
    <w:basedOn w:val="DefaultParagraphFont"/>
    <w:qFormat/>
    <w:rsid w:val="001C3815"/>
    <w:rPr>
      <w:rFonts w:cs="Times New Roman"/>
    </w:rPr>
  </w:style>
  <w:style w:type="paragraph" w:customStyle="1" w:styleId="ActHead3">
    <w:name w:val="ActHead 3"/>
    <w:aliases w:val="d"/>
    <w:basedOn w:val="Normal"/>
    <w:next w:val="Normal"/>
    <w:qFormat/>
    <w:rsid w:val="001C3815"/>
    <w:pPr>
      <w:keepNext/>
      <w:keepLines/>
      <w:spacing w:before="240" w:after="0"/>
      <w:ind w:left="1134" w:hanging="1134"/>
      <w:outlineLvl w:val="2"/>
    </w:pPr>
    <w:rPr>
      <w:rFonts w:ascii="Times New Roman" w:eastAsia="Times New Roman" w:hAnsi="Times New Roman" w:cs="Times New Roman"/>
      <w:b/>
      <w:color w:val="auto"/>
      <w:kern w:val="28"/>
      <w:sz w:val="28"/>
      <w:szCs w:val="20"/>
      <w:lang w:eastAsia="en-AU"/>
    </w:rPr>
  </w:style>
  <w:style w:type="character" w:styleId="Mention">
    <w:name w:val="Mention"/>
    <w:basedOn w:val="DefaultParagraphFont"/>
    <w:uiPriority w:val="99"/>
    <w:unhideWhenUsed/>
    <w:rsid w:val="001C3815"/>
    <w:rPr>
      <w:color w:val="2B579A"/>
      <w:shd w:val="clear" w:color="auto" w:fill="E1DFDD"/>
    </w:rPr>
  </w:style>
  <w:style w:type="paragraph" w:styleId="TOC5">
    <w:name w:val="toc 5"/>
    <w:basedOn w:val="Normal"/>
    <w:next w:val="Normal"/>
    <w:autoRedefine/>
    <w:uiPriority w:val="39"/>
    <w:unhideWhenUsed/>
    <w:rsid w:val="00D3735E"/>
    <w:pPr>
      <w:spacing w:after="100"/>
      <w:ind w:left="880"/>
    </w:pPr>
  </w:style>
  <w:style w:type="character" w:customStyle="1" w:styleId="normaltextrun">
    <w:name w:val="normaltextrun"/>
    <w:basedOn w:val="DefaultParagraphFont"/>
    <w:rsid w:val="00CE274A"/>
  </w:style>
  <w:style w:type="character" w:customStyle="1" w:styleId="eop">
    <w:name w:val="eop"/>
    <w:basedOn w:val="DefaultParagraphFont"/>
    <w:rsid w:val="00CE274A"/>
  </w:style>
  <w:style w:type="character" w:customStyle="1" w:styleId="superscript">
    <w:name w:val="superscript"/>
    <w:basedOn w:val="DefaultParagraphFont"/>
    <w:rsid w:val="0019087A"/>
  </w:style>
  <w:style w:type="character" w:customStyle="1" w:styleId="ui-provider">
    <w:name w:val="ui-provider"/>
    <w:basedOn w:val="DefaultParagraphFont"/>
    <w:rsid w:val="00BB491A"/>
  </w:style>
  <w:style w:type="character" w:customStyle="1" w:styleId="scxw66386568">
    <w:name w:val="scxw66386568"/>
    <w:basedOn w:val="DefaultParagraphFont"/>
    <w:rsid w:val="00EB6200"/>
  </w:style>
  <w:style w:type="character" w:customStyle="1" w:styleId="scxw121805585">
    <w:name w:val="scxw121805585"/>
    <w:basedOn w:val="DefaultParagraphFont"/>
    <w:rsid w:val="00027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976885137">
      <w:bodyDiv w:val="1"/>
      <w:marLeft w:val="0"/>
      <w:marRight w:val="0"/>
      <w:marTop w:val="0"/>
      <w:marBottom w:val="0"/>
      <w:divBdr>
        <w:top w:val="none" w:sz="0" w:space="0" w:color="auto"/>
        <w:left w:val="none" w:sz="0" w:space="0" w:color="auto"/>
        <w:bottom w:val="none" w:sz="0" w:space="0" w:color="auto"/>
        <w:right w:val="none" w:sz="0" w:space="0" w:color="auto"/>
      </w:divBdr>
    </w:div>
    <w:div w:id="1107121263">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09379458">
      <w:bodyDiv w:val="1"/>
      <w:marLeft w:val="0"/>
      <w:marRight w:val="0"/>
      <w:marTop w:val="0"/>
      <w:marBottom w:val="0"/>
      <w:divBdr>
        <w:top w:val="none" w:sz="0" w:space="0" w:color="auto"/>
        <w:left w:val="none" w:sz="0" w:space="0" w:color="auto"/>
        <w:bottom w:val="none" w:sz="0" w:space="0" w:color="auto"/>
        <w:right w:val="none" w:sz="0" w:space="0" w:color="auto"/>
      </w:divBdr>
      <w:divsChild>
        <w:div w:id="547378827">
          <w:marLeft w:val="0"/>
          <w:marRight w:val="0"/>
          <w:marTop w:val="0"/>
          <w:marBottom w:val="0"/>
          <w:divBdr>
            <w:top w:val="none" w:sz="0" w:space="0" w:color="auto"/>
            <w:left w:val="none" w:sz="0" w:space="0" w:color="auto"/>
            <w:bottom w:val="none" w:sz="0" w:space="0" w:color="auto"/>
            <w:right w:val="none" w:sz="0" w:space="0" w:color="auto"/>
          </w:divBdr>
          <w:divsChild>
            <w:div w:id="401411574">
              <w:marLeft w:val="0"/>
              <w:marRight w:val="0"/>
              <w:marTop w:val="0"/>
              <w:marBottom w:val="0"/>
              <w:divBdr>
                <w:top w:val="none" w:sz="0" w:space="0" w:color="auto"/>
                <w:left w:val="none" w:sz="0" w:space="0" w:color="auto"/>
                <w:bottom w:val="none" w:sz="0" w:space="0" w:color="auto"/>
                <w:right w:val="none" w:sz="0" w:space="0" w:color="auto"/>
              </w:divBdr>
            </w:div>
            <w:div w:id="598637714">
              <w:marLeft w:val="0"/>
              <w:marRight w:val="0"/>
              <w:marTop w:val="0"/>
              <w:marBottom w:val="0"/>
              <w:divBdr>
                <w:top w:val="none" w:sz="0" w:space="0" w:color="auto"/>
                <w:left w:val="none" w:sz="0" w:space="0" w:color="auto"/>
                <w:bottom w:val="none" w:sz="0" w:space="0" w:color="auto"/>
                <w:right w:val="none" w:sz="0" w:space="0" w:color="auto"/>
              </w:divBdr>
            </w:div>
          </w:divsChild>
        </w:div>
        <w:div w:id="1854807059">
          <w:marLeft w:val="0"/>
          <w:marRight w:val="0"/>
          <w:marTop w:val="0"/>
          <w:marBottom w:val="0"/>
          <w:divBdr>
            <w:top w:val="none" w:sz="0" w:space="0" w:color="auto"/>
            <w:left w:val="none" w:sz="0" w:space="0" w:color="auto"/>
            <w:bottom w:val="none" w:sz="0" w:space="0" w:color="auto"/>
            <w:right w:val="none" w:sz="0" w:space="0" w:color="auto"/>
          </w:divBdr>
          <w:divsChild>
            <w:div w:id="20704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24359">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svg"/><Relationship Id="rId26" Type="http://schemas.openxmlformats.org/officeDocument/2006/relationships/hyperlink" Target="https://www.legislation.gov.au/Series/F2008L02230" TargetMode="External"/><Relationship Id="rId39" Type="http://schemas.openxmlformats.org/officeDocument/2006/relationships/hyperlink" Target="https://ageis.climatechange.gov.au/" TargetMode="External"/><Relationship Id="rId21" Type="http://schemas.openxmlformats.org/officeDocument/2006/relationships/image" Target="media/image12.png"/><Relationship Id="rId34" Type="http://schemas.openxmlformats.org/officeDocument/2006/relationships/hyperlink" Target="https://www.dcceew.gov.au/climate-change/publications/national-inventory-reports" TargetMode="External"/><Relationship Id="rId42" Type="http://schemas.openxmlformats.org/officeDocument/2006/relationships/hyperlink" Target="https://cer.gov.au/document_page/reporting-uncertainty-guideline"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svg"/><Relationship Id="rId29" Type="http://schemas.openxmlformats.org/officeDocument/2006/relationships/hyperlink" Target="https://cer.gov.au/schemes/national-greenhouse-and-energy-reporting-scheme/report-emissions-and-energy/amendments" TargetMode="External"/><Relationship Id="rId11" Type="http://schemas.openxmlformats.org/officeDocument/2006/relationships/image" Target="media/image3.png"/><Relationship Id="rId24" Type="http://schemas.openxmlformats.org/officeDocument/2006/relationships/hyperlink" Target="https://www.legislation.gov.au/help-and-resources/understanding-legislation/reading-legislation" TargetMode="External"/><Relationship Id="rId32" Type="http://schemas.openxmlformats.org/officeDocument/2006/relationships/hyperlink" Target="https://cer.gov.au/document/methods-and-measurement-criteria-guideline" TargetMode="External"/><Relationship Id="rId37" Type="http://schemas.openxmlformats.org/officeDocument/2006/relationships/hyperlink" Target="https://store.standards.org.au/product/as-3583-3-1991" TargetMode="External"/><Relationship Id="rId40" Type="http://schemas.openxmlformats.org/officeDocument/2006/relationships/hyperlink" Target="https://cer.gov.au/document_page/petroleum-based-oils-and-greases-guideline" TargetMode="External"/><Relationship Id="rId45" Type="http://schemas.openxmlformats.org/officeDocument/2006/relationships/hyperlink" Target="https://cer.gov.au/schemes/national-greenhouse-and-energy-reporting-scheme/report-emissions-and-energy/nger-reporting-guides"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cer.gov.au/schemes/national-greenhouse-and-energy-reporting-scheme/report-emissions-and-energy/nger-reporting-guides" TargetMode="External"/><Relationship Id="rId28" Type="http://schemas.openxmlformats.org/officeDocument/2006/relationships/hyperlink" Target="https://cer.gov.au/schemes/national-greenhouse-and-energy-reporting-scheme" TargetMode="External"/><Relationship Id="rId36" Type="http://schemas.openxmlformats.org/officeDocument/2006/relationships/hyperlink" Target="https://store.standards.org.au/product/as-3583-2-1991" TargetMode="External"/><Relationship Id="rId49" Type="http://schemas.openxmlformats.org/officeDocument/2006/relationships/header" Target="header2.xml"/><Relationship Id="rId10" Type="http://schemas.openxmlformats.org/officeDocument/2006/relationships/image" Target="media/image2.svg"/><Relationship Id="rId19" Type="http://schemas.openxmlformats.org/officeDocument/2006/relationships/image" Target="media/image10.png"/><Relationship Id="rId31" Type="http://schemas.openxmlformats.org/officeDocument/2006/relationships/hyperlink" Target="https://www.industry.gov.au/policies-and-initiatives/australias-climate-change-strategies/tracking-and-reporting-greenhouse-gas-emissions" TargetMode="External"/><Relationship Id="rId44" Type="http://schemas.openxmlformats.org/officeDocument/2006/relationships/hyperlink" Target="http://www.cer.gov.au/"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svg"/><Relationship Id="rId22" Type="http://schemas.openxmlformats.org/officeDocument/2006/relationships/hyperlink" Target="https://cer.gov.au/schemes/safeguard-mechanism" TargetMode="External"/><Relationship Id="rId27" Type="http://schemas.openxmlformats.org/officeDocument/2006/relationships/hyperlink" Target="https://www.legislation.gov.au/Series/F2008L02309" TargetMode="External"/><Relationship Id="rId30" Type="http://schemas.openxmlformats.org/officeDocument/2006/relationships/hyperlink" Target="https://cer.gov.au/schemes/national-greenhouse-and-energy-reporting-scheme/report-emissions-and-energy/nger-reporting-guides" TargetMode="External"/><Relationship Id="rId35" Type="http://schemas.openxmlformats.org/officeDocument/2006/relationships/hyperlink" Target="https://store.standards.org.au/product/as-4264-4-1996" TargetMode="External"/><Relationship Id="rId43" Type="http://schemas.openxmlformats.org/officeDocument/2006/relationships/hyperlink" Target="mailto:reporting@cleanenergyregulator.gov.au" TargetMode="External"/><Relationship Id="rId48"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microsoft.com/office/2007/relationships/hdphoto" Target="media/hdphoto1.wdp"/><Relationship Id="rId17" Type="http://schemas.openxmlformats.org/officeDocument/2006/relationships/image" Target="media/image8.png"/><Relationship Id="rId25" Type="http://schemas.openxmlformats.org/officeDocument/2006/relationships/hyperlink" Target="https://www.legislation.gov.au/Series/C2007A00175" TargetMode="External"/><Relationship Id="rId33" Type="http://schemas.openxmlformats.org/officeDocument/2006/relationships/hyperlink" Target="https://cer.gov.au/document_page/reporting-blended-fuels-other-fuel-mixes-bitumen-and-explosives-guideline" TargetMode="External"/><Relationship Id="rId38" Type="http://schemas.openxmlformats.org/officeDocument/2006/relationships/hyperlink" Target="https://cer.gov.au/document_page/reporting-blended-fuels-other-fuel-mixes-bitumen-and-explosives-guideline" TargetMode="External"/><Relationship Id="rId46" Type="http://schemas.openxmlformats.org/officeDocument/2006/relationships/header" Target="header1.xml"/><Relationship Id="rId20" Type="http://schemas.openxmlformats.org/officeDocument/2006/relationships/image" Target="media/image11.svg"/><Relationship Id="rId41" Type="http://schemas.openxmlformats.org/officeDocument/2006/relationships/hyperlink" Target="https://cer.gov.au/document_page/petroleum-based-oils-and-greases-guideline"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CER-updated fonts and colours">
  <a:themeElements>
    <a:clrScheme name="CER colour palette">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FA9607"/>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08E123-9505-4646-8DDD-71EFC6D7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9750</Words>
  <Characters>55581</Characters>
  <Application>Microsoft Office Word</Application>
  <DocSecurity>8</DocSecurity>
  <Lines>463</Lines>
  <Paragraphs>130</Paragraphs>
  <ScaleCrop>false</ScaleCrop>
  <HeadingPairs>
    <vt:vector size="2" baseType="variant">
      <vt:variant>
        <vt:lpstr>Title</vt:lpstr>
      </vt:variant>
      <vt:variant>
        <vt:i4>1</vt:i4>
      </vt:variant>
    </vt:vector>
  </HeadingPairs>
  <TitlesOfParts>
    <vt:vector size="1" baseType="lpstr">
      <vt:lpstr>Estimating emissions and energy from fuel combustion guideline</vt:lpstr>
    </vt:vector>
  </TitlesOfParts>
  <Company/>
  <LinksUpToDate>false</LinksUpToDate>
  <CharactersWithSpaces>65201</CharactersWithSpaces>
  <SharedDoc>false</SharedDoc>
  <HLinks>
    <vt:vector size="150" baseType="variant">
      <vt:variant>
        <vt:i4>5570632</vt:i4>
      </vt:variant>
      <vt:variant>
        <vt:i4>207</vt:i4>
      </vt:variant>
      <vt:variant>
        <vt:i4>0</vt:i4>
      </vt:variant>
      <vt:variant>
        <vt:i4>5</vt:i4>
      </vt:variant>
      <vt:variant>
        <vt:lpwstr>https://cer.gov.au/schemes/national-greenhouse-and-energy-reporting-scheme/report-emissions-and-energy/nger-reporting</vt:lpwstr>
      </vt:variant>
      <vt:variant>
        <vt:lpwstr/>
      </vt:variant>
      <vt:variant>
        <vt:i4>6619183</vt:i4>
      </vt:variant>
      <vt:variant>
        <vt:i4>204</vt:i4>
      </vt:variant>
      <vt:variant>
        <vt:i4>0</vt:i4>
      </vt:variant>
      <vt:variant>
        <vt:i4>5</vt:i4>
      </vt:variant>
      <vt:variant>
        <vt:lpwstr>http://www.cer.gov.au/</vt:lpwstr>
      </vt:variant>
      <vt:variant>
        <vt:lpwstr/>
      </vt:variant>
      <vt:variant>
        <vt:i4>1376383</vt:i4>
      </vt:variant>
      <vt:variant>
        <vt:i4>201</vt:i4>
      </vt:variant>
      <vt:variant>
        <vt:i4>0</vt:i4>
      </vt:variant>
      <vt:variant>
        <vt:i4>5</vt:i4>
      </vt:variant>
      <vt:variant>
        <vt:lpwstr>mailto:reporting@cleanenergyregulator.gov.au</vt:lpwstr>
      </vt:variant>
      <vt:variant>
        <vt:lpwstr/>
      </vt:variant>
      <vt:variant>
        <vt:i4>3801180</vt:i4>
      </vt:variant>
      <vt:variant>
        <vt:i4>198</vt:i4>
      </vt:variant>
      <vt:variant>
        <vt:i4>0</vt:i4>
      </vt:variant>
      <vt:variant>
        <vt:i4>5</vt:i4>
      </vt:variant>
      <vt:variant>
        <vt:lpwstr>https://cer.gov.au/document_page/reporting-uncertainty-guideline</vt:lpwstr>
      </vt:variant>
      <vt:variant>
        <vt:lpwstr/>
      </vt:variant>
      <vt:variant>
        <vt:i4>7995457</vt:i4>
      </vt:variant>
      <vt:variant>
        <vt:i4>195</vt:i4>
      </vt:variant>
      <vt:variant>
        <vt:i4>0</vt:i4>
      </vt:variant>
      <vt:variant>
        <vt:i4>5</vt:i4>
      </vt:variant>
      <vt:variant>
        <vt:lpwstr>https://cer.gov.au/document_page/estimating-emissions-and-energy-electricity-generation-transmission-and-distribution-sectors</vt:lpwstr>
      </vt:variant>
      <vt:variant>
        <vt:lpwstr/>
      </vt:variant>
      <vt:variant>
        <vt:i4>131112</vt:i4>
      </vt:variant>
      <vt:variant>
        <vt:i4>192</vt:i4>
      </vt:variant>
      <vt:variant>
        <vt:i4>0</vt:i4>
      </vt:variant>
      <vt:variant>
        <vt:i4>5</vt:i4>
      </vt:variant>
      <vt:variant>
        <vt:lpwstr>https://cer.gov.au/document_page/petroleum-based-oils-and-greases-guideline</vt:lpwstr>
      </vt:variant>
      <vt:variant>
        <vt:lpwstr/>
      </vt:variant>
      <vt:variant>
        <vt:i4>131112</vt:i4>
      </vt:variant>
      <vt:variant>
        <vt:i4>189</vt:i4>
      </vt:variant>
      <vt:variant>
        <vt:i4>0</vt:i4>
      </vt:variant>
      <vt:variant>
        <vt:i4>5</vt:i4>
      </vt:variant>
      <vt:variant>
        <vt:lpwstr>https://cer.gov.au/document_page/petroleum-based-oils-and-greases-guideline</vt:lpwstr>
      </vt:variant>
      <vt:variant>
        <vt:lpwstr/>
      </vt:variant>
      <vt:variant>
        <vt:i4>3866666</vt:i4>
      </vt:variant>
      <vt:variant>
        <vt:i4>186</vt:i4>
      </vt:variant>
      <vt:variant>
        <vt:i4>0</vt:i4>
      </vt:variant>
      <vt:variant>
        <vt:i4>5</vt:i4>
      </vt:variant>
      <vt:variant>
        <vt:lpwstr>https://ageis.climatechange.gov.au/</vt:lpwstr>
      </vt:variant>
      <vt:variant>
        <vt:lpwstr/>
      </vt:variant>
      <vt:variant>
        <vt:i4>5242981</vt:i4>
      </vt:variant>
      <vt:variant>
        <vt:i4>177</vt:i4>
      </vt:variant>
      <vt:variant>
        <vt:i4>0</vt:i4>
      </vt:variant>
      <vt:variant>
        <vt:i4>5</vt:i4>
      </vt:variant>
      <vt:variant>
        <vt:lpwstr>https://cer.gov.au/document_page/reporting-blended-fuels-other-fuel-mixes-bitumen-and-explosives-guideline</vt:lpwstr>
      </vt:variant>
      <vt:variant>
        <vt:lpwstr/>
      </vt:variant>
      <vt:variant>
        <vt:i4>5111827</vt:i4>
      </vt:variant>
      <vt:variant>
        <vt:i4>174</vt:i4>
      </vt:variant>
      <vt:variant>
        <vt:i4>0</vt:i4>
      </vt:variant>
      <vt:variant>
        <vt:i4>5</vt:i4>
      </vt:variant>
      <vt:variant>
        <vt:lpwstr>https://store.standards.org.au/product/as-3583-3-1991</vt:lpwstr>
      </vt:variant>
      <vt:variant>
        <vt:lpwstr/>
      </vt:variant>
      <vt:variant>
        <vt:i4>5177363</vt:i4>
      </vt:variant>
      <vt:variant>
        <vt:i4>171</vt:i4>
      </vt:variant>
      <vt:variant>
        <vt:i4>0</vt:i4>
      </vt:variant>
      <vt:variant>
        <vt:i4>5</vt:i4>
      </vt:variant>
      <vt:variant>
        <vt:lpwstr>https://store.standards.org.au/product/as-3583-2-1991</vt:lpwstr>
      </vt:variant>
      <vt:variant>
        <vt:lpwstr/>
      </vt:variant>
      <vt:variant>
        <vt:i4>4784154</vt:i4>
      </vt:variant>
      <vt:variant>
        <vt:i4>168</vt:i4>
      </vt:variant>
      <vt:variant>
        <vt:i4>0</vt:i4>
      </vt:variant>
      <vt:variant>
        <vt:i4>5</vt:i4>
      </vt:variant>
      <vt:variant>
        <vt:lpwstr>https://store.standards.org.au/product/as-4264-4-1996</vt:lpwstr>
      </vt:variant>
      <vt:variant>
        <vt:lpwstr/>
      </vt:variant>
      <vt:variant>
        <vt:i4>65545</vt:i4>
      </vt:variant>
      <vt:variant>
        <vt:i4>165</vt:i4>
      </vt:variant>
      <vt:variant>
        <vt:i4>0</vt:i4>
      </vt:variant>
      <vt:variant>
        <vt:i4>5</vt:i4>
      </vt:variant>
      <vt:variant>
        <vt:lpwstr>https://www.dcceew.gov.au/climate-change/publications/national-inventory-reports</vt:lpwstr>
      </vt:variant>
      <vt:variant>
        <vt:lpwstr/>
      </vt:variant>
      <vt:variant>
        <vt:i4>5242981</vt:i4>
      </vt:variant>
      <vt:variant>
        <vt:i4>159</vt:i4>
      </vt:variant>
      <vt:variant>
        <vt:i4>0</vt:i4>
      </vt:variant>
      <vt:variant>
        <vt:i4>5</vt:i4>
      </vt:variant>
      <vt:variant>
        <vt:lpwstr>https://cer.gov.au/document_page/reporting-blended-fuels-other-fuel-mixes-bitumen-and-explosives-guideline</vt:lpwstr>
      </vt:variant>
      <vt:variant>
        <vt:lpwstr/>
      </vt:variant>
      <vt:variant>
        <vt:i4>7995440</vt:i4>
      </vt:variant>
      <vt:variant>
        <vt:i4>156</vt:i4>
      </vt:variant>
      <vt:variant>
        <vt:i4>0</vt:i4>
      </vt:variant>
      <vt:variant>
        <vt:i4>5</vt:i4>
      </vt:variant>
      <vt:variant>
        <vt:lpwstr>https://cer.gov.au/document/methods-and-measurement-criteria-guideline</vt:lpwstr>
      </vt:variant>
      <vt:variant>
        <vt:lpwstr/>
      </vt:variant>
      <vt:variant>
        <vt:i4>5177348</vt:i4>
      </vt:variant>
      <vt:variant>
        <vt:i4>153</vt:i4>
      </vt:variant>
      <vt:variant>
        <vt:i4>0</vt:i4>
      </vt:variant>
      <vt:variant>
        <vt:i4>5</vt:i4>
      </vt:variant>
      <vt:variant>
        <vt:lpwstr>https://www.industry.gov.au/policies-and-initiatives/australias-climate-change-strategies/tracking-and-reporting-greenhouse-gas-emissions</vt:lpwstr>
      </vt:variant>
      <vt:variant>
        <vt:lpwstr/>
      </vt:variant>
      <vt:variant>
        <vt:i4>1704004</vt:i4>
      </vt:variant>
      <vt:variant>
        <vt:i4>144</vt:i4>
      </vt:variant>
      <vt:variant>
        <vt:i4>0</vt:i4>
      </vt:variant>
      <vt:variant>
        <vt:i4>5</vt:i4>
      </vt:variant>
      <vt:variant>
        <vt:lpwstr>https://cer.gov.au/schemes/national-greenhouse-and-energy-reporting-scheme/report-emissions-and-energy/nger-reporting-guides</vt:lpwstr>
      </vt:variant>
      <vt:variant>
        <vt:lpwstr/>
      </vt:variant>
      <vt:variant>
        <vt:i4>1179716</vt:i4>
      </vt:variant>
      <vt:variant>
        <vt:i4>141</vt:i4>
      </vt:variant>
      <vt:variant>
        <vt:i4>0</vt:i4>
      </vt:variant>
      <vt:variant>
        <vt:i4>5</vt:i4>
      </vt:variant>
      <vt:variant>
        <vt:lpwstr>https://cer.gov.au/schemes/national-greenhouse-and-energy-reporting-scheme/report-emissions-and-energy/amendments</vt:lpwstr>
      </vt:variant>
      <vt:variant>
        <vt:lpwstr/>
      </vt:variant>
      <vt:variant>
        <vt:i4>2883643</vt:i4>
      </vt:variant>
      <vt:variant>
        <vt:i4>138</vt:i4>
      </vt:variant>
      <vt:variant>
        <vt:i4>0</vt:i4>
      </vt:variant>
      <vt:variant>
        <vt:i4>5</vt:i4>
      </vt:variant>
      <vt:variant>
        <vt:lpwstr>https://cer.gov.au/schemes/national-greenhouse-and-energy-reporting-scheme</vt:lpwstr>
      </vt:variant>
      <vt:variant>
        <vt:lpwstr/>
      </vt:variant>
      <vt:variant>
        <vt:i4>917523</vt:i4>
      </vt:variant>
      <vt:variant>
        <vt:i4>135</vt:i4>
      </vt:variant>
      <vt:variant>
        <vt:i4>0</vt:i4>
      </vt:variant>
      <vt:variant>
        <vt:i4>5</vt:i4>
      </vt:variant>
      <vt:variant>
        <vt:lpwstr>https://www.legislation.gov.au/Series/F2008L02309</vt:lpwstr>
      </vt:variant>
      <vt:variant>
        <vt:lpwstr/>
      </vt:variant>
      <vt:variant>
        <vt:i4>851986</vt:i4>
      </vt:variant>
      <vt:variant>
        <vt:i4>132</vt:i4>
      </vt:variant>
      <vt:variant>
        <vt:i4>0</vt:i4>
      </vt:variant>
      <vt:variant>
        <vt:i4>5</vt:i4>
      </vt:variant>
      <vt:variant>
        <vt:lpwstr>https://www.legislation.gov.au/Series/F2008L02230</vt:lpwstr>
      </vt:variant>
      <vt:variant>
        <vt:lpwstr/>
      </vt:variant>
      <vt:variant>
        <vt:i4>393243</vt:i4>
      </vt:variant>
      <vt:variant>
        <vt:i4>129</vt:i4>
      </vt:variant>
      <vt:variant>
        <vt:i4>0</vt:i4>
      </vt:variant>
      <vt:variant>
        <vt:i4>5</vt:i4>
      </vt:variant>
      <vt:variant>
        <vt:lpwstr>https://www.legislation.gov.au/Series/C2007A00175</vt:lpwstr>
      </vt:variant>
      <vt:variant>
        <vt:lpwstr/>
      </vt:variant>
      <vt:variant>
        <vt:i4>2228337</vt:i4>
      </vt:variant>
      <vt:variant>
        <vt:i4>126</vt:i4>
      </vt:variant>
      <vt:variant>
        <vt:i4>0</vt:i4>
      </vt:variant>
      <vt:variant>
        <vt:i4>5</vt:i4>
      </vt:variant>
      <vt:variant>
        <vt:lpwstr>https://www.legislation.gov.au/help-and-resources/understanding-legislation/reading-legislation</vt:lpwstr>
      </vt:variant>
      <vt:variant>
        <vt:lpwstr/>
      </vt:variant>
      <vt:variant>
        <vt:i4>6160500</vt:i4>
      </vt:variant>
      <vt:variant>
        <vt:i4>123</vt:i4>
      </vt:variant>
      <vt:variant>
        <vt:i4>0</vt:i4>
      </vt:variant>
      <vt:variant>
        <vt:i4>5</vt:i4>
      </vt:variant>
      <vt:variant>
        <vt:lpwstr>https://cer.gov.au/document_page/nger-quick-help-topics</vt:lpwstr>
      </vt:variant>
      <vt:variant>
        <vt:lpwstr/>
      </vt:variant>
      <vt:variant>
        <vt:i4>7798908</vt:i4>
      </vt:variant>
      <vt:variant>
        <vt:i4>120</vt:i4>
      </vt:variant>
      <vt:variant>
        <vt:i4>0</vt:i4>
      </vt:variant>
      <vt:variant>
        <vt:i4>5</vt:i4>
      </vt:variant>
      <vt:variant>
        <vt:lpwstr>https://cer.gov.au/schemes/safeguard-mechanism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Estimating emissions and energy from fuel combustion guideline</dc:title>
  <dc:subject/>
  <dc:creator/>
  <cp:keywords/>
  <cp:lastModifiedBy/>
  <cp:revision>1</cp:revision>
  <dcterms:created xsi:type="dcterms:W3CDTF">2025-07-23T23:13:00Z</dcterms:created>
  <dcterms:modified xsi:type="dcterms:W3CDTF">2025-07-24T03:42:00Z</dcterms:modified>
  <cp:contentStatus/>
</cp:coreProperties>
</file>