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5BE4DD1A" w:rsidR="00977234" w:rsidRDefault="00B16D30" w:rsidP="00146FC8">
      <w:pPr>
        <w:pStyle w:val="CERcovertitle"/>
        <w:tabs>
          <w:tab w:val="left" w:pos="5103"/>
        </w:tabs>
        <w:spacing w:before="2520"/>
        <w:ind w:left="5103" w:right="-41"/>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6F84E9E6">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87BFB8C" id="Freeform: Shape 15"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d9e696"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0F2006" w:rsidRPr="74698ED5">
        <w:rPr>
          <w:rFonts w:asciiTheme="minorHAnsi" w:hAnsiTheme="minorHAnsi"/>
          <w:sz w:val="54"/>
          <w:szCs w:val="54"/>
        </w:rPr>
        <w:t>Estimating emissions and energy from fuel combustion guideline</w:t>
      </w:r>
    </w:p>
    <w:p w14:paraId="3B543F96" w14:textId="104C41D1" w:rsidR="003A5739" w:rsidRPr="00531F3B" w:rsidRDefault="00455364" w:rsidP="001813DE">
      <w:pPr>
        <w:pStyle w:val="BodyText1"/>
        <w:tabs>
          <w:tab w:val="left" w:pos="3969"/>
        </w:tabs>
        <w:ind w:left="5103" w:right="101"/>
      </w:pPr>
      <w:r>
        <w:t xml:space="preserve">July </w:t>
      </w:r>
      <w:r w:rsidR="0068486A">
        <w:t>202</w:t>
      </w:r>
      <w:r w:rsidR="003A009E">
        <w:t>6</w:t>
      </w:r>
    </w:p>
    <w:p w14:paraId="6519C78F" w14:textId="03C371E9" w:rsidR="00235142" w:rsidRPr="00874B8F" w:rsidRDefault="00346AEF" w:rsidP="005B2609">
      <w:pPr>
        <w:pStyle w:val="Heading1"/>
      </w:pPr>
      <w:bookmarkStart w:id="0" w:name="_Toc108022489"/>
      <w:bookmarkStart w:id="1" w:name="_Toc140507356"/>
      <w:bookmarkStart w:id="2" w:name="_Toc141864080"/>
      <w:bookmarkStart w:id="3" w:name="_Toc235613545"/>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4" w:name="_Toc447009035"/>
      <w:bookmarkStart w:id="5" w:name="_Toc413749884"/>
      <w:r w:rsidR="00235142" w:rsidRPr="00874B8F">
        <w:lastRenderedPageBreak/>
        <w:t>Contents</w:t>
      </w:r>
      <w:bookmarkEnd w:id="0"/>
      <w:bookmarkEnd w:id="1"/>
      <w:bookmarkEnd w:id="2"/>
      <w:bookmarkEnd w:id="3"/>
    </w:p>
    <w:p w14:paraId="5CE31388" w14:textId="2DB6E4E8" w:rsidR="00BC7CA1"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BC7CA1">
        <w:rPr>
          <w:noProof/>
        </w:rPr>
        <w:t>Contents</w:t>
      </w:r>
      <w:r w:rsidR="00BC7CA1">
        <w:rPr>
          <w:noProof/>
        </w:rPr>
        <w:tab/>
      </w:r>
      <w:r w:rsidR="00BC7CA1">
        <w:rPr>
          <w:noProof/>
        </w:rPr>
        <w:fldChar w:fldCharType="begin"/>
      </w:r>
      <w:r w:rsidR="00BC7CA1">
        <w:rPr>
          <w:noProof/>
        </w:rPr>
        <w:instrText xml:space="preserve"> PAGEREF _Toc235613545 \h </w:instrText>
      </w:r>
      <w:r w:rsidR="00BC7CA1">
        <w:rPr>
          <w:noProof/>
        </w:rPr>
      </w:r>
      <w:r w:rsidR="00BC7CA1">
        <w:rPr>
          <w:noProof/>
        </w:rPr>
        <w:fldChar w:fldCharType="separate"/>
      </w:r>
      <w:r w:rsidR="00BC7CA1">
        <w:rPr>
          <w:noProof/>
        </w:rPr>
        <w:t>1</w:t>
      </w:r>
      <w:r w:rsidR="00BC7CA1">
        <w:rPr>
          <w:noProof/>
        </w:rPr>
        <w:fldChar w:fldCharType="end"/>
      </w:r>
    </w:p>
    <w:p w14:paraId="0E7120AD" w14:textId="12FE499A" w:rsidR="00BC7CA1" w:rsidRDefault="00BC7CA1">
      <w:pPr>
        <w:pStyle w:val="TOC1"/>
        <w:rPr>
          <w:rFonts w:eastAsiaTheme="minorEastAsia" w:cstheme="minorBidi"/>
          <w:b w:val="0"/>
          <w:noProof/>
          <w:color w:val="auto"/>
          <w:kern w:val="2"/>
          <w:sz w:val="24"/>
          <w:lang w:eastAsia="en-AU"/>
          <w14:ligatures w14:val="standardContextual"/>
        </w:rPr>
      </w:pPr>
      <w:r w:rsidRPr="0016180F">
        <w:rPr>
          <w:noProof/>
          <w:lang w:val="en-GB"/>
        </w:rPr>
        <w:t>Definitions and abbreviations</w:t>
      </w:r>
      <w:r>
        <w:rPr>
          <w:noProof/>
        </w:rPr>
        <w:tab/>
      </w:r>
      <w:r>
        <w:rPr>
          <w:noProof/>
        </w:rPr>
        <w:fldChar w:fldCharType="begin"/>
      </w:r>
      <w:r>
        <w:rPr>
          <w:noProof/>
        </w:rPr>
        <w:instrText xml:space="preserve"> PAGEREF _Toc235613546 \h </w:instrText>
      </w:r>
      <w:r>
        <w:rPr>
          <w:noProof/>
        </w:rPr>
      </w:r>
      <w:r>
        <w:rPr>
          <w:noProof/>
        </w:rPr>
        <w:fldChar w:fldCharType="separate"/>
      </w:r>
      <w:r>
        <w:rPr>
          <w:noProof/>
        </w:rPr>
        <w:t>4</w:t>
      </w:r>
      <w:r>
        <w:rPr>
          <w:noProof/>
        </w:rPr>
        <w:fldChar w:fldCharType="end"/>
      </w:r>
    </w:p>
    <w:p w14:paraId="24FF3F47" w14:textId="6443B09E" w:rsidR="00BC7CA1" w:rsidRDefault="00BC7CA1">
      <w:pPr>
        <w:pStyle w:val="TOC1"/>
        <w:rPr>
          <w:rFonts w:eastAsiaTheme="minorEastAsia" w:cstheme="minorBidi"/>
          <w:b w:val="0"/>
          <w:noProof/>
          <w:color w:val="auto"/>
          <w:kern w:val="2"/>
          <w:sz w:val="24"/>
          <w:lang w:eastAsia="en-AU"/>
          <w14:ligatures w14:val="standardContextual"/>
        </w:rPr>
      </w:pPr>
      <w:r w:rsidRPr="0016180F">
        <w:rPr>
          <w:noProof/>
          <w:lang w:val="en-GB"/>
        </w:rPr>
        <w:t>Disclaimer</w:t>
      </w:r>
      <w:r>
        <w:rPr>
          <w:noProof/>
        </w:rPr>
        <w:tab/>
      </w:r>
      <w:r>
        <w:rPr>
          <w:noProof/>
        </w:rPr>
        <w:fldChar w:fldCharType="begin"/>
      </w:r>
      <w:r>
        <w:rPr>
          <w:noProof/>
        </w:rPr>
        <w:instrText xml:space="preserve"> PAGEREF _Toc235613547 \h </w:instrText>
      </w:r>
      <w:r>
        <w:rPr>
          <w:noProof/>
        </w:rPr>
      </w:r>
      <w:r>
        <w:rPr>
          <w:noProof/>
        </w:rPr>
        <w:fldChar w:fldCharType="separate"/>
      </w:r>
      <w:r>
        <w:rPr>
          <w:noProof/>
        </w:rPr>
        <w:t>6</w:t>
      </w:r>
      <w:r>
        <w:rPr>
          <w:noProof/>
        </w:rPr>
        <w:fldChar w:fldCharType="end"/>
      </w:r>
    </w:p>
    <w:p w14:paraId="6F2B43A2" w14:textId="69FADCF8" w:rsidR="00BC7CA1" w:rsidRDefault="00BC7CA1">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_Toc235613548 \h </w:instrText>
      </w:r>
      <w:r>
        <w:rPr>
          <w:noProof/>
        </w:rPr>
      </w:r>
      <w:r>
        <w:rPr>
          <w:noProof/>
        </w:rPr>
        <w:fldChar w:fldCharType="separate"/>
      </w:r>
      <w:r>
        <w:rPr>
          <w:noProof/>
        </w:rPr>
        <w:t>7</w:t>
      </w:r>
      <w:r>
        <w:rPr>
          <w:noProof/>
        </w:rPr>
        <w:fldChar w:fldCharType="end"/>
      </w:r>
    </w:p>
    <w:p w14:paraId="69CE8A92" w14:textId="7C6ED919" w:rsidR="00BC7CA1" w:rsidRDefault="00BC7CA1">
      <w:pPr>
        <w:pStyle w:val="TOC1"/>
        <w:rPr>
          <w:rFonts w:eastAsiaTheme="minorEastAsia" w:cstheme="minorBidi"/>
          <w:b w:val="0"/>
          <w:noProof/>
          <w:color w:val="auto"/>
          <w:kern w:val="2"/>
          <w:sz w:val="24"/>
          <w:lang w:eastAsia="en-AU"/>
          <w14:ligatures w14:val="standardContextual"/>
        </w:rPr>
      </w:pPr>
      <w:r w:rsidRPr="0016180F">
        <w:rPr>
          <w:noProof/>
          <w:lang w:val="en-GB"/>
        </w:rPr>
        <w:t>1.</w:t>
      </w:r>
      <w:r>
        <w:rPr>
          <w:rFonts w:eastAsiaTheme="minorEastAsia" w:cstheme="minorBidi"/>
          <w:b w:val="0"/>
          <w:noProof/>
          <w:color w:val="auto"/>
          <w:kern w:val="2"/>
          <w:sz w:val="24"/>
          <w:lang w:eastAsia="en-AU"/>
          <w14:ligatures w14:val="standardContextual"/>
        </w:rPr>
        <w:tab/>
      </w:r>
      <w:r w:rsidRPr="0016180F">
        <w:rPr>
          <w:noProof/>
          <w:lang w:val="en-GB"/>
        </w:rPr>
        <w:t>Purpose of this information</w:t>
      </w:r>
      <w:r>
        <w:rPr>
          <w:noProof/>
        </w:rPr>
        <w:tab/>
      </w:r>
      <w:r>
        <w:rPr>
          <w:noProof/>
        </w:rPr>
        <w:fldChar w:fldCharType="begin"/>
      </w:r>
      <w:r>
        <w:rPr>
          <w:noProof/>
        </w:rPr>
        <w:instrText xml:space="preserve"> PAGEREF _Toc235613549 \h </w:instrText>
      </w:r>
      <w:r>
        <w:rPr>
          <w:noProof/>
        </w:rPr>
      </w:r>
      <w:r>
        <w:rPr>
          <w:noProof/>
        </w:rPr>
        <w:fldChar w:fldCharType="separate"/>
      </w:r>
      <w:r>
        <w:rPr>
          <w:noProof/>
        </w:rPr>
        <w:t>7</w:t>
      </w:r>
      <w:r>
        <w:rPr>
          <w:noProof/>
        </w:rPr>
        <w:fldChar w:fldCharType="end"/>
      </w:r>
    </w:p>
    <w:p w14:paraId="33A6F275" w14:textId="5BBEF1F5"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_Toc235613550 \h </w:instrText>
      </w:r>
      <w:r>
        <w:rPr>
          <w:noProof/>
        </w:rPr>
      </w:r>
      <w:r>
        <w:rPr>
          <w:noProof/>
        </w:rPr>
        <w:fldChar w:fldCharType="separate"/>
      </w:r>
      <w:r>
        <w:rPr>
          <w:noProof/>
        </w:rPr>
        <w:t>7</w:t>
      </w:r>
      <w:r>
        <w:rPr>
          <w:noProof/>
        </w:rPr>
        <w:fldChar w:fldCharType="end"/>
      </w:r>
    </w:p>
    <w:p w14:paraId="26B0502B" w14:textId="2BCAA693" w:rsidR="00BC7CA1" w:rsidRDefault="00BC7CA1">
      <w:pPr>
        <w:pStyle w:val="TOC1"/>
        <w:rPr>
          <w:rFonts w:eastAsiaTheme="minorEastAsia" w:cstheme="minorBidi"/>
          <w:b w:val="0"/>
          <w:noProof/>
          <w:color w:val="auto"/>
          <w:kern w:val="2"/>
          <w:sz w:val="24"/>
          <w:lang w:eastAsia="en-AU"/>
          <w14:ligatures w14:val="standardContextual"/>
        </w:rPr>
      </w:pPr>
      <w:r w:rsidRPr="0016180F">
        <w:rPr>
          <w:noProof/>
          <w:lang w:val="en-GB"/>
        </w:rPr>
        <w:t>2.</w:t>
      </w:r>
      <w:r>
        <w:rPr>
          <w:rFonts w:eastAsiaTheme="minorEastAsia" w:cstheme="minorBidi"/>
          <w:b w:val="0"/>
          <w:noProof/>
          <w:color w:val="auto"/>
          <w:kern w:val="2"/>
          <w:sz w:val="24"/>
          <w:lang w:eastAsia="en-AU"/>
          <w14:ligatures w14:val="standardContextual"/>
        </w:rPr>
        <w:tab/>
      </w:r>
      <w:r w:rsidRPr="0016180F">
        <w:rPr>
          <w:noProof/>
          <w:lang w:val="en-GB"/>
        </w:rPr>
        <w:t>Good practices in NGER reporting</w:t>
      </w:r>
      <w:r>
        <w:rPr>
          <w:noProof/>
        </w:rPr>
        <w:tab/>
      </w:r>
      <w:r>
        <w:rPr>
          <w:noProof/>
        </w:rPr>
        <w:fldChar w:fldCharType="begin"/>
      </w:r>
      <w:r>
        <w:rPr>
          <w:noProof/>
        </w:rPr>
        <w:instrText xml:space="preserve"> PAGEREF _Toc235613551 \h </w:instrText>
      </w:r>
      <w:r>
        <w:rPr>
          <w:noProof/>
        </w:rPr>
      </w:r>
      <w:r>
        <w:rPr>
          <w:noProof/>
        </w:rPr>
        <w:fldChar w:fldCharType="separate"/>
      </w:r>
      <w:r>
        <w:rPr>
          <w:noProof/>
        </w:rPr>
        <w:t>8</w:t>
      </w:r>
      <w:r>
        <w:rPr>
          <w:noProof/>
        </w:rPr>
        <w:fldChar w:fldCharType="end"/>
      </w:r>
    </w:p>
    <w:p w14:paraId="5500370B" w14:textId="7CBE1019"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Temporary unavailability of method</w:t>
      </w:r>
      <w:r>
        <w:rPr>
          <w:noProof/>
        </w:rPr>
        <w:tab/>
      </w:r>
      <w:r>
        <w:rPr>
          <w:noProof/>
        </w:rPr>
        <w:fldChar w:fldCharType="begin"/>
      </w:r>
      <w:r>
        <w:rPr>
          <w:noProof/>
        </w:rPr>
        <w:instrText xml:space="preserve"> PAGEREF _Toc235613552 \h </w:instrText>
      </w:r>
      <w:r>
        <w:rPr>
          <w:noProof/>
        </w:rPr>
      </w:r>
      <w:r>
        <w:rPr>
          <w:noProof/>
        </w:rPr>
        <w:fldChar w:fldCharType="separate"/>
      </w:r>
      <w:r>
        <w:rPr>
          <w:noProof/>
        </w:rPr>
        <w:t>11</w:t>
      </w:r>
      <w:r>
        <w:rPr>
          <w:noProof/>
        </w:rPr>
        <w:fldChar w:fldCharType="end"/>
      </w:r>
    </w:p>
    <w:p w14:paraId="044C8E65" w14:textId="1E13668B" w:rsidR="00BC7CA1" w:rsidRDefault="00BC7CA1">
      <w:pPr>
        <w:pStyle w:val="TOC2"/>
        <w:tabs>
          <w:tab w:val="left" w:pos="660"/>
          <w:tab w:val="right" w:leader="dot" w:pos="9730"/>
        </w:tabs>
        <w:rPr>
          <w:rFonts w:eastAsiaTheme="minorEastAsia" w:cstheme="minorBidi"/>
          <w:noProof/>
          <w:color w:val="auto"/>
          <w:kern w:val="2"/>
          <w:sz w:val="24"/>
          <w:lang w:eastAsia="en-AU"/>
          <w14:ligatures w14:val="standardContextual"/>
        </w:rPr>
      </w:pPr>
      <w:r>
        <w:rPr>
          <w:noProof/>
        </w:rPr>
        <w:t>3.</w:t>
      </w:r>
      <w:r>
        <w:rPr>
          <w:rFonts w:eastAsiaTheme="minorEastAsia" w:cstheme="minorBidi"/>
          <w:noProof/>
          <w:color w:val="auto"/>
          <w:kern w:val="2"/>
          <w:sz w:val="24"/>
          <w:lang w:eastAsia="en-AU"/>
          <w14:ligatures w14:val="standardContextual"/>
        </w:rPr>
        <w:tab/>
      </w:r>
      <w:r>
        <w:rPr>
          <w:noProof/>
        </w:rPr>
        <w:t>Fuel combustion emissions</w:t>
      </w:r>
      <w:r>
        <w:rPr>
          <w:noProof/>
        </w:rPr>
        <w:tab/>
      </w:r>
      <w:r>
        <w:rPr>
          <w:noProof/>
        </w:rPr>
        <w:fldChar w:fldCharType="begin"/>
      </w:r>
      <w:r>
        <w:rPr>
          <w:noProof/>
        </w:rPr>
        <w:instrText xml:space="preserve"> PAGEREF _Toc235613553 \h </w:instrText>
      </w:r>
      <w:r>
        <w:rPr>
          <w:noProof/>
        </w:rPr>
      </w:r>
      <w:r>
        <w:rPr>
          <w:noProof/>
        </w:rPr>
        <w:fldChar w:fldCharType="separate"/>
      </w:r>
      <w:r>
        <w:rPr>
          <w:noProof/>
        </w:rPr>
        <w:t>11</w:t>
      </w:r>
      <w:r>
        <w:rPr>
          <w:noProof/>
        </w:rPr>
        <w:fldChar w:fldCharType="end"/>
      </w:r>
    </w:p>
    <w:p w14:paraId="07FF73AA" w14:textId="7D9F38D6"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Reporting context</w:t>
      </w:r>
      <w:r>
        <w:rPr>
          <w:noProof/>
        </w:rPr>
        <w:tab/>
      </w:r>
      <w:r>
        <w:rPr>
          <w:noProof/>
        </w:rPr>
        <w:fldChar w:fldCharType="begin"/>
      </w:r>
      <w:r>
        <w:rPr>
          <w:noProof/>
        </w:rPr>
        <w:instrText xml:space="preserve"> PAGEREF _Toc235613554 \h </w:instrText>
      </w:r>
      <w:r>
        <w:rPr>
          <w:noProof/>
        </w:rPr>
      </w:r>
      <w:r>
        <w:rPr>
          <w:noProof/>
        </w:rPr>
        <w:fldChar w:fldCharType="separate"/>
      </w:r>
      <w:r>
        <w:rPr>
          <w:noProof/>
        </w:rPr>
        <w:t>11</w:t>
      </w:r>
      <w:r>
        <w:rPr>
          <w:noProof/>
        </w:rPr>
        <w:fldChar w:fldCharType="end"/>
      </w:r>
    </w:p>
    <w:p w14:paraId="6E04F25C" w14:textId="20A523C5"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Determining quantities of fuel consumed</w:t>
      </w:r>
      <w:r>
        <w:rPr>
          <w:noProof/>
        </w:rPr>
        <w:tab/>
      </w:r>
      <w:r>
        <w:rPr>
          <w:noProof/>
        </w:rPr>
        <w:fldChar w:fldCharType="begin"/>
      </w:r>
      <w:r>
        <w:rPr>
          <w:noProof/>
        </w:rPr>
        <w:instrText xml:space="preserve"> PAGEREF _Toc235613555 \h </w:instrText>
      </w:r>
      <w:r>
        <w:rPr>
          <w:noProof/>
        </w:rPr>
      </w:r>
      <w:r>
        <w:rPr>
          <w:noProof/>
        </w:rPr>
        <w:fldChar w:fldCharType="separate"/>
      </w:r>
      <w:r>
        <w:rPr>
          <w:noProof/>
        </w:rPr>
        <w:t>12</w:t>
      </w:r>
      <w:r>
        <w:rPr>
          <w:noProof/>
        </w:rPr>
        <w:fldChar w:fldCharType="end"/>
      </w:r>
    </w:p>
    <w:p w14:paraId="4ED296B4" w14:textId="6AE41EEE" w:rsidR="00BC7CA1" w:rsidRDefault="00BC7CA1">
      <w:pPr>
        <w:pStyle w:val="TOC2"/>
        <w:tabs>
          <w:tab w:val="left" w:pos="1200"/>
          <w:tab w:val="right" w:leader="dot" w:pos="9730"/>
        </w:tabs>
        <w:rPr>
          <w:rFonts w:eastAsiaTheme="minorEastAsia" w:cstheme="minorBidi"/>
          <w:noProof/>
          <w:color w:val="auto"/>
          <w:kern w:val="2"/>
          <w:sz w:val="24"/>
          <w:lang w:eastAsia="en-AU"/>
          <w14:ligatures w14:val="standardContextual"/>
        </w:rPr>
      </w:pPr>
      <w:r>
        <w:rPr>
          <w:noProof/>
        </w:rPr>
        <w:t>3.2.1.</w:t>
      </w:r>
      <w:r>
        <w:rPr>
          <w:rFonts w:eastAsiaTheme="minorEastAsia" w:cstheme="minorBidi"/>
          <w:noProof/>
          <w:color w:val="auto"/>
          <w:kern w:val="2"/>
          <w:sz w:val="24"/>
          <w:lang w:eastAsia="en-AU"/>
          <w14:ligatures w14:val="standardContextual"/>
        </w:rPr>
        <w:tab/>
      </w:r>
      <w:r>
        <w:rPr>
          <w:noProof/>
        </w:rPr>
        <w:t>Measurement criteria</w:t>
      </w:r>
      <w:r>
        <w:rPr>
          <w:noProof/>
        </w:rPr>
        <w:tab/>
      </w:r>
      <w:r>
        <w:rPr>
          <w:noProof/>
        </w:rPr>
        <w:fldChar w:fldCharType="begin"/>
      </w:r>
      <w:r>
        <w:rPr>
          <w:noProof/>
        </w:rPr>
        <w:instrText xml:space="preserve"> PAGEREF _Toc235613556 \h </w:instrText>
      </w:r>
      <w:r>
        <w:rPr>
          <w:noProof/>
        </w:rPr>
      </w:r>
      <w:r>
        <w:rPr>
          <w:noProof/>
        </w:rPr>
        <w:fldChar w:fldCharType="separate"/>
      </w:r>
      <w:r>
        <w:rPr>
          <w:noProof/>
        </w:rPr>
        <w:t>12</w:t>
      </w:r>
      <w:r>
        <w:rPr>
          <w:noProof/>
        </w:rPr>
        <w:fldChar w:fldCharType="end"/>
      </w:r>
    </w:p>
    <w:p w14:paraId="7FEC44CA" w14:textId="697213A1" w:rsidR="00BC7CA1" w:rsidRDefault="00BC7CA1">
      <w:pPr>
        <w:pStyle w:val="TOC2"/>
        <w:tabs>
          <w:tab w:val="left" w:pos="1200"/>
          <w:tab w:val="right" w:leader="dot" w:pos="9730"/>
        </w:tabs>
        <w:rPr>
          <w:rFonts w:eastAsiaTheme="minorEastAsia" w:cstheme="minorBidi"/>
          <w:noProof/>
          <w:color w:val="auto"/>
          <w:kern w:val="2"/>
          <w:sz w:val="24"/>
          <w:lang w:eastAsia="en-AU"/>
          <w14:ligatures w14:val="standardContextual"/>
        </w:rPr>
      </w:pPr>
      <w:r>
        <w:rPr>
          <w:noProof/>
        </w:rPr>
        <w:t>3.2.2.</w:t>
      </w:r>
      <w:r>
        <w:rPr>
          <w:rFonts w:eastAsiaTheme="minorEastAsia" w:cstheme="minorBidi"/>
          <w:noProof/>
          <w:color w:val="auto"/>
          <w:kern w:val="2"/>
          <w:sz w:val="24"/>
          <w:lang w:eastAsia="en-AU"/>
          <w14:ligatures w14:val="standardContextual"/>
        </w:rPr>
        <w:tab/>
      </w:r>
      <w:r>
        <w:rPr>
          <w:noProof/>
        </w:rPr>
        <w:t>Blended fuels</w:t>
      </w:r>
      <w:r>
        <w:rPr>
          <w:noProof/>
        </w:rPr>
        <w:tab/>
      </w:r>
      <w:r>
        <w:rPr>
          <w:noProof/>
        </w:rPr>
        <w:fldChar w:fldCharType="begin"/>
      </w:r>
      <w:r>
        <w:rPr>
          <w:noProof/>
        </w:rPr>
        <w:instrText xml:space="preserve"> PAGEREF _Toc235613557 \h </w:instrText>
      </w:r>
      <w:r>
        <w:rPr>
          <w:noProof/>
        </w:rPr>
      </w:r>
      <w:r>
        <w:rPr>
          <w:noProof/>
        </w:rPr>
        <w:fldChar w:fldCharType="separate"/>
      </w:r>
      <w:r>
        <w:rPr>
          <w:noProof/>
        </w:rPr>
        <w:t>12</w:t>
      </w:r>
      <w:r>
        <w:rPr>
          <w:noProof/>
        </w:rPr>
        <w:fldChar w:fldCharType="end"/>
      </w:r>
    </w:p>
    <w:p w14:paraId="2617EB93" w14:textId="28C850D0"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3.3.</w:t>
      </w:r>
      <w:r>
        <w:rPr>
          <w:rFonts w:eastAsiaTheme="minorEastAsia" w:cstheme="minorBidi"/>
          <w:noProof/>
          <w:color w:val="auto"/>
          <w:kern w:val="2"/>
          <w:sz w:val="24"/>
          <w:lang w:eastAsia="en-AU"/>
          <w14:ligatures w14:val="standardContextual"/>
        </w:rPr>
        <w:tab/>
      </w:r>
      <w:r>
        <w:rPr>
          <w:noProof/>
        </w:rPr>
        <w:t>Estimating emissions released from the combustion of solid fuels</w:t>
      </w:r>
      <w:r>
        <w:rPr>
          <w:noProof/>
        </w:rPr>
        <w:tab/>
      </w:r>
      <w:r>
        <w:rPr>
          <w:noProof/>
        </w:rPr>
        <w:fldChar w:fldCharType="begin"/>
      </w:r>
      <w:r>
        <w:rPr>
          <w:noProof/>
        </w:rPr>
        <w:instrText xml:space="preserve"> PAGEREF _Toc235613558 \h </w:instrText>
      </w:r>
      <w:r>
        <w:rPr>
          <w:noProof/>
        </w:rPr>
      </w:r>
      <w:r>
        <w:rPr>
          <w:noProof/>
        </w:rPr>
        <w:fldChar w:fldCharType="separate"/>
      </w:r>
      <w:r>
        <w:rPr>
          <w:noProof/>
        </w:rPr>
        <w:t>12</w:t>
      </w:r>
      <w:r>
        <w:rPr>
          <w:noProof/>
        </w:rPr>
        <w:fldChar w:fldCharType="end"/>
      </w:r>
    </w:p>
    <w:p w14:paraId="7EB53958" w14:textId="1835245D"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3.3.1.</w:t>
      </w:r>
      <w:r>
        <w:rPr>
          <w:rFonts w:eastAsiaTheme="minorEastAsia" w:cstheme="minorBidi"/>
          <w:noProof/>
          <w:color w:val="auto"/>
          <w:kern w:val="2"/>
          <w:sz w:val="24"/>
          <w:lang w:eastAsia="en-AU"/>
          <w14:ligatures w14:val="standardContextual"/>
        </w:rPr>
        <w:tab/>
      </w:r>
      <w:r>
        <w:rPr>
          <w:noProof/>
        </w:rPr>
        <w:t>Method 1—emissions of carbon dioxide, methane and nitrous oxide from solid fuels</w:t>
      </w:r>
      <w:r>
        <w:rPr>
          <w:noProof/>
        </w:rPr>
        <w:tab/>
      </w:r>
      <w:r>
        <w:rPr>
          <w:noProof/>
        </w:rPr>
        <w:fldChar w:fldCharType="begin"/>
      </w:r>
      <w:r>
        <w:rPr>
          <w:noProof/>
        </w:rPr>
        <w:instrText xml:space="preserve"> PAGEREF _Toc235613559 \h </w:instrText>
      </w:r>
      <w:r>
        <w:rPr>
          <w:noProof/>
        </w:rPr>
      </w:r>
      <w:r>
        <w:rPr>
          <w:noProof/>
        </w:rPr>
        <w:fldChar w:fldCharType="separate"/>
      </w:r>
      <w:r>
        <w:rPr>
          <w:noProof/>
        </w:rPr>
        <w:t>13</w:t>
      </w:r>
      <w:r>
        <w:rPr>
          <w:noProof/>
        </w:rPr>
        <w:fldChar w:fldCharType="end"/>
      </w:r>
    </w:p>
    <w:p w14:paraId="0965E819" w14:textId="03E118E2" w:rsidR="00BC7CA1" w:rsidRDefault="00BC7CA1">
      <w:pPr>
        <w:pStyle w:val="TOC3"/>
        <w:rPr>
          <w:rFonts w:eastAsiaTheme="minorEastAsia" w:cstheme="minorBidi"/>
          <w:noProof/>
          <w:color w:val="auto"/>
          <w:kern w:val="2"/>
          <w:sz w:val="24"/>
          <w:lang w:eastAsia="en-AU"/>
          <w14:ligatures w14:val="standardContextual"/>
        </w:rPr>
      </w:pPr>
      <w:r w:rsidRPr="0016180F">
        <w:rPr>
          <w:b/>
          <w:noProof/>
        </w:rPr>
        <w:t>Example 1</w:t>
      </w:r>
      <w:r>
        <w:rPr>
          <w:noProof/>
        </w:rPr>
        <w:tab/>
      </w:r>
      <w:r>
        <w:rPr>
          <w:noProof/>
        </w:rPr>
        <w:fldChar w:fldCharType="begin"/>
      </w:r>
      <w:r>
        <w:rPr>
          <w:noProof/>
        </w:rPr>
        <w:instrText xml:space="preserve"> PAGEREF _Toc235613560 \h </w:instrText>
      </w:r>
      <w:r>
        <w:rPr>
          <w:noProof/>
        </w:rPr>
      </w:r>
      <w:r>
        <w:rPr>
          <w:noProof/>
        </w:rPr>
        <w:fldChar w:fldCharType="separate"/>
      </w:r>
      <w:r>
        <w:rPr>
          <w:noProof/>
        </w:rPr>
        <w:t>14</w:t>
      </w:r>
      <w:r>
        <w:rPr>
          <w:noProof/>
        </w:rPr>
        <w:fldChar w:fldCharType="end"/>
      </w:r>
    </w:p>
    <w:p w14:paraId="2585B5C4" w14:textId="06CB2728"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3.3.2.</w:t>
      </w:r>
      <w:r>
        <w:rPr>
          <w:rFonts w:eastAsiaTheme="minorEastAsia" w:cstheme="minorBidi"/>
          <w:noProof/>
          <w:color w:val="auto"/>
          <w:kern w:val="2"/>
          <w:sz w:val="24"/>
          <w:lang w:eastAsia="en-AU"/>
          <w14:ligatures w14:val="standardContextual"/>
        </w:rPr>
        <w:tab/>
      </w:r>
      <w:r>
        <w:rPr>
          <w:noProof/>
        </w:rPr>
        <w:t>Method 2—estimating emissions of carbon dioxide using default oxidation factor</w:t>
      </w:r>
      <w:r>
        <w:rPr>
          <w:noProof/>
        </w:rPr>
        <w:tab/>
      </w:r>
      <w:r>
        <w:rPr>
          <w:noProof/>
        </w:rPr>
        <w:fldChar w:fldCharType="begin"/>
      </w:r>
      <w:r>
        <w:rPr>
          <w:noProof/>
        </w:rPr>
        <w:instrText xml:space="preserve"> PAGEREF _Toc235613561 \h </w:instrText>
      </w:r>
      <w:r>
        <w:rPr>
          <w:noProof/>
        </w:rPr>
      </w:r>
      <w:r>
        <w:rPr>
          <w:noProof/>
        </w:rPr>
        <w:fldChar w:fldCharType="separate"/>
      </w:r>
      <w:r>
        <w:rPr>
          <w:noProof/>
        </w:rPr>
        <w:t>15</w:t>
      </w:r>
      <w:r>
        <w:rPr>
          <w:noProof/>
        </w:rPr>
        <w:fldChar w:fldCharType="end"/>
      </w:r>
    </w:p>
    <w:p w14:paraId="159AD9E7" w14:textId="22FA971B" w:rsidR="00BC7CA1" w:rsidRDefault="00BC7CA1">
      <w:pPr>
        <w:pStyle w:val="TOC5"/>
        <w:tabs>
          <w:tab w:val="right" w:leader="dot" w:pos="9730"/>
        </w:tabs>
        <w:rPr>
          <w:rFonts w:eastAsiaTheme="minorEastAsia" w:cstheme="minorBidi"/>
          <w:noProof/>
          <w:color w:val="auto"/>
          <w:kern w:val="2"/>
          <w:sz w:val="24"/>
          <w:lang w:eastAsia="en-AU"/>
          <w14:ligatures w14:val="standardContextual"/>
        </w:rPr>
      </w:pPr>
      <w:r w:rsidRPr="0016180F">
        <w:rPr>
          <w:b/>
          <w:noProof/>
          <w:lang w:eastAsia="en-AU"/>
        </w:rPr>
        <w:t>Example 2</w:t>
      </w:r>
      <w:r>
        <w:rPr>
          <w:noProof/>
        </w:rPr>
        <w:tab/>
      </w:r>
      <w:r>
        <w:rPr>
          <w:noProof/>
        </w:rPr>
        <w:fldChar w:fldCharType="begin"/>
      </w:r>
      <w:r>
        <w:rPr>
          <w:noProof/>
        </w:rPr>
        <w:instrText xml:space="preserve"> PAGEREF _Toc235613562 \h </w:instrText>
      </w:r>
      <w:r>
        <w:rPr>
          <w:noProof/>
        </w:rPr>
      </w:r>
      <w:r>
        <w:rPr>
          <w:noProof/>
        </w:rPr>
        <w:fldChar w:fldCharType="separate"/>
      </w:r>
      <w:r>
        <w:rPr>
          <w:noProof/>
        </w:rPr>
        <w:t>16</w:t>
      </w:r>
      <w:r>
        <w:rPr>
          <w:noProof/>
        </w:rPr>
        <w:fldChar w:fldCharType="end"/>
      </w:r>
    </w:p>
    <w:p w14:paraId="70A62125" w14:textId="105D9631" w:rsidR="00BC7CA1" w:rsidRDefault="00BC7CA1">
      <w:pPr>
        <w:pStyle w:val="TOC4"/>
        <w:tabs>
          <w:tab w:val="left" w:pos="1680"/>
          <w:tab w:val="right" w:leader="dot" w:pos="9730"/>
        </w:tabs>
        <w:rPr>
          <w:rFonts w:eastAsiaTheme="minorEastAsia" w:cstheme="minorBidi"/>
          <w:noProof/>
          <w:color w:val="auto"/>
          <w:kern w:val="2"/>
          <w:sz w:val="24"/>
          <w:lang w:eastAsia="en-AU"/>
          <w14:ligatures w14:val="standardContextual"/>
        </w:rPr>
      </w:pPr>
      <w:r>
        <w:rPr>
          <w:noProof/>
        </w:rPr>
        <w:t>3.3.2.1.</w:t>
      </w:r>
      <w:r>
        <w:rPr>
          <w:rFonts w:eastAsiaTheme="minorEastAsia" w:cstheme="minorBidi"/>
          <w:noProof/>
          <w:color w:val="auto"/>
          <w:kern w:val="2"/>
          <w:sz w:val="24"/>
          <w:lang w:eastAsia="en-AU"/>
          <w14:ligatures w14:val="standardContextual"/>
        </w:rPr>
        <w:tab/>
      </w:r>
      <w:r>
        <w:rPr>
          <w:noProof/>
        </w:rPr>
        <w:t>Method 2—estimating carbon dioxide using an estimated oxidation factor</w:t>
      </w:r>
      <w:r>
        <w:rPr>
          <w:noProof/>
        </w:rPr>
        <w:tab/>
      </w:r>
      <w:r>
        <w:rPr>
          <w:noProof/>
        </w:rPr>
        <w:fldChar w:fldCharType="begin"/>
      </w:r>
      <w:r>
        <w:rPr>
          <w:noProof/>
        </w:rPr>
        <w:instrText xml:space="preserve"> PAGEREF _Toc235613563 \h </w:instrText>
      </w:r>
      <w:r>
        <w:rPr>
          <w:noProof/>
        </w:rPr>
      </w:r>
      <w:r>
        <w:rPr>
          <w:noProof/>
        </w:rPr>
        <w:fldChar w:fldCharType="separate"/>
      </w:r>
      <w:r>
        <w:rPr>
          <w:noProof/>
        </w:rPr>
        <w:t>18</w:t>
      </w:r>
      <w:r>
        <w:rPr>
          <w:noProof/>
        </w:rPr>
        <w:fldChar w:fldCharType="end"/>
      </w:r>
    </w:p>
    <w:p w14:paraId="30528B6B" w14:textId="469C0D12" w:rsidR="00BC7CA1" w:rsidRDefault="00BC7CA1">
      <w:pPr>
        <w:pStyle w:val="TOC4"/>
        <w:tabs>
          <w:tab w:val="left" w:pos="1680"/>
          <w:tab w:val="right" w:leader="dot" w:pos="9730"/>
        </w:tabs>
        <w:rPr>
          <w:rFonts w:eastAsiaTheme="minorEastAsia" w:cstheme="minorBidi"/>
          <w:noProof/>
          <w:color w:val="auto"/>
          <w:kern w:val="2"/>
          <w:sz w:val="24"/>
          <w:lang w:eastAsia="en-AU"/>
          <w14:ligatures w14:val="standardContextual"/>
        </w:rPr>
      </w:pPr>
      <w:r>
        <w:rPr>
          <w:noProof/>
        </w:rPr>
        <w:t>3.3.2.2.</w:t>
      </w:r>
      <w:r>
        <w:rPr>
          <w:rFonts w:eastAsiaTheme="minorEastAsia" w:cstheme="minorBidi"/>
          <w:noProof/>
          <w:color w:val="auto"/>
          <w:kern w:val="2"/>
          <w:sz w:val="24"/>
          <w:lang w:eastAsia="en-AU"/>
          <w14:ligatures w14:val="standardContextual"/>
        </w:rPr>
        <w:tab/>
      </w:r>
      <w:r>
        <w:rPr>
          <w:noProof/>
        </w:rPr>
        <w:t>Sampling and analysis for Method 2</w:t>
      </w:r>
      <w:r>
        <w:rPr>
          <w:noProof/>
        </w:rPr>
        <w:tab/>
      </w:r>
      <w:r>
        <w:rPr>
          <w:noProof/>
        </w:rPr>
        <w:fldChar w:fldCharType="begin"/>
      </w:r>
      <w:r>
        <w:rPr>
          <w:noProof/>
        </w:rPr>
        <w:instrText xml:space="preserve"> PAGEREF _Toc235613564 \h </w:instrText>
      </w:r>
      <w:r>
        <w:rPr>
          <w:noProof/>
        </w:rPr>
      </w:r>
      <w:r>
        <w:rPr>
          <w:noProof/>
        </w:rPr>
        <w:fldChar w:fldCharType="separate"/>
      </w:r>
      <w:r>
        <w:rPr>
          <w:noProof/>
        </w:rPr>
        <w:t>18</w:t>
      </w:r>
      <w:r>
        <w:rPr>
          <w:noProof/>
        </w:rPr>
        <w:fldChar w:fldCharType="end"/>
      </w:r>
    </w:p>
    <w:p w14:paraId="69BB4ED3" w14:textId="183DE530" w:rsidR="00BC7CA1" w:rsidRDefault="00BC7CA1">
      <w:pPr>
        <w:pStyle w:val="TOC4"/>
        <w:tabs>
          <w:tab w:val="left" w:pos="1680"/>
          <w:tab w:val="right" w:leader="dot" w:pos="9730"/>
        </w:tabs>
        <w:rPr>
          <w:rFonts w:eastAsiaTheme="minorEastAsia" w:cstheme="minorBidi"/>
          <w:noProof/>
          <w:color w:val="auto"/>
          <w:kern w:val="2"/>
          <w:sz w:val="24"/>
          <w:lang w:eastAsia="en-AU"/>
          <w14:ligatures w14:val="standardContextual"/>
        </w:rPr>
      </w:pPr>
      <w:r>
        <w:rPr>
          <w:noProof/>
        </w:rPr>
        <w:t>3.3.2.3.</w:t>
      </w:r>
      <w:r>
        <w:rPr>
          <w:rFonts w:eastAsiaTheme="minorEastAsia" w:cstheme="minorBidi"/>
          <w:noProof/>
          <w:color w:val="auto"/>
          <w:kern w:val="2"/>
          <w:sz w:val="24"/>
          <w:lang w:eastAsia="en-AU"/>
          <w14:ligatures w14:val="standardContextual"/>
        </w:rPr>
        <w:tab/>
      </w:r>
      <w:r>
        <w:rPr>
          <w:noProof/>
        </w:rPr>
        <w:t>Requirements for analysis of furnace ash and fly ash</w:t>
      </w:r>
      <w:r>
        <w:rPr>
          <w:noProof/>
        </w:rPr>
        <w:tab/>
      </w:r>
      <w:r>
        <w:rPr>
          <w:noProof/>
        </w:rPr>
        <w:fldChar w:fldCharType="begin"/>
      </w:r>
      <w:r>
        <w:rPr>
          <w:noProof/>
        </w:rPr>
        <w:instrText xml:space="preserve"> PAGEREF _Toc235613565 \h </w:instrText>
      </w:r>
      <w:r>
        <w:rPr>
          <w:noProof/>
        </w:rPr>
      </w:r>
      <w:r>
        <w:rPr>
          <w:noProof/>
        </w:rPr>
        <w:fldChar w:fldCharType="separate"/>
      </w:r>
      <w:r>
        <w:rPr>
          <w:noProof/>
        </w:rPr>
        <w:t>19</w:t>
      </w:r>
      <w:r>
        <w:rPr>
          <w:noProof/>
        </w:rPr>
        <w:fldChar w:fldCharType="end"/>
      </w:r>
    </w:p>
    <w:p w14:paraId="51CBF561" w14:textId="7D4168C7"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3.3.3.</w:t>
      </w:r>
      <w:r>
        <w:rPr>
          <w:rFonts w:eastAsiaTheme="minorEastAsia" w:cstheme="minorBidi"/>
          <w:noProof/>
          <w:color w:val="auto"/>
          <w:kern w:val="2"/>
          <w:sz w:val="24"/>
          <w:lang w:eastAsia="en-AU"/>
          <w14:ligatures w14:val="standardContextual"/>
        </w:rPr>
        <w:tab/>
      </w:r>
      <w:r>
        <w:rPr>
          <w:noProof/>
        </w:rPr>
        <w:t>Method 3—Solid fuels</w:t>
      </w:r>
      <w:r>
        <w:rPr>
          <w:noProof/>
        </w:rPr>
        <w:tab/>
      </w:r>
      <w:r>
        <w:rPr>
          <w:noProof/>
        </w:rPr>
        <w:fldChar w:fldCharType="begin"/>
      </w:r>
      <w:r>
        <w:rPr>
          <w:noProof/>
        </w:rPr>
        <w:instrText xml:space="preserve"> PAGEREF _Toc235613566 \h </w:instrText>
      </w:r>
      <w:r>
        <w:rPr>
          <w:noProof/>
        </w:rPr>
      </w:r>
      <w:r>
        <w:rPr>
          <w:noProof/>
        </w:rPr>
        <w:fldChar w:fldCharType="separate"/>
      </w:r>
      <w:r>
        <w:rPr>
          <w:noProof/>
        </w:rPr>
        <w:t>20</w:t>
      </w:r>
      <w:r>
        <w:rPr>
          <w:noProof/>
        </w:rPr>
        <w:fldChar w:fldCharType="end"/>
      </w:r>
    </w:p>
    <w:p w14:paraId="18916654" w14:textId="0CF1A36D"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3.4.</w:t>
      </w:r>
      <w:r>
        <w:rPr>
          <w:rFonts w:eastAsiaTheme="minorEastAsia" w:cstheme="minorBidi"/>
          <w:noProof/>
          <w:color w:val="auto"/>
          <w:kern w:val="2"/>
          <w:sz w:val="24"/>
          <w:lang w:eastAsia="en-AU"/>
          <w14:ligatures w14:val="standardContextual"/>
        </w:rPr>
        <w:tab/>
      </w:r>
      <w:r>
        <w:rPr>
          <w:noProof/>
        </w:rPr>
        <w:t>Emissions released from the combustion of gaseous fuels</w:t>
      </w:r>
      <w:r>
        <w:rPr>
          <w:noProof/>
        </w:rPr>
        <w:tab/>
      </w:r>
      <w:r>
        <w:rPr>
          <w:noProof/>
        </w:rPr>
        <w:fldChar w:fldCharType="begin"/>
      </w:r>
      <w:r>
        <w:rPr>
          <w:noProof/>
        </w:rPr>
        <w:instrText xml:space="preserve"> PAGEREF _Toc235613567 \h </w:instrText>
      </w:r>
      <w:r>
        <w:rPr>
          <w:noProof/>
        </w:rPr>
      </w:r>
      <w:r>
        <w:rPr>
          <w:noProof/>
        </w:rPr>
        <w:fldChar w:fldCharType="separate"/>
      </w:r>
      <w:r>
        <w:rPr>
          <w:noProof/>
        </w:rPr>
        <w:t>20</w:t>
      </w:r>
      <w:r>
        <w:rPr>
          <w:noProof/>
        </w:rPr>
        <w:fldChar w:fldCharType="end"/>
      </w:r>
    </w:p>
    <w:p w14:paraId="1D0F610F" w14:textId="6E66DD11"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3.4.1.</w:t>
      </w:r>
      <w:r>
        <w:rPr>
          <w:rFonts w:eastAsiaTheme="minorEastAsia" w:cstheme="minorBidi"/>
          <w:noProof/>
          <w:color w:val="auto"/>
          <w:kern w:val="2"/>
          <w:sz w:val="24"/>
          <w:lang w:eastAsia="en-AU"/>
          <w14:ligatures w14:val="standardContextual"/>
        </w:rPr>
        <w:tab/>
      </w:r>
      <w:r>
        <w:rPr>
          <w:noProof/>
        </w:rPr>
        <w:t>Method 1—emissions of carbon dioxide, methane and nitrous oxide</w:t>
      </w:r>
      <w:r>
        <w:rPr>
          <w:noProof/>
        </w:rPr>
        <w:tab/>
      </w:r>
      <w:r>
        <w:rPr>
          <w:noProof/>
        </w:rPr>
        <w:fldChar w:fldCharType="begin"/>
      </w:r>
      <w:r>
        <w:rPr>
          <w:noProof/>
        </w:rPr>
        <w:instrText xml:space="preserve"> PAGEREF _Toc235613568 \h </w:instrText>
      </w:r>
      <w:r>
        <w:rPr>
          <w:noProof/>
        </w:rPr>
      </w:r>
      <w:r>
        <w:rPr>
          <w:noProof/>
        </w:rPr>
        <w:fldChar w:fldCharType="separate"/>
      </w:r>
      <w:r>
        <w:rPr>
          <w:noProof/>
        </w:rPr>
        <w:t>21</w:t>
      </w:r>
      <w:r>
        <w:rPr>
          <w:noProof/>
        </w:rPr>
        <w:fldChar w:fldCharType="end"/>
      </w:r>
    </w:p>
    <w:p w14:paraId="720B4D4B" w14:textId="3DB88720"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3.4.2.</w:t>
      </w:r>
      <w:r>
        <w:rPr>
          <w:rFonts w:eastAsiaTheme="minorEastAsia" w:cstheme="minorBidi"/>
          <w:noProof/>
          <w:color w:val="auto"/>
          <w:kern w:val="2"/>
          <w:sz w:val="24"/>
          <w:lang w:eastAsia="en-AU"/>
          <w14:ligatures w14:val="standardContextual"/>
        </w:rPr>
        <w:tab/>
      </w:r>
      <w:r>
        <w:rPr>
          <w:noProof/>
        </w:rPr>
        <w:t>Method 2—emissions of carbon dioxide from the combustion of gaseous fuels</w:t>
      </w:r>
      <w:r>
        <w:rPr>
          <w:noProof/>
        </w:rPr>
        <w:tab/>
      </w:r>
      <w:r>
        <w:rPr>
          <w:noProof/>
        </w:rPr>
        <w:fldChar w:fldCharType="begin"/>
      </w:r>
      <w:r>
        <w:rPr>
          <w:noProof/>
        </w:rPr>
        <w:instrText xml:space="preserve"> PAGEREF _Toc235613569 \h </w:instrText>
      </w:r>
      <w:r>
        <w:rPr>
          <w:noProof/>
        </w:rPr>
      </w:r>
      <w:r>
        <w:rPr>
          <w:noProof/>
        </w:rPr>
        <w:fldChar w:fldCharType="separate"/>
      </w:r>
      <w:r>
        <w:rPr>
          <w:noProof/>
        </w:rPr>
        <w:t>21</w:t>
      </w:r>
      <w:r>
        <w:rPr>
          <w:noProof/>
        </w:rPr>
        <w:fldChar w:fldCharType="end"/>
      </w:r>
    </w:p>
    <w:p w14:paraId="36A13613" w14:textId="7A4A8E9F" w:rsidR="00BC7CA1" w:rsidRDefault="00BC7CA1">
      <w:pPr>
        <w:pStyle w:val="TOC4"/>
        <w:tabs>
          <w:tab w:val="left" w:pos="1680"/>
          <w:tab w:val="right" w:leader="dot" w:pos="9730"/>
        </w:tabs>
        <w:rPr>
          <w:rFonts w:eastAsiaTheme="minorEastAsia" w:cstheme="minorBidi"/>
          <w:noProof/>
          <w:color w:val="auto"/>
          <w:kern w:val="2"/>
          <w:sz w:val="24"/>
          <w:lang w:eastAsia="en-AU"/>
          <w14:ligatures w14:val="standardContextual"/>
        </w:rPr>
      </w:pPr>
      <w:r>
        <w:rPr>
          <w:noProof/>
        </w:rPr>
        <w:t>3.4.2.1.</w:t>
      </w:r>
      <w:r>
        <w:rPr>
          <w:rFonts w:eastAsiaTheme="minorEastAsia" w:cstheme="minorBidi"/>
          <w:noProof/>
          <w:color w:val="auto"/>
          <w:kern w:val="2"/>
          <w:sz w:val="24"/>
          <w:lang w:eastAsia="en-AU"/>
          <w14:ligatures w14:val="standardContextual"/>
        </w:rPr>
        <w:tab/>
      </w:r>
      <w:r>
        <w:rPr>
          <w:noProof/>
        </w:rPr>
        <w:t>Sampling and analysis</w:t>
      </w:r>
      <w:r>
        <w:rPr>
          <w:noProof/>
        </w:rPr>
        <w:tab/>
      </w:r>
      <w:r>
        <w:rPr>
          <w:noProof/>
        </w:rPr>
        <w:fldChar w:fldCharType="begin"/>
      </w:r>
      <w:r>
        <w:rPr>
          <w:noProof/>
        </w:rPr>
        <w:instrText xml:space="preserve"> PAGEREF _Toc235613570 \h </w:instrText>
      </w:r>
      <w:r>
        <w:rPr>
          <w:noProof/>
        </w:rPr>
      </w:r>
      <w:r>
        <w:rPr>
          <w:noProof/>
        </w:rPr>
        <w:fldChar w:fldCharType="separate"/>
      </w:r>
      <w:r>
        <w:rPr>
          <w:noProof/>
        </w:rPr>
        <w:t>21</w:t>
      </w:r>
      <w:r>
        <w:rPr>
          <w:noProof/>
        </w:rPr>
        <w:fldChar w:fldCharType="end"/>
      </w:r>
    </w:p>
    <w:p w14:paraId="61A44C3E" w14:textId="70F072B7"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3.4.3.</w:t>
      </w:r>
      <w:r>
        <w:rPr>
          <w:rFonts w:eastAsiaTheme="minorEastAsia" w:cstheme="minorBidi"/>
          <w:noProof/>
          <w:color w:val="auto"/>
          <w:kern w:val="2"/>
          <w:sz w:val="24"/>
          <w:lang w:eastAsia="en-AU"/>
          <w14:ligatures w14:val="standardContextual"/>
        </w:rPr>
        <w:tab/>
      </w:r>
      <w:r>
        <w:rPr>
          <w:noProof/>
        </w:rPr>
        <w:t>Method 3—emissions of carbon dioxide released from the combustion of gaseous fuels</w:t>
      </w:r>
      <w:r>
        <w:rPr>
          <w:noProof/>
        </w:rPr>
        <w:tab/>
      </w:r>
      <w:r>
        <w:rPr>
          <w:noProof/>
        </w:rPr>
        <w:fldChar w:fldCharType="begin"/>
      </w:r>
      <w:r>
        <w:rPr>
          <w:noProof/>
        </w:rPr>
        <w:instrText xml:space="preserve"> PAGEREF _Toc235613571 \h </w:instrText>
      </w:r>
      <w:r>
        <w:rPr>
          <w:noProof/>
        </w:rPr>
      </w:r>
      <w:r>
        <w:rPr>
          <w:noProof/>
        </w:rPr>
        <w:fldChar w:fldCharType="separate"/>
      </w:r>
      <w:r>
        <w:rPr>
          <w:noProof/>
        </w:rPr>
        <w:t>22</w:t>
      </w:r>
      <w:r>
        <w:rPr>
          <w:noProof/>
        </w:rPr>
        <w:fldChar w:fldCharType="end"/>
      </w:r>
    </w:p>
    <w:p w14:paraId="770DE274" w14:textId="363C7BA2"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3.4.4.</w:t>
      </w:r>
      <w:r>
        <w:rPr>
          <w:rFonts w:eastAsiaTheme="minorEastAsia" w:cstheme="minorBidi"/>
          <w:noProof/>
          <w:color w:val="auto"/>
          <w:kern w:val="2"/>
          <w:sz w:val="24"/>
          <w:lang w:eastAsia="en-AU"/>
          <w14:ligatures w14:val="standardContextual"/>
        </w:rPr>
        <w:tab/>
      </w:r>
      <w:r>
        <w:rPr>
          <w:noProof/>
        </w:rPr>
        <w:t>Method 2—emissions of methane from the combustion of gaseous fuels</w:t>
      </w:r>
      <w:r>
        <w:rPr>
          <w:noProof/>
        </w:rPr>
        <w:tab/>
      </w:r>
      <w:r>
        <w:rPr>
          <w:noProof/>
        </w:rPr>
        <w:fldChar w:fldCharType="begin"/>
      </w:r>
      <w:r>
        <w:rPr>
          <w:noProof/>
        </w:rPr>
        <w:instrText xml:space="preserve"> PAGEREF _Toc235613572 \h </w:instrText>
      </w:r>
      <w:r>
        <w:rPr>
          <w:noProof/>
        </w:rPr>
      </w:r>
      <w:r>
        <w:rPr>
          <w:noProof/>
        </w:rPr>
        <w:fldChar w:fldCharType="separate"/>
      </w:r>
      <w:r>
        <w:rPr>
          <w:noProof/>
        </w:rPr>
        <w:t>22</w:t>
      </w:r>
      <w:r>
        <w:rPr>
          <w:noProof/>
        </w:rPr>
        <w:fldChar w:fldCharType="end"/>
      </w:r>
    </w:p>
    <w:p w14:paraId="6AB5669D" w14:textId="78CCCC35"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3.5.</w:t>
      </w:r>
      <w:r>
        <w:rPr>
          <w:rFonts w:eastAsiaTheme="minorEastAsia" w:cstheme="minorBidi"/>
          <w:noProof/>
          <w:color w:val="auto"/>
          <w:kern w:val="2"/>
          <w:sz w:val="24"/>
          <w:lang w:eastAsia="en-AU"/>
          <w14:ligatures w14:val="standardContextual"/>
        </w:rPr>
        <w:tab/>
      </w:r>
      <w:r>
        <w:rPr>
          <w:noProof/>
        </w:rPr>
        <w:t>Emissions released from the combustion of liquid fuels</w:t>
      </w:r>
      <w:r>
        <w:rPr>
          <w:noProof/>
        </w:rPr>
        <w:tab/>
      </w:r>
      <w:r>
        <w:rPr>
          <w:noProof/>
        </w:rPr>
        <w:fldChar w:fldCharType="begin"/>
      </w:r>
      <w:r>
        <w:rPr>
          <w:noProof/>
        </w:rPr>
        <w:instrText xml:space="preserve"> PAGEREF _Toc235613573 \h </w:instrText>
      </w:r>
      <w:r>
        <w:rPr>
          <w:noProof/>
        </w:rPr>
      </w:r>
      <w:r>
        <w:rPr>
          <w:noProof/>
        </w:rPr>
        <w:fldChar w:fldCharType="separate"/>
      </w:r>
      <w:r>
        <w:rPr>
          <w:noProof/>
        </w:rPr>
        <w:t>22</w:t>
      </w:r>
      <w:r>
        <w:rPr>
          <w:noProof/>
        </w:rPr>
        <w:fldChar w:fldCharType="end"/>
      </w:r>
    </w:p>
    <w:p w14:paraId="4C2E7338" w14:textId="4A950DF2"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3.5.1.</w:t>
      </w:r>
      <w:r>
        <w:rPr>
          <w:rFonts w:eastAsiaTheme="minorEastAsia" w:cstheme="minorBidi"/>
          <w:noProof/>
          <w:color w:val="auto"/>
          <w:kern w:val="2"/>
          <w:sz w:val="24"/>
          <w:lang w:eastAsia="en-AU"/>
          <w14:ligatures w14:val="standardContextual"/>
        </w:rPr>
        <w:tab/>
      </w:r>
      <w:r>
        <w:rPr>
          <w:noProof/>
        </w:rPr>
        <w:t>Method 1—emissions of carbon dioxide, methane and nitrous oxide from liquid fuels other than petroleum-based oils or greases</w:t>
      </w:r>
      <w:r>
        <w:rPr>
          <w:noProof/>
        </w:rPr>
        <w:tab/>
      </w:r>
      <w:r>
        <w:rPr>
          <w:noProof/>
        </w:rPr>
        <w:fldChar w:fldCharType="begin"/>
      </w:r>
      <w:r>
        <w:rPr>
          <w:noProof/>
        </w:rPr>
        <w:instrText xml:space="preserve"> PAGEREF _Toc235613574 \h </w:instrText>
      </w:r>
      <w:r>
        <w:rPr>
          <w:noProof/>
        </w:rPr>
      </w:r>
      <w:r>
        <w:rPr>
          <w:noProof/>
        </w:rPr>
        <w:fldChar w:fldCharType="separate"/>
      </w:r>
      <w:r>
        <w:rPr>
          <w:noProof/>
        </w:rPr>
        <w:t>23</w:t>
      </w:r>
      <w:r>
        <w:rPr>
          <w:noProof/>
        </w:rPr>
        <w:fldChar w:fldCharType="end"/>
      </w:r>
    </w:p>
    <w:p w14:paraId="2D07118C" w14:textId="143A0CEA"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3.5.2.</w:t>
      </w:r>
      <w:r>
        <w:rPr>
          <w:rFonts w:eastAsiaTheme="minorEastAsia" w:cstheme="minorBidi"/>
          <w:noProof/>
          <w:color w:val="auto"/>
          <w:kern w:val="2"/>
          <w:sz w:val="24"/>
          <w:lang w:eastAsia="en-AU"/>
          <w14:ligatures w14:val="standardContextual"/>
        </w:rPr>
        <w:tab/>
      </w:r>
      <w:r>
        <w:rPr>
          <w:noProof/>
        </w:rPr>
        <w:t>Method 2—emissions of carbon dioxide from liquid fuels other than petroleum-based oils or greases</w:t>
      </w:r>
      <w:r>
        <w:rPr>
          <w:noProof/>
        </w:rPr>
        <w:tab/>
      </w:r>
      <w:r>
        <w:rPr>
          <w:noProof/>
        </w:rPr>
        <w:fldChar w:fldCharType="begin"/>
      </w:r>
      <w:r>
        <w:rPr>
          <w:noProof/>
        </w:rPr>
        <w:instrText xml:space="preserve"> PAGEREF _Toc235613575 \h </w:instrText>
      </w:r>
      <w:r>
        <w:rPr>
          <w:noProof/>
        </w:rPr>
      </w:r>
      <w:r>
        <w:rPr>
          <w:noProof/>
        </w:rPr>
        <w:fldChar w:fldCharType="separate"/>
      </w:r>
      <w:r>
        <w:rPr>
          <w:noProof/>
        </w:rPr>
        <w:t>24</w:t>
      </w:r>
      <w:r>
        <w:rPr>
          <w:noProof/>
        </w:rPr>
        <w:fldChar w:fldCharType="end"/>
      </w:r>
    </w:p>
    <w:p w14:paraId="0338F869" w14:textId="46A73CB0" w:rsidR="00BC7CA1" w:rsidRDefault="00BC7CA1">
      <w:pPr>
        <w:pStyle w:val="TOC4"/>
        <w:tabs>
          <w:tab w:val="left" w:pos="1680"/>
          <w:tab w:val="right" w:leader="dot" w:pos="9730"/>
        </w:tabs>
        <w:rPr>
          <w:rFonts w:eastAsiaTheme="minorEastAsia" w:cstheme="minorBidi"/>
          <w:noProof/>
          <w:color w:val="auto"/>
          <w:kern w:val="2"/>
          <w:sz w:val="24"/>
          <w:lang w:eastAsia="en-AU"/>
          <w14:ligatures w14:val="standardContextual"/>
        </w:rPr>
      </w:pPr>
      <w:r>
        <w:rPr>
          <w:noProof/>
        </w:rPr>
        <w:t>3.5.2.1.</w:t>
      </w:r>
      <w:r>
        <w:rPr>
          <w:rFonts w:eastAsiaTheme="minorEastAsia" w:cstheme="minorBidi"/>
          <w:noProof/>
          <w:color w:val="auto"/>
          <w:kern w:val="2"/>
          <w:sz w:val="24"/>
          <w:lang w:eastAsia="en-AU"/>
          <w14:ligatures w14:val="standardContextual"/>
        </w:rPr>
        <w:tab/>
      </w:r>
      <w:r>
        <w:rPr>
          <w:noProof/>
        </w:rPr>
        <w:t>Sampling and analysis</w:t>
      </w:r>
      <w:r>
        <w:rPr>
          <w:noProof/>
        </w:rPr>
        <w:tab/>
      </w:r>
      <w:r>
        <w:rPr>
          <w:noProof/>
        </w:rPr>
        <w:fldChar w:fldCharType="begin"/>
      </w:r>
      <w:r>
        <w:rPr>
          <w:noProof/>
        </w:rPr>
        <w:instrText xml:space="preserve"> PAGEREF _Toc235613576 \h </w:instrText>
      </w:r>
      <w:r>
        <w:rPr>
          <w:noProof/>
        </w:rPr>
      </w:r>
      <w:r>
        <w:rPr>
          <w:noProof/>
        </w:rPr>
        <w:fldChar w:fldCharType="separate"/>
      </w:r>
      <w:r>
        <w:rPr>
          <w:noProof/>
        </w:rPr>
        <w:t>24</w:t>
      </w:r>
      <w:r>
        <w:rPr>
          <w:noProof/>
        </w:rPr>
        <w:fldChar w:fldCharType="end"/>
      </w:r>
    </w:p>
    <w:p w14:paraId="3B9E91BC" w14:textId="7FEA8FEB"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3.5.3.</w:t>
      </w:r>
      <w:r>
        <w:rPr>
          <w:rFonts w:eastAsiaTheme="minorEastAsia" w:cstheme="minorBidi"/>
          <w:noProof/>
          <w:color w:val="auto"/>
          <w:kern w:val="2"/>
          <w:sz w:val="24"/>
          <w:lang w:eastAsia="en-AU"/>
          <w14:ligatures w14:val="standardContextual"/>
        </w:rPr>
        <w:tab/>
      </w:r>
      <w:r>
        <w:rPr>
          <w:noProof/>
        </w:rPr>
        <w:t>Method 3—emissions of carbon dioxide from liquid fuels other than petroleum-based oils or greases</w:t>
      </w:r>
      <w:r>
        <w:rPr>
          <w:noProof/>
        </w:rPr>
        <w:tab/>
      </w:r>
      <w:r>
        <w:rPr>
          <w:noProof/>
        </w:rPr>
        <w:fldChar w:fldCharType="begin"/>
      </w:r>
      <w:r>
        <w:rPr>
          <w:noProof/>
        </w:rPr>
        <w:instrText xml:space="preserve"> PAGEREF _Toc235613577 \h </w:instrText>
      </w:r>
      <w:r>
        <w:rPr>
          <w:noProof/>
        </w:rPr>
      </w:r>
      <w:r>
        <w:rPr>
          <w:noProof/>
        </w:rPr>
        <w:fldChar w:fldCharType="separate"/>
      </w:r>
      <w:r>
        <w:rPr>
          <w:noProof/>
        </w:rPr>
        <w:t>24</w:t>
      </w:r>
      <w:r>
        <w:rPr>
          <w:noProof/>
        </w:rPr>
        <w:fldChar w:fldCharType="end"/>
      </w:r>
    </w:p>
    <w:p w14:paraId="4D49BEFA" w14:textId="6E660864"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3.5.4.</w:t>
      </w:r>
      <w:r>
        <w:rPr>
          <w:rFonts w:eastAsiaTheme="minorEastAsia" w:cstheme="minorBidi"/>
          <w:noProof/>
          <w:color w:val="auto"/>
          <w:kern w:val="2"/>
          <w:sz w:val="24"/>
          <w:lang w:eastAsia="en-AU"/>
          <w14:ligatures w14:val="standardContextual"/>
        </w:rPr>
        <w:tab/>
      </w:r>
      <w:r>
        <w:rPr>
          <w:noProof/>
        </w:rPr>
        <w:t>Method 2—emissions of methane and nitrous oxide from liquid fuels other than petroleum-based oils or greases</w:t>
      </w:r>
      <w:r>
        <w:rPr>
          <w:noProof/>
        </w:rPr>
        <w:tab/>
      </w:r>
      <w:r>
        <w:rPr>
          <w:noProof/>
        </w:rPr>
        <w:fldChar w:fldCharType="begin"/>
      </w:r>
      <w:r>
        <w:rPr>
          <w:noProof/>
        </w:rPr>
        <w:instrText xml:space="preserve"> PAGEREF _Toc235613578 \h </w:instrText>
      </w:r>
      <w:r>
        <w:rPr>
          <w:noProof/>
        </w:rPr>
      </w:r>
      <w:r>
        <w:rPr>
          <w:noProof/>
        </w:rPr>
        <w:fldChar w:fldCharType="separate"/>
      </w:r>
      <w:r>
        <w:rPr>
          <w:noProof/>
        </w:rPr>
        <w:t>24</w:t>
      </w:r>
      <w:r>
        <w:rPr>
          <w:noProof/>
        </w:rPr>
        <w:fldChar w:fldCharType="end"/>
      </w:r>
    </w:p>
    <w:p w14:paraId="213059F5" w14:textId="1605A3BD" w:rsidR="00BC7CA1" w:rsidRDefault="00BC7CA1">
      <w:pPr>
        <w:pStyle w:val="TOC5"/>
        <w:tabs>
          <w:tab w:val="right" w:leader="dot" w:pos="9730"/>
        </w:tabs>
        <w:rPr>
          <w:rFonts w:eastAsiaTheme="minorEastAsia" w:cstheme="minorBidi"/>
          <w:noProof/>
          <w:color w:val="auto"/>
          <w:kern w:val="2"/>
          <w:sz w:val="24"/>
          <w:lang w:eastAsia="en-AU"/>
          <w14:ligatures w14:val="standardContextual"/>
        </w:rPr>
      </w:pPr>
      <w:r w:rsidRPr="0016180F">
        <w:rPr>
          <w:b/>
          <w:noProof/>
        </w:rPr>
        <w:lastRenderedPageBreak/>
        <w:t>Example 3</w:t>
      </w:r>
      <w:r>
        <w:rPr>
          <w:noProof/>
        </w:rPr>
        <w:tab/>
      </w:r>
      <w:r>
        <w:rPr>
          <w:noProof/>
        </w:rPr>
        <w:fldChar w:fldCharType="begin"/>
      </w:r>
      <w:r>
        <w:rPr>
          <w:noProof/>
        </w:rPr>
        <w:instrText xml:space="preserve"> PAGEREF _Toc235613579 \h </w:instrText>
      </w:r>
      <w:r>
        <w:rPr>
          <w:noProof/>
        </w:rPr>
      </w:r>
      <w:r>
        <w:rPr>
          <w:noProof/>
        </w:rPr>
        <w:fldChar w:fldCharType="separate"/>
      </w:r>
      <w:r>
        <w:rPr>
          <w:noProof/>
        </w:rPr>
        <w:t>25</w:t>
      </w:r>
      <w:r>
        <w:rPr>
          <w:noProof/>
        </w:rPr>
        <w:fldChar w:fldCharType="end"/>
      </w:r>
    </w:p>
    <w:p w14:paraId="56F7DD60" w14:textId="23393B84" w:rsidR="00BC7CA1" w:rsidRDefault="00BC7CA1">
      <w:pPr>
        <w:pStyle w:val="TOC3"/>
        <w:tabs>
          <w:tab w:val="left" w:pos="1200"/>
        </w:tabs>
        <w:rPr>
          <w:rFonts w:eastAsiaTheme="minorEastAsia" w:cstheme="minorBidi"/>
          <w:noProof/>
          <w:color w:val="auto"/>
          <w:kern w:val="2"/>
          <w:sz w:val="24"/>
          <w:lang w:eastAsia="en-AU"/>
          <w14:ligatures w14:val="standardContextual"/>
        </w:rPr>
      </w:pPr>
      <w:r>
        <w:rPr>
          <w:noProof/>
        </w:rPr>
        <w:t>3.5.5.</w:t>
      </w:r>
      <w:r>
        <w:rPr>
          <w:rFonts w:eastAsiaTheme="minorEastAsia" w:cstheme="minorBidi"/>
          <w:noProof/>
          <w:color w:val="auto"/>
          <w:kern w:val="2"/>
          <w:sz w:val="24"/>
          <w:lang w:eastAsia="en-AU"/>
          <w14:ligatures w14:val="standardContextual"/>
        </w:rPr>
        <w:tab/>
      </w:r>
      <w:r>
        <w:rPr>
          <w:noProof/>
        </w:rPr>
        <w:t>Methods for estimating emissions from petroleum-based oils when used as fuel</w:t>
      </w:r>
      <w:r>
        <w:rPr>
          <w:noProof/>
        </w:rPr>
        <w:tab/>
      </w:r>
      <w:r>
        <w:rPr>
          <w:noProof/>
        </w:rPr>
        <w:fldChar w:fldCharType="begin"/>
      </w:r>
      <w:r>
        <w:rPr>
          <w:noProof/>
        </w:rPr>
        <w:instrText xml:space="preserve"> PAGEREF _Toc235613580 \h </w:instrText>
      </w:r>
      <w:r>
        <w:rPr>
          <w:noProof/>
        </w:rPr>
      </w:r>
      <w:r>
        <w:rPr>
          <w:noProof/>
        </w:rPr>
        <w:fldChar w:fldCharType="separate"/>
      </w:r>
      <w:r>
        <w:rPr>
          <w:noProof/>
        </w:rPr>
        <w:t>26</w:t>
      </w:r>
      <w:r>
        <w:rPr>
          <w:noProof/>
        </w:rPr>
        <w:fldChar w:fldCharType="end"/>
      </w:r>
    </w:p>
    <w:p w14:paraId="7DF48FC0" w14:textId="36AD03FF"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3.6.</w:t>
      </w:r>
      <w:r>
        <w:rPr>
          <w:rFonts w:eastAsiaTheme="minorEastAsia" w:cstheme="minorBidi"/>
          <w:noProof/>
          <w:color w:val="auto"/>
          <w:kern w:val="2"/>
          <w:sz w:val="24"/>
          <w:lang w:eastAsia="en-AU"/>
          <w14:ligatures w14:val="standardContextual"/>
        </w:rPr>
        <w:tab/>
      </w:r>
      <w:r>
        <w:rPr>
          <w:noProof/>
        </w:rPr>
        <w:t>Amount of energy consumed in a cogeneration process</w:t>
      </w:r>
      <w:r>
        <w:rPr>
          <w:noProof/>
        </w:rPr>
        <w:tab/>
      </w:r>
      <w:r>
        <w:rPr>
          <w:noProof/>
        </w:rPr>
        <w:fldChar w:fldCharType="begin"/>
      </w:r>
      <w:r>
        <w:rPr>
          <w:noProof/>
        </w:rPr>
        <w:instrText xml:space="preserve"> PAGEREF _Toc235613581 \h </w:instrText>
      </w:r>
      <w:r>
        <w:rPr>
          <w:noProof/>
        </w:rPr>
      </w:r>
      <w:r>
        <w:rPr>
          <w:noProof/>
        </w:rPr>
        <w:fldChar w:fldCharType="separate"/>
      </w:r>
      <w:r>
        <w:rPr>
          <w:noProof/>
        </w:rPr>
        <w:t>27</w:t>
      </w:r>
      <w:r>
        <w:rPr>
          <w:noProof/>
        </w:rPr>
        <w:fldChar w:fldCharType="end"/>
      </w:r>
    </w:p>
    <w:p w14:paraId="2A3BBDD3" w14:textId="7331F1FF" w:rsidR="00BC7CA1" w:rsidRDefault="00BC7CA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3.7.</w:t>
      </w:r>
      <w:r>
        <w:rPr>
          <w:rFonts w:eastAsiaTheme="minorEastAsia" w:cstheme="minorBidi"/>
          <w:noProof/>
          <w:color w:val="auto"/>
          <w:kern w:val="2"/>
          <w:sz w:val="24"/>
          <w:lang w:eastAsia="en-AU"/>
          <w14:ligatures w14:val="standardContextual"/>
        </w:rPr>
        <w:tab/>
      </w:r>
      <w:r>
        <w:rPr>
          <w:noProof/>
        </w:rPr>
        <w:t>Apportionment of energy consumed for electricity, transport and for stationary energy</w:t>
      </w:r>
      <w:r>
        <w:rPr>
          <w:noProof/>
        </w:rPr>
        <w:tab/>
      </w:r>
      <w:r>
        <w:rPr>
          <w:noProof/>
        </w:rPr>
        <w:fldChar w:fldCharType="begin"/>
      </w:r>
      <w:r>
        <w:rPr>
          <w:noProof/>
        </w:rPr>
        <w:instrText xml:space="preserve"> PAGEREF _Toc235613582 \h </w:instrText>
      </w:r>
      <w:r>
        <w:rPr>
          <w:noProof/>
        </w:rPr>
      </w:r>
      <w:r>
        <w:rPr>
          <w:noProof/>
        </w:rPr>
        <w:fldChar w:fldCharType="separate"/>
      </w:r>
      <w:r>
        <w:rPr>
          <w:noProof/>
        </w:rPr>
        <w:t>27</w:t>
      </w:r>
      <w:r>
        <w:rPr>
          <w:noProof/>
        </w:rPr>
        <w:fldChar w:fldCharType="end"/>
      </w:r>
    </w:p>
    <w:p w14:paraId="50EE11E8" w14:textId="33514A7F" w:rsidR="00BC7CA1" w:rsidRDefault="00BC7CA1">
      <w:pPr>
        <w:pStyle w:val="TOC1"/>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Matters to be identified</w:t>
      </w:r>
      <w:r>
        <w:rPr>
          <w:noProof/>
        </w:rPr>
        <w:tab/>
      </w:r>
      <w:r>
        <w:rPr>
          <w:noProof/>
        </w:rPr>
        <w:fldChar w:fldCharType="begin"/>
      </w:r>
      <w:r>
        <w:rPr>
          <w:noProof/>
        </w:rPr>
        <w:instrText xml:space="preserve"> PAGEREF _Toc235613583 \h </w:instrText>
      </w:r>
      <w:r>
        <w:rPr>
          <w:noProof/>
        </w:rPr>
      </w:r>
      <w:r>
        <w:rPr>
          <w:noProof/>
        </w:rPr>
        <w:fldChar w:fldCharType="separate"/>
      </w:r>
      <w:r>
        <w:rPr>
          <w:noProof/>
        </w:rPr>
        <w:t>27</w:t>
      </w:r>
      <w:r>
        <w:rPr>
          <w:noProof/>
        </w:rPr>
        <w:fldChar w:fldCharType="end"/>
      </w:r>
    </w:p>
    <w:p w14:paraId="5831CB58" w14:textId="34408F66" w:rsidR="00BC7CA1" w:rsidRDefault="00BC7CA1">
      <w:pPr>
        <w:pStyle w:val="TOC1"/>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Uncertainty</w:t>
      </w:r>
      <w:r>
        <w:rPr>
          <w:noProof/>
        </w:rPr>
        <w:tab/>
      </w:r>
      <w:r>
        <w:rPr>
          <w:noProof/>
        </w:rPr>
        <w:fldChar w:fldCharType="begin"/>
      </w:r>
      <w:r>
        <w:rPr>
          <w:noProof/>
        </w:rPr>
        <w:instrText xml:space="preserve"> PAGEREF _Toc235613584 \h </w:instrText>
      </w:r>
      <w:r>
        <w:rPr>
          <w:noProof/>
        </w:rPr>
      </w:r>
      <w:r>
        <w:rPr>
          <w:noProof/>
        </w:rPr>
        <w:fldChar w:fldCharType="separate"/>
      </w:r>
      <w:r>
        <w:rPr>
          <w:noProof/>
        </w:rPr>
        <w:t>27</w:t>
      </w:r>
      <w:r>
        <w:rPr>
          <w:noProof/>
        </w:rPr>
        <w:fldChar w:fldCharType="end"/>
      </w:r>
    </w:p>
    <w:p w14:paraId="0952D58D" w14:textId="03DED68C" w:rsidR="00BC7CA1" w:rsidRDefault="00BC7CA1">
      <w:pPr>
        <w:pStyle w:val="TOC1"/>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More information and references</w:t>
      </w:r>
      <w:r>
        <w:rPr>
          <w:noProof/>
        </w:rPr>
        <w:tab/>
      </w:r>
      <w:r>
        <w:rPr>
          <w:noProof/>
        </w:rPr>
        <w:fldChar w:fldCharType="begin"/>
      </w:r>
      <w:r>
        <w:rPr>
          <w:noProof/>
        </w:rPr>
        <w:instrText xml:space="preserve"> PAGEREF _Toc235613585 \h </w:instrText>
      </w:r>
      <w:r>
        <w:rPr>
          <w:noProof/>
        </w:rPr>
      </w:r>
      <w:r>
        <w:rPr>
          <w:noProof/>
        </w:rPr>
        <w:fldChar w:fldCharType="separate"/>
      </w:r>
      <w:r>
        <w:rPr>
          <w:noProof/>
        </w:rPr>
        <w:t>28</w:t>
      </w:r>
      <w:r>
        <w:rPr>
          <w:noProof/>
        </w:rPr>
        <w:fldChar w:fldCharType="end"/>
      </w:r>
    </w:p>
    <w:p w14:paraId="49D728E3" w14:textId="2DADD5F6" w:rsidR="00BC7CA1" w:rsidRDefault="00BC7CA1">
      <w:pPr>
        <w:pStyle w:val="TOC2"/>
        <w:tabs>
          <w:tab w:val="right" w:leader="dot" w:pos="9730"/>
        </w:tabs>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_Toc235613586 \h </w:instrText>
      </w:r>
      <w:r>
        <w:rPr>
          <w:noProof/>
        </w:rPr>
      </w:r>
      <w:r>
        <w:rPr>
          <w:noProof/>
        </w:rPr>
        <w:fldChar w:fldCharType="separate"/>
      </w:r>
      <w:r>
        <w:rPr>
          <w:noProof/>
        </w:rPr>
        <w:t>28</w:t>
      </w:r>
      <w:r>
        <w:rPr>
          <w:noProof/>
        </w:rPr>
        <w:fldChar w:fldCharType="end"/>
      </w:r>
    </w:p>
    <w:p w14:paraId="5E485BD0" w14:textId="7751515E" w:rsidR="00BC7CA1" w:rsidRDefault="00BC7CA1">
      <w:pPr>
        <w:pStyle w:val="TOC2"/>
        <w:tabs>
          <w:tab w:val="right" w:leader="dot" w:pos="9730"/>
        </w:tabs>
        <w:rPr>
          <w:rFonts w:eastAsiaTheme="minorEastAsia" w:cstheme="minorBidi"/>
          <w:noProof/>
          <w:color w:val="auto"/>
          <w:kern w:val="2"/>
          <w:sz w:val="24"/>
          <w:lang w:eastAsia="en-AU"/>
          <w14:ligatures w14:val="standardContextual"/>
        </w:rPr>
      </w:pPr>
      <w:r>
        <w:rPr>
          <w:noProof/>
        </w:rPr>
        <w:t>References</w:t>
      </w:r>
      <w:r>
        <w:rPr>
          <w:noProof/>
        </w:rPr>
        <w:tab/>
      </w:r>
      <w:r>
        <w:rPr>
          <w:noProof/>
        </w:rPr>
        <w:fldChar w:fldCharType="begin"/>
      </w:r>
      <w:r>
        <w:rPr>
          <w:noProof/>
        </w:rPr>
        <w:instrText xml:space="preserve"> PAGEREF _Toc235613587 \h </w:instrText>
      </w:r>
      <w:r>
        <w:rPr>
          <w:noProof/>
        </w:rPr>
      </w:r>
      <w:r>
        <w:rPr>
          <w:noProof/>
        </w:rPr>
        <w:fldChar w:fldCharType="separate"/>
      </w:r>
      <w:r>
        <w:rPr>
          <w:noProof/>
        </w:rPr>
        <w:t>28</w:t>
      </w:r>
      <w:r>
        <w:rPr>
          <w:noProof/>
        </w:rPr>
        <w:fldChar w:fldCharType="end"/>
      </w:r>
    </w:p>
    <w:p w14:paraId="6DE689B6" w14:textId="18F7221E" w:rsidR="001C3815" w:rsidRDefault="00235142" w:rsidP="00A924CA">
      <w:pPr>
        <w:pStyle w:val="Heading1"/>
        <w:rPr>
          <w:lang w:val="en-GB"/>
        </w:rPr>
      </w:pPr>
      <w:r>
        <w:fldChar w:fldCharType="end"/>
      </w:r>
      <w:r>
        <w:br w:type="page"/>
      </w:r>
      <w:bookmarkStart w:id="6" w:name="_Toc76565684"/>
      <w:bookmarkStart w:id="7" w:name="_Toc235613546"/>
      <w:bookmarkEnd w:id="4"/>
      <w:bookmarkEnd w:id="5"/>
      <w:r w:rsidR="001C3815" w:rsidRPr="00CB5245">
        <w:rPr>
          <w:lang w:val="en-GB"/>
        </w:rPr>
        <w:lastRenderedPageBreak/>
        <w:t>Definitions and abbreviations</w:t>
      </w:r>
      <w:bookmarkEnd w:id="6"/>
      <w:bookmarkEnd w:id="7"/>
    </w:p>
    <w:tbl>
      <w:tblPr>
        <w:tblStyle w:val="CERTable"/>
        <w:tblW w:w="5000" w:type="pct"/>
        <w:tblLook w:val="04A0" w:firstRow="1" w:lastRow="0" w:firstColumn="1" w:lastColumn="0" w:noHBand="0" w:noVBand="1"/>
      </w:tblPr>
      <w:tblGrid>
        <w:gridCol w:w="2227"/>
        <w:gridCol w:w="7513"/>
      </w:tblGrid>
      <w:tr w:rsidR="001C3815" w14:paraId="7FC9CC2F" w14:textId="77777777" w:rsidTr="001966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43" w:type="pct"/>
            <w:hideMark/>
          </w:tcPr>
          <w:p w14:paraId="403E046D" w14:textId="77777777" w:rsidR="001C3815" w:rsidRPr="002F613A" w:rsidRDefault="001C3815" w:rsidP="001C3815">
            <w:pPr>
              <w:pStyle w:val="Body"/>
              <w:numPr>
                <w:ilvl w:val="0"/>
                <w:numId w:val="21"/>
              </w:numPr>
              <w:ind w:left="0"/>
              <w:rPr>
                <w:rFonts w:asciiTheme="minorHAnsi" w:hAnsiTheme="minorHAnsi" w:cs="Times New Roman"/>
                <w:color w:val="000000" w:themeColor="text1"/>
                <w:sz w:val="22"/>
                <w:szCs w:val="22"/>
              </w:rPr>
            </w:pPr>
            <w:r w:rsidRPr="002F613A">
              <w:rPr>
                <w:rFonts w:asciiTheme="minorHAnsi" w:hAnsiTheme="minorHAnsi"/>
                <w:color w:val="000000" w:themeColor="text1"/>
                <w:sz w:val="22"/>
                <w:szCs w:val="22"/>
              </w:rPr>
              <w:t>Term</w:t>
            </w:r>
          </w:p>
        </w:tc>
        <w:tc>
          <w:tcPr>
            <w:tcW w:w="3857" w:type="pct"/>
            <w:hideMark/>
          </w:tcPr>
          <w:p w14:paraId="263CA670" w14:textId="77777777" w:rsidR="001C3815" w:rsidRPr="002F613A" w:rsidRDefault="001C3815" w:rsidP="001C3815">
            <w:pPr>
              <w:pStyle w:val="Body"/>
              <w:numPr>
                <w:ilvl w:val="0"/>
                <w:numId w:val="21"/>
              </w:numPr>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themeColor="text1"/>
                <w:sz w:val="22"/>
                <w:szCs w:val="22"/>
              </w:rPr>
              <w:t>Meaning</w:t>
            </w:r>
          </w:p>
        </w:tc>
      </w:tr>
      <w:tr w:rsidR="001C3815" w14:paraId="6CBC53D7"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7BAB1B6F" w14:textId="77777777" w:rsidR="001C3815" w:rsidRPr="002F613A" w:rsidRDefault="001C3815" w:rsidP="001C3815">
            <w:pPr>
              <w:pStyle w:val="Body"/>
              <w:numPr>
                <w:ilvl w:val="0"/>
                <w:numId w:val="21"/>
              </w:numPr>
              <w:ind w:left="0"/>
              <w:rPr>
                <w:rFonts w:asciiTheme="minorHAnsi" w:hAnsiTheme="minorHAnsi"/>
                <w:b w:val="0"/>
                <w:color w:val="000000" w:themeColor="text1"/>
                <w:sz w:val="22"/>
                <w:szCs w:val="22"/>
              </w:rPr>
            </w:pPr>
            <w:r w:rsidRPr="002F613A">
              <w:rPr>
                <w:rFonts w:asciiTheme="minorHAnsi" w:hAnsiTheme="minorHAnsi"/>
                <w:color w:val="000000"/>
                <w:sz w:val="22"/>
                <w:szCs w:val="22"/>
              </w:rPr>
              <w:t>ANZSIC</w:t>
            </w:r>
          </w:p>
        </w:tc>
        <w:tc>
          <w:tcPr>
            <w:tcW w:w="3857" w:type="pct"/>
            <w:hideMark/>
          </w:tcPr>
          <w:p w14:paraId="6E4874F9" w14:textId="77777777"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Australian and New Zealand Standard Industrial Classification</w:t>
            </w:r>
          </w:p>
        </w:tc>
      </w:tr>
      <w:tr w:rsidR="001C3815" w14:paraId="0E029BDB"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0FE941CA"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proofErr w:type="spellStart"/>
            <w:r w:rsidRPr="002F613A">
              <w:rPr>
                <w:rFonts w:asciiTheme="minorHAnsi" w:hAnsiTheme="minorHAnsi"/>
                <w:color w:val="000000"/>
                <w:sz w:val="22"/>
                <w:szCs w:val="22"/>
              </w:rPr>
              <w:t>BoP</w:t>
            </w:r>
            <w:proofErr w:type="spellEnd"/>
          </w:p>
        </w:tc>
        <w:tc>
          <w:tcPr>
            <w:tcW w:w="3857" w:type="pct"/>
          </w:tcPr>
          <w:p w14:paraId="028D9E68"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Basis of preparation</w:t>
            </w:r>
          </w:p>
        </w:tc>
      </w:tr>
      <w:tr w:rsidR="001C3815" w14:paraId="6DC98BAB"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1521CA26" w14:textId="77777777" w:rsidR="001C3815" w:rsidRPr="002F613A" w:rsidRDefault="001C3815" w:rsidP="001C3815">
            <w:pPr>
              <w:pStyle w:val="Body"/>
              <w:numPr>
                <w:ilvl w:val="0"/>
                <w:numId w:val="21"/>
              </w:numPr>
              <w:ind w:left="0"/>
              <w:rPr>
                <w:rFonts w:asciiTheme="minorHAnsi" w:hAnsiTheme="minorHAnsi"/>
                <w:b w:val="0"/>
                <w:color w:val="000000" w:themeColor="text1"/>
                <w:sz w:val="22"/>
                <w:szCs w:val="22"/>
              </w:rPr>
            </w:pPr>
            <w:r w:rsidRPr="002F613A">
              <w:rPr>
                <w:rFonts w:asciiTheme="minorHAnsi" w:hAnsiTheme="minorHAnsi"/>
                <w:color w:val="000000"/>
                <w:sz w:val="22"/>
                <w:szCs w:val="22"/>
              </w:rPr>
              <w:t>CEM</w:t>
            </w:r>
          </w:p>
        </w:tc>
        <w:tc>
          <w:tcPr>
            <w:tcW w:w="3857" w:type="pct"/>
            <w:hideMark/>
          </w:tcPr>
          <w:p w14:paraId="4C54D704" w14:textId="3DE4A18B"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Continuous emission</w:t>
            </w:r>
            <w:r w:rsidR="002B3BFC">
              <w:rPr>
                <w:rFonts w:asciiTheme="minorHAnsi" w:hAnsiTheme="minorHAnsi"/>
                <w:color w:val="000000"/>
                <w:sz w:val="22"/>
                <w:szCs w:val="22"/>
              </w:rPr>
              <w:t>s</w:t>
            </w:r>
            <w:r w:rsidRPr="002F613A">
              <w:rPr>
                <w:rFonts w:asciiTheme="minorHAnsi" w:hAnsiTheme="minorHAnsi"/>
                <w:color w:val="000000"/>
                <w:sz w:val="22"/>
                <w:szCs w:val="22"/>
              </w:rPr>
              <w:t xml:space="preserve"> monitoring </w:t>
            </w:r>
          </w:p>
        </w:tc>
      </w:tr>
      <w:tr w:rsidR="001C3815" w14:paraId="4AAC83D7"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68000971"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CH</w:t>
            </w:r>
            <w:r w:rsidRPr="002F613A">
              <w:rPr>
                <w:rFonts w:asciiTheme="minorHAnsi" w:hAnsiTheme="minorHAnsi"/>
                <w:color w:val="000000"/>
                <w:sz w:val="22"/>
                <w:szCs w:val="22"/>
                <w:vertAlign w:val="subscript"/>
              </w:rPr>
              <w:t>4</w:t>
            </w:r>
          </w:p>
        </w:tc>
        <w:tc>
          <w:tcPr>
            <w:tcW w:w="3857" w:type="pct"/>
          </w:tcPr>
          <w:p w14:paraId="64772AA9"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Methane</w:t>
            </w:r>
          </w:p>
        </w:tc>
      </w:tr>
      <w:tr w:rsidR="001C3815" w14:paraId="0BE06F89"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574A9EE7"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CO</w:t>
            </w:r>
            <w:r w:rsidRPr="002F613A">
              <w:rPr>
                <w:rFonts w:asciiTheme="minorHAnsi" w:hAnsiTheme="minorHAnsi"/>
                <w:color w:val="000000"/>
                <w:sz w:val="22"/>
                <w:szCs w:val="22"/>
                <w:vertAlign w:val="subscript"/>
              </w:rPr>
              <w:t>2</w:t>
            </w:r>
          </w:p>
        </w:tc>
        <w:tc>
          <w:tcPr>
            <w:tcW w:w="3857" w:type="pct"/>
          </w:tcPr>
          <w:p w14:paraId="64BEEEEA" w14:textId="77777777"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Carbon dioxide</w:t>
            </w:r>
          </w:p>
        </w:tc>
      </w:tr>
      <w:tr w:rsidR="001C3815" w14:paraId="62810F94"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3C239D28"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CO</w:t>
            </w:r>
            <w:r w:rsidRPr="002F613A">
              <w:rPr>
                <w:rFonts w:asciiTheme="minorHAnsi" w:hAnsiTheme="minorHAnsi"/>
                <w:color w:val="000000"/>
                <w:sz w:val="22"/>
                <w:szCs w:val="22"/>
                <w:vertAlign w:val="subscript"/>
              </w:rPr>
              <w:t>2</w:t>
            </w:r>
            <w:r w:rsidRPr="002F613A">
              <w:rPr>
                <w:rFonts w:asciiTheme="minorHAnsi" w:hAnsiTheme="minorHAnsi"/>
                <w:color w:val="000000"/>
                <w:sz w:val="22"/>
                <w:szCs w:val="22"/>
              </w:rPr>
              <w:t>-e</w:t>
            </w:r>
          </w:p>
        </w:tc>
        <w:tc>
          <w:tcPr>
            <w:tcW w:w="3857" w:type="pct"/>
          </w:tcPr>
          <w:p w14:paraId="3D50DED3" w14:textId="0D654EED"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Carbon dioxide equivalence</w:t>
            </w:r>
          </w:p>
        </w:tc>
      </w:tr>
      <w:tr w:rsidR="001C3815" w14:paraId="1C0CEBB7"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0C3F932F"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Department</w:t>
            </w:r>
          </w:p>
        </w:tc>
        <w:tc>
          <w:tcPr>
            <w:tcW w:w="3857" w:type="pct"/>
          </w:tcPr>
          <w:p w14:paraId="7DFE338F" w14:textId="58020F61"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 xml:space="preserve">Department of </w:t>
            </w:r>
            <w:r>
              <w:rPr>
                <w:rFonts w:asciiTheme="minorHAnsi" w:hAnsiTheme="minorHAnsi"/>
                <w:color w:val="000000"/>
                <w:sz w:val="22"/>
                <w:szCs w:val="22"/>
              </w:rPr>
              <w:t xml:space="preserve">Climate Change, Energy, the Environment and </w:t>
            </w:r>
            <w:r w:rsidRPr="0024437A">
              <w:rPr>
                <w:rFonts w:asciiTheme="minorHAnsi" w:hAnsiTheme="minorHAnsi"/>
                <w:color w:val="000000"/>
                <w:sz w:val="22"/>
                <w:szCs w:val="22"/>
              </w:rPr>
              <w:t>Water</w:t>
            </w:r>
            <w:r>
              <w:rPr>
                <w:rFonts w:asciiTheme="minorHAnsi" w:hAnsiTheme="minorHAnsi"/>
                <w:color w:val="000000"/>
                <w:sz w:val="22"/>
                <w:szCs w:val="22"/>
              </w:rPr>
              <w:t xml:space="preserve"> </w:t>
            </w:r>
          </w:p>
        </w:tc>
      </w:tr>
      <w:tr w:rsidR="001C3815" w14:paraId="33D06DB4"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36BB7B36"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EO</w:t>
            </w:r>
          </w:p>
        </w:tc>
        <w:tc>
          <w:tcPr>
            <w:tcW w:w="3857" w:type="pct"/>
            <w:hideMark/>
          </w:tcPr>
          <w:p w14:paraId="51729524"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 xml:space="preserve">Executive officer </w:t>
            </w:r>
          </w:p>
        </w:tc>
      </w:tr>
      <w:tr w:rsidR="001C3815" w14:paraId="15B95880"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5E0D743F" w14:textId="77777777" w:rsidR="001C3815" w:rsidRPr="002F613A" w:rsidRDefault="001C3815" w:rsidP="001C38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GJ</w:t>
            </w:r>
          </w:p>
        </w:tc>
        <w:tc>
          <w:tcPr>
            <w:tcW w:w="3857" w:type="pct"/>
          </w:tcPr>
          <w:p w14:paraId="45317744" w14:textId="77777777"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G</w:t>
            </w:r>
            <w:r w:rsidRPr="00CD726F">
              <w:rPr>
                <w:rFonts w:asciiTheme="minorHAnsi" w:hAnsiTheme="minorHAnsi"/>
                <w:color w:val="000000"/>
                <w:sz w:val="22"/>
                <w:szCs w:val="22"/>
              </w:rPr>
              <w:t>igajoule</w:t>
            </w:r>
          </w:p>
        </w:tc>
      </w:tr>
      <w:tr w:rsidR="00581534" w14:paraId="2F24FE41"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6A2BA297" w14:textId="6386CD1B" w:rsidR="00581534" w:rsidRDefault="009B7A58" w:rsidP="001C38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Gross vehicle mass</w:t>
            </w:r>
          </w:p>
        </w:tc>
        <w:tc>
          <w:tcPr>
            <w:tcW w:w="3857" w:type="pct"/>
          </w:tcPr>
          <w:p w14:paraId="2709699A" w14:textId="167E764A" w:rsidR="00581534" w:rsidRDefault="009519D1"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T</w:t>
            </w:r>
            <w:r w:rsidR="00633B22">
              <w:rPr>
                <w:rFonts w:asciiTheme="minorHAnsi" w:hAnsiTheme="minorHAnsi"/>
                <w:color w:val="000000"/>
                <w:sz w:val="22"/>
                <w:szCs w:val="22"/>
              </w:rPr>
              <w:t>he</w:t>
            </w:r>
            <w:r w:rsidR="007D434B">
              <w:rPr>
                <w:rFonts w:asciiTheme="minorHAnsi" w:hAnsiTheme="minorHAnsi"/>
                <w:color w:val="000000"/>
                <w:sz w:val="22"/>
                <w:szCs w:val="22"/>
              </w:rPr>
              <w:t xml:space="preserve"> tare weight of the </w:t>
            </w:r>
            <w:r w:rsidR="00633B22">
              <w:rPr>
                <w:rFonts w:asciiTheme="minorHAnsi" w:hAnsiTheme="minorHAnsi"/>
                <w:color w:val="000000"/>
                <w:sz w:val="22"/>
                <w:szCs w:val="22"/>
              </w:rPr>
              <w:t>vehicle</w:t>
            </w:r>
            <w:r w:rsidR="007D434B">
              <w:rPr>
                <w:rFonts w:asciiTheme="minorHAnsi" w:hAnsiTheme="minorHAnsi"/>
                <w:color w:val="000000"/>
                <w:sz w:val="22"/>
                <w:szCs w:val="22"/>
              </w:rPr>
              <w:t xml:space="preserve"> plus its maximum carrying capacity</w:t>
            </w:r>
            <w:r w:rsidR="00317514">
              <w:rPr>
                <w:rFonts w:asciiTheme="minorHAnsi" w:hAnsiTheme="minorHAnsi"/>
                <w:color w:val="000000"/>
                <w:sz w:val="22"/>
                <w:szCs w:val="22"/>
              </w:rPr>
              <w:t>, excluding trailers.</w:t>
            </w:r>
          </w:p>
        </w:tc>
      </w:tr>
      <w:tr w:rsidR="00016F53" w14:paraId="3AB8B540"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0F87EABF" w14:textId="5FAB3E8F" w:rsidR="00016F53" w:rsidRDefault="00016F53" w:rsidP="001C38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Heavy duty vehicle</w:t>
            </w:r>
          </w:p>
        </w:tc>
        <w:tc>
          <w:tcPr>
            <w:tcW w:w="3857" w:type="pct"/>
          </w:tcPr>
          <w:p w14:paraId="6C45541C" w14:textId="53ACAA66" w:rsidR="00016F53" w:rsidRDefault="009519D1"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A</w:t>
            </w:r>
            <w:r w:rsidR="00016F53">
              <w:rPr>
                <w:rFonts w:asciiTheme="minorHAnsi" w:hAnsiTheme="minorHAnsi"/>
                <w:color w:val="000000"/>
                <w:sz w:val="22"/>
                <w:szCs w:val="22"/>
              </w:rPr>
              <w:t xml:space="preserve"> vehicle with a gross vehicle mass of more than 4.5 tonnes</w:t>
            </w:r>
            <w:r w:rsidR="00D36B1B">
              <w:rPr>
                <w:rFonts w:asciiTheme="minorHAnsi" w:hAnsiTheme="minorHAnsi"/>
                <w:color w:val="000000"/>
                <w:sz w:val="22"/>
                <w:szCs w:val="22"/>
              </w:rPr>
              <w:t>.</w:t>
            </w:r>
          </w:p>
        </w:tc>
      </w:tr>
      <w:tr w:rsidR="00E561D9" w14:paraId="7D9CD2BB"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5F845C0D" w14:textId="30E94D78" w:rsidR="00E561D9" w:rsidRDefault="0059657E" w:rsidP="001C38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Light duty vehicle</w:t>
            </w:r>
          </w:p>
        </w:tc>
        <w:tc>
          <w:tcPr>
            <w:tcW w:w="3857" w:type="pct"/>
          </w:tcPr>
          <w:p w14:paraId="73CC3F14" w14:textId="22B20CC2" w:rsidR="00E561D9" w:rsidRDefault="009519D1"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A</w:t>
            </w:r>
            <w:r w:rsidR="00812F34">
              <w:rPr>
                <w:rFonts w:asciiTheme="minorHAnsi" w:hAnsiTheme="minorHAnsi"/>
                <w:color w:val="000000"/>
                <w:sz w:val="22"/>
                <w:szCs w:val="22"/>
              </w:rPr>
              <w:t xml:space="preserve"> vehicle other than a </w:t>
            </w:r>
            <w:proofErr w:type="gramStart"/>
            <w:r w:rsidR="00016F53">
              <w:rPr>
                <w:rFonts w:asciiTheme="minorHAnsi" w:hAnsiTheme="minorHAnsi"/>
                <w:color w:val="000000"/>
                <w:sz w:val="22"/>
                <w:szCs w:val="22"/>
              </w:rPr>
              <w:t>heavy duty</w:t>
            </w:r>
            <w:proofErr w:type="gramEnd"/>
            <w:r w:rsidR="00016F53">
              <w:rPr>
                <w:rFonts w:asciiTheme="minorHAnsi" w:hAnsiTheme="minorHAnsi"/>
                <w:color w:val="000000"/>
                <w:sz w:val="22"/>
                <w:szCs w:val="22"/>
              </w:rPr>
              <w:t xml:space="preserve"> vehicle.</w:t>
            </w:r>
          </w:p>
        </w:tc>
      </w:tr>
      <w:tr w:rsidR="001C3815" w14:paraId="191C729F"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0284F674"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NA</w:t>
            </w:r>
          </w:p>
        </w:tc>
        <w:tc>
          <w:tcPr>
            <w:tcW w:w="3857" w:type="pct"/>
            <w:hideMark/>
          </w:tcPr>
          <w:p w14:paraId="41EF6C59" w14:textId="77777777"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Not available, referring to an emission calculation method</w:t>
            </w:r>
          </w:p>
        </w:tc>
      </w:tr>
      <w:tr w:rsidR="001C3815" w14:paraId="1A95A67C"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7365F189"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N</w:t>
            </w:r>
            <w:r w:rsidRPr="002F613A">
              <w:rPr>
                <w:rFonts w:asciiTheme="minorHAnsi" w:hAnsiTheme="minorHAnsi"/>
                <w:color w:val="000000"/>
                <w:sz w:val="22"/>
                <w:szCs w:val="22"/>
                <w:vertAlign w:val="subscript"/>
              </w:rPr>
              <w:t>2</w:t>
            </w:r>
            <w:r w:rsidRPr="002F613A">
              <w:rPr>
                <w:rFonts w:asciiTheme="minorHAnsi" w:hAnsiTheme="minorHAnsi"/>
                <w:color w:val="000000"/>
                <w:sz w:val="22"/>
                <w:szCs w:val="22"/>
              </w:rPr>
              <w:t>O</w:t>
            </w:r>
          </w:p>
        </w:tc>
        <w:tc>
          <w:tcPr>
            <w:tcW w:w="3857" w:type="pct"/>
          </w:tcPr>
          <w:p w14:paraId="28F00251"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2F613A">
              <w:rPr>
                <w:rFonts w:asciiTheme="minorHAnsi" w:hAnsiTheme="minorHAnsi"/>
                <w:color w:val="000000"/>
                <w:sz w:val="22"/>
                <w:szCs w:val="22"/>
              </w:rPr>
              <w:t>Nitrous oxide</w:t>
            </w:r>
          </w:p>
        </w:tc>
      </w:tr>
      <w:tr w:rsidR="001C3815" w14:paraId="2C8CC296"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7A209A57"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NGER</w:t>
            </w:r>
          </w:p>
        </w:tc>
        <w:tc>
          <w:tcPr>
            <w:tcW w:w="3857" w:type="pct"/>
            <w:hideMark/>
          </w:tcPr>
          <w:p w14:paraId="4FCDFDC1" w14:textId="77777777" w:rsidR="001C3815" w:rsidRPr="002F613A"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National Greenhouse and Energy Reporting</w:t>
            </w:r>
          </w:p>
        </w:tc>
      </w:tr>
      <w:tr w:rsidR="001C3815" w14:paraId="20D15B7E"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2F11B66E"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NGER Act</w:t>
            </w:r>
          </w:p>
        </w:tc>
        <w:tc>
          <w:tcPr>
            <w:tcW w:w="3857" w:type="pct"/>
            <w:hideMark/>
          </w:tcPr>
          <w:p w14:paraId="55906DCE"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i/>
                <w:color w:val="000000"/>
                <w:sz w:val="22"/>
                <w:szCs w:val="22"/>
              </w:rPr>
              <w:t>National Greenhouse and Energy Reporting Act 2007</w:t>
            </w:r>
          </w:p>
        </w:tc>
      </w:tr>
      <w:tr w:rsidR="001C3815" w14:paraId="1FB7068B"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1AAFBA95" w14:textId="77777777" w:rsidR="001C3815" w:rsidRPr="002F613A" w:rsidRDefault="001C3815" w:rsidP="001C3815">
            <w:pPr>
              <w:pStyle w:val="Body"/>
              <w:numPr>
                <w:ilvl w:val="0"/>
                <w:numId w:val="21"/>
              </w:numPr>
              <w:ind w:left="0"/>
              <w:rPr>
                <w:rFonts w:asciiTheme="minorHAnsi" w:hAnsiTheme="minorHAnsi"/>
                <w:b w:val="0"/>
                <w:color w:val="000000"/>
                <w:sz w:val="22"/>
                <w:szCs w:val="22"/>
              </w:rPr>
            </w:pPr>
            <w:r w:rsidRPr="002F613A">
              <w:rPr>
                <w:rFonts w:asciiTheme="minorHAnsi" w:hAnsiTheme="minorHAnsi"/>
                <w:color w:val="000000"/>
                <w:sz w:val="22"/>
                <w:szCs w:val="22"/>
              </w:rPr>
              <w:t>NGER Legislation</w:t>
            </w:r>
          </w:p>
        </w:tc>
        <w:tc>
          <w:tcPr>
            <w:tcW w:w="3857" w:type="pct"/>
          </w:tcPr>
          <w:p w14:paraId="62959662" w14:textId="77777777" w:rsidR="001C3815" w:rsidRPr="001F278E"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1F278E">
              <w:rPr>
                <w:rFonts w:asciiTheme="minorHAnsi" w:hAnsiTheme="minorHAnsi"/>
                <w:color w:val="000000"/>
                <w:sz w:val="22"/>
                <w:szCs w:val="22"/>
              </w:rPr>
              <w:t>The NGER Act, the NGER Regulations and the NGER Measurement Determination</w:t>
            </w:r>
          </w:p>
        </w:tc>
      </w:tr>
      <w:tr w:rsidR="001C3815" w14:paraId="391FE660"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4B82CD46"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NGER Measurement Determination</w:t>
            </w:r>
          </w:p>
        </w:tc>
        <w:tc>
          <w:tcPr>
            <w:tcW w:w="3857" w:type="pct"/>
            <w:hideMark/>
          </w:tcPr>
          <w:p w14:paraId="7409DAE8" w14:textId="77777777" w:rsidR="001C3815" w:rsidRPr="00C07131"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iCs/>
                <w:color w:val="000000" w:themeColor="text1"/>
                <w:sz w:val="22"/>
                <w:szCs w:val="22"/>
              </w:rPr>
            </w:pPr>
            <w:r w:rsidRPr="00F149D6">
              <w:rPr>
                <w:rFonts w:asciiTheme="minorHAnsi" w:hAnsiTheme="minorHAnsi"/>
                <w:iCs/>
                <w:color w:val="000000"/>
                <w:sz w:val="22"/>
                <w:szCs w:val="22"/>
              </w:rPr>
              <w:t>National Greenhouse and Energy Reporting (Measurement) Determination 2008</w:t>
            </w:r>
          </w:p>
        </w:tc>
      </w:tr>
      <w:tr w:rsidR="001C3815" w14:paraId="1F7A906E"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17D5C087"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NGER Regulations</w:t>
            </w:r>
          </w:p>
        </w:tc>
        <w:tc>
          <w:tcPr>
            <w:tcW w:w="3857" w:type="pct"/>
            <w:hideMark/>
          </w:tcPr>
          <w:p w14:paraId="7E47B1BD" w14:textId="77777777" w:rsidR="001C3815" w:rsidRPr="00C07131" w:rsidRDefault="001C3815" w:rsidP="001C38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iCs/>
                <w:color w:val="000000" w:themeColor="text1"/>
                <w:sz w:val="22"/>
                <w:szCs w:val="22"/>
              </w:rPr>
            </w:pPr>
            <w:r w:rsidRPr="00F149D6">
              <w:rPr>
                <w:rFonts w:asciiTheme="minorHAnsi" w:hAnsiTheme="minorHAnsi"/>
                <w:iCs/>
                <w:color w:val="000000"/>
                <w:sz w:val="22"/>
                <w:szCs w:val="22"/>
              </w:rPr>
              <w:t>National Greenhouse and Energy Reporting Regulations 2008</w:t>
            </w:r>
          </w:p>
        </w:tc>
      </w:tr>
      <w:tr w:rsidR="001C3815" w14:paraId="267BE30A"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hideMark/>
          </w:tcPr>
          <w:p w14:paraId="3C038DAC" w14:textId="77777777" w:rsidR="001C3815" w:rsidRPr="002F613A" w:rsidRDefault="001C3815" w:rsidP="001C3815">
            <w:pPr>
              <w:pStyle w:val="Body"/>
              <w:numPr>
                <w:ilvl w:val="0"/>
                <w:numId w:val="21"/>
              </w:numPr>
              <w:ind w:left="0"/>
              <w:rPr>
                <w:rFonts w:asciiTheme="minorHAnsi" w:hAnsiTheme="minorHAnsi" w:cs="Times New Roman"/>
                <w:b w:val="0"/>
                <w:color w:val="000000" w:themeColor="text1"/>
                <w:sz w:val="22"/>
                <w:szCs w:val="22"/>
              </w:rPr>
            </w:pPr>
            <w:r w:rsidRPr="002F613A">
              <w:rPr>
                <w:rFonts w:asciiTheme="minorHAnsi" w:hAnsiTheme="minorHAnsi"/>
                <w:color w:val="000000"/>
                <w:sz w:val="22"/>
                <w:szCs w:val="22"/>
              </w:rPr>
              <w:t>NO</w:t>
            </w:r>
          </w:p>
        </w:tc>
        <w:tc>
          <w:tcPr>
            <w:tcW w:w="3857" w:type="pct"/>
            <w:hideMark/>
          </w:tcPr>
          <w:p w14:paraId="6F5EE4C9" w14:textId="77777777" w:rsidR="001C3815" w:rsidRPr="002F613A" w:rsidRDefault="001C3815" w:rsidP="001C38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themeColor="text1"/>
                <w:sz w:val="22"/>
                <w:szCs w:val="22"/>
              </w:rPr>
            </w:pPr>
            <w:r w:rsidRPr="002F613A">
              <w:rPr>
                <w:rFonts w:asciiTheme="minorHAnsi" w:hAnsiTheme="minorHAnsi"/>
                <w:color w:val="000000"/>
                <w:sz w:val="22"/>
                <w:szCs w:val="22"/>
              </w:rPr>
              <w:t>Not occurring, referring to the emission of a greenhouse gas</w:t>
            </w:r>
          </w:p>
        </w:tc>
      </w:tr>
      <w:tr w:rsidR="0033229F" w14:paraId="000AB59A"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4C3523F4" w14:textId="4F8BE365" w:rsidR="0033229F" w:rsidRPr="002F613A" w:rsidRDefault="0033229F" w:rsidP="0033229F">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PEM</w:t>
            </w:r>
          </w:p>
        </w:tc>
        <w:tc>
          <w:tcPr>
            <w:tcW w:w="3857" w:type="pct"/>
          </w:tcPr>
          <w:p w14:paraId="2DB125FA" w14:textId="2AF080FA" w:rsidR="0033229F" w:rsidRPr="002F613A" w:rsidRDefault="0033229F" w:rsidP="0033229F">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Periodic emissions monitoring</w:t>
            </w:r>
          </w:p>
        </w:tc>
      </w:tr>
      <w:tr w:rsidR="00493215" w14:paraId="71B32DBF"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2F567472" w14:textId="1CC0BB4C" w:rsidR="00493215" w:rsidRDefault="00493215" w:rsidP="004932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Safeguard Mechanism</w:t>
            </w:r>
          </w:p>
        </w:tc>
        <w:tc>
          <w:tcPr>
            <w:tcW w:w="3857" w:type="pct"/>
          </w:tcPr>
          <w:p w14:paraId="22BE1833" w14:textId="2F5407F5" w:rsidR="00493215" w:rsidRDefault="00493215" w:rsidP="00493215">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The Australian Government’s mechanism to contribute to the achievement of Australia’s greenhouse gas emissions reduction targets. See </w:t>
            </w:r>
            <w:hyperlink r:id="rId22" w:tooltip="A link to the Safeguard Mechanism scheme page on the Clean Energy Regulator webpage" w:history="1">
              <w:r w:rsidRPr="00BF28DD">
                <w:rPr>
                  <w:rStyle w:val="Hyperlink"/>
                  <w:rFonts w:asciiTheme="minorHAnsi" w:hAnsiTheme="minorHAnsi"/>
                  <w:szCs w:val="22"/>
                </w:rPr>
                <w:t>the Safeguard Mechanism</w:t>
              </w:r>
            </w:hyperlink>
            <w:r>
              <w:rPr>
                <w:rFonts w:asciiTheme="minorHAnsi" w:hAnsiTheme="minorHAnsi"/>
                <w:color w:val="000000"/>
                <w:sz w:val="22"/>
                <w:szCs w:val="22"/>
              </w:rPr>
              <w:t xml:space="preserve"> for more information</w:t>
            </w:r>
            <w:r>
              <w:rPr>
                <w:rStyle w:val="FootnoteReference"/>
                <w:rFonts w:asciiTheme="minorHAnsi" w:hAnsiTheme="minorHAnsi"/>
                <w:color w:val="000000"/>
                <w:sz w:val="22"/>
                <w:szCs w:val="22"/>
              </w:rPr>
              <w:footnoteReference w:id="2"/>
            </w:r>
            <w:r>
              <w:rPr>
                <w:rFonts w:asciiTheme="minorHAnsi" w:hAnsiTheme="minorHAnsi"/>
                <w:color w:val="000000"/>
                <w:sz w:val="22"/>
                <w:szCs w:val="22"/>
              </w:rPr>
              <w:t>.</w:t>
            </w:r>
          </w:p>
        </w:tc>
      </w:tr>
      <w:tr w:rsidR="00493215" w14:paraId="49B793E3"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1F91C51A" w14:textId="2FC9C4C3" w:rsidR="00493215" w:rsidRDefault="00493215" w:rsidP="00493215">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lastRenderedPageBreak/>
              <w:t>Scope 1 emissions</w:t>
            </w:r>
          </w:p>
        </w:tc>
        <w:tc>
          <w:tcPr>
            <w:tcW w:w="3857" w:type="pct"/>
          </w:tcPr>
          <w:p w14:paraId="36432A39" w14:textId="52FC3C92" w:rsidR="00493215" w:rsidRDefault="00493215" w:rsidP="00493215">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Per 2.23 of the NGER Regulation</w:t>
            </w:r>
            <w:r w:rsidR="00163285">
              <w:rPr>
                <w:rFonts w:asciiTheme="minorHAnsi" w:hAnsiTheme="minorHAnsi"/>
                <w:color w:val="000000"/>
                <w:sz w:val="22"/>
                <w:szCs w:val="22"/>
              </w:rPr>
              <w:t>s</w:t>
            </w:r>
            <w:r>
              <w:rPr>
                <w:rFonts w:asciiTheme="minorHAnsi" w:hAnsiTheme="minorHAnsi"/>
                <w:color w:val="000000"/>
                <w:sz w:val="22"/>
                <w:szCs w:val="22"/>
              </w:rPr>
              <w:t>, means the release of greenhouse gas into the atmosphere as a direct result of an activity or series of activities (including ancillary activities) that constitute the facility</w:t>
            </w:r>
          </w:p>
        </w:tc>
      </w:tr>
      <w:tr w:rsidR="004D13A2" w14:paraId="1B2035EF"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74C00173" w14:textId="2A5B4C3F" w:rsidR="004D13A2" w:rsidRDefault="004D13A2" w:rsidP="004D13A2">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SNG</w:t>
            </w:r>
          </w:p>
        </w:tc>
        <w:tc>
          <w:tcPr>
            <w:tcW w:w="3857" w:type="pct"/>
          </w:tcPr>
          <w:p w14:paraId="0504904B" w14:textId="05C3E332" w:rsidR="004D13A2" w:rsidRDefault="004D13A2" w:rsidP="004D13A2">
            <w:pPr>
              <w:pStyle w:val="Body"/>
              <w:numPr>
                <w:ilvl w:val="0"/>
                <w:numId w:val="21"/>
              </w:numPr>
              <w:ind w:left="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Simulated natural gas </w:t>
            </w:r>
            <w:r w:rsidR="00FD3B44">
              <w:rPr>
                <w:rFonts w:asciiTheme="minorHAnsi" w:hAnsiTheme="minorHAnsi"/>
                <w:color w:val="000000"/>
                <w:sz w:val="22"/>
                <w:szCs w:val="22"/>
              </w:rPr>
              <w:t>(also known as</w:t>
            </w:r>
            <w:r w:rsidR="00DB11AE">
              <w:rPr>
                <w:rFonts w:asciiTheme="minorHAnsi" w:hAnsiTheme="minorHAnsi"/>
                <w:color w:val="000000"/>
                <w:sz w:val="22"/>
                <w:szCs w:val="22"/>
              </w:rPr>
              <w:t xml:space="preserve"> ‘synthetic natural gas’), </w:t>
            </w:r>
            <w:r>
              <w:rPr>
                <w:rFonts w:asciiTheme="minorHAnsi" w:hAnsiTheme="minorHAnsi"/>
                <w:color w:val="000000"/>
                <w:sz w:val="22"/>
                <w:szCs w:val="22"/>
              </w:rPr>
              <w:t>means a mixture of vapourised ‘liquefied petroleum gas’ and compressed air. Se</w:t>
            </w:r>
            <w:r w:rsidR="00BA4042">
              <w:rPr>
                <w:rFonts w:asciiTheme="minorHAnsi" w:hAnsiTheme="minorHAnsi"/>
                <w:color w:val="000000"/>
                <w:sz w:val="22"/>
                <w:szCs w:val="22"/>
              </w:rPr>
              <w:t>e</w:t>
            </w:r>
            <w:r w:rsidR="00BB079C">
              <w:rPr>
                <w:rFonts w:asciiTheme="minorHAnsi" w:hAnsiTheme="minorHAnsi"/>
                <w:color w:val="000000"/>
                <w:sz w:val="22"/>
                <w:szCs w:val="22"/>
              </w:rPr>
              <w:t xml:space="preserve"> </w:t>
            </w:r>
            <w:r w:rsidR="00BB079C">
              <w:rPr>
                <w:rFonts w:asciiTheme="minorHAnsi" w:hAnsiTheme="minorHAnsi"/>
                <w:color w:val="000000"/>
                <w:szCs w:val="22"/>
              </w:rPr>
              <w:t>the</w:t>
            </w:r>
            <w:r>
              <w:rPr>
                <w:rFonts w:asciiTheme="minorHAnsi" w:hAnsiTheme="minorHAnsi"/>
                <w:color w:val="000000"/>
                <w:sz w:val="22"/>
                <w:szCs w:val="22"/>
              </w:rPr>
              <w:t xml:space="preserve"> </w:t>
            </w:r>
            <w:hyperlink r:id="rId23" w:tooltip="A link to the Quick help topics page on the Clean Energy Regulator webpage" w:history="1">
              <w:r w:rsidR="00C155A1" w:rsidRPr="004871F7">
                <w:rPr>
                  <w:rStyle w:val="Hyperlink"/>
                  <w:color w:val="006C93"/>
                </w:rPr>
                <w:t>R</w:t>
              </w:r>
              <w:r w:rsidR="00BA4042">
                <w:rPr>
                  <w:rStyle w:val="Hyperlink"/>
                  <w:color w:val="006C93"/>
                </w:rPr>
                <w:t xml:space="preserve">eporting blended </w:t>
              </w:r>
              <w:r w:rsidR="00B74A49">
                <w:rPr>
                  <w:rStyle w:val="Hyperlink"/>
                  <w:color w:val="006C93"/>
                </w:rPr>
                <w:t>fuels, other fuel mixes, bitumen and explosives guideline</w:t>
              </w:r>
            </w:hyperlink>
            <w:r w:rsidR="00BB079C">
              <w:rPr>
                <w:rStyle w:val="FootnoteReference"/>
              </w:rPr>
              <w:footnoteReference w:id="3"/>
            </w:r>
            <w:r w:rsidRPr="004871F7">
              <w:rPr>
                <w:rFonts w:asciiTheme="minorHAnsi" w:hAnsiTheme="minorHAnsi"/>
                <w:sz w:val="22"/>
                <w:szCs w:val="22"/>
              </w:rPr>
              <w:t xml:space="preserve"> </w:t>
            </w:r>
            <w:r>
              <w:rPr>
                <w:rFonts w:asciiTheme="minorHAnsi" w:hAnsiTheme="minorHAnsi"/>
                <w:color w:val="000000"/>
                <w:sz w:val="22"/>
                <w:szCs w:val="22"/>
              </w:rPr>
              <w:t>for more information.</w:t>
            </w:r>
          </w:p>
        </w:tc>
      </w:tr>
      <w:tr w:rsidR="004D13A2" w14:paraId="29570A8F"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Pr>
          <w:p w14:paraId="487B48BA" w14:textId="0A8440BF" w:rsidR="004D13A2" w:rsidRDefault="004D13A2" w:rsidP="004D13A2">
            <w:pPr>
              <w:pStyle w:val="Body"/>
              <w:numPr>
                <w:ilvl w:val="0"/>
                <w:numId w:val="21"/>
              </w:numPr>
              <w:ind w:left="0"/>
              <w:rPr>
                <w:rFonts w:asciiTheme="minorHAnsi" w:hAnsiTheme="minorHAnsi"/>
                <w:color w:val="000000"/>
                <w:sz w:val="22"/>
                <w:szCs w:val="22"/>
              </w:rPr>
            </w:pPr>
            <w:r>
              <w:rPr>
                <w:rFonts w:asciiTheme="minorHAnsi" w:hAnsiTheme="minorHAnsi"/>
                <w:color w:val="000000"/>
                <w:sz w:val="22"/>
                <w:szCs w:val="22"/>
              </w:rPr>
              <w:t>t</w:t>
            </w:r>
          </w:p>
        </w:tc>
        <w:tc>
          <w:tcPr>
            <w:tcW w:w="3857" w:type="pct"/>
          </w:tcPr>
          <w:p w14:paraId="3CA1E18F" w14:textId="0EB48F32" w:rsidR="004D13A2" w:rsidRDefault="004D13A2" w:rsidP="004D13A2">
            <w:pPr>
              <w:pStyle w:val="Body"/>
              <w:numPr>
                <w:ilvl w:val="0"/>
                <w:numId w:val="21"/>
              </w:numPr>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Tonne</w:t>
            </w:r>
          </w:p>
        </w:tc>
      </w:tr>
    </w:tbl>
    <w:p w14:paraId="33BEEE37" w14:textId="77777777" w:rsidR="00016DDD" w:rsidRPr="00F8076C" w:rsidRDefault="00016DDD" w:rsidP="00016DDD">
      <w:pPr>
        <w:pStyle w:val="BodyText1"/>
      </w:pPr>
      <w:bookmarkStart w:id="8" w:name="_Toc508361542"/>
      <w:bookmarkStart w:id="9" w:name="_Toc508363218"/>
      <w:bookmarkStart w:id="10" w:name="_Toc508363372"/>
      <w:bookmarkStart w:id="11" w:name="_Toc508364161"/>
      <w:bookmarkStart w:id="12" w:name="_Toc509935565"/>
      <w:bookmarkStart w:id="13" w:name="_Toc43983101"/>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3EC57A43" w14:textId="2405D335" w:rsidR="00016DDD" w:rsidRPr="00F8076C" w:rsidRDefault="00016DDD" w:rsidP="00016DDD">
      <w:pPr>
        <w:pStyle w:val="BodyText1"/>
      </w:pPr>
      <w:r w:rsidRPr="00F8076C">
        <w:t xml:space="preserve">For more information on interpreting legislation see </w:t>
      </w:r>
      <w:hyperlink r:id="rId24"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4"/>
      </w:r>
      <w:r w:rsidRPr="00F8076C">
        <w:t>.</w:t>
      </w:r>
    </w:p>
    <w:p w14:paraId="3BB7E73C" w14:textId="77777777" w:rsidR="00BB491A" w:rsidRDefault="00BB491A" w:rsidP="00BB491A">
      <w:pPr>
        <w:spacing w:after="0"/>
        <w:rPr>
          <w:rFonts w:eastAsia="Times New Roman"/>
          <w:b/>
          <w:bCs/>
          <w:color w:val="005874"/>
          <w:kern w:val="32"/>
          <w:sz w:val="40"/>
        </w:rPr>
      </w:pPr>
      <w:r>
        <w:br w:type="page"/>
      </w:r>
    </w:p>
    <w:p w14:paraId="08BCD638" w14:textId="77777777" w:rsidR="001C3815" w:rsidRPr="002C556E" w:rsidRDefault="001C3815" w:rsidP="001C3815">
      <w:pPr>
        <w:pStyle w:val="Heading1"/>
        <w:rPr>
          <w:lang w:val="en-GB"/>
        </w:rPr>
      </w:pPr>
      <w:bookmarkStart w:id="14" w:name="_Toc76565685"/>
      <w:bookmarkStart w:id="15" w:name="_Toc235613547"/>
      <w:r w:rsidRPr="002C556E">
        <w:rPr>
          <w:lang w:val="en-GB"/>
        </w:rPr>
        <w:lastRenderedPageBreak/>
        <w:t>Disclaime</w:t>
      </w:r>
      <w:bookmarkEnd w:id="8"/>
      <w:bookmarkEnd w:id="9"/>
      <w:bookmarkEnd w:id="10"/>
      <w:bookmarkEnd w:id="11"/>
      <w:bookmarkEnd w:id="12"/>
      <w:r w:rsidRPr="002C556E">
        <w:rPr>
          <w:lang w:val="en-GB"/>
        </w:rPr>
        <w:t>r</w:t>
      </w:r>
      <w:bookmarkEnd w:id="13"/>
      <w:bookmarkEnd w:id="14"/>
      <w:bookmarkEnd w:id="15"/>
    </w:p>
    <w:p w14:paraId="4F72CCD4" w14:textId="38FCD6A5" w:rsidR="001C3815" w:rsidRPr="000B3301" w:rsidRDefault="001C3815" w:rsidP="00793B33">
      <w:pPr>
        <w:autoSpaceDE w:val="0"/>
        <w:autoSpaceDN w:val="0"/>
        <w:adjustRightInd w:val="0"/>
        <w:spacing w:after="0"/>
        <w:rPr>
          <w:lang w:eastAsia="en-AU"/>
        </w:rPr>
      </w:pPr>
      <w:bookmarkStart w:id="16" w:name="_Toc509935568"/>
      <w:r w:rsidRPr="000B3301">
        <w:rPr>
          <w:lang w:eastAsia="en-AU"/>
        </w:rPr>
        <w:t>This</w:t>
      </w:r>
      <w:r w:rsidRPr="000B3301">
        <w:rPr>
          <w:i/>
          <w:iCs/>
          <w:lang w:eastAsia="en-AU"/>
        </w:rPr>
        <w:t xml:space="preserve"> </w:t>
      </w:r>
      <w:r w:rsidRPr="000B3301">
        <w:rPr>
          <w:lang w:eastAsia="en-AU"/>
        </w:rPr>
        <w:t>guideline has been developed by the Clean Energy Regulator (</w:t>
      </w:r>
      <w:r w:rsidR="001E2090">
        <w:rPr>
          <w:lang w:eastAsia="en-AU"/>
        </w:rPr>
        <w:t>CER</w:t>
      </w:r>
      <w:r w:rsidRPr="000B3301">
        <w:rPr>
          <w:lang w:eastAsia="en-AU"/>
        </w:rPr>
        <w:t xml:space="preserve">) to assist entities to comply with their reporting obligations under the </w:t>
      </w:r>
      <w:hyperlink r:id="rId25"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7" w:name="_Ref105748531"/>
      <w:r w:rsidR="003B1144">
        <w:rPr>
          <w:rStyle w:val="FootnoteReference"/>
        </w:rPr>
        <w:footnoteReference w:id="5"/>
      </w:r>
      <w:bookmarkEnd w:id="17"/>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0228BA7C" w14:textId="77777777" w:rsidR="001C3815" w:rsidRPr="000B3301" w:rsidRDefault="001C3815" w:rsidP="00793B33">
      <w:pPr>
        <w:autoSpaceDE w:val="0"/>
        <w:autoSpaceDN w:val="0"/>
        <w:adjustRightInd w:val="0"/>
        <w:spacing w:after="0"/>
        <w:rPr>
          <w:lang w:eastAsia="en-AU"/>
        </w:rPr>
      </w:pPr>
    </w:p>
    <w:p w14:paraId="6F86D5E0" w14:textId="428D8536" w:rsidR="001C3815" w:rsidRPr="000B3301" w:rsidRDefault="001C3815" w:rsidP="00793B33">
      <w:pPr>
        <w:autoSpaceDE w:val="0"/>
        <w:autoSpaceDN w:val="0"/>
        <w:adjustRightInd w:val="0"/>
        <w:spacing w:after="0"/>
        <w:rPr>
          <w:lang w:eastAsia="en-AU"/>
        </w:rPr>
      </w:pPr>
      <w:r w:rsidRPr="004C131A">
        <w:rPr>
          <w:lang w:eastAsia="en-AU"/>
        </w:rPr>
        <w:t xml:space="preserve">This guideline only applies to the </w:t>
      </w:r>
      <w:r w:rsidR="00455364">
        <w:rPr>
          <w:lang w:eastAsia="en-AU"/>
        </w:rPr>
        <w:t>202</w:t>
      </w:r>
      <w:r w:rsidR="00D12FD4">
        <w:rPr>
          <w:lang w:eastAsia="en-AU"/>
        </w:rPr>
        <w:t>5</w:t>
      </w:r>
      <w:r w:rsidR="00A43FC2">
        <w:rPr>
          <w:lang w:eastAsia="en-AU"/>
        </w:rPr>
        <w:t>–</w:t>
      </w:r>
      <w:r w:rsidR="00455364">
        <w:rPr>
          <w:lang w:eastAsia="en-AU"/>
        </w:rPr>
        <w:t>2</w:t>
      </w:r>
      <w:r w:rsidR="00D12FD4">
        <w:rPr>
          <w:lang w:eastAsia="en-AU"/>
        </w:rPr>
        <w:t>6</w:t>
      </w:r>
      <w:r w:rsidRPr="004C131A">
        <w:rPr>
          <w:lang w:eastAsia="en-AU"/>
        </w:rPr>
        <w:t xml:space="preserve"> NGER reporting year and should be read in conjunction with the</w:t>
      </w:r>
      <w:r>
        <w:rPr>
          <w:lang w:eastAsia="en-AU"/>
        </w:rPr>
        <w:t xml:space="preserve"> </w:t>
      </w:r>
      <w:r w:rsidRPr="004C131A">
        <w:rPr>
          <w:lang w:eastAsia="en-AU"/>
        </w:rPr>
        <w:t xml:space="preserve">NGER </w:t>
      </w:r>
      <w:r w:rsidRPr="00D41EB0">
        <w:rPr>
          <w:lang w:eastAsia="en-AU"/>
        </w:rPr>
        <w:t xml:space="preserve">Act, </w:t>
      </w:r>
      <w:hyperlink r:id="rId26" w:tooltip="Link to the National Greenhouse and Energy regulations on the Australian Government Federal Register of Legislation" w:history="1">
        <w:r w:rsidRPr="00D41EB0">
          <w:rPr>
            <w:rStyle w:val="Hyperlink"/>
            <w:lang w:eastAsia="en-AU"/>
          </w:rPr>
          <w:t>National Greenhouse and Energy Regulations 2008</w:t>
        </w:r>
      </w:hyperlink>
      <w:r w:rsidR="00B9001D">
        <w:rPr>
          <w:rStyle w:val="FootnoteReference"/>
        </w:rPr>
        <w:footnoteReference w:id="6"/>
      </w:r>
      <w:r w:rsidRPr="00D41EB0">
        <w:rPr>
          <w:color w:val="000000"/>
          <w:lang w:eastAsia="en-AU"/>
        </w:rPr>
        <w:t xml:space="preserve"> (</w:t>
      </w:r>
      <w:r w:rsidRPr="00D41EB0">
        <w:rPr>
          <w:lang w:eastAsia="en-AU"/>
        </w:rPr>
        <w:t xml:space="preserve">NGER Regulations), and </w:t>
      </w:r>
      <w:hyperlink r:id="rId27" w:tooltip="Link to the National Greenhouse and Energy Reporting Measurement Determination on the Australian Government Federal Register of Legislation" w:history="1">
        <w:r w:rsidRPr="00D41EB0">
          <w:rPr>
            <w:rStyle w:val="Hyperlink"/>
            <w:lang w:eastAsia="en-AU"/>
          </w:rPr>
          <w:t>National Greenhouse and Energy Reporting (Measurement) Determination 2008</w:t>
        </w:r>
      </w:hyperlink>
      <w:r w:rsidR="00B9001D">
        <w:rPr>
          <w:rStyle w:val="FootnoteReference"/>
        </w:rPr>
        <w:footnoteReference w:id="7"/>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22C7E060" w14:textId="77777777" w:rsidR="001C3815" w:rsidRPr="000B3301" w:rsidRDefault="001C3815" w:rsidP="00793B33">
      <w:pPr>
        <w:autoSpaceDE w:val="0"/>
        <w:autoSpaceDN w:val="0"/>
        <w:adjustRightInd w:val="0"/>
        <w:spacing w:after="0"/>
        <w:rPr>
          <w:lang w:eastAsia="en-AU"/>
        </w:rPr>
      </w:pPr>
    </w:p>
    <w:p w14:paraId="68F77FF0" w14:textId="654AF9F7" w:rsidR="001C3815" w:rsidRPr="000B3301" w:rsidRDefault="001C3815" w:rsidP="00793B33">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8" w:tooltip="A link to National Greenhouse and Energy Reporting scheme page on the Clean Energy Regulator webpage" w:history="1">
        <w:r w:rsidRPr="00452C2E">
          <w:rPr>
            <w:rStyle w:val="Hyperlink"/>
            <w:lang w:eastAsia="en-AU"/>
          </w:rPr>
          <w:t xml:space="preserve">National Greenhouse and Energy Reporting (NGER) </w:t>
        </w:r>
        <w:r w:rsidR="00455364">
          <w:rPr>
            <w:rStyle w:val="Hyperlink"/>
            <w:lang w:eastAsia="en-AU"/>
          </w:rPr>
          <w:t>S</w:t>
        </w:r>
        <w:r w:rsidRPr="00452C2E">
          <w:rPr>
            <w:rStyle w:val="Hyperlink"/>
            <w:lang w:eastAsia="en-AU"/>
          </w:rPr>
          <w:t>cheme</w:t>
        </w:r>
      </w:hyperlink>
      <w:r>
        <w:rPr>
          <w:rStyle w:val="FootnoteReference"/>
          <w:lang w:eastAsia="en-AU"/>
        </w:rPr>
        <w:footnoteReference w:id="8"/>
      </w:r>
      <w:r w:rsidRPr="000B3301">
        <w:rPr>
          <w:lang w:eastAsia="en-AU"/>
        </w:rPr>
        <w:t xml:space="preserve"> at all times. </w:t>
      </w:r>
      <w:r w:rsidR="004966E7">
        <w:rPr>
          <w:lang w:eastAsia="en-AU"/>
        </w:rPr>
        <w:t xml:space="preserve">The </w:t>
      </w:r>
      <w:r w:rsidR="001E2090">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7755FF" w:rsidRPr="000B3301">
        <w:rPr>
          <w:lang w:eastAsia="en-AU"/>
        </w:rPr>
        <w:t>based on</w:t>
      </w:r>
      <w:r w:rsidRPr="000B3301">
        <w:rPr>
          <w:lang w:eastAsia="en-AU"/>
        </w:rPr>
        <w:t xml:space="preserve"> this </w:t>
      </w:r>
      <w:r>
        <w:rPr>
          <w:lang w:eastAsia="en-AU"/>
        </w:rPr>
        <w:t>guidance</w:t>
      </w:r>
      <w:r w:rsidRPr="000B3301">
        <w:rPr>
          <w:lang w:eastAsia="en-AU"/>
        </w:rPr>
        <w:t>.</w:t>
      </w:r>
    </w:p>
    <w:p w14:paraId="79F41BCF" w14:textId="77777777" w:rsidR="001C3815" w:rsidRPr="000B3301" w:rsidRDefault="001C3815" w:rsidP="00793B33">
      <w:pPr>
        <w:autoSpaceDE w:val="0"/>
        <w:autoSpaceDN w:val="0"/>
        <w:adjustRightInd w:val="0"/>
        <w:spacing w:after="0"/>
        <w:rPr>
          <w:lang w:eastAsia="en-AU"/>
        </w:rPr>
      </w:pPr>
    </w:p>
    <w:p w14:paraId="24DBDD8B" w14:textId="5654DAE0" w:rsidR="001C3815" w:rsidRPr="000B3301" w:rsidRDefault="004966E7" w:rsidP="00793B33">
      <w:pPr>
        <w:autoSpaceDE w:val="0"/>
        <w:autoSpaceDN w:val="0"/>
        <w:adjustRightInd w:val="0"/>
        <w:spacing w:after="0"/>
        <w:rPr>
          <w:lang w:eastAsia="en-AU"/>
        </w:rPr>
      </w:pPr>
      <w:r>
        <w:rPr>
          <w:lang w:eastAsia="en-AU"/>
        </w:rPr>
        <w:t xml:space="preserve">The </w:t>
      </w:r>
      <w:r w:rsidR="001E2090">
        <w:rPr>
          <w:lang w:eastAsia="en-AU"/>
        </w:rPr>
        <w:t>CER</w:t>
      </w:r>
      <w:r w:rsidR="001C3815" w:rsidRPr="000B3301">
        <w:rPr>
          <w:lang w:eastAsia="en-AU"/>
        </w:rPr>
        <w:t xml:space="preserve"> and the Australian Government will not be liable for any loss or damage from any cause (including negligence) whether arising directly, </w:t>
      </w:r>
      <w:r w:rsidR="007755FF" w:rsidRPr="000B3301">
        <w:rPr>
          <w:lang w:eastAsia="en-AU"/>
        </w:rPr>
        <w:t>incidentally,</w:t>
      </w:r>
      <w:r w:rsidR="001C3815" w:rsidRPr="000B3301">
        <w:rPr>
          <w:lang w:eastAsia="en-AU"/>
        </w:rPr>
        <w:t xml:space="preserve"> or as consequential loss, out of or in connection with, any use of this guideline or reliance on it, for any purpose.</w:t>
      </w:r>
    </w:p>
    <w:p w14:paraId="21CEF564" w14:textId="77777777" w:rsidR="001C3815" w:rsidRPr="000B3301" w:rsidRDefault="001C3815" w:rsidP="00793B33">
      <w:pPr>
        <w:autoSpaceDE w:val="0"/>
        <w:autoSpaceDN w:val="0"/>
        <w:adjustRightInd w:val="0"/>
        <w:spacing w:after="0"/>
        <w:rPr>
          <w:lang w:eastAsia="en-AU"/>
        </w:rPr>
      </w:pPr>
    </w:p>
    <w:p w14:paraId="29918BA1" w14:textId="59AE4D50" w:rsidR="001C3815" w:rsidRDefault="001C3815" w:rsidP="001C3815">
      <w:pPr>
        <w:spacing w:after="0"/>
        <w:rPr>
          <w:rFonts w:ascii="Calibri" w:hAnsi="Calibri" w:cs="Calibri"/>
          <w:szCs w:val="22"/>
          <w:lang w:eastAsia="en-AU"/>
        </w:rPr>
      </w:pPr>
      <w:r w:rsidRPr="000B3301">
        <w:rPr>
          <w:lang w:eastAsia="en-AU"/>
        </w:rPr>
        <w:t xml:space="preserve">If an entity chooses to meet their obligations under the NGER </w:t>
      </w:r>
      <w:r w:rsidR="007D5D2F">
        <w:rPr>
          <w:lang w:eastAsia="en-AU"/>
        </w:rPr>
        <w:t>S</w:t>
      </w:r>
      <w:r w:rsidRPr="000B3301">
        <w:rPr>
          <w:lang w:eastAsia="en-AU"/>
        </w:rPr>
        <w:t xml:space="preserve">cheme in a manner that is inconsistent with the guidance provided in this document, </w:t>
      </w:r>
      <w:r w:rsidR="004966E7">
        <w:rPr>
          <w:lang w:eastAsia="en-AU"/>
        </w:rPr>
        <w:t xml:space="preserve">the </w:t>
      </w:r>
      <w:r w:rsidR="001E2090">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4FA67176" w14:textId="77777777" w:rsidR="001C3815" w:rsidRDefault="001C3815" w:rsidP="001C3815">
      <w:pPr>
        <w:spacing w:after="0"/>
        <w:rPr>
          <w:rFonts w:eastAsia="Times New Roman"/>
          <w:b/>
          <w:bCs/>
          <w:color w:val="005874"/>
          <w:kern w:val="32"/>
          <w:sz w:val="40"/>
        </w:rPr>
      </w:pPr>
      <w:r>
        <w:br w:type="page"/>
      </w:r>
    </w:p>
    <w:p w14:paraId="3F5B8AC4" w14:textId="6CD5625C" w:rsidR="001C3815" w:rsidRPr="00FA7635" w:rsidRDefault="00455364" w:rsidP="001C3815">
      <w:pPr>
        <w:pStyle w:val="Heading1"/>
      </w:pPr>
      <w:bookmarkStart w:id="18" w:name="_Toc235613548"/>
      <w:r>
        <w:lastRenderedPageBreak/>
        <w:t>202</w:t>
      </w:r>
      <w:r w:rsidR="00D12FD4">
        <w:t>5</w:t>
      </w:r>
      <w:r>
        <w:t>–2</w:t>
      </w:r>
      <w:r w:rsidR="00D12FD4">
        <w:t>6</w:t>
      </w:r>
      <w:r w:rsidR="001C3815">
        <w:t xml:space="preserve"> updates</w:t>
      </w:r>
      <w:bookmarkEnd w:id="18"/>
    </w:p>
    <w:p w14:paraId="35E7654F" w14:textId="59D46332" w:rsidR="001C3815" w:rsidRDefault="001C3815" w:rsidP="001C3815">
      <w:r>
        <w:t xml:space="preserve">Changes in this document for the </w:t>
      </w:r>
      <w:r w:rsidR="00455364">
        <w:t>202</w:t>
      </w:r>
      <w:r w:rsidR="00D12FD4">
        <w:t>5</w:t>
      </w:r>
      <w:r w:rsidR="00455364">
        <w:t>–2</w:t>
      </w:r>
      <w:r w:rsidR="00D12FD4">
        <w:t>6</w:t>
      </w:r>
      <w:r>
        <w:t xml:space="preserve"> reporting year:</w:t>
      </w:r>
    </w:p>
    <w:p w14:paraId="42AF1F78" w14:textId="653C4049" w:rsidR="00014C46" w:rsidRDefault="00027A9C" w:rsidP="002671C4">
      <w:pPr>
        <w:pStyle w:val="CERbullets"/>
        <w:rPr>
          <w:lang w:eastAsia="en-AU"/>
        </w:rPr>
      </w:pPr>
      <w:r>
        <w:rPr>
          <w:rStyle w:val="scxw121805585"/>
          <w:rFonts w:ascii="Calibri" w:hAnsi="Calibri" w:cs="Calibri"/>
          <w:szCs w:val="22"/>
        </w:rPr>
        <w:t xml:space="preserve">Definitions and abbreviations </w:t>
      </w:r>
      <w:r w:rsidR="001F035C">
        <w:rPr>
          <w:lang w:eastAsia="en-AU"/>
        </w:rPr>
        <w:t xml:space="preserve">– </w:t>
      </w:r>
      <w:r w:rsidR="001053A7">
        <w:rPr>
          <w:lang w:eastAsia="en-AU"/>
        </w:rPr>
        <w:t>ame</w:t>
      </w:r>
      <w:r w:rsidR="009A2182">
        <w:rPr>
          <w:lang w:eastAsia="en-AU"/>
        </w:rPr>
        <w:t>nded</w:t>
      </w:r>
      <w:r w:rsidR="001053A7">
        <w:rPr>
          <w:lang w:eastAsia="en-AU"/>
        </w:rPr>
        <w:t xml:space="preserve"> </w:t>
      </w:r>
      <w:r w:rsidR="00A96DE2">
        <w:rPr>
          <w:lang w:eastAsia="en-AU"/>
        </w:rPr>
        <w:t xml:space="preserve">definitions for </w:t>
      </w:r>
      <w:r w:rsidR="000D5090">
        <w:rPr>
          <w:lang w:eastAsia="en-AU"/>
        </w:rPr>
        <w:t>gross vehicle mass, heavy duty vehicle, and light duty vehicle</w:t>
      </w:r>
      <w:r w:rsidR="00B3152A">
        <w:rPr>
          <w:lang w:eastAsia="en-AU"/>
        </w:rPr>
        <w:t>.</w:t>
      </w:r>
    </w:p>
    <w:p w14:paraId="4F807D27" w14:textId="3DAA4427" w:rsidR="006E0542" w:rsidRDefault="00C06A90" w:rsidP="002671C4">
      <w:pPr>
        <w:pStyle w:val="CERbullets"/>
        <w:rPr>
          <w:lang w:eastAsia="en-AU"/>
        </w:rPr>
      </w:pPr>
      <w:r>
        <w:rPr>
          <w:lang w:eastAsia="en-AU"/>
        </w:rPr>
        <w:t>Chapter</w:t>
      </w:r>
      <w:r w:rsidR="003A3816">
        <w:rPr>
          <w:lang w:eastAsia="en-AU"/>
        </w:rPr>
        <w:t>3.</w:t>
      </w:r>
      <w:r w:rsidR="00EC50D1">
        <w:rPr>
          <w:lang w:eastAsia="en-AU"/>
        </w:rPr>
        <w:t>2</w:t>
      </w:r>
      <w:r w:rsidR="006E0542">
        <w:rPr>
          <w:lang w:eastAsia="en-AU"/>
        </w:rPr>
        <w:t xml:space="preserve"> – add</w:t>
      </w:r>
      <w:r w:rsidR="00721F7A">
        <w:rPr>
          <w:lang w:eastAsia="en-AU"/>
        </w:rPr>
        <w:t>ed</w:t>
      </w:r>
      <w:r w:rsidR="005E0D29">
        <w:rPr>
          <w:lang w:eastAsia="en-AU"/>
        </w:rPr>
        <w:t xml:space="preserve"> </w:t>
      </w:r>
      <w:r w:rsidR="00E15719">
        <w:rPr>
          <w:lang w:eastAsia="en-AU"/>
        </w:rPr>
        <w:t xml:space="preserve">requirements for determining quantities of fuel consumed, including </w:t>
      </w:r>
      <w:r w:rsidR="00851564">
        <w:rPr>
          <w:lang w:eastAsia="en-AU"/>
        </w:rPr>
        <w:t xml:space="preserve">for </w:t>
      </w:r>
      <w:r w:rsidR="00E15719">
        <w:rPr>
          <w:lang w:eastAsia="en-AU"/>
        </w:rPr>
        <w:t>blended fuels.</w:t>
      </w:r>
    </w:p>
    <w:p w14:paraId="66573D0B" w14:textId="1B44A44E" w:rsidR="00A410EC" w:rsidRDefault="005B70FA" w:rsidP="002671C4">
      <w:pPr>
        <w:pStyle w:val="CERbullets"/>
        <w:rPr>
          <w:lang w:eastAsia="en-AU"/>
        </w:rPr>
      </w:pPr>
      <w:r>
        <w:rPr>
          <w:lang w:eastAsia="en-AU"/>
        </w:rPr>
        <w:t xml:space="preserve">Chapter 4 </w:t>
      </w:r>
      <w:r w:rsidR="00A410EC">
        <w:rPr>
          <w:lang w:eastAsia="en-AU"/>
        </w:rPr>
        <w:t xml:space="preserve">– added </w:t>
      </w:r>
      <w:r w:rsidR="000B5C5F">
        <w:rPr>
          <w:lang w:eastAsia="en-AU"/>
        </w:rPr>
        <w:t xml:space="preserve">requirements of </w:t>
      </w:r>
      <w:r w:rsidR="00B46F80">
        <w:rPr>
          <w:lang w:eastAsia="en-AU"/>
        </w:rPr>
        <w:t>MTBI</w:t>
      </w:r>
      <w:r w:rsidR="00CC1703">
        <w:rPr>
          <w:lang w:eastAsia="en-AU"/>
        </w:rPr>
        <w:t xml:space="preserve">s </w:t>
      </w:r>
      <w:r w:rsidR="000B5C5F">
        <w:rPr>
          <w:lang w:eastAsia="en-AU"/>
        </w:rPr>
        <w:t xml:space="preserve">for </w:t>
      </w:r>
      <w:r w:rsidR="00FC7476">
        <w:rPr>
          <w:lang w:eastAsia="en-AU"/>
        </w:rPr>
        <w:t>blended fuels</w:t>
      </w:r>
      <w:r w:rsidR="000B5C5F">
        <w:rPr>
          <w:lang w:eastAsia="en-AU"/>
        </w:rPr>
        <w:t>.</w:t>
      </w:r>
    </w:p>
    <w:p w14:paraId="60B3E39A" w14:textId="179EEAA6" w:rsidR="00217660" w:rsidRDefault="00217660" w:rsidP="00217660">
      <w:pPr>
        <w:pStyle w:val="CERbullets"/>
        <w:rPr>
          <w:lang w:eastAsia="en-AU"/>
        </w:rPr>
      </w:pPr>
      <w:r w:rsidRPr="00411ECB">
        <w:rPr>
          <w:lang w:eastAsia="en-AU"/>
        </w:rPr>
        <w:t xml:space="preserve">Minor stylistic and formatting changes have </w:t>
      </w:r>
      <w:r w:rsidR="00C06A90">
        <w:rPr>
          <w:lang w:eastAsia="en-AU"/>
        </w:rPr>
        <w:t xml:space="preserve">also </w:t>
      </w:r>
      <w:r w:rsidRPr="00411ECB">
        <w:rPr>
          <w:lang w:eastAsia="en-AU"/>
        </w:rPr>
        <w:t>been made to this document</w:t>
      </w:r>
      <w:r>
        <w:rPr>
          <w:lang w:eastAsia="en-AU"/>
        </w:rPr>
        <w:t>.</w:t>
      </w:r>
      <w:r w:rsidRPr="00411ECB">
        <w:rPr>
          <w:lang w:eastAsia="en-AU"/>
        </w:rPr>
        <w:t> </w:t>
      </w:r>
    </w:p>
    <w:p w14:paraId="6F9D4A17" w14:textId="2591D252" w:rsidR="006C7477" w:rsidRPr="00D23E5F" w:rsidRDefault="00EB6200" w:rsidP="00906484">
      <w:pPr>
        <w:rPr>
          <w:lang w:eastAsia="en-AU"/>
        </w:rPr>
      </w:pPr>
      <w:r w:rsidRPr="00411ECB">
        <w:rPr>
          <w:lang w:eastAsia="en-AU"/>
        </w:rPr>
        <w:t xml:space="preserve">Read about the </w:t>
      </w:r>
      <w:hyperlink r:id="rId29" w:tooltip="A link to the 2024-25 NGER legislation changes section on the Clean Energy Regulator webpage" w:history="1">
        <w:r w:rsidR="004F4464" w:rsidRPr="00411ECB">
          <w:rPr>
            <w:color w:val="006C93"/>
            <w:u w:val="single"/>
            <w:lang w:eastAsia="en-AU"/>
          </w:rPr>
          <w:t xml:space="preserve">changes to the NGER Legislation for the </w:t>
        </w:r>
        <w:r w:rsidR="00455364">
          <w:rPr>
            <w:color w:val="006C93"/>
            <w:u w:val="single"/>
            <w:lang w:eastAsia="en-AU"/>
          </w:rPr>
          <w:t>202</w:t>
        </w:r>
        <w:r w:rsidR="00244101">
          <w:rPr>
            <w:color w:val="006C93"/>
            <w:u w:val="single"/>
            <w:lang w:eastAsia="en-AU"/>
          </w:rPr>
          <w:t>5</w:t>
        </w:r>
        <w:r w:rsidR="00455364">
          <w:rPr>
            <w:color w:val="006C93"/>
            <w:u w:val="single"/>
            <w:lang w:eastAsia="en-AU"/>
          </w:rPr>
          <w:t>–2</w:t>
        </w:r>
        <w:r w:rsidR="00244101">
          <w:rPr>
            <w:color w:val="006C93"/>
            <w:u w:val="single"/>
            <w:lang w:eastAsia="en-AU"/>
          </w:rPr>
          <w:t>6</w:t>
        </w:r>
        <w:r w:rsidR="004F4464" w:rsidRPr="00411ECB">
          <w:rPr>
            <w:color w:val="006C93"/>
            <w:u w:val="single"/>
            <w:lang w:eastAsia="en-AU"/>
          </w:rPr>
          <w:t xml:space="preserve"> reporting period</w:t>
        </w:r>
      </w:hyperlink>
      <w:r w:rsidR="004F4464">
        <w:rPr>
          <w:rStyle w:val="FootnoteReference"/>
          <w:rFonts w:ascii="Calibri" w:eastAsia="Times New Roman" w:hAnsi="Calibri" w:cs="Calibri"/>
          <w:color w:val="auto"/>
          <w:szCs w:val="22"/>
          <w:lang w:eastAsia="en-AU"/>
        </w:rPr>
        <w:footnoteReference w:id="9"/>
      </w:r>
      <w:r w:rsidRPr="00411ECB">
        <w:rPr>
          <w:lang w:eastAsia="en-AU"/>
        </w:rPr>
        <w:t>.   </w:t>
      </w:r>
    </w:p>
    <w:p w14:paraId="169B2060" w14:textId="77777777" w:rsidR="001C3815" w:rsidRPr="002C556E" w:rsidRDefault="001C3815" w:rsidP="001C3815">
      <w:pPr>
        <w:pStyle w:val="Heading1"/>
        <w:keepNext/>
        <w:numPr>
          <w:ilvl w:val="0"/>
          <w:numId w:val="49"/>
        </w:numPr>
        <w:spacing w:before="280" w:after="200"/>
        <w:rPr>
          <w:lang w:val="en-GB"/>
        </w:rPr>
      </w:pPr>
      <w:bookmarkStart w:id="19" w:name="_Toc138939423"/>
      <w:bookmarkStart w:id="20" w:name="_Toc140507231"/>
      <w:bookmarkStart w:id="21" w:name="_Toc140507360"/>
      <w:bookmarkStart w:id="22" w:name="_Toc43983102"/>
      <w:bookmarkStart w:id="23" w:name="_Toc76565686"/>
      <w:bookmarkStart w:id="24" w:name="_Toc235613549"/>
      <w:bookmarkEnd w:id="19"/>
      <w:bookmarkEnd w:id="20"/>
      <w:bookmarkEnd w:id="21"/>
      <w:r w:rsidRPr="002C556E">
        <w:rPr>
          <w:lang w:val="en-GB"/>
        </w:rPr>
        <w:t xml:space="preserve">Purpose of this </w:t>
      </w:r>
      <w:bookmarkEnd w:id="16"/>
      <w:r>
        <w:rPr>
          <w:lang w:val="en-GB"/>
        </w:rPr>
        <w:t>information</w:t>
      </w:r>
      <w:bookmarkEnd w:id="22"/>
      <w:bookmarkEnd w:id="23"/>
      <w:bookmarkEnd w:id="24"/>
    </w:p>
    <w:p w14:paraId="5835B17B" w14:textId="77777777" w:rsidR="001C3815" w:rsidRPr="002C556E" w:rsidRDefault="001C3815" w:rsidP="001C3815">
      <w:r>
        <w:t>Corporations</w:t>
      </w:r>
      <w:r w:rsidRPr="002C556E">
        <w:t xml:space="preserve"> have reporting obligations under the </w:t>
      </w:r>
      <w:r>
        <w:t>NGER Legislation</w:t>
      </w:r>
      <w:r w:rsidRPr="002C556E">
        <w:t xml:space="preserve">, comprising the </w:t>
      </w:r>
      <w:r>
        <w:t>NGER Act</w:t>
      </w:r>
      <w:r w:rsidRPr="002C556E">
        <w:t xml:space="preserve">, the </w:t>
      </w:r>
      <w:r>
        <w:t>NGER Regulations</w:t>
      </w:r>
      <w:r w:rsidRPr="002C556E">
        <w:t xml:space="preserve"> and the</w:t>
      </w:r>
      <w:r>
        <w:rPr>
          <w:i/>
        </w:rPr>
        <w:t xml:space="preserve"> </w:t>
      </w:r>
      <w:r>
        <w:t>NGER Measurement Determination</w:t>
      </w:r>
      <w:r w:rsidRPr="002C556E">
        <w:t>.</w:t>
      </w:r>
    </w:p>
    <w:p w14:paraId="6234E168" w14:textId="050A8ACB" w:rsidR="001C3815" w:rsidRPr="002C556E" w:rsidRDefault="001C3815" w:rsidP="00906484">
      <w:r w:rsidRPr="002C556E">
        <w:t xml:space="preserve">It is important that data relating to greenhouse gas emissions, energy consumption and energy production of corporations, provided under the </w:t>
      </w:r>
      <w:r>
        <w:t>NGER</w:t>
      </w:r>
      <w:r w:rsidRPr="002C556E">
        <w:t xml:space="preserve"> </w:t>
      </w:r>
      <w:r w:rsidR="00C6715F">
        <w:t>S</w:t>
      </w:r>
      <w:r w:rsidRPr="002C556E">
        <w:t xml:space="preserve">cheme, is accurate and complies with the requirements of the legislation. </w:t>
      </w:r>
    </w:p>
    <w:p w14:paraId="21B82D12" w14:textId="201B61C6" w:rsidR="001C3815" w:rsidRDefault="001C3815" w:rsidP="001C3815">
      <w:r>
        <w:t>The following information has been compiled to provide stakeholders with an understanding of how</w:t>
      </w:r>
      <w:r w:rsidR="004966E7">
        <w:t xml:space="preserve"> the</w:t>
      </w:r>
      <w:r>
        <w:t xml:space="preserve"> </w:t>
      </w:r>
      <w:r w:rsidR="001E2090">
        <w:t>CER</w:t>
      </w:r>
      <w:r>
        <w:t xml:space="preserve"> will apply legislation for some fuel combustion methods through worked examples and elaborations. I</w:t>
      </w:r>
      <w:r w:rsidRPr="00DB244C">
        <w:t>t is intended to assist stakeholders to comply with NGER reporting requirements.</w:t>
      </w:r>
    </w:p>
    <w:p w14:paraId="31A5E0A9" w14:textId="77777777" w:rsidR="001C3815" w:rsidRPr="002C556E" w:rsidRDefault="001C3815" w:rsidP="001C3815">
      <w:r>
        <w:t>Reporters are responsible for ensuring they meet the legislative requirements.</w:t>
      </w:r>
    </w:p>
    <w:p w14:paraId="43A8740F" w14:textId="77777777" w:rsidR="001C3815" w:rsidRPr="00C54C7E" w:rsidRDefault="001C3815" w:rsidP="001C3815">
      <w:pPr>
        <w:pStyle w:val="Heading2"/>
        <w:numPr>
          <w:ilvl w:val="1"/>
          <w:numId w:val="49"/>
        </w:numPr>
        <w:spacing w:after="200"/>
      </w:pPr>
      <w:bookmarkStart w:id="25" w:name="_Toc43983103"/>
      <w:bookmarkStart w:id="26" w:name="_Toc76565687"/>
      <w:bookmarkStart w:id="27" w:name="_Toc235613550"/>
      <w:r w:rsidRPr="00C54C7E">
        <w:t xml:space="preserve">Focus of this </w:t>
      </w:r>
      <w:r>
        <w:t>guideline</w:t>
      </w:r>
      <w:bookmarkEnd w:id="25"/>
      <w:bookmarkEnd w:id="26"/>
      <w:bookmarkEnd w:id="27"/>
    </w:p>
    <w:p w14:paraId="307933EC" w14:textId="77777777" w:rsidR="001C3815" w:rsidRDefault="001C3815" w:rsidP="001C3815">
      <w:bookmarkStart w:id="28" w:name="_Hlk43987715"/>
      <w:bookmarkStart w:id="29" w:name="_Ref509934061"/>
      <w:bookmarkStart w:id="30" w:name="_Toc509935570"/>
      <w:r>
        <w:t xml:space="preserve">The NGER Measurement Determination and the NGER Regulations contain the requirements for estimation and reporting of emissions and energy from fuel combustion. </w:t>
      </w:r>
    </w:p>
    <w:p w14:paraId="34C9C1B9" w14:textId="10CEC652" w:rsidR="001C3815" w:rsidRPr="002C556E" w:rsidRDefault="001C3815" w:rsidP="001C3815">
      <w:bookmarkStart w:id="31" w:name="_Hlk43987783"/>
      <w:bookmarkEnd w:id="28"/>
      <w:r>
        <w:t xml:space="preserve">This guideline focuses on providing guidance on the appropriate application of the methods defined in the NGER Measurement Determination, to reporting entities who report fuel combustion. See </w:t>
      </w:r>
      <w:hyperlink r:id="rId30" w:tooltip="A link to the NGER reporting guides on the Clean Energy Regulator webpage" w:history="1">
        <w:r w:rsidR="005057AE">
          <w:rPr>
            <w:rStyle w:val="Hyperlink"/>
            <w:rFonts w:asciiTheme="minorHAnsi" w:hAnsiTheme="minorHAnsi"/>
          </w:rPr>
          <w:t>NGER Reporting Guides</w:t>
        </w:r>
      </w:hyperlink>
      <w:r w:rsidRPr="00FF338C">
        <w:rPr>
          <w:rStyle w:val="FootnoteReference"/>
        </w:rPr>
        <w:footnoteReference w:id="10"/>
      </w:r>
      <w:r>
        <w:t xml:space="preserve"> for more guidance.</w:t>
      </w:r>
      <w:r w:rsidRPr="00FF338C">
        <w:rPr>
          <w:rFonts w:ascii="Times New Roman" w:hAnsi="Times New Roman" w:cs="Times New Roman"/>
          <w:sz w:val="24"/>
          <w:lang w:eastAsia="en-AU"/>
        </w:rPr>
        <w:t xml:space="preserve"> </w:t>
      </w:r>
      <w:r w:rsidRPr="00FF338C">
        <w:t xml:space="preserve"> </w:t>
      </w:r>
      <w:bookmarkEnd w:id="31"/>
      <w:r w:rsidRPr="002C556E">
        <w:br w:type="page"/>
      </w:r>
    </w:p>
    <w:p w14:paraId="3B1999A5" w14:textId="7858883C" w:rsidR="001C3815" w:rsidRPr="002C556E" w:rsidRDefault="001C3815" w:rsidP="001C3815">
      <w:pPr>
        <w:pStyle w:val="Heading1"/>
        <w:keepNext/>
        <w:numPr>
          <w:ilvl w:val="0"/>
          <w:numId w:val="49"/>
        </w:numPr>
        <w:spacing w:before="280" w:after="200"/>
        <w:rPr>
          <w:lang w:val="en-GB"/>
        </w:rPr>
      </w:pPr>
      <w:bookmarkStart w:id="33" w:name="_Toc43983104"/>
      <w:bookmarkStart w:id="34" w:name="_Toc76565688"/>
      <w:bookmarkStart w:id="35" w:name="_Toc235613551"/>
      <w:r w:rsidRPr="002C556E">
        <w:rPr>
          <w:lang w:val="en-GB"/>
        </w:rPr>
        <w:lastRenderedPageBreak/>
        <w:t>Good practice</w:t>
      </w:r>
      <w:r w:rsidR="00196966">
        <w:rPr>
          <w:lang w:val="en-GB"/>
        </w:rPr>
        <w:t>s in</w:t>
      </w:r>
      <w:r w:rsidRPr="002C556E">
        <w:rPr>
          <w:lang w:val="en-GB"/>
        </w:rPr>
        <w:t xml:space="preserve"> NGER reporting</w:t>
      </w:r>
      <w:bookmarkEnd w:id="33"/>
      <w:bookmarkEnd w:id="34"/>
      <w:bookmarkEnd w:id="35"/>
      <w:r w:rsidRPr="002C556E">
        <w:rPr>
          <w:lang w:val="en-GB"/>
        </w:rPr>
        <w:t xml:space="preserve"> </w:t>
      </w:r>
      <w:bookmarkEnd w:id="29"/>
      <w:bookmarkEnd w:id="30"/>
    </w:p>
    <w:p w14:paraId="6C16447E" w14:textId="77777777" w:rsidR="00DA4A65" w:rsidRDefault="001C3815" w:rsidP="00DA4A65">
      <w:r w:rsidRPr="002C556E">
        <w:t xml:space="preserve">Registered reporters must keep records of the group-wide facility and NGER data used for reporting in accordance with the NGER Act. </w:t>
      </w:r>
    </w:p>
    <w:p w14:paraId="57C0FBD9" w14:textId="77777777" w:rsidR="00DA4A65" w:rsidRDefault="00DA4A65" w:rsidP="00DA4A65">
      <w:r>
        <w:t xml:space="preserve">As per section 22 of the NGER Act, a registered corporation must keep records that: </w:t>
      </w:r>
    </w:p>
    <w:p w14:paraId="218AA700" w14:textId="0EB1BED2" w:rsidR="00DA4A65" w:rsidRDefault="00DA4A65" w:rsidP="001F7FDF">
      <w:pPr>
        <w:pStyle w:val="CERbullets"/>
      </w:pPr>
      <w:r>
        <w:t xml:space="preserve">allow it to report accurately under the NGER Act </w:t>
      </w:r>
    </w:p>
    <w:p w14:paraId="5F356571" w14:textId="3DC2D19E" w:rsidR="00DA4A65" w:rsidRDefault="00DA4A65" w:rsidP="001F7FDF">
      <w:pPr>
        <w:pStyle w:val="CERbullets"/>
      </w:pPr>
      <w:r>
        <w:t xml:space="preserve">enable the CER to ascertain whether the corporation has complied with its obligations under the NGER Act. </w:t>
      </w:r>
    </w:p>
    <w:p w14:paraId="602814B3" w14:textId="31E246AA" w:rsidR="001C3815" w:rsidRPr="002C556E" w:rsidRDefault="002245B1" w:rsidP="00DA4A65">
      <w:r>
        <w:t>R</w:t>
      </w:r>
      <w:r w:rsidR="00DA4A65">
        <w:t xml:space="preserve">ecords must be kept in a form that is easily and quickly accessible for inspection and audit. </w:t>
      </w:r>
      <w:r w:rsidR="00DC3881">
        <w:t>They also</w:t>
      </w:r>
      <w:r w:rsidR="00DA4A65">
        <w:t xml:space="preserve"> must </w:t>
      </w:r>
      <w:r w:rsidR="00DC3881">
        <w:t xml:space="preserve">be </w:t>
      </w:r>
      <w:r w:rsidR="00DA4A65">
        <w:t>kep</w:t>
      </w:r>
      <w:r w:rsidR="00DC3881">
        <w:t>t</w:t>
      </w:r>
      <w:r w:rsidR="00DA4A65">
        <w:t xml:space="preserve"> for 5 years from the end of the financial year in which the relevant activity took place.</w:t>
      </w:r>
    </w:p>
    <w:p w14:paraId="7CAEF4FC" w14:textId="3A94B74E" w:rsidR="001C3815" w:rsidRPr="002C556E" w:rsidRDefault="001C3815" w:rsidP="001C3815">
      <w:r>
        <w:t>Records should</w:t>
      </w:r>
      <w:r w:rsidRPr="002C556E">
        <w:t xml:space="preserve"> </w:t>
      </w:r>
      <w:r w:rsidR="00592E0A">
        <w:t>capture</w:t>
      </w:r>
      <w:r w:rsidRPr="002C556E">
        <w:t xml:space="preserve"> source</w:t>
      </w:r>
      <w:r w:rsidR="00852E76">
        <w:t>,</w:t>
      </w:r>
      <w:r w:rsidRPr="002C556E">
        <w:t xml:space="preserve"> activity, and processing data using the general estimation principles in section 1.13 of the </w:t>
      </w:r>
      <w:r>
        <w:t>NGER Measurement Determination</w:t>
      </w:r>
      <w:r w:rsidRPr="002C556E">
        <w:t xml:space="preserve">, </w:t>
      </w:r>
      <w:r>
        <w:t>see</w:t>
      </w:r>
      <w:r w:rsidRPr="002C556E">
        <w:t xml:space="preserve"> </w:t>
      </w:r>
      <w:r w:rsidRPr="002C556E">
        <w:fldChar w:fldCharType="begin"/>
      </w:r>
      <w:r w:rsidRPr="002C556E">
        <w:instrText xml:space="preserve"> REF _Ref510507983 \h </w:instrText>
      </w:r>
      <w:r>
        <w:instrText xml:space="preserve"> \* MERGEFORMAT </w:instrText>
      </w:r>
      <w:r w:rsidRPr="002C556E">
        <w:fldChar w:fldCharType="separate"/>
      </w:r>
      <w:r w:rsidR="00185B26" w:rsidRPr="002C556E">
        <w:t xml:space="preserve">Table </w:t>
      </w:r>
      <w:r w:rsidR="00185B26">
        <w:rPr>
          <w:noProof/>
        </w:rPr>
        <w:t>1</w:t>
      </w:r>
      <w:r w:rsidRPr="002C556E">
        <w:fldChar w:fldCharType="end"/>
      </w:r>
      <w:r>
        <w:t xml:space="preserve"> below</w:t>
      </w:r>
      <w:r w:rsidRPr="002C556E">
        <w:t>.</w:t>
      </w:r>
    </w:p>
    <w:p w14:paraId="5EF95F35" w14:textId="1ED2E326" w:rsidR="001C3815" w:rsidRPr="002C556E" w:rsidRDefault="001C3815" w:rsidP="001C3815">
      <w:pPr>
        <w:pStyle w:val="Caption"/>
        <w:keepNext/>
      </w:pPr>
      <w:bookmarkStart w:id="36" w:name="_Ref510507983"/>
      <w:r w:rsidRPr="002C556E">
        <w:t xml:space="preserve">Table </w:t>
      </w:r>
      <w:fldSimple w:instr=" SEQ Table \* ARABIC ">
        <w:r w:rsidR="00185B26">
          <w:rPr>
            <w:noProof/>
          </w:rPr>
          <w:t>1</w:t>
        </w:r>
      </w:fldSimple>
      <w:bookmarkEnd w:id="36"/>
      <w:r>
        <w:t>:</w:t>
      </w:r>
      <w:r w:rsidRPr="002C556E">
        <w:t xml:space="preserve"> General estimation principles in s1.13 </w:t>
      </w:r>
      <w:r>
        <w:t>of the NGER Measurement Determination</w:t>
      </w:r>
      <w:r w:rsidR="00E0301C">
        <w:t>.</w:t>
      </w:r>
      <w:r w:rsidRPr="002C556E">
        <w:t xml:space="preserve"> </w:t>
      </w:r>
    </w:p>
    <w:tbl>
      <w:tblPr>
        <w:tblStyle w:val="CERTable"/>
        <w:tblW w:w="5000" w:type="pct"/>
        <w:tblLook w:val="00A0" w:firstRow="1" w:lastRow="0" w:firstColumn="1" w:lastColumn="0" w:noHBand="0" w:noVBand="0"/>
      </w:tblPr>
      <w:tblGrid>
        <w:gridCol w:w="3243"/>
        <w:gridCol w:w="6497"/>
      </w:tblGrid>
      <w:tr w:rsidR="001C3815" w:rsidRPr="003E5D50" w14:paraId="03A4F521" w14:textId="77777777" w:rsidTr="005E21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1FC6513E" w14:textId="77777777" w:rsidR="001C3815" w:rsidRPr="003E5D50" w:rsidRDefault="001C3815" w:rsidP="00793B33">
            <w:r w:rsidRPr="003E5D50">
              <w:t>General estimation principles</w:t>
            </w:r>
          </w:p>
        </w:tc>
        <w:tc>
          <w:tcPr>
            <w:tcW w:w="3335" w:type="pct"/>
          </w:tcPr>
          <w:p w14:paraId="16277AF6" w14:textId="77777777" w:rsidR="001C3815" w:rsidRPr="003E5D50" w:rsidRDefault="001C3815" w:rsidP="00793B33">
            <w:pPr>
              <w:cnfStyle w:val="100000000000" w:firstRow="1" w:lastRow="0" w:firstColumn="0" w:lastColumn="0" w:oddVBand="0" w:evenVBand="0" w:oddHBand="0" w:evenHBand="0" w:firstRowFirstColumn="0" w:firstRowLastColumn="0" w:lastRowFirstColumn="0" w:lastRowLastColumn="0"/>
            </w:pPr>
            <w:r w:rsidRPr="003E5D50">
              <w:t>Example implication for NGER reporting</w:t>
            </w:r>
          </w:p>
        </w:tc>
      </w:tr>
      <w:tr w:rsidR="001C3815" w:rsidRPr="003E5D50" w14:paraId="5BE069DB"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6A5CAA95" w14:textId="77777777" w:rsidR="001C3815" w:rsidRPr="00793B33" w:rsidRDefault="001C3815" w:rsidP="00793B33">
            <w:r w:rsidRPr="00793B33">
              <w:t>Transparency</w:t>
            </w:r>
          </w:p>
          <w:p w14:paraId="00090DCB" w14:textId="77777777" w:rsidR="001C3815" w:rsidRPr="00833CD6" w:rsidRDefault="001C3815" w:rsidP="00793B33">
            <w:pPr>
              <w:rPr>
                <w:b w:val="0"/>
                <w:bCs/>
              </w:rPr>
            </w:pPr>
            <w:r w:rsidRPr="00833CD6">
              <w:rPr>
                <w:b w:val="0"/>
                <w:bCs/>
              </w:rPr>
              <w:t>Emission estimates must be documented and verifiable.</w:t>
            </w:r>
          </w:p>
        </w:tc>
        <w:tc>
          <w:tcPr>
            <w:tcW w:w="3335" w:type="pct"/>
          </w:tcPr>
          <w:p w14:paraId="1785046C" w14:textId="7C083E5E" w:rsidR="00621C74" w:rsidRDefault="004E5E6F" w:rsidP="00793B33">
            <w:pPr>
              <w:cnfStyle w:val="000000100000" w:firstRow="0" w:lastRow="0" w:firstColumn="0" w:lastColumn="0" w:oddVBand="0" w:evenVBand="0" w:oddHBand="1" w:evenHBand="0" w:firstRowFirstColumn="0" w:firstRowLastColumn="0" w:lastRowFirstColumn="0" w:lastRowLastColumn="0"/>
            </w:pPr>
            <w:r>
              <w:t xml:space="preserve">The creation of a </w:t>
            </w:r>
            <w:r w:rsidR="00305CDA">
              <w:t>‘Basis of Preparation’ (</w:t>
            </w:r>
            <w:proofErr w:type="spellStart"/>
            <w:r>
              <w:t>BoP</w:t>
            </w:r>
            <w:proofErr w:type="spellEnd"/>
            <w:r w:rsidR="00305CDA">
              <w:t>)</w:t>
            </w:r>
            <w:r>
              <w:t xml:space="preserve"> helps </w:t>
            </w:r>
            <w:r w:rsidR="00B20C6D">
              <w:t>reporters</w:t>
            </w:r>
            <w:r>
              <w:t xml:space="preserve"> to meet </w:t>
            </w:r>
            <w:r w:rsidR="005820E2">
              <w:t>their</w:t>
            </w:r>
            <w:r>
              <w:t xml:space="preserve"> NGER record-keeping requirements.</w:t>
            </w:r>
          </w:p>
          <w:p w14:paraId="28CED9A5" w14:textId="3CB03933" w:rsidR="00621C74" w:rsidRDefault="0039440A" w:rsidP="00793B33">
            <w:pPr>
              <w:cnfStyle w:val="000000100000" w:firstRow="0" w:lastRow="0" w:firstColumn="0" w:lastColumn="0" w:oddVBand="0" w:evenVBand="0" w:oddHBand="1" w:evenHBand="0" w:firstRowFirstColumn="0" w:firstRowLastColumn="0" w:lastRowFirstColumn="0" w:lastRowLastColumn="0"/>
            </w:pPr>
            <w:r>
              <w:t xml:space="preserve">The </w:t>
            </w:r>
            <w:proofErr w:type="spellStart"/>
            <w:r w:rsidR="00932E12">
              <w:t>BoP</w:t>
            </w:r>
            <w:proofErr w:type="spellEnd"/>
            <w:r w:rsidR="009E6F5D">
              <w:t xml:space="preserve"> </w:t>
            </w:r>
            <w:r>
              <w:t xml:space="preserve">is </w:t>
            </w:r>
            <w:r w:rsidR="007C4C49">
              <w:t xml:space="preserve">designed </w:t>
            </w:r>
            <w:r>
              <w:t xml:space="preserve">to </w:t>
            </w:r>
            <w:r w:rsidR="009E6F5D">
              <w:t xml:space="preserve">capture all </w:t>
            </w:r>
            <w:r w:rsidR="009E6F5D" w:rsidRPr="00793B33">
              <w:t xml:space="preserve">key decisions and assumptions made </w:t>
            </w:r>
            <w:r w:rsidR="00015D28">
              <w:t>in prep</w:t>
            </w:r>
            <w:r w:rsidR="00012FE4">
              <w:t>aring</w:t>
            </w:r>
            <w:r w:rsidR="009E6F5D">
              <w:t xml:space="preserve"> </w:t>
            </w:r>
            <w:r w:rsidR="005820E2">
              <w:t>the</w:t>
            </w:r>
            <w:r w:rsidR="009E6F5D" w:rsidRPr="00793B33">
              <w:t xml:space="preserve"> NGER report</w:t>
            </w:r>
            <w:r w:rsidR="001E1E08">
              <w:t>.</w:t>
            </w:r>
          </w:p>
          <w:p w14:paraId="4983AF14" w14:textId="50DA8931" w:rsidR="001C3815" w:rsidRPr="00793B33" w:rsidRDefault="004E5E6F" w:rsidP="00793B33">
            <w:pPr>
              <w:cnfStyle w:val="000000100000" w:firstRow="0" w:lastRow="0" w:firstColumn="0" w:lastColumn="0" w:oddVBand="0" w:evenVBand="0" w:oddHBand="1" w:evenHBand="0" w:firstRowFirstColumn="0" w:firstRowLastColumn="0" w:lastRowFirstColumn="0" w:lastRowLastColumn="0"/>
            </w:pPr>
            <w:r>
              <w:t xml:space="preserve">We encourage </w:t>
            </w:r>
            <w:r w:rsidR="005820E2">
              <w:t>reporters</w:t>
            </w:r>
            <w:r>
              <w:t xml:space="preserve"> to submit </w:t>
            </w:r>
            <w:r w:rsidR="0047523D">
              <w:t>their</w:t>
            </w:r>
            <w:r>
              <w:t xml:space="preserve"> </w:t>
            </w:r>
            <w:proofErr w:type="spellStart"/>
            <w:r>
              <w:t>BoP</w:t>
            </w:r>
            <w:proofErr w:type="spellEnd"/>
            <w:r>
              <w:t xml:space="preserve"> (or summary) with each year’s NGER report to clarify key assumptions and decisions. </w:t>
            </w:r>
          </w:p>
        </w:tc>
      </w:tr>
      <w:tr w:rsidR="001C3815" w:rsidRPr="003E5D50" w14:paraId="14E7C6A0"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4B49DD5C" w14:textId="77777777" w:rsidR="001C3815" w:rsidRPr="00833CD6" w:rsidRDefault="001C3815" w:rsidP="00793B33">
            <w:r w:rsidRPr="00833CD6">
              <w:t>Comparability</w:t>
            </w:r>
          </w:p>
          <w:p w14:paraId="6BBDF45A" w14:textId="0FEA1ABE" w:rsidR="001C3815" w:rsidRPr="00833CD6" w:rsidRDefault="001C3815" w:rsidP="00793B33">
            <w:pPr>
              <w:rPr>
                <w:b w:val="0"/>
                <w:bCs/>
              </w:rPr>
            </w:pPr>
            <w:r w:rsidRPr="00833CD6">
              <w:rPr>
                <w:b w:val="0"/>
                <w:bCs/>
              </w:rPr>
              <w:t xml:space="preserve">Emission estimates using a particular method and produced by a registered corporation in an industry sector must be comparable with emission estimates produced by similar corporations in that industry sector using the same method and be consistent with the emission estimates published by the Department in the Australia’s </w:t>
            </w:r>
            <w:hyperlink r:id="rId31" w:tooltip="A link to the Tracking and reporting greenhouse gas emissions page on the Department of Climate Change Energy the Environment and Water's website" w:history="1">
              <w:r w:rsidRPr="00833CD6">
                <w:rPr>
                  <w:rStyle w:val="Hyperlink"/>
                  <w:b w:val="0"/>
                  <w:bCs/>
                </w:rPr>
                <w:t>National Greenhouse Accounts</w:t>
              </w:r>
            </w:hyperlink>
            <w:r w:rsidRPr="00873709">
              <w:rPr>
                <w:vertAlign w:val="superscript"/>
              </w:rPr>
              <w:footnoteReference w:id="11"/>
            </w:r>
            <w:r w:rsidRPr="00833CD6">
              <w:rPr>
                <w:b w:val="0"/>
                <w:bCs/>
              </w:rPr>
              <w:t>.</w:t>
            </w:r>
          </w:p>
        </w:tc>
        <w:tc>
          <w:tcPr>
            <w:tcW w:w="3335" w:type="pct"/>
          </w:tcPr>
          <w:p w14:paraId="71540A0B" w14:textId="77777777" w:rsidR="001C3815" w:rsidRPr="00793B33" w:rsidRDefault="001C3815" w:rsidP="00793B33">
            <w:pPr>
              <w:cnfStyle w:val="000000010000" w:firstRow="0" w:lastRow="0" w:firstColumn="0" w:lastColumn="0" w:oddVBand="0" w:evenVBand="0" w:oddHBand="0" w:evenHBand="1" w:firstRowFirstColumn="0" w:firstRowLastColumn="0" w:lastRowFirstColumn="0" w:lastRowLastColumn="0"/>
            </w:pPr>
            <w:r w:rsidRPr="00793B33">
              <w:t>Appropriately applying the rules and requirements of the NGER Measurement Determination will achieve this for most activity data and emissions estimates when reporting fuel combustion.</w:t>
            </w:r>
          </w:p>
          <w:p w14:paraId="401230D2" w14:textId="77777777" w:rsidR="001C3815" w:rsidRPr="00793B33" w:rsidRDefault="001C3815" w:rsidP="00793B33">
            <w:pPr>
              <w:cnfStyle w:val="000000010000" w:firstRow="0" w:lastRow="0" w:firstColumn="0" w:lastColumn="0" w:oddVBand="0" w:evenVBand="0" w:oddHBand="0" w:evenHBand="1" w:firstRowFirstColumn="0" w:firstRowLastColumn="0" w:lastRowFirstColumn="0" w:lastRowLastColumn="0"/>
            </w:pPr>
            <w:r w:rsidRPr="00793B33">
              <w:t>When using industry practice approaches, for example when estimating the quantity of gaseous fuel combusted that was not acquired though commercial transaction, following industry practice is a minimum but it should also meet other requirements, such as ‘Transparency’ and ‘Accuracy’. Using industry practice can only be accepted if it also meets the other principles and requirements set out in the NGER Measurement Determination.</w:t>
            </w:r>
          </w:p>
        </w:tc>
      </w:tr>
      <w:tr w:rsidR="001C3815" w:rsidRPr="003E5D50" w14:paraId="070D903F" w14:textId="77777777" w:rsidTr="005E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1ABBB5E7" w14:textId="77777777" w:rsidR="001C3815" w:rsidRPr="00793B33" w:rsidRDefault="001C3815" w:rsidP="00793B33">
            <w:r w:rsidRPr="00793B33">
              <w:lastRenderedPageBreak/>
              <w:t>Accuracy</w:t>
            </w:r>
          </w:p>
          <w:p w14:paraId="2E3E273A" w14:textId="77777777" w:rsidR="001C3815" w:rsidRPr="00833CD6" w:rsidRDefault="001C3815" w:rsidP="00793B33">
            <w:pPr>
              <w:rPr>
                <w:b w:val="0"/>
                <w:bCs/>
              </w:rPr>
            </w:pPr>
            <w:r w:rsidRPr="00833CD6">
              <w:rPr>
                <w:b w:val="0"/>
                <w:bCs/>
              </w:rPr>
              <w:t xml:space="preserve">Having regard to the availability of reasonable resources by a registered corporation and the requirements of the NGER Measurement Determination, uncertainties in emission estimates must be minimised and any estimates must be neither over nor </w:t>
            </w:r>
            <w:proofErr w:type="gramStart"/>
            <w:r w:rsidRPr="00833CD6">
              <w:rPr>
                <w:b w:val="0"/>
                <w:bCs/>
              </w:rPr>
              <w:t>under estimates</w:t>
            </w:r>
            <w:proofErr w:type="gramEnd"/>
            <w:r w:rsidRPr="00833CD6">
              <w:rPr>
                <w:b w:val="0"/>
                <w:bCs/>
              </w:rPr>
              <w:t xml:space="preserve"> of the true values at a 95% confidence level</w:t>
            </w:r>
            <w:r w:rsidRPr="00873709">
              <w:rPr>
                <w:vertAlign w:val="superscript"/>
              </w:rPr>
              <w:footnoteReference w:id="12"/>
            </w:r>
            <w:r w:rsidRPr="00833CD6">
              <w:rPr>
                <w:b w:val="0"/>
                <w:bCs/>
              </w:rPr>
              <w:t>.</w:t>
            </w:r>
          </w:p>
        </w:tc>
        <w:tc>
          <w:tcPr>
            <w:tcW w:w="3335" w:type="pct"/>
          </w:tcPr>
          <w:p w14:paraId="21739A6A" w14:textId="77777777" w:rsidR="001C3815" w:rsidRPr="00793B33" w:rsidRDefault="001C3815" w:rsidP="00793B33">
            <w:pPr>
              <w:cnfStyle w:val="000000100000" w:firstRow="0" w:lastRow="0" w:firstColumn="0" w:lastColumn="0" w:oddVBand="0" w:evenVBand="0" w:oddHBand="1" w:evenHBand="0" w:firstRowFirstColumn="0" w:firstRowLastColumn="0" w:lastRowFirstColumn="0" w:lastRowLastColumn="0"/>
            </w:pPr>
            <w:r w:rsidRPr="00793B33">
              <w:t>Sampling, for example for energy content or emissions factors, should be performed for a duration and frequency to enable reliable data. This is particularly relevant:</w:t>
            </w:r>
          </w:p>
          <w:p w14:paraId="6AF78CC7" w14:textId="77777777" w:rsidR="001C3815" w:rsidRPr="00793B33" w:rsidRDefault="001C3815" w:rsidP="00793B33">
            <w:pPr>
              <w:cnfStyle w:val="000000100000" w:firstRow="0" w:lastRow="0" w:firstColumn="0" w:lastColumn="0" w:oddVBand="0" w:evenVBand="0" w:oddHBand="1" w:evenHBand="0" w:firstRowFirstColumn="0" w:firstRowLastColumn="0" w:lastRowFirstColumn="0" w:lastRowLastColumn="0"/>
            </w:pPr>
            <w:r w:rsidRPr="00793B33">
              <w:t>Where higher order methods are used, for example Method 4 for fugitive emissions, sampling frequency should support an appropriate 95% confidence interval.</w:t>
            </w:r>
          </w:p>
          <w:p w14:paraId="35E097F1" w14:textId="77777777" w:rsidR="001C3815" w:rsidRPr="00793B33" w:rsidRDefault="001C3815" w:rsidP="00793B33">
            <w:pPr>
              <w:cnfStyle w:val="000000100000" w:firstRow="0" w:lastRow="0" w:firstColumn="0" w:lastColumn="0" w:oddVBand="0" w:evenVBand="0" w:oddHBand="1" w:evenHBand="0" w:firstRowFirstColumn="0" w:firstRowLastColumn="0" w:lastRowFirstColumn="0" w:lastRowLastColumn="0"/>
            </w:pPr>
            <w:r w:rsidRPr="00793B33">
              <w:t>Where industry practice may be used to capture data, for example if used for flaring emissions.</w:t>
            </w:r>
          </w:p>
          <w:p w14:paraId="0431D6E4" w14:textId="77777777" w:rsidR="001C3815" w:rsidRPr="00793B33" w:rsidRDefault="001C3815" w:rsidP="00793B33">
            <w:pPr>
              <w:cnfStyle w:val="000000100000" w:firstRow="0" w:lastRow="0" w:firstColumn="0" w:lastColumn="0" w:oddVBand="0" w:evenVBand="0" w:oddHBand="1" w:evenHBand="0" w:firstRowFirstColumn="0" w:firstRowLastColumn="0" w:lastRowFirstColumn="0" w:lastRowLastColumn="0"/>
            </w:pPr>
            <w:r w:rsidRPr="00793B33">
              <w:t>Estimates should be neutral without bias – use of a ‘conservative’ estimate, for example overstating or understating emissions when compared to the likely true value is not allowed.</w:t>
            </w:r>
          </w:p>
        </w:tc>
      </w:tr>
      <w:tr w:rsidR="001C3815" w:rsidRPr="003E5D50" w14:paraId="6672DD47" w14:textId="77777777" w:rsidTr="005E21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2E6362D5" w14:textId="77777777" w:rsidR="001C3815" w:rsidRPr="00793B33" w:rsidRDefault="001C3815" w:rsidP="00793B33">
            <w:r w:rsidRPr="00793B33">
              <w:t>Completeness</w:t>
            </w:r>
          </w:p>
          <w:p w14:paraId="35D343B8" w14:textId="77777777" w:rsidR="001C3815" w:rsidRPr="00833CD6" w:rsidRDefault="001C3815" w:rsidP="00793B33">
            <w:pPr>
              <w:rPr>
                <w:b w:val="0"/>
                <w:bCs/>
              </w:rPr>
            </w:pPr>
            <w:r w:rsidRPr="00833CD6">
              <w:rPr>
                <w:b w:val="0"/>
                <w:bCs/>
              </w:rPr>
              <w:t xml:space="preserve">Subject to any applicable reporting thresholds, all emission sources identified in section 1.10 of the NGER Measurement Determination, and production and consumption of all fuels and energy commodities listed in schedule 1 of the NGER Regulations, must be accounted for. </w:t>
            </w:r>
          </w:p>
        </w:tc>
        <w:tc>
          <w:tcPr>
            <w:tcW w:w="3335" w:type="pct"/>
          </w:tcPr>
          <w:p w14:paraId="04D9C87B" w14:textId="77777777" w:rsidR="001C3815" w:rsidRPr="00793B33" w:rsidRDefault="001C3815" w:rsidP="00793B33">
            <w:pPr>
              <w:cnfStyle w:val="000000010000" w:firstRow="0" w:lastRow="0" w:firstColumn="0" w:lastColumn="0" w:oddVBand="0" w:evenVBand="0" w:oddHBand="0" w:evenHBand="1" w:firstRowFirstColumn="0" w:firstRowLastColumn="0" w:lastRowFirstColumn="0" w:lastRowLastColumn="0"/>
            </w:pPr>
            <w:r w:rsidRPr="00793B33">
              <w:t>All typical source types for fuel combustion as defined by the NGER Measurement Determination appropriately identified and reported.</w:t>
            </w:r>
          </w:p>
          <w:p w14:paraId="31ECD9F8" w14:textId="77777777" w:rsidR="001C3815" w:rsidRPr="00793B33" w:rsidRDefault="001C3815" w:rsidP="00793B33">
            <w:pPr>
              <w:cnfStyle w:val="000000010000" w:firstRow="0" w:lastRow="0" w:firstColumn="0" w:lastColumn="0" w:oddVBand="0" w:evenVBand="0" w:oddHBand="0" w:evenHBand="1" w:firstRowFirstColumn="0" w:firstRowLastColumn="0" w:lastRowFirstColumn="0" w:lastRowLastColumn="0"/>
            </w:pPr>
            <w:r w:rsidRPr="00793B33">
              <w:t>Identifying and documenting all instances and occurrences of relevant sources, for example if additional activity data needs to be captured, such as for fuel usage of contractors on-site or electricity generation and consumption.</w:t>
            </w:r>
          </w:p>
        </w:tc>
      </w:tr>
    </w:tbl>
    <w:p w14:paraId="5F9FD2FE" w14:textId="77777777" w:rsidR="001C3815" w:rsidRDefault="001C3815" w:rsidP="001C3815"/>
    <w:p w14:paraId="116E5130" w14:textId="394921BF" w:rsidR="001C3815" w:rsidRPr="002C556E" w:rsidRDefault="001C3815" w:rsidP="001C3815">
      <w:r w:rsidRPr="002C556E">
        <w:t xml:space="preserve">An </w:t>
      </w:r>
      <w:r>
        <w:t>Executive Officer (EO)</w:t>
      </w:r>
      <w:r w:rsidRPr="002C556E">
        <w:t xml:space="preserve"> must approve the report</w:t>
      </w:r>
      <w:r>
        <w:t>’s submission</w:t>
      </w:r>
      <w:r w:rsidRPr="002C556E">
        <w:t xml:space="preserve"> to </w:t>
      </w:r>
      <w:r w:rsidR="001E2090">
        <w:t>CER</w:t>
      </w:r>
      <w:r w:rsidRPr="002C556E">
        <w:t xml:space="preserve">, confirming that </w:t>
      </w:r>
      <w:r>
        <w:t>it</w:t>
      </w:r>
      <w:r w:rsidRPr="002C556E">
        <w:t xml:space="preserve"> has been prepared in accordance with the </w:t>
      </w:r>
      <w:r>
        <w:t>NGER l</w:t>
      </w:r>
      <w:r w:rsidRPr="002C556E">
        <w:t xml:space="preserve">egislation, including that the general principles have been appropriately applied. </w:t>
      </w:r>
      <w:r>
        <w:t>It is up to reporters to determine</w:t>
      </w:r>
      <w:r w:rsidRPr="002C556E">
        <w:t xml:space="preserve"> the appropriate processes and internal controls to </w:t>
      </w:r>
      <w:r>
        <w:t>ensure that a compliant report is submitted on time, supported by adequate records</w:t>
      </w:r>
      <w:r w:rsidRPr="002C556E">
        <w:t xml:space="preserve">. </w:t>
      </w:r>
      <w:r>
        <w:t>This process should be</w:t>
      </w:r>
      <w:r w:rsidRPr="002C556E">
        <w:t xml:space="preserve"> formalised and repeatable.</w:t>
      </w:r>
    </w:p>
    <w:p w14:paraId="502D5C07" w14:textId="77777777" w:rsidR="001C3815" w:rsidRPr="002C556E" w:rsidRDefault="001C3815" w:rsidP="001C3815">
      <w:pPr>
        <w:spacing w:after="0"/>
      </w:pPr>
      <w:r w:rsidRPr="002C556E">
        <w:t>Recommendations for compliant NGER reporting include the following:</w:t>
      </w:r>
    </w:p>
    <w:p w14:paraId="77305E38" w14:textId="77777777" w:rsidR="001C3815" w:rsidRPr="002C556E" w:rsidRDefault="001C3815" w:rsidP="001C3815">
      <w:pPr>
        <w:pStyle w:val="CERbullets"/>
      </w:pPr>
      <w:bookmarkStart w:id="37" w:name="_Hlk48306300"/>
      <w:r w:rsidRPr="002C556E">
        <w:rPr>
          <w:b/>
        </w:rPr>
        <w:t>Formalising NGER reporting governance</w:t>
      </w:r>
      <w:r w:rsidRPr="002C556E">
        <w:t xml:space="preserve"> – due to the complexity for many corporations, formalising the governance arrangements may be important. This may include:</w:t>
      </w:r>
    </w:p>
    <w:p w14:paraId="159B76D8" w14:textId="4DBED500" w:rsidR="001C3815" w:rsidRPr="002C556E" w:rsidRDefault="001C3815" w:rsidP="005E2132">
      <w:pPr>
        <w:pStyle w:val="CERbullets"/>
      </w:pPr>
      <w:r w:rsidRPr="002C556E">
        <w:rPr>
          <w:b/>
        </w:rPr>
        <w:lastRenderedPageBreak/>
        <w:t>Accountable (senior) manager</w:t>
      </w:r>
      <w:r w:rsidRPr="002C556E">
        <w:t xml:space="preserve"> – accountable for executing the annual reporting process and preparing it for the </w:t>
      </w:r>
      <w:r>
        <w:t>EO</w:t>
      </w:r>
      <w:r w:rsidRPr="002C556E">
        <w:t>’s signature. Th</w:t>
      </w:r>
      <w:r>
        <w:t>is</w:t>
      </w:r>
      <w:r w:rsidRPr="002C556E">
        <w:t xml:space="preserve"> could include:</w:t>
      </w:r>
    </w:p>
    <w:p w14:paraId="082AF08C" w14:textId="77777777" w:rsidR="001C3815" w:rsidRPr="00F149D6" w:rsidRDefault="001C3815" w:rsidP="001C3815">
      <w:pPr>
        <w:numPr>
          <w:ilvl w:val="2"/>
          <w:numId w:val="21"/>
        </w:numPr>
        <w:spacing w:before="120" w:after="120"/>
        <w:rPr>
          <w:rFonts w:ascii="Calibri" w:hAnsi="Calibri" w:cs="Calibri"/>
          <w:color w:val="000000"/>
        </w:rPr>
      </w:pPr>
      <w:r w:rsidRPr="00F149D6">
        <w:rPr>
          <w:rFonts w:ascii="Calibri" w:hAnsi="Calibri" w:cs="Calibri"/>
          <w:color w:val="000000"/>
        </w:rPr>
        <w:t>accountability for ensuring the process and documentation complies with the requirements of NGER Legislation</w:t>
      </w:r>
    </w:p>
    <w:p w14:paraId="725AE78C" w14:textId="77777777" w:rsidR="001C3815" w:rsidRPr="00F149D6" w:rsidRDefault="001C3815" w:rsidP="001C3815">
      <w:pPr>
        <w:numPr>
          <w:ilvl w:val="2"/>
          <w:numId w:val="21"/>
        </w:numPr>
        <w:spacing w:before="120" w:after="120"/>
        <w:rPr>
          <w:rFonts w:ascii="Calibri" w:hAnsi="Calibri" w:cs="Calibri"/>
          <w:color w:val="000000"/>
        </w:rPr>
      </w:pPr>
      <w:r w:rsidRPr="00F149D6">
        <w:rPr>
          <w:rFonts w:ascii="Calibri" w:hAnsi="Calibri" w:cs="Calibri"/>
          <w:color w:val="000000"/>
        </w:rPr>
        <w:t>allocating sufficient resources to execute the process, including ability to instruct appropriate people to perform duties defined under the NGER reporting process – either directly, or via reference to the signing EO.</w:t>
      </w:r>
    </w:p>
    <w:bookmarkEnd w:id="37"/>
    <w:p w14:paraId="2471EB02" w14:textId="4CAC0BB8" w:rsidR="001C3815" w:rsidRPr="002C556E" w:rsidRDefault="001C3815" w:rsidP="005E2132">
      <w:pPr>
        <w:pStyle w:val="CERbullets"/>
      </w:pPr>
      <w:r w:rsidRPr="002C556E">
        <w:rPr>
          <w:b/>
        </w:rPr>
        <w:t>Responsible NGER process owner</w:t>
      </w:r>
      <w:r w:rsidRPr="002C556E">
        <w:t xml:space="preserve"> – responsible for designing, updating and implementing the annual reporting process, with reference to the accountable (senior) manager. It includes updating the annual basis of preparation (</w:t>
      </w:r>
      <w:proofErr w:type="spellStart"/>
      <w:r w:rsidRPr="002C556E">
        <w:t>BoP</w:t>
      </w:r>
      <w:proofErr w:type="spellEnd"/>
      <w:r w:rsidRPr="002C556E">
        <w:t xml:space="preserve">) and collaborating with data owners to define data requirements that comply with the requirements of the NGER </w:t>
      </w:r>
      <w:r>
        <w:t>L</w:t>
      </w:r>
      <w:r w:rsidRPr="002C556E">
        <w:t>egislation. The responsible NGER process owner may comprise more than one individual in a small</w:t>
      </w:r>
      <w:r w:rsidR="00387C92">
        <w:t>,</w:t>
      </w:r>
      <w:r w:rsidRPr="002C556E">
        <w:t xml:space="preserve"> centralised team – it may also include facility level responsible NGER process owners.</w:t>
      </w:r>
    </w:p>
    <w:p w14:paraId="41517D06" w14:textId="32EAE2D4" w:rsidR="001C3815" w:rsidRPr="002C556E" w:rsidRDefault="001C3815" w:rsidP="005E2132">
      <w:pPr>
        <w:pStyle w:val="CERbullets"/>
      </w:pPr>
      <w:r w:rsidRPr="002C556E">
        <w:rPr>
          <w:b/>
        </w:rPr>
        <w:t>Responsible data owners</w:t>
      </w:r>
      <w:r w:rsidRPr="002C556E">
        <w:t xml:space="preserve"> – responsible for measuring and documenting data in accordance with the requirements of the NGER </w:t>
      </w:r>
      <w:r>
        <w:t>L</w:t>
      </w:r>
      <w:r w:rsidRPr="002C556E">
        <w:t>egislation.</w:t>
      </w:r>
    </w:p>
    <w:p w14:paraId="6E362C17" w14:textId="77777777" w:rsidR="001C3815" w:rsidRPr="002C556E" w:rsidRDefault="001C3815" w:rsidP="001C3815">
      <w:pPr>
        <w:pStyle w:val="CERbullets"/>
      </w:pPr>
      <w:r w:rsidRPr="002C556E">
        <w:rPr>
          <w:b/>
        </w:rPr>
        <w:t>Formalising reliance on existing data processes</w:t>
      </w:r>
      <w:r w:rsidRPr="002C556E">
        <w:t xml:space="preserve"> – existing data processes controlled by different data owners may be suitable to rely upon for NGER reporting. In </w:t>
      </w:r>
      <w:r>
        <w:t>NGER facilities</w:t>
      </w:r>
      <w:r w:rsidRPr="002C556E">
        <w:t xml:space="preserve"> this may include:</w:t>
      </w:r>
    </w:p>
    <w:p w14:paraId="2F465130" w14:textId="77777777" w:rsidR="001C3815" w:rsidRPr="002C556E" w:rsidRDefault="001C3815" w:rsidP="005E2132">
      <w:pPr>
        <w:pStyle w:val="CERbullets"/>
        <w:numPr>
          <w:ilvl w:val="1"/>
          <w:numId w:val="21"/>
        </w:numPr>
      </w:pPr>
      <w:r w:rsidRPr="002C556E">
        <w:t xml:space="preserve">Diesel consumption data measured based on invoices for diesel deliveries (criteria ‘A’ or ‘AA’), with purchasing or accounts payable in control of the data records, and with accounts reconciling the amounts paid to fuel deliveries and recorded in the accounting system. </w:t>
      </w:r>
    </w:p>
    <w:p w14:paraId="37A56864" w14:textId="77777777" w:rsidR="001C3815" w:rsidRPr="002C556E" w:rsidRDefault="001C3815" w:rsidP="001C3815">
      <w:pPr>
        <w:pStyle w:val="CERbullets"/>
      </w:pPr>
      <w:r w:rsidRPr="002C556E">
        <w:t>Where the data may be the responsibility of several individuals or teams, formalising the data owners’ accountability for ensuring the data used for NGER reporting are complete and accurate may be appropriate. This can include:</w:t>
      </w:r>
    </w:p>
    <w:p w14:paraId="5FA2A8E1" w14:textId="77777777" w:rsidR="001C3815" w:rsidRPr="002C556E" w:rsidRDefault="001C3815" w:rsidP="005E2132">
      <w:pPr>
        <w:pStyle w:val="CERbullets"/>
        <w:numPr>
          <w:ilvl w:val="1"/>
          <w:numId w:val="21"/>
        </w:numPr>
        <w:rPr>
          <w:b/>
        </w:rPr>
      </w:pPr>
      <w:r w:rsidRPr="002C556E">
        <w:rPr>
          <w:b/>
        </w:rPr>
        <w:t>A formal sign-off on completeness and accuracy of the annual activity data</w:t>
      </w:r>
      <w:r>
        <w:rPr>
          <w:b/>
        </w:rPr>
        <w:t xml:space="preserve"> –</w:t>
      </w:r>
      <w:r w:rsidRPr="002C556E">
        <w:t xml:space="preserve"> </w:t>
      </w:r>
      <w:r>
        <w:t>t</w:t>
      </w:r>
      <w:r w:rsidRPr="002C556E">
        <w:t xml:space="preserve">his way data owners formally acknowledge that the signing </w:t>
      </w:r>
      <w:r>
        <w:t>EO</w:t>
      </w:r>
      <w:r w:rsidRPr="002C556E">
        <w:t xml:space="preserve"> relies on the data they control.</w:t>
      </w:r>
    </w:p>
    <w:p w14:paraId="7E35B6CC" w14:textId="080CF5A7" w:rsidR="001C3815" w:rsidRPr="002C556E" w:rsidRDefault="001C3815" w:rsidP="005E2132">
      <w:pPr>
        <w:pStyle w:val="CERbullets"/>
        <w:numPr>
          <w:ilvl w:val="1"/>
          <w:numId w:val="21"/>
        </w:numPr>
      </w:pPr>
      <w:r w:rsidRPr="002C556E">
        <w:rPr>
          <w:b/>
        </w:rPr>
        <w:t>Sense checks on total amounts to be reported</w:t>
      </w:r>
      <w:r w:rsidRPr="002C556E">
        <w:t xml:space="preserve"> – where possible, it can be useful to perform ‘sense-checks’ on total amounts to be reported in the NGER report to underlying systems. For example, the $-value for diesel purchases during the year as recorded in the accounting system to the NGER amount in </w:t>
      </w:r>
      <w:r>
        <w:t>kilo</w:t>
      </w:r>
      <w:r w:rsidRPr="002C556E">
        <w:t xml:space="preserve">litres </w:t>
      </w:r>
      <w:r w:rsidR="00C76077">
        <w:t>(</w:t>
      </w:r>
      <w:proofErr w:type="spellStart"/>
      <w:r w:rsidR="00C76077">
        <w:t>kL</w:t>
      </w:r>
      <w:proofErr w:type="spellEnd"/>
      <w:r w:rsidR="00C76077">
        <w:t>)</w:t>
      </w:r>
      <w:r w:rsidRPr="002C556E">
        <w:t xml:space="preserve"> to be reported, and sense-checking the implied $-value paid per litre. Such analysis can form part of the data-owner sign-off process. </w:t>
      </w:r>
    </w:p>
    <w:p w14:paraId="6DB2A1FF" w14:textId="77777777" w:rsidR="001C3815" w:rsidRPr="002C556E" w:rsidRDefault="001C3815" w:rsidP="001C3815">
      <w:pPr>
        <w:ind w:left="360"/>
      </w:pPr>
      <w:r>
        <w:t>In</w:t>
      </w:r>
      <w:r w:rsidRPr="002C556E">
        <w:t xml:space="preserve"> larger corporate groups with </w:t>
      </w:r>
      <w:r>
        <w:t>a significant number of facilities</w:t>
      </w:r>
      <w:r w:rsidRPr="002C556E">
        <w:t>, some of the data processes may be centralised, e.g. centralised purchasing and recording of diesel fuel data. Working through what the appropriate data process should be, and who should ultimately be accountable for the required NGER data</w:t>
      </w:r>
      <w:r>
        <w:t>,</w:t>
      </w:r>
      <w:r w:rsidRPr="002C556E">
        <w:t xml:space="preserve"> can be useful.</w:t>
      </w:r>
    </w:p>
    <w:p w14:paraId="78FDB76F" w14:textId="77777777" w:rsidR="001C3815" w:rsidRPr="002C556E" w:rsidRDefault="001C3815" w:rsidP="001C3815">
      <w:pPr>
        <w:ind w:left="360"/>
      </w:pPr>
      <w:r w:rsidRPr="002C556E">
        <w:t xml:space="preserve">Where existing </w:t>
      </w:r>
      <w:r>
        <w:t>facility</w:t>
      </w:r>
      <w:r w:rsidRPr="002C556E">
        <w:t xml:space="preserve"> processes are insufficient at delivering suitable NGER data, additional data processes should be formalised. </w:t>
      </w:r>
    </w:p>
    <w:p w14:paraId="38730AA5" w14:textId="715723F7" w:rsidR="001C3815" w:rsidRPr="002C556E" w:rsidRDefault="001C3815" w:rsidP="001C3815">
      <w:pPr>
        <w:pStyle w:val="CERbullets"/>
      </w:pPr>
      <w:r w:rsidRPr="002C556E">
        <w:rPr>
          <w:b/>
        </w:rPr>
        <w:t xml:space="preserve">Creating a </w:t>
      </w:r>
      <w:proofErr w:type="spellStart"/>
      <w:r w:rsidRPr="002C556E">
        <w:rPr>
          <w:b/>
        </w:rPr>
        <w:t>BoP</w:t>
      </w:r>
      <w:proofErr w:type="spellEnd"/>
      <w:r w:rsidRPr="002C556E">
        <w:rPr>
          <w:b/>
        </w:rPr>
        <w:t xml:space="preserve"> document</w:t>
      </w:r>
      <w:r w:rsidRPr="002C556E">
        <w:t xml:space="preserve"> – </w:t>
      </w:r>
      <w:r w:rsidR="00952F8C">
        <w:t xml:space="preserve">the </w:t>
      </w:r>
      <w:r w:rsidR="001E2090">
        <w:t>CER</w:t>
      </w:r>
      <w:r>
        <w:t xml:space="preserve"> encourages reporters to </w:t>
      </w:r>
      <w:r w:rsidR="00A84B52">
        <w:t xml:space="preserve">maintain </w:t>
      </w:r>
      <w:r>
        <w:t xml:space="preserve">a </w:t>
      </w:r>
      <w:proofErr w:type="spellStart"/>
      <w:r>
        <w:t>BoP</w:t>
      </w:r>
      <w:proofErr w:type="spellEnd"/>
      <w:r>
        <w:t xml:space="preserve"> </w:t>
      </w:r>
      <w:r w:rsidR="00ED1CE2">
        <w:t>as a means of</w:t>
      </w:r>
      <w:r w:rsidR="004C7A7A">
        <w:t xml:space="preserve"> demonstrating </w:t>
      </w:r>
      <w:r w:rsidR="00E46A76">
        <w:t>compliance with</w:t>
      </w:r>
      <w:r w:rsidRPr="002C556E">
        <w:t xml:space="preserve"> NGER</w:t>
      </w:r>
      <w:r w:rsidR="00832922">
        <w:t>’s</w:t>
      </w:r>
      <w:r w:rsidRPr="002C556E">
        <w:t xml:space="preserve"> record-keeping requirements. </w:t>
      </w:r>
      <w:r w:rsidR="00832922">
        <w:t>A</w:t>
      </w:r>
      <w:r w:rsidRPr="002C556E">
        <w:t xml:space="preserve"> </w:t>
      </w:r>
      <w:proofErr w:type="spellStart"/>
      <w:r w:rsidRPr="002C556E">
        <w:t>BoP</w:t>
      </w:r>
      <w:proofErr w:type="spellEnd"/>
      <w:r w:rsidRPr="002C556E">
        <w:t xml:space="preserve"> illustrates the methodology by which a NGER report has been prepared, including details such as facility layout, data sources and calculation methods. Much of what is referenced earlier in this </w:t>
      </w:r>
      <w:r>
        <w:t>compilation</w:t>
      </w:r>
      <w:r w:rsidRPr="002C556E">
        <w:t xml:space="preserve"> can be recorded in a </w:t>
      </w:r>
      <w:proofErr w:type="spellStart"/>
      <w:r w:rsidRPr="002C556E">
        <w:t>BoP</w:t>
      </w:r>
      <w:proofErr w:type="spellEnd"/>
      <w:r w:rsidRPr="002C556E">
        <w:t>.</w:t>
      </w:r>
    </w:p>
    <w:p w14:paraId="306C3662" w14:textId="34EB163F" w:rsidR="001C3815" w:rsidRPr="002C556E" w:rsidRDefault="00952F8C" w:rsidP="001C3815">
      <w:pPr>
        <w:ind w:left="360"/>
      </w:pPr>
      <w:r>
        <w:rPr>
          <w:color w:val="auto"/>
        </w:rPr>
        <w:t xml:space="preserve">The </w:t>
      </w:r>
      <w:r w:rsidR="001E2090">
        <w:rPr>
          <w:color w:val="auto"/>
        </w:rPr>
        <w:t>CER</w:t>
      </w:r>
      <w:r w:rsidR="001C3815">
        <w:rPr>
          <w:color w:val="auto"/>
        </w:rPr>
        <w:t xml:space="preserve"> also</w:t>
      </w:r>
      <w:r w:rsidR="001C3815" w:rsidRPr="002C556E">
        <w:rPr>
          <w:color w:val="auto"/>
        </w:rPr>
        <w:t xml:space="preserve"> encourages reporters to submit their </w:t>
      </w:r>
      <w:proofErr w:type="spellStart"/>
      <w:r w:rsidR="001C3815" w:rsidRPr="002C556E">
        <w:rPr>
          <w:color w:val="auto"/>
        </w:rPr>
        <w:t>BoP</w:t>
      </w:r>
      <w:proofErr w:type="spellEnd"/>
      <w:r w:rsidR="001C3815" w:rsidRPr="002C556E">
        <w:rPr>
          <w:color w:val="auto"/>
        </w:rPr>
        <w:t xml:space="preserve"> (or a summary thereof) with each year’s NGER report to clarify key assumptions and decisions applied.</w:t>
      </w:r>
    </w:p>
    <w:p w14:paraId="426F0A4B" w14:textId="37573537" w:rsidR="001C3815" w:rsidRPr="002C556E" w:rsidRDefault="00096632" w:rsidP="00C06A90">
      <w:pPr>
        <w:pStyle w:val="Heading2"/>
        <w:numPr>
          <w:ilvl w:val="1"/>
          <w:numId w:val="49"/>
        </w:numPr>
        <w:spacing w:after="200"/>
      </w:pPr>
      <w:bookmarkStart w:id="38" w:name="_Toc43977620"/>
      <w:bookmarkStart w:id="39" w:name="_Toc43978699"/>
      <w:bookmarkStart w:id="40" w:name="_Toc43983849"/>
      <w:bookmarkStart w:id="41" w:name="_Toc43977621"/>
      <w:bookmarkStart w:id="42" w:name="_Toc43978700"/>
      <w:bookmarkStart w:id="43" w:name="_Toc43983850"/>
      <w:bookmarkStart w:id="44" w:name="_Toc43977622"/>
      <w:bookmarkStart w:id="45" w:name="_Toc43978701"/>
      <w:bookmarkStart w:id="46" w:name="_Toc43983851"/>
      <w:bookmarkStart w:id="47" w:name="_Toc76565689"/>
      <w:bookmarkStart w:id="48" w:name="_Toc235613552"/>
      <w:bookmarkStart w:id="49" w:name="_Hlk43819864"/>
      <w:bookmarkEnd w:id="38"/>
      <w:bookmarkEnd w:id="39"/>
      <w:bookmarkEnd w:id="40"/>
      <w:bookmarkEnd w:id="41"/>
      <w:bookmarkEnd w:id="42"/>
      <w:bookmarkEnd w:id="43"/>
      <w:bookmarkEnd w:id="44"/>
      <w:bookmarkEnd w:id="45"/>
      <w:bookmarkEnd w:id="46"/>
      <w:r>
        <w:lastRenderedPageBreak/>
        <w:t>Temporary unavailability of method</w:t>
      </w:r>
      <w:bookmarkEnd w:id="47"/>
      <w:bookmarkEnd w:id="48"/>
    </w:p>
    <w:p w14:paraId="2E02E5B0" w14:textId="77ECE787" w:rsidR="001C3815" w:rsidRDefault="001C3815" w:rsidP="001C3815">
      <w:pPr>
        <w:spacing w:after="0"/>
        <w:rPr>
          <w:rFonts w:eastAsia="Times New Roman"/>
          <w:b/>
          <w:bCs/>
          <w:color w:val="005874"/>
          <w:kern w:val="32"/>
          <w:sz w:val="40"/>
        </w:rPr>
      </w:pPr>
      <w:r w:rsidRPr="002C556E">
        <w:t xml:space="preserve">Reporters should observe the requirements in section 1.19 of the </w:t>
      </w:r>
      <w:r>
        <w:t>NGER Measurement Determination</w:t>
      </w:r>
      <w:r w:rsidRPr="002C556E">
        <w:t xml:space="preserve"> for down time of equipment </w:t>
      </w:r>
      <w:r w:rsidR="0084447E">
        <w:t xml:space="preserve">or failure </w:t>
      </w:r>
      <w:r w:rsidR="00D63931">
        <w:t>of measurement systems</w:t>
      </w:r>
      <w:r w:rsidR="00B66A68">
        <w:t>.</w:t>
      </w:r>
      <w:r w:rsidR="004B6F2F">
        <w:t xml:space="preserve"> See</w:t>
      </w:r>
      <w:r w:rsidR="00F02BED">
        <w:t xml:space="preserve"> </w:t>
      </w:r>
      <w:hyperlink r:id="rId32" w:tooltip="A link to the Methods and measurement criteria guideline on the Department of Climate Change Energy the Environment and Water's website" w:history="1">
        <w:r w:rsidR="00661D8A" w:rsidRPr="00661D8A">
          <w:rPr>
            <w:rStyle w:val="Hyperlink"/>
            <w:rFonts w:asciiTheme="minorHAnsi" w:hAnsiTheme="minorHAnsi"/>
          </w:rPr>
          <w:t>Methods and measurement criteria guideline</w:t>
        </w:r>
      </w:hyperlink>
      <w:r w:rsidR="002E20C7">
        <w:rPr>
          <w:rStyle w:val="FootnoteReference"/>
        </w:rPr>
        <w:footnoteReference w:id="13"/>
      </w:r>
      <w:r w:rsidR="00661D8A">
        <w:t xml:space="preserve"> for </w:t>
      </w:r>
      <w:r w:rsidR="002E20C7">
        <w:t>more information.</w:t>
      </w:r>
      <w:bookmarkStart w:id="50" w:name="_Toc43983106"/>
      <w:bookmarkEnd w:id="49"/>
    </w:p>
    <w:p w14:paraId="40325978" w14:textId="77777777" w:rsidR="001C3815" w:rsidRPr="002C556E" w:rsidRDefault="001C3815" w:rsidP="00C06A90">
      <w:pPr>
        <w:pStyle w:val="Heading2"/>
        <w:numPr>
          <w:ilvl w:val="0"/>
          <w:numId w:val="49"/>
        </w:numPr>
        <w:spacing w:after="200"/>
      </w:pPr>
      <w:bookmarkStart w:id="51" w:name="_Toc76565690"/>
      <w:bookmarkStart w:id="52" w:name="_Toc235613553"/>
      <w:r w:rsidRPr="00BE391C">
        <w:t>Fuel combustion</w:t>
      </w:r>
      <w:r>
        <w:t xml:space="preserve"> emissions</w:t>
      </w:r>
      <w:bookmarkEnd w:id="50"/>
      <w:bookmarkEnd w:id="51"/>
      <w:bookmarkEnd w:id="52"/>
    </w:p>
    <w:p w14:paraId="669F23D6" w14:textId="77777777" w:rsidR="001C3815" w:rsidRPr="001E5D62" w:rsidRDefault="001C3815" w:rsidP="001C3815">
      <w:r w:rsidRPr="001E5D62">
        <w:t>The princip</w:t>
      </w:r>
      <w:r>
        <w:t>al</w:t>
      </w:r>
      <w:r w:rsidRPr="001E5D62">
        <w:t xml:space="preserve"> greenhouse gas generated by the combustion of fossil fuels for energy is</w:t>
      </w:r>
      <w:r>
        <w:t xml:space="preserve"> carbon dioxide</w:t>
      </w:r>
      <w:r w:rsidRPr="001E5D62">
        <w:t>. The quantity of gas produced depends on the carbon content of the fuel and the degree to which the fuel is fully combusted. Small quantities of methane and nitrous oxide are also produced, depending on the actual combustion conditions. Methane may be generated when fuel is heated, but only partially burnt, and depends on combustion temperatures and the level of oxygen present. Nitrous oxide results from the reaction between nitrogen and oxygen in the combustion air.</w:t>
      </w:r>
      <w:r>
        <w:t xml:space="preserve"> </w:t>
      </w:r>
    </w:p>
    <w:p w14:paraId="022EC161" w14:textId="77777777" w:rsidR="001C3815" w:rsidRPr="001E5D62" w:rsidRDefault="001C3815" w:rsidP="001C3815">
      <w:r w:rsidRPr="001E5D62">
        <w:t>The princip</w:t>
      </w:r>
      <w:r>
        <w:t>al</w:t>
      </w:r>
      <w:r w:rsidRPr="001E5D62">
        <w:t xml:space="preserve"> purpose of the combustion of fossil fuels in the Australian economy is for the consumption or use of energy. This </w:t>
      </w:r>
      <w:r>
        <w:t>guideline</w:t>
      </w:r>
      <w:r w:rsidRPr="001E5D62">
        <w:t xml:space="preserve"> addresses the general case of the estimation of emissions from the combustion of fossil fuels for that purpose. </w:t>
      </w:r>
    </w:p>
    <w:p w14:paraId="56BD6AA6" w14:textId="77777777" w:rsidR="001C3815" w:rsidRPr="001E5D62" w:rsidRDefault="001C3815" w:rsidP="001C3815">
      <w:r w:rsidRPr="001E5D62">
        <w:t xml:space="preserve">This </w:t>
      </w:r>
      <w:r>
        <w:t>guideline</w:t>
      </w:r>
      <w:r w:rsidRPr="001E5D62">
        <w:t xml:space="preserve"> provides for the following matters:</w:t>
      </w:r>
    </w:p>
    <w:p w14:paraId="3BB135ED" w14:textId="77777777" w:rsidR="001C3815" w:rsidRPr="00D171B1" w:rsidRDefault="001C3815" w:rsidP="001C3815">
      <w:pPr>
        <w:pStyle w:val="CERbullets"/>
      </w:pPr>
      <w:r w:rsidRPr="00D171B1">
        <w:t>estimation of emissions released from the following sources:</w:t>
      </w:r>
    </w:p>
    <w:p w14:paraId="186EAADA" w14:textId="77777777" w:rsidR="001C3815" w:rsidRPr="005E2132" w:rsidRDefault="001C3815" w:rsidP="005E2132">
      <w:pPr>
        <w:pStyle w:val="CERbullets"/>
        <w:numPr>
          <w:ilvl w:val="1"/>
          <w:numId w:val="21"/>
        </w:numPr>
      </w:pPr>
      <w:r w:rsidRPr="005E2132">
        <w:t>the combustion of solid fuels</w:t>
      </w:r>
    </w:p>
    <w:p w14:paraId="689D3A4B" w14:textId="77777777" w:rsidR="001C3815" w:rsidRPr="005E2132" w:rsidRDefault="001C3815" w:rsidP="005E2132">
      <w:pPr>
        <w:pStyle w:val="CERbullets"/>
        <w:numPr>
          <w:ilvl w:val="1"/>
          <w:numId w:val="21"/>
        </w:numPr>
      </w:pPr>
      <w:r w:rsidRPr="005E2132">
        <w:t>the combustion of gaseous fuels</w:t>
      </w:r>
    </w:p>
    <w:p w14:paraId="72D24BED" w14:textId="77777777" w:rsidR="001C3815" w:rsidRPr="005E2132" w:rsidRDefault="001C3815" w:rsidP="005E2132">
      <w:pPr>
        <w:pStyle w:val="CERbullets"/>
        <w:numPr>
          <w:ilvl w:val="1"/>
          <w:numId w:val="21"/>
        </w:numPr>
      </w:pPr>
      <w:r w:rsidRPr="005E2132">
        <w:t>the combustion of liquid fuels</w:t>
      </w:r>
    </w:p>
    <w:p w14:paraId="08B7A688" w14:textId="77777777" w:rsidR="001C3815" w:rsidRPr="005E2132" w:rsidRDefault="001C3815" w:rsidP="005E2132">
      <w:pPr>
        <w:pStyle w:val="CERbullets"/>
        <w:numPr>
          <w:ilvl w:val="1"/>
          <w:numId w:val="21"/>
        </w:numPr>
      </w:pPr>
      <w:r w:rsidRPr="005E2132">
        <w:t>fuel use by certain industries.</w:t>
      </w:r>
    </w:p>
    <w:p w14:paraId="087C6462" w14:textId="77777777" w:rsidR="001C3815" w:rsidRPr="00D171B1" w:rsidRDefault="001C3815" w:rsidP="001C3815">
      <w:pPr>
        <w:pStyle w:val="CERbullets"/>
      </w:pPr>
      <w:r w:rsidRPr="00D171B1">
        <w:t>the estimation of energy for certain purposes.</w:t>
      </w:r>
    </w:p>
    <w:p w14:paraId="2723C730" w14:textId="0728C1FB" w:rsidR="001C3815" w:rsidRPr="001E5D62" w:rsidRDefault="001C3815" w:rsidP="00C06A90">
      <w:pPr>
        <w:pStyle w:val="Heading2"/>
        <w:numPr>
          <w:ilvl w:val="1"/>
          <w:numId w:val="49"/>
        </w:numPr>
        <w:spacing w:after="200"/>
      </w:pPr>
      <w:bookmarkStart w:id="53" w:name="_Toc43983107"/>
      <w:bookmarkStart w:id="54" w:name="_Toc76565691"/>
      <w:bookmarkStart w:id="55" w:name="_Toc235613554"/>
      <w:r w:rsidRPr="001E5D62">
        <w:t>Reporting context</w:t>
      </w:r>
      <w:bookmarkEnd w:id="53"/>
      <w:bookmarkEnd w:id="54"/>
      <w:bookmarkEnd w:id="55"/>
    </w:p>
    <w:p w14:paraId="229D5022" w14:textId="682F2FDF" w:rsidR="001C3815" w:rsidRPr="001E5D62" w:rsidRDefault="001C3815" w:rsidP="001C3815">
      <w:r w:rsidRPr="001E5D62">
        <w:t xml:space="preserve">Under </w:t>
      </w:r>
      <w:r>
        <w:t>regulation 4.22</w:t>
      </w:r>
      <w:r w:rsidRPr="001E5D62">
        <w:t xml:space="preserve"> of the </w:t>
      </w:r>
      <w:r>
        <w:t xml:space="preserve">NGER </w:t>
      </w:r>
      <w:r w:rsidRPr="00E839F0">
        <w:t>Regulations</w:t>
      </w:r>
      <w:r w:rsidRPr="001E5D62">
        <w:rPr>
          <w:i/>
        </w:rPr>
        <w:t xml:space="preserve"> </w:t>
      </w:r>
      <w:r>
        <w:t xml:space="preserve">reporters </w:t>
      </w:r>
      <w:r w:rsidRPr="001E5D62">
        <w:t xml:space="preserve">should submit data for each individual </w:t>
      </w:r>
      <w:r>
        <w:t xml:space="preserve">energy </w:t>
      </w:r>
      <w:r w:rsidRPr="001E5D62">
        <w:t>type</w:t>
      </w:r>
      <w:r w:rsidR="00FA760E">
        <w:t>,</w:t>
      </w:r>
      <w:r>
        <w:t xml:space="preserve"> including fuel,</w:t>
      </w:r>
      <w:r w:rsidRPr="001E5D62">
        <w:t xml:space="preserve"> consumed: </w:t>
      </w:r>
    </w:p>
    <w:p w14:paraId="0817FE13" w14:textId="66C2B06D" w:rsidR="001C3815" w:rsidRPr="001E5D62" w:rsidRDefault="00913779" w:rsidP="00873709">
      <w:pPr>
        <w:pStyle w:val="CERbullets"/>
        <w:numPr>
          <w:ilvl w:val="0"/>
          <w:numId w:val="73"/>
        </w:numPr>
      </w:pPr>
      <w:r>
        <w:t xml:space="preserve">for </w:t>
      </w:r>
      <w:r w:rsidR="001C3815" w:rsidRPr="001E5D62">
        <w:t>electricity generation</w:t>
      </w:r>
    </w:p>
    <w:p w14:paraId="1B7ACA97" w14:textId="7E0E4F8F" w:rsidR="001C3815" w:rsidRPr="001E5D62" w:rsidRDefault="00913779" w:rsidP="00873709">
      <w:pPr>
        <w:pStyle w:val="CERbullets"/>
        <w:numPr>
          <w:ilvl w:val="0"/>
          <w:numId w:val="73"/>
        </w:numPr>
      </w:pPr>
      <w:r>
        <w:t xml:space="preserve">for </w:t>
      </w:r>
      <w:r w:rsidR="001C3815" w:rsidRPr="001E5D62">
        <w:t>transport (excluding international bunker fuels)</w:t>
      </w:r>
    </w:p>
    <w:p w14:paraId="50BAB25C" w14:textId="20FAE161" w:rsidR="001C3815" w:rsidRPr="001E5D62" w:rsidRDefault="00913779" w:rsidP="00873709">
      <w:pPr>
        <w:pStyle w:val="CERbullets"/>
        <w:numPr>
          <w:ilvl w:val="0"/>
          <w:numId w:val="73"/>
        </w:numPr>
      </w:pPr>
      <w:r>
        <w:t xml:space="preserve">for </w:t>
      </w:r>
      <w:r w:rsidR="001C3815">
        <w:t xml:space="preserve">production of a chemical or metal production, including as </w:t>
      </w:r>
      <w:r w:rsidR="001C3815" w:rsidRPr="001E5D62">
        <w:t>carbon reductants or feedstocks</w:t>
      </w:r>
    </w:p>
    <w:p w14:paraId="25595368" w14:textId="20CAE8E2" w:rsidR="001C3815" w:rsidRPr="001E5D62" w:rsidRDefault="000F0A13" w:rsidP="00873709">
      <w:pPr>
        <w:pStyle w:val="CERbullets"/>
        <w:numPr>
          <w:ilvl w:val="0"/>
          <w:numId w:val="73"/>
        </w:numPr>
      </w:pPr>
      <w:r>
        <w:t xml:space="preserve">for </w:t>
      </w:r>
      <w:r w:rsidR="001C3815">
        <w:t xml:space="preserve">any </w:t>
      </w:r>
      <w:r w:rsidR="001C3815" w:rsidRPr="001E5D62">
        <w:t>other</w:t>
      </w:r>
      <w:r w:rsidR="001C3815">
        <w:t xml:space="preserve"> purpose, including any other</w:t>
      </w:r>
      <w:r w:rsidR="001C3815" w:rsidRPr="001E5D62">
        <w:t xml:space="preserve"> stationary energy purposes</w:t>
      </w:r>
    </w:p>
    <w:p w14:paraId="6EE18A68" w14:textId="7D50F993" w:rsidR="001C3815" w:rsidRPr="001E5D62" w:rsidRDefault="001C3815" w:rsidP="00873709">
      <w:pPr>
        <w:pStyle w:val="CERbullets"/>
        <w:numPr>
          <w:ilvl w:val="0"/>
          <w:numId w:val="73"/>
        </w:numPr>
      </w:pPr>
      <w:r w:rsidRPr="001E5D62">
        <w:t>without combustion.</w:t>
      </w:r>
    </w:p>
    <w:p w14:paraId="5D879883" w14:textId="77777777" w:rsidR="001C3815" w:rsidRPr="001E5D62" w:rsidRDefault="001C3815" w:rsidP="001C3815">
      <w:r w:rsidRPr="001E5D62">
        <w:t xml:space="preserve">For each </w:t>
      </w:r>
      <w:r>
        <w:t>energy</w:t>
      </w:r>
      <w:r w:rsidRPr="001E5D62">
        <w:t xml:space="preserve"> type</w:t>
      </w:r>
      <w:r>
        <w:t xml:space="preserve"> (e.g. each fuel)</w:t>
      </w:r>
      <w:r w:rsidRPr="001E5D62">
        <w:t xml:space="preserve"> the</w:t>
      </w:r>
      <w:r>
        <w:t xml:space="preserve"> reporter </w:t>
      </w:r>
      <w:r w:rsidRPr="001E5D62">
        <w:t xml:space="preserve">should also </w:t>
      </w:r>
      <w:r>
        <w:t>report</w:t>
      </w:r>
      <w:r w:rsidRPr="001E5D62">
        <w:t>:</w:t>
      </w:r>
    </w:p>
    <w:p w14:paraId="35F2C69D" w14:textId="77777777" w:rsidR="001C3815" w:rsidRPr="001E5D62" w:rsidRDefault="001C3815" w:rsidP="001C3815">
      <w:pPr>
        <w:pStyle w:val="CERbullets"/>
        <w:numPr>
          <w:ilvl w:val="0"/>
          <w:numId w:val="53"/>
        </w:numPr>
      </w:pPr>
      <w:r w:rsidRPr="001E5D62">
        <w:t>the amount</w:t>
      </w:r>
      <w:r>
        <w:t xml:space="preserve"> and energy content</w:t>
      </w:r>
      <w:r w:rsidRPr="001E5D62">
        <w:t xml:space="preserve"> of </w:t>
      </w:r>
      <w:r>
        <w:t>each energy type</w:t>
      </w:r>
      <w:r w:rsidRPr="001E5D62">
        <w:t xml:space="preserve"> consumed for each purpose </w:t>
      </w:r>
      <w:r w:rsidRPr="005618E8">
        <w:t>(a)</w:t>
      </w:r>
      <w:r w:rsidRPr="001E5D62">
        <w:t xml:space="preserve"> to (e)</w:t>
      </w:r>
    </w:p>
    <w:p w14:paraId="3DBA3387" w14:textId="77777777" w:rsidR="001C3815" w:rsidRPr="001E5D62" w:rsidRDefault="001C3815" w:rsidP="001C3815">
      <w:pPr>
        <w:pStyle w:val="CERbullets"/>
        <w:numPr>
          <w:ilvl w:val="0"/>
          <w:numId w:val="53"/>
        </w:numPr>
      </w:pPr>
      <w:r w:rsidRPr="001E5D62">
        <w:t xml:space="preserve">the emissions of each greenhouse gas </w:t>
      </w:r>
      <w:r>
        <w:t xml:space="preserve">from the consumption of the energy </w:t>
      </w:r>
      <w:r w:rsidRPr="001E5D62">
        <w:t>for each purpose (a) to (d)</w:t>
      </w:r>
      <w:r w:rsidRPr="001E5D62" w:rsidDel="009A54AE">
        <w:t xml:space="preserve"> </w:t>
      </w:r>
    </w:p>
    <w:p w14:paraId="2B578841" w14:textId="77777777" w:rsidR="001C3815" w:rsidRPr="001E5D62" w:rsidRDefault="001C3815" w:rsidP="001C3815">
      <w:pPr>
        <w:pStyle w:val="CERbullets"/>
        <w:numPr>
          <w:ilvl w:val="0"/>
          <w:numId w:val="53"/>
        </w:numPr>
      </w:pPr>
      <w:r w:rsidRPr="001E5D62">
        <w:lastRenderedPageBreak/>
        <w:t xml:space="preserve">the </w:t>
      </w:r>
      <w:r>
        <w:t>methods in the NGER Measurement Determination</w:t>
      </w:r>
      <w:r w:rsidRPr="001E5D62">
        <w:t xml:space="preserve"> used to estimate the emissions</w:t>
      </w:r>
      <w:r>
        <w:t xml:space="preserve"> from the consumption of the energy for each purpose</w:t>
      </w:r>
      <w:r w:rsidRPr="001E5D62">
        <w:t xml:space="preserve"> (a) to (d)</w:t>
      </w:r>
    </w:p>
    <w:p w14:paraId="5812E0A8" w14:textId="77777777" w:rsidR="001C3815" w:rsidRDefault="001C3815" w:rsidP="001C3815">
      <w:pPr>
        <w:pStyle w:val="CERbullets"/>
        <w:numPr>
          <w:ilvl w:val="0"/>
          <w:numId w:val="53"/>
        </w:numPr>
      </w:pPr>
      <w:r w:rsidRPr="001E5D62">
        <w:t>the criter</w:t>
      </w:r>
      <w:r>
        <w:t>ia</w:t>
      </w:r>
      <w:r w:rsidRPr="001E5D62">
        <w:t xml:space="preserve"> </w:t>
      </w:r>
      <w:r>
        <w:t>in the NGER Measurement Determination</w:t>
      </w:r>
      <w:r w:rsidRPr="001E5D62">
        <w:t xml:space="preserve"> used to estimate the amount</w:t>
      </w:r>
      <w:r>
        <w:t xml:space="preserve"> and energy content</w:t>
      </w:r>
      <w:r w:rsidRPr="001E5D62">
        <w:t xml:space="preserve"> of fuel consumed</w:t>
      </w:r>
      <w:r>
        <w:t xml:space="preserve"> for each purpose</w:t>
      </w:r>
      <w:r w:rsidRPr="001E5D62">
        <w:t xml:space="preserve"> (a) to (e).</w:t>
      </w:r>
    </w:p>
    <w:p w14:paraId="26570B7D" w14:textId="0170DDF7" w:rsidR="0008125F" w:rsidRPr="00135578" w:rsidRDefault="005E4805" w:rsidP="001C3815">
      <w:pPr>
        <w:pStyle w:val="CERbullets"/>
        <w:numPr>
          <w:ilvl w:val="0"/>
          <w:numId w:val="53"/>
        </w:numPr>
      </w:pPr>
      <w:r>
        <w:t>w</w:t>
      </w:r>
      <w:r w:rsidR="007A6992">
        <w:t>hether the fuel is a blended fuel</w:t>
      </w:r>
      <w:r w:rsidR="00CD36D8">
        <w:t xml:space="preserve">, </w:t>
      </w:r>
      <w:r w:rsidR="004442E9">
        <w:t xml:space="preserve">and if so, </w:t>
      </w:r>
      <w:r w:rsidR="0033636D">
        <w:t>report</w:t>
      </w:r>
      <w:r w:rsidR="00CD36D8">
        <w:t xml:space="preserve"> the s</w:t>
      </w:r>
      <w:r w:rsidR="005D7FC9">
        <w:t>ection</w:t>
      </w:r>
      <w:r w:rsidR="00C119AC">
        <w:t xml:space="preserve"> of the NGER Measurement Determination</w:t>
      </w:r>
      <w:r w:rsidR="004E082D">
        <w:t xml:space="preserve"> used to determine the proportions </w:t>
      </w:r>
      <w:r w:rsidR="00C31720">
        <w:t xml:space="preserve">and the amount </w:t>
      </w:r>
      <w:r w:rsidR="004E082D">
        <w:t>of each type of fuel in the blend</w:t>
      </w:r>
      <w:r w:rsidR="00F2121A">
        <w:t xml:space="preserve"> consumed for each purpose (a) to (e)</w:t>
      </w:r>
      <w:r w:rsidR="002318EF">
        <w:t xml:space="preserve">. </w:t>
      </w:r>
      <w:r w:rsidR="006820ED">
        <w:rPr>
          <w:rStyle w:val="ui-provider"/>
        </w:rPr>
        <w:t xml:space="preserve">See </w:t>
      </w:r>
      <w:hyperlink r:id="rId33" w:tooltip="A link to the 'Reporting blended fuels, other fuel mixes, bitument and explosives' guide on the Clean Energy Regulator webpage" w:history="1">
        <w:r w:rsidR="006820ED" w:rsidRPr="00095BA4">
          <w:rPr>
            <w:rStyle w:val="Hyperlink"/>
            <w:rFonts w:asciiTheme="minorHAnsi" w:hAnsiTheme="minorHAnsi"/>
          </w:rPr>
          <w:t>Reporting blended fuels, other fuel mixes, bitumen and explosives guideline</w:t>
        </w:r>
      </w:hyperlink>
      <w:r w:rsidR="006820ED">
        <w:rPr>
          <w:rStyle w:val="FootnoteReference"/>
        </w:rPr>
        <w:footnoteReference w:id="14"/>
      </w:r>
      <w:r w:rsidR="006820ED">
        <w:rPr>
          <w:rStyle w:val="ui-provider"/>
        </w:rPr>
        <w:t xml:space="preserve"> for more information on how to report emissions from </w:t>
      </w:r>
      <w:r w:rsidR="00D96E4C">
        <w:rPr>
          <w:rStyle w:val="ui-provider"/>
        </w:rPr>
        <w:t>blended fuels</w:t>
      </w:r>
      <w:r w:rsidR="006820ED">
        <w:rPr>
          <w:rStyle w:val="ui-provider"/>
        </w:rPr>
        <w:t>. </w:t>
      </w:r>
    </w:p>
    <w:p w14:paraId="7BA9E7D3" w14:textId="6F09AB94" w:rsidR="00A52966" w:rsidRDefault="00E622A5" w:rsidP="00C06A90">
      <w:pPr>
        <w:pStyle w:val="Heading2"/>
        <w:numPr>
          <w:ilvl w:val="1"/>
          <w:numId w:val="49"/>
        </w:numPr>
        <w:spacing w:after="200"/>
      </w:pPr>
      <w:bookmarkStart w:id="56" w:name="_Toc235613555"/>
      <w:bookmarkStart w:id="57" w:name="_Toc509935575"/>
      <w:bookmarkStart w:id="58" w:name="_Toc43983108"/>
      <w:bookmarkStart w:id="59" w:name="_Toc76565692"/>
      <w:r>
        <w:t>Determining quantities of fuel consumed</w:t>
      </w:r>
      <w:bookmarkEnd w:id="56"/>
    </w:p>
    <w:p w14:paraId="7FA84B93" w14:textId="7B12267A" w:rsidR="00DA14E7" w:rsidRDefault="00DA14E7" w:rsidP="00C06A90">
      <w:pPr>
        <w:pStyle w:val="Heading2"/>
        <w:numPr>
          <w:ilvl w:val="2"/>
          <w:numId w:val="49"/>
        </w:numPr>
        <w:spacing w:after="200"/>
      </w:pPr>
      <w:bookmarkStart w:id="60" w:name="_Toc235613556"/>
      <w:r>
        <w:t>Measurement criteria</w:t>
      </w:r>
      <w:bookmarkEnd w:id="60"/>
    </w:p>
    <w:p w14:paraId="26A3CAE6" w14:textId="2B4AFC6B" w:rsidR="00E622A5" w:rsidRDefault="00D65BEF" w:rsidP="00E622A5">
      <w:r>
        <w:rPr>
          <w:color w:val="auto"/>
        </w:rPr>
        <w:t>To</w:t>
      </w:r>
      <w:r w:rsidR="00FF4A8F" w:rsidRPr="00C06A90">
        <w:rPr>
          <w:color w:val="auto"/>
        </w:rPr>
        <w:t xml:space="preserve"> determin</w:t>
      </w:r>
      <w:r>
        <w:rPr>
          <w:color w:val="auto"/>
        </w:rPr>
        <w:t>e</w:t>
      </w:r>
      <w:r w:rsidR="00FF4A8F" w:rsidRPr="00C06A90">
        <w:rPr>
          <w:color w:val="auto"/>
        </w:rPr>
        <w:t xml:space="preserve"> </w:t>
      </w:r>
      <w:r w:rsidR="00AC32C6">
        <w:rPr>
          <w:color w:val="auto"/>
        </w:rPr>
        <w:t xml:space="preserve">the </w:t>
      </w:r>
      <w:r w:rsidR="00FF4A8F" w:rsidRPr="00C06A90">
        <w:rPr>
          <w:color w:val="auto"/>
        </w:rPr>
        <w:t>q</w:t>
      </w:r>
      <w:r w:rsidR="00AC32C6">
        <w:rPr>
          <w:color w:val="auto"/>
        </w:rPr>
        <w:t xml:space="preserve">uantity of </w:t>
      </w:r>
      <w:r w:rsidR="00FF4A8F" w:rsidRPr="00C06A90">
        <w:rPr>
          <w:color w:val="auto"/>
        </w:rPr>
        <w:t xml:space="preserve">fuel consumed, </w:t>
      </w:r>
      <w:r w:rsidR="00AC32C6">
        <w:rPr>
          <w:color w:val="auto"/>
        </w:rPr>
        <w:t>the measurement criteria</w:t>
      </w:r>
      <w:r w:rsidR="007727D7">
        <w:rPr>
          <w:color w:val="auto"/>
        </w:rPr>
        <w:t xml:space="preserve"> outlined in Chapter 2 of the NGER Measurement Determination must be applied for each fuel type</w:t>
      </w:r>
      <w:r w:rsidR="00F9305B">
        <w:rPr>
          <w:color w:val="auto"/>
        </w:rPr>
        <w:t xml:space="preserve">. See </w:t>
      </w:r>
      <w:hyperlink r:id="rId34" w:history="1">
        <w:r w:rsidR="00E37BA6">
          <w:rPr>
            <w:color w:val="0000FF"/>
            <w:u w:val="single"/>
          </w:rPr>
          <w:t>Methods and measurement criteria guideline</w:t>
        </w:r>
      </w:hyperlink>
      <w:r w:rsidR="00102CF4">
        <w:rPr>
          <w:rStyle w:val="FootnoteReference"/>
        </w:rPr>
        <w:footnoteReference w:id="15"/>
      </w:r>
      <w:r w:rsidR="007B51E0">
        <w:t xml:space="preserve"> for more</w:t>
      </w:r>
      <w:r w:rsidR="00102CF4">
        <w:t xml:space="preserve"> information.</w:t>
      </w:r>
    </w:p>
    <w:p w14:paraId="71A9E2BE" w14:textId="66888588" w:rsidR="00DA14E7" w:rsidRPr="00C06A90" w:rsidRDefault="00DA14E7" w:rsidP="00C06A90">
      <w:pPr>
        <w:pStyle w:val="Heading2"/>
        <w:numPr>
          <w:ilvl w:val="2"/>
          <w:numId w:val="49"/>
        </w:numPr>
        <w:spacing w:after="200"/>
      </w:pPr>
      <w:bookmarkStart w:id="61" w:name="_Toc235613557"/>
      <w:r>
        <w:t>Blended fuels</w:t>
      </w:r>
      <w:bookmarkEnd w:id="61"/>
    </w:p>
    <w:p w14:paraId="7EA7C193" w14:textId="5A3A4006" w:rsidR="007023E0" w:rsidDel="00B6383B" w:rsidRDefault="00D65BEF" w:rsidP="00BC7CA1">
      <w:pPr>
        <w:rPr>
          <w:color w:val="auto"/>
        </w:rPr>
      </w:pPr>
      <w:r>
        <w:rPr>
          <w:color w:val="auto"/>
        </w:rPr>
        <w:t>To</w:t>
      </w:r>
      <w:r w:rsidR="000C6ACD">
        <w:rPr>
          <w:color w:val="auto"/>
        </w:rPr>
        <w:t xml:space="preserve"> determ</w:t>
      </w:r>
      <w:r w:rsidR="00F26383">
        <w:rPr>
          <w:color w:val="auto"/>
        </w:rPr>
        <w:t>in</w:t>
      </w:r>
      <w:r>
        <w:rPr>
          <w:color w:val="auto"/>
        </w:rPr>
        <w:t>e</w:t>
      </w:r>
      <w:r w:rsidR="000C6ACD">
        <w:rPr>
          <w:color w:val="auto"/>
        </w:rPr>
        <w:t xml:space="preserve"> the quantity of a </w:t>
      </w:r>
      <w:r w:rsidR="00B50480">
        <w:rPr>
          <w:color w:val="auto"/>
        </w:rPr>
        <w:t xml:space="preserve">fuel within a blended fuel, </w:t>
      </w:r>
      <w:r w:rsidR="00914E79">
        <w:rPr>
          <w:color w:val="auto"/>
        </w:rPr>
        <w:t>Part 2.6 of the NGER Measurement Determination must be applied.</w:t>
      </w:r>
      <w:r w:rsidR="00F44E63">
        <w:rPr>
          <w:color w:val="auto"/>
        </w:rPr>
        <w:t xml:space="preserve"> See </w:t>
      </w:r>
      <w:hyperlink r:id="rId35" w:tooltip="A link to the 'Reporting blended fuels, other fuel mixes, bitument and explosives' guide on the Clean Energy Regulator webpage" w:history="1">
        <w:r w:rsidR="00F44E63" w:rsidRPr="00095BA4">
          <w:rPr>
            <w:rStyle w:val="Hyperlink"/>
            <w:rFonts w:asciiTheme="minorHAnsi" w:hAnsiTheme="minorHAnsi"/>
          </w:rPr>
          <w:t>Reporting blended fuels, other fuel mixes, bitumen and explosives guideline</w:t>
        </w:r>
      </w:hyperlink>
      <w:r w:rsidR="004E6B4C">
        <w:rPr>
          <w:rStyle w:val="FootnoteReference"/>
        </w:rPr>
        <w:footnoteReference w:id="16"/>
      </w:r>
      <w:r w:rsidR="004A5EC3">
        <w:t xml:space="preserve"> </w:t>
      </w:r>
      <w:r w:rsidR="00B6383B">
        <w:t>for more information on how to determine the quantity of fuel in blended fuels.</w:t>
      </w:r>
    </w:p>
    <w:p w14:paraId="67416BF7" w14:textId="2DDE4E99" w:rsidR="001C3815" w:rsidRPr="002C556E" w:rsidRDefault="001C3815" w:rsidP="00C06A90">
      <w:pPr>
        <w:pStyle w:val="Heading2"/>
        <w:numPr>
          <w:ilvl w:val="1"/>
          <w:numId w:val="49"/>
        </w:numPr>
        <w:spacing w:after="200"/>
      </w:pPr>
      <w:bookmarkStart w:id="62" w:name="_Toc235613558"/>
      <w:r w:rsidRPr="002C556E">
        <w:t xml:space="preserve">Estimating </w:t>
      </w:r>
      <w:bookmarkEnd w:id="57"/>
      <w:r>
        <w:t>e</w:t>
      </w:r>
      <w:r w:rsidRPr="00731890">
        <w:t>missions released from the combustion of solid fuels</w:t>
      </w:r>
      <w:bookmarkEnd w:id="58"/>
      <w:bookmarkEnd w:id="59"/>
      <w:bookmarkEnd w:id="62"/>
    </w:p>
    <w:p w14:paraId="53D7C1E3" w14:textId="3B64A3F5" w:rsidR="001C3815" w:rsidRPr="00291015" w:rsidRDefault="001C3815" w:rsidP="001C3815">
      <w:r w:rsidRPr="00291015">
        <w:t>Part</w:t>
      </w:r>
      <w:r>
        <w:t xml:space="preserve"> 2.2 of the </w:t>
      </w:r>
      <w:r>
        <w:rPr>
          <w:rFonts w:ascii="Calibri" w:hAnsi="Calibri" w:cs="Calibri"/>
          <w:color w:val="auto"/>
          <w:szCs w:val="22"/>
          <w:lang w:eastAsia="en-AU"/>
        </w:rPr>
        <w:t xml:space="preserve">NGER </w:t>
      </w:r>
      <w:bookmarkStart w:id="63" w:name="_Hlk43827366"/>
      <w:r>
        <w:rPr>
          <w:rFonts w:ascii="Calibri" w:hAnsi="Calibri" w:cs="Calibri"/>
          <w:color w:val="auto"/>
          <w:szCs w:val="22"/>
          <w:lang w:eastAsia="en-AU"/>
        </w:rPr>
        <w:t>Measurement Determination</w:t>
      </w:r>
      <w:r>
        <w:t xml:space="preserve"> </w:t>
      </w:r>
      <w:bookmarkEnd w:id="63"/>
      <w:r w:rsidRPr="00291015">
        <w:t>applies to emissions released from the combustion of solid fuel in relation to a separate instance of a source if the amount of solid fuel combusted in relation to the separate instance of the source is more than 1 tonne</w:t>
      </w:r>
      <w:r w:rsidR="00A2487D">
        <w:t xml:space="preserve"> (t)</w:t>
      </w:r>
      <w:r w:rsidRPr="00291015">
        <w:t>. The measurement and reporting of emissions and energy associated with the combustion of a solid fuel is optional if the quantity of solid fuel combusted in a separate instance of a source is 1</w:t>
      </w:r>
      <w:r w:rsidR="00A2487D">
        <w:t> t</w:t>
      </w:r>
      <w:r w:rsidRPr="00291015">
        <w:t xml:space="preserve"> or less. Separate instance of a source is defined in section 1.9A</w:t>
      </w:r>
      <w:r>
        <w:t xml:space="preserve"> of the NGER </w:t>
      </w:r>
      <w:r>
        <w:rPr>
          <w:rFonts w:ascii="Calibri" w:hAnsi="Calibri" w:cs="Calibri"/>
          <w:color w:val="auto"/>
          <w:szCs w:val="22"/>
          <w:lang w:eastAsia="en-AU"/>
        </w:rPr>
        <w:t>Measurement Determination</w:t>
      </w:r>
      <w:r w:rsidRPr="00291015">
        <w:t>. Amounts below the reporting threshold may still be reported if doing so is more efficient for the reporter.</w:t>
      </w:r>
    </w:p>
    <w:p w14:paraId="17361588" w14:textId="77777777" w:rsidR="001C3815" w:rsidRDefault="001C3815" w:rsidP="001C3815">
      <w:bookmarkStart w:id="64" w:name="_Hlk43301397"/>
      <w:r w:rsidRPr="00291015">
        <w:t xml:space="preserve">The methods available </w:t>
      </w:r>
      <w:r>
        <w:t xml:space="preserve">for reporting the combustion of solid fuels under part 2.2 of the NGER </w:t>
      </w:r>
      <w:r>
        <w:rPr>
          <w:rFonts w:ascii="Calibri" w:hAnsi="Calibri" w:cs="Calibri"/>
          <w:color w:val="auto"/>
          <w:szCs w:val="22"/>
          <w:lang w:eastAsia="en-AU"/>
        </w:rPr>
        <w:t>Measurement Determination</w:t>
      </w:r>
      <w:r w:rsidRPr="00291015">
        <w:t xml:space="preserve"> by gas are summarised in table 2.</w:t>
      </w:r>
    </w:p>
    <w:p w14:paraId="25D768F7" w14:textId="77777777" w:rsidR="00BC7CA1" w:rsidRDefault="00BC7CA1" w:rsidP="001C3815"/>
    <w:p w14:paraId="66E1BC7A" w14:textId="77777777" w:rsidR="00BC7CA1" w:rsidRDefault="00BC7CA1" w:rsidP="001C3815"/>
    <w:p w14:paraId="3903F085" w14:textId="77777777" w:rsidR="00BC7CA1" w:rsidRDefault="00BC7CA1" w:rsidP="001C3815"/>
    <w:p w14:paraId="3F379471" w14:textId="77777777" w:rsidR="00BC7CA1" w:rsidRPr="00291015" w:rsidRDefault="00BC7CA1" w:rsidP="001C3815"/>
    <w:bookmarkEnd w:id="64"/>
    <w:p w14:paraId="10E4C3BF" w14:textId="431332E8" w:rsidR="001C3815" w:rsidRPr="001404CE" w:rsidRDefault="001C3815" w:rsidP="001C3815">
      <w:pPr>
        <w:pStyle w:val="Caption"/>
      </w:pPr>
      <w:r w:rsidRPr="00291015">
        <w:lastRenderedPageBreak/>
        <w:t xml:space="preserve">Table </w:t>
      </w:r>
      <w:fldSimple w:instr=" SEQ Table \* ARABIC ">
        <w:r w:rsidR="00185B26">
          <w:rPr>
            <w:noProof/>
          </w:rPr>
          <w:t>2</w:t>
        </w:r>
      </w:fldSimple>
      <w:r w:rsidRPr="00291015">
        <w:t xml:space="preserve">: Summary of available methods, for estimating emissions from the combustion of solid fuels, by emissions of gas </w:t>
      </w:r>
      <w:r w:rsidRPr="001404CE">
        <w:t>type (j)</w:t>
      </w:r>
      <w:r w:rsidR="00E0301C">
        <w:t>.</w:t>
      </w:r>
    </w:p>
    <w:tbl>
      <w:tblPr>
        <w:tblStyle w:val="CERTable"/>
        <w:tblW w:w="9781" w:type="dxa"/>
        <w:tblLook w:val="0620" w:firstRow="1" w:lastRow="0" w:firstColumn="0" w:lastColumn="0" w:noHBand="1" w:noVBand="1"/>
      </w:tblPr>
      <w:tblGrid>
        <w:gridCol w:w="1134"/>
        <w:gridCol w:w="2385"/>
        <w:gridCol w:w="876"/>
        <w:gridCol w:w="5386"/>
      </w:tblGrid>
      <w:tr w:rsidR="0024546B" w:rsidRPr="005F583F" w14:paraId="4A2CA8EC" w14:textId="77777777" w:rsidTr="00A03A33">
        <w:trPr>
          <w:cnfStyle w:val="100000000000" w:firstRow="1" w:lastRow="0" w:firstColumn="0" w:lastColumn="0" w:oddVBand="0" w:evenVBand="0" w:oddHBand="0" w:evenHBand="0" w:firstRowFirstColumn="0" w:firstRowLastColumn="0" w:lastRowFirstColumn="0" w:lastRowLastColumn="0"/>
          <w:tblHeader/>
        </w:trPr>
        <w:tc>
          <w:tcPr>
            <w:tcW w:w="1134" w:type="dxa"/>
          </w:tcPr>
          <w:p w14:paraId="333638D9" w14:textId="77777777" w:rsidR="001C3815" w:rsidRPr="00031682" w:rsidRDefault="001C3815" w:rsidP="00793B33">
            <w:pPr>
              <w:rPr>
                <w:highlight w:val="yellow"/>
              </w:rPr>
            </w:pPr>
            <w:r w:rsidRPr="00031682">
              <w:t>Method</w:t>
            </w:r>
          </w:p>
        </w:tc>
        <w:tc>
          <w:tcPr>
            <w:tcW w:w="2385" w:type="dxa"/>
          </w:tcPr>
          <w:p w14:paraId="422FBB18" w14:textId="77777777" w:rsidR="001C3815" w:rsidRPr="00793B33" w:rsidRDefault="001C3815" w:rsidP="00793B33">
            <w:r w:rsidRPr="00031682">
              <w:t>CO</w:t>
            </w:r>
            <w:r w:rsidRPr="00277423">
              <w:rPr>
                <w:vertAlign w:val="subscript"/>
              </w:rPr>
              <w:t>2</w:t>
            </w:r>
          </w:p>
        </w:tc>
        <w:tc>
          <w:tcPr>
            <w:tcW w:w="0" w:type="dxa"/>
          </w:tcPr>
          <w:p w14:paraId="3C294E87" w14:textId="77777777" w:rsidR="001C3815" w:rsidRPr="00793B33" w:rsidRDefault="001C3815" w:rsidP="00793B33">
            <w:r w:rsidRPr="00031682">
              <w:t>CH</w:t>
            </w:r>
            <w:r w:rsidRPr="00277423">
              <w:rPr>
                <w:vertAlign w:val="subscript"/>
              </w:rPr>
              <w:t>4</w:t>
            </w:r>
          </w:p>
        </w:tc>
        <w:tc>
          <w:tcPr>
            <w:tcW w:w="5386" w:type="dxa"/>
          </w:tcPr>
          <w:p w14:paraId="17B65D79" w14:textId="77777777" w:rsidR="001C3815" w:rsidRPr="00793B33" w:rsidRDefault="001C3815" w:rsidP="00793B33">
            <w:r w:rsidRPr="00031682">
              <w:t>N</w:t>
            </w:r>
            <w:r w:rsidRPr="00277423">
              <w:rPr>
                <w:vertAlign w:val="subscript"/>
              </w:rPr>
              <w:t>2</w:t>
            </w:r>
            <w:r w:rsidRPr="00793B33">
              <w:t>O</w:t>
            </w:r>
          </w:p>
        </w:tc>
      </w:tr>
      <w:tr w:rsidR="003D336D" w:rsidRPr="00291015" w14:paraId="4362BCAB" w14:textId="77777777" w:rsidTr="003D336D">
        <w:tc>
          <w:tcPr>
            <w:tcW w:w="1134" w:type="dxa"/>
          </w:tcPr>
          <w:p w14:paraId="2E5947E4" w14:textId="77777777" w:rsidR="001C3815" w:rsidRPr="00793B33" w:rsidRDefault="001C3815" w:rsidP="00793B33">
            <w:r w:rsidRPr="00031682">
              <w:t>Method 1</w:t>
            </w:r>
          </w:p>
        </w:tc>
        <w:tc>
          <w:tcPr>
            <w:tcW w:w="2385" w:type="dxa"/>
          </w:tcPr>
          <w:p w14:paraId="3227CDB8" w14:textId="77777777" w:rsidR="001C3815" w:rsidRPr="00793B33" w:rsidRDefault="001C3815" w:rsidP="00793B33">
            <w:r w:rsidRPr="00031682">
              <w:t xml:space="preserve">Section </w:t>
            </w:r>
            <w:r w:rsidRPr="00793B33">
              <w:t>2.4</w:t>
            </w:r>
          </w:p>
        </w:tc>
        <w:tc>
          <w:tcPr>
            <w:tcW w:w="876" w:type="dxa"/>
          </w:tcPr>
          <w:p w14:paraId="3C0BE828" w14:textId="77777777" w:rsidR="001C3815" w:rsidRPr="00793B33" w:rsidRDefault="001C3815" w:rsidP="00793B33">
            <w:r w:rsidRPr="00031682">
              <w:t>Section 2.4</w:t>
            </w:r>
          </w:p>
        </w:tc>
        <w:tc>
          <w:tcPr>
            <w:tcW w:w="5386" w:type="dxa"/>
          </w:tcPr>
          <w:p w14:paraId="2FD617FB" w14:textId="77777777" w:rsidR="001C3815" w:rsidRPr="00793B33" w:rsidRDefault="001C3815" w:rsidP="00793B33">
            <w:r w:rsidRPr="00031682">
              <w:t>Section 2.4</w:t>
            </w:r>
          </w:p>
        </w:tc>
      </w:tr>
      <w:tr w:rsidR="003D336D" w:rsidRPr="00291015" w14:paraId="6A227ECF" w14:textId="77777777" w:rsidTr="003D336D">
        <w:tc>
          <w:tcPr>
            <w:tcW w:w="1134" w:type="dxa"/>
          </w:tcPr>
          <w:p w14:paraId="3DECC6B6" w14:textId="77777777" w:rsidR="001C3815" w:rsidRPr="00793B33" w:rsidRDefault="001C3815" w:rsidP="00793B33">
            <w:r w:rsidRPr="00031682">
              <w:t>Method 2</w:t>
            </w:r>
          </w:p>
        </w:tc>
        <w:tc>
          <w:tcPr>
            <w:tcW w:w="2385" w:type="dxa"/>
          </w:tcPr>
          <w:p w14:paraId="3F8FFEBF" w14:textId="77777777" w:rsidR="001C3815" w:rsidRPr="00793B33" w:rsidRDefault="001C3815" w:rsidP="00793B33">
            <w:r w:rsidRPr="00031682">
              <w:t>Section 2.5 (using an oxidation factor) or</w:t>
            </w:r>
          </w:p>
          <w:p w14:paraId="122CBBEF" w14:textId="77777777" w:rsidR="001C3815" w:rsidRPr="00793B33" w:rsidRDefault="001C3815" w:rsidP="00793B33">
            <w:r w:rsidRPr="00031682">
              <w:t>s</w:t>
            </w:r>
            <w:r w:rsidRPr="00793B33">
              <w:t>ection 2.6 (using an estimated oxidation factor</w:t>
            </w:r>
          </w:p>
        </w:tc>
        <w:tc>
          <w:tcPr>
            <w:tcW w:w="876" w:type="dxa"/>
          </w:tcPr>
          <w:p w14:paraId="59326B6E" w14:textId="77777777" w:rsidR="001C3815" w:rsidRPr="00793B33" w:rsidRDefault="001C3815" w:rsidP="00793B33">
            <w:r w:rsidRPr="00031682">
              <w:t>NA</w:t>
            </w:r>
          </w:p>
        </w:tc>
        <w:tc>
          <w:tcPr>
            <w:tcW w:w="5386" w:type="dxa"/>
          </w:tcPr>
          <w:p w14:paraId="7E505038" w14:textId="77777777" w:rsidR="001C3815" w:rsidRPr="00793B33" w:rsidRDefault="001C3815" w:rsidP="00793B33">
            <w:r w:rsidRPr="00031682">
              <w:t>NA</w:t>
            </w:r>
          </w:p>
        </w:tc>
      </w:tr>
      <w:tr w:rsidR="003D336D" w:rsidRPr="00291015" w14:paraId="6EBA78CB" w14:textId="77777777" w:rsidTr="003D336D">
        <w:tc>
          <w:tcPr>
            <w:tcW w:w="1134" w:type="dxa"/>
          </w:tcPr>
          <w:p w14:paraId="4867BED0" w14:textId="77777777" w:rsidR="001C3815" w:rsidRPr="00793B33" w:rsidRDefault="001C3815" w:rsidP="00793B33">
            <w:r w:rsidRPr="00031682">
              <w:t>Method 3</w:t>
            </w:r>
          </w:p>
        </w:tc>
        <w:tc>
          <w:tcPr>
            <w:tcW w:w="2385" w:type="dxa"/>
          </w:tcPr>
          <w:p w14:paraId="4F1015D1" w14:textId="77777777" w:rsidR="001C3815" w:rsidRPr="00793B33" w:rsidRDefault="001C3815" w:rsidP="00793B33">
            <w:r w:rsidRPr="00031682">
              <w:t>Section 2.12 (using an oxidation factor or an estimated oxidation factor)</w:t>
            </w:r>
          </w:p>
        </w:tc>
        <w:tc>
          <w:tcPr>
            <w:tcW w:w="876" w:type="dxa"/>
          </w:tcPr>
          <w:p w14:paraId="3721CE1D" w14:textId="77777777" w:rsidR="001C3815" w:rsidRPr="00793B33" w:rsidRDefault="001C3815" w:rsidP="00793B33">
            <w:r w:rsidRPr="00031682">
              <w:t>NA</w:t>
            </w:r>
          </w:p>
        </w:tc>
        <w:tc>
          <w:tcPr>
            <w:tcW w:w="5386" w:type="dxa"/>
          </w:tcPr>
          <w:p w14:paraId="26ED0A8D" w14:textId="77777777" w:rsidR="001C3815" w:rsidRPr="00793B33" w:rsidRDefault="001C3815" w:rsidP="00793B33">
            <w:r w:rsidRPr="00031682">
              <w:t>NA</w:t>
            </w:r>
          </w:p>
        </w:tc>
      </w:tr>
      <w:tr w:rsidR="003D336D" w:rsidRPr="00291015" w14:paraId="650BB6CD" w14:textId="77777777" w:rsidTr="003D336D">
        <w:tc>
          <w:tcPr>
            <w:tcW w:w="1134" w:type="dxa"/>
          </w:tcPr>
          <w:p w14:paraId="02B8FF15" w14:textId="77777777" w:rsidR="001C3815" w:rsidRPr="00793B33" w:rsidRDefault="001C3815" w:rsidP="00793B33">
            <w:r w:rsidRPr="00031682">
              <w:t>Method 4</w:t>
            </w:r>
          </w:p>
        </w:tc>
        <w:tc>
          <w:tcPr>
            <w:tcW w:w="2385" w:type="dxa"/>
          </w:tcPr>
          <w:p w14:paraId="0E1E7B82" w14:textId="77777777" w:rsidR="001C3815" w:rsidRPr="001E4F5F" w:rsidRDefault="001C3815" w:rsidP="00793B33">
            <w:pPr>
              <w:rPr>
                <w:bCs/>
              </w:rPr>
            </w:pPr>
            <w:r w:rsidRPr="009B7BFA">
              <w:t>Part 1.3</w:t>
            </w:r>
          </w:p>
        </w:tc>
        <w:tc>
          <w:tcPr>
            <w:tcW w:w="876" w:type="dxa"/>
          </w:tcPr>
          <w:p w14:paraId="4274EA84" w14:textId="77777777" w:rsidR="001C3815" w:rsidRPr="001E4F5F" w:rsidRDefault="001C3815" w:rsidP="00793B33">
            <w:pPr>
              <w:rPr>
                <w:bCs/>
              </w:rPr>
            </w:pPr>
            <w:r w:rsidRPr="009B7BFA">
              <w:t>NA</w:t>
            </w:r>
          </w:p>
        </w:tc>
        <w:tc>
          <w:tcPr>
            <w:tcW w:w="5386" w:type="dxa"/>
          </w:tcPr>
          <w:p w14:paraId="1A55B4F4" w14:textId="77777777" w:rsidR="001C3815" w:rsidRPr="001E4F5F" w:rsidRDefault="001C3815" w:rsidP="00793B33">
            <w:pPr>
              <w:rPr>
                <w:bCs/>
              </w:rPr>
            </w:pPr>
            <w:r w:rsidRPr="009B7BFA">
              <w:t>NA</w:t>
            </w:r>
          </w:p>
        </w:tc>
      </w:tr>
    </w:tbl>
    <w:p w14:paraId="2C40A9D3" w14:textId="14802C4E" w:rsidR="003D336D" w:rsidRDefault="001C3815" w:rsidP="00BC7CA1">
      <w:pPr>
        <w:rPr>
          <w:rFonts w:asciiTheme="majorHAnsi" w:eastAsia="Times New Roman" w:hAnsiTheme="majorHAnsi" w:cstheme="majorHAnsi"/>
          <w:b/>
          <w:bCs/>
          <w:sz w:val="27"/>
          <w:szCs w:val="27"/>
        </w:rPr>
      </w:pPr>
      <w:r w:rsidRPr="00291015">
        <w:t>Note: NA = Not available.</w:t>
      </w:r>
      <w:r w:rsidRPr="00291015" w:rsidDel="00FB0469">
        <w:t xml:space="preserve"> </w:t>
      </w:r>
      <w:bookmarkStart w:id="65" w:name="_Toc43983109"/>
      <w:bookmarkStart w:id="66" w:name="_Toc76565693"/>
    </w:p>
    <w:p w14:paraId="3964C500" w14:textId="5D074C96" w:rsidR="001C3815" w:rsidRDefault="001C3815" w:rsidP="00C06A90">
      <w:pPr>
        <w:pStyle w:val="Heading3"/>
        <w:numPr>
          <w:ilvl w:val="2"/>
          <w:numId w:val="49"/>
        </w:numPr>
      </w:pPr>
      <w:bookmarkStart w:id="67" w:name="_Toc235613559"/>
      <w:r>
        <w:t>Method 1—emissions of carbon dioxide, methane and nitrous oxide from solid fuels</w:t>
      </w:r>
      <w:bookmarkEnd w:id="65"/>
      <w:bookmarkEnd w:id="66"/>
      <w:bookmarkEnd w:id="67"/>
    </w:p>
    <w:p w14:paraId="69E65BED" w14:textId="5CB294F9" w:rsidR="001C3815" w:rsidRPr="00AC6F8D" w:rsidRDefault="001C3815" w:rsidP="001C3815">
      <w:r>
        <w:t>M</w:t>
      </w:r>
      <w:r w:rsidRPr="00781CD7">
        <w:t>ethod 1</w:t>
      </w:r>
      <w:r>
        <w:t xml:space="preserve"> for </w:t>
      </w:r>
      <w:r w:rsidRPr="00781CD7">
        <w:t>solid fuels is derived from</w:t>
      </w:r>
      <w:r>
        <w:t xml:space="preserve"> the methodology in Australia's </w:t>
      </w:r>
      <w:r w:rsidRPr="009253C3">
        <w:t>National Greenhouse Accounts</w:t>
      </w:r>
      <w:r w:rsidRPr="00781CD7">
        <w:t xml:space="preserve"> as published</w:t>
      </w:r>
      <w:r w:rsidRPr="00AC6F8D">
        <w:t xml:space="preserve"> in the</w:t>
      </w:r>
      <w:r w:rsidRPr="00AC6F8D" w:rsidDel="00CD3048">
        <w:t xml:space="preserve"> </w:t>
      </w:r>
      <w:hyperlink r:id="rId36" w:tooltip="A link to the National Inventory Reports page on the Deepartment of Climate Change Energy the Environment and Water's webpage" w:history="1">
        <w:r w:rsidR="005929C3">
          <w:rPr>
            <w:rStyle w:val="Hyperlink"/>
          </w:rPr>
          <w:t>National Inventory Reports</w:t>
        </w:r>
      </w:hyperlink>
      <w:r w:rsidR="005929C3">
        <w:t xml:space="preserve"> </w:t>
      </w:r>
      <w:r>
        <w:rPr>
          <w:rStyle w:val="FootnoteReference"/>
        </w:rPr>
        <w:footnoteReference w:id="17"/>
      </w:r>
      <w:r w:rsidRPr="00AC6F8D">
        <w:t xml:space="preserve">. Estimates of emissions from the combustion of individual solid fuel types are made by multiplying a (physical) quantity of fuel combusted by a fuel-specific energy content factor and a fuel-specific emission factor for each relevant greenhouse gas (in this case, </w:t>
      </w:r>
      <w:r w:rsidR="00801049">
        <w:t>carbon dioxide</w:t>
      </w:r>
      <w:r w:rsidRPr="00AC6F8D">
        <w:t>, methane and nitrous oxide).</w:t>
      </w:r>
    </w:p>
    <w:p w14:paraId="45618583" w14:textId="77777777" w:rsidR="001C3815" w:rsidRPr="00AC6F8D" w:rsidRDefault="001C3815" w:rsidP="001C3815">
      <w:r w:rsidRPr="00AC6F8D">
        <w:t xml:space="preserve">The list of solid fuels for which emissions must be calculated </w:t>
      </w:r>
      <w:r>
        <w:t>appears</w:t>
      </w:r>
      <w:r w:rsidRPr="00AC6F8D">
        <w:t xml:space="preserve"> in </w:t>
      </w:r>
      <w:r>
        <w:t xml:space="preserve">Schedule </w:t>
      </w:r>
      <w:r w:rsidRPr="00AC6F8D">
        <w:t xml:space="preserve">1 of the </w:t>
      </w:r>
      <w:r>
        <w:t xml:space="preserve">NGER </w:t>
      </w:r>
      <w:r w:rsidRPr="00AC6F8D">
        <w:t>Regulations</w:t>
      </w:r>
      <w:r>
        <w:t xml:space="preserve">. The energy content and emissions factors are given in schedule 1 of the NGER </w:t>
      </w:r>
      <w:r w:rsidRPr="000862E8">
        <w:t>Measurement Determination</w:t>
      </w:r>
      <w:r w:rsidRPr="00AC6F8D">
        <w:t xml:space="preserve">. </w:t>
      </w:r>
    </w:p>
    <w:p w14:paraId="494BDA71" w14:textId="353C95B8" w:rsidR="001C3815" w:rsidRPr="00AC6F8D" w:rsidRDefault="001C3815" w:rsidP="001C3815">
      <w:r w:rsidRPr="00AC6F8D">
        <w:t xml:space="preserve">Energy content and emission factors required for the estimation of emissions from the combustion of solid fuels using this approach are given </w:t>
      </w:r>
      <w:bookmarkStart w:id="68" w:name="_Hlk44660834"/>
      <w:r>
        <w:t xml:space="preserve">in Part 1 of Schedule 1 to the NGER </w:t>
      </w:r>
      <w:r w:rsidRPr="000862E8">
        <w:t>Measurement Determination</w:t>
      </w:r>
      <w:bookmarkEnd w:id="68"/>
      <w:r w:rsidRPr="00AC6F8D">
        <w:t>. These factors are intended to be default factors – to be used in the absence of better information about the qualities of the fuels combusted at a particular facility</w:t>
      </w:r>
      <w:r>
        <w:t xml:space="preserve"> </w:t>
      </w:r>
      <w:r w:rsidRPr="00AC6F8D">
        <w:t>(</w:t>
      </w:r>
      <w:r>
        <w:t>i</w:t>
      </w:r>
      <w:r w:rsidRPr="00AC6F8D">
        <w:t xml:space="preserve">f better information on fuel qualities </w:t>
      </w:r>
      <w:r>
        <w:t>f</w:t>
      </w:r>
      <w:r w:rsidRPr="00AC6F8D">
        <w:t>or emissions</w:t>
      </w:r>
      <w:r>
        <w:t xml:space="preserve"> of carbon dioxide</w:t>
      </w:r>
      <w:r w:rsidRPr="00AC6F8D">
        <w:t xml:space="preserve"> is available, the </w:t>
      </w:r>
      <w:r>
        <w:t>r</w:t>
      </w:r>
      <w:r w:rsidRPr="00AC6F8D">
        <w:t>eporter may utilise</w:t>
      </w:r>
      <w:r>
        <w:t xml:space="preserve"> </w:t>
      </w:r>
      <w:r w:rsidR="1D296218">
        <w:t>M</w:t>
      </w:r>
      <w:r>
        <w:t xml:space="preserve">ethod </w:t>
      </w:r>
      <w:r w:rsidRPr="00AC6F8D">
        <w:t>2, 3 or 4</w:t>
      </w:r>
      <w:r>
        <w:t>, for estimation of emissions of carbon dioxide only</w:t>
      </w:r>
      <w:r w:rsidRPr="00AC6F8D">
        <w:t xml:space="preserve">). </w:t>
      </w:r>
    </w:p>
    <w:p w14:paraId="7E07F172" w14:textId="77777777" w:rsidR="001C3815" w:rsidRDefault="001C3815" w:rsidP="001C3815">
      <w:r w:rsidRPr="00AC6F8D">
        <w:t>Once selected</w:t>
      </w:r>
      <w:r>
        <w:t>,</w:t>
      </w:r>
      <w:r w:rsidRPr="00AC6F8D">
        <w:t xml:space="preserve"> the energy content factor (EC</w:t>
      </w:r>
      <w:r w:rsidRPr="009253C3">
        <w:rPr>
          <w:vertAlign w:val="subscript"/>
        </w:rPr>
        <w:t>i</w:t>
      </w:r>
      <w:r w:rsidRPr="00AC6F8D">
        <w:t>) for a particular fuel must be applied to all calculations of energy emissions from that fuel for a facility in the reporting year</w:t>
      </w:r>
      <w:r>
        <w:t xml:space="preserve"> (subsection 6.5(3) of the NGER Measurement Determination)</w:t>
      </w:r>
      <w:r w:rsidRPr="00AC6F8D">
        <w:t>.</w:t>
      </w:r>
    </w:p>
    <w:tbl>
      <w:tblPr>
        <w:tblStyle w:val="CERCallout"/>
        <w:tblW w:w="0" w:type="auto"/>
        <w:tblLook w:val="04A0" w:firstRow="1" w:lastRow="0" w:firstColumn="1" w:lastColumn="0" w:noHBand="0" w:noVBand="1"/>
      </w:tblPr>
      <w:tblGrid>
        <w:gridCol w:w="9710"/>
      </w:tblGrid>
      <w:tr w:rsidR="001C3815" w14:paraId="662F0D7F" w14:textId="77777777" w:rsidTr="2C4F8F6D">
        <w:trPr>
          <w:cnfStyle w:val="100000000000" w:firstRow="1" w:lastRow="0" w:firstColumn="0" w:lastColumn="0" w:oddVBand="0" w:evenVBand="0" w:oddHBand="0" w:evenHBand="0" w:firstRowFirstColumn="0" w:firstRowLastColumn="0" w:lastRowFirstColumn="0" w:lastRowLastColumn="0"/>
        </w:trPr>
        <w:tc>
          <w:tcPr>
            <w:tcW w:w="9730" w:type="dxa"/>
          </w:tcPr>
          <w:p w14:paraId="11C69ECC" w14:textId="473F0025" w:rsidR="001C3815" w:rsidRPr="000168B7" w:rsidRDefault="001C3815" w:rsidP="00793B33">
            <w:pPr>
              <w:pStyle w:val="Heading3"/>
              <w:rPr>
                <w:b/>
              </w:rPr>
            </w:pPr>
            <w:bookmarkStart w:id="69" w:name="_Toc108022501"/>
            <w:bookmarkStart w:id="70" w:name="_Toc235613560"/>
            <w:r w:rsidRPr="000168B7">
              <w:rPr>
                <w:b/>
              </w:rPr>
              <w:lastRenderedPageBreak/>
              <w:t>Example</w:t>
            </w:r>
            <w:bookmarkEnd w:id="69"/>
            <w:r w:rsidR="00373F7C">
              <w:rPr>
                <w:b/>
              </w:rPr>
              <w:t xml:space="preserve"> 1</w:t>
            </w:r>
            <w:bookmarkEnd w:id="70"/>
          </w:p>
          <w:p w14:paraId="0BC6BFAB" w14:textId="0AAB1E35" w:rsidR="001C3815" w:rsidRPr="00065B1A" w:rsidRDefault="001C3815">
            <w:pPr>
              <w:rPr>
                <w:b w:val="0"/>
              </w:rPr>
            </w:pPr>
            <w:r w:rsidRPr="00065B1A">
              <w:rPr>
                <w:b w:val="0"/>
              </w:rPr>
              <w:t>A facility consumes 20,000</w:t>
            </w:r>
            <w:r w:rsidR="00850095">
              <w:rPr>
                <w:b w:val="0"/>
              </w:rPr>
              <w:t> </w:t>
            </w:r>
            <w:r w:rsidRPr="00065B1A">
              <w:rPr>
                <w:b w:val="0"/>
              </w:rPr>
              <w:t xml:space="preserve">t of washed bituminous coal for a purpose other than </w:t>
            </w:r>
            <w:proofErr w:type="gramStart"/>
            <w:r w:rsidRPr="00065B1A">
              <w:rPr>
                <w:b w:val="0"/>
              </w:rPr>
              <w:t>for the production of</w:t>
            </w:r>
            <w:proofErr w:type="gramEnd"/>
            <w:r w:rsidRPr="00065B1A">
              <w:rPr>
                <w:b w:val="0"/>
              </w:rPr>
              <w:t xml:space="preserve"> electricity or coke. The reporter elects to use </w:t>
            </w:r>
            <w:r w:rsidR="68AD96DE">
              <w:rPr>
                <w:b w:val="0"/>
              </w:rPr>
              <w:t>M</w:t>
            </w:r>
            <w:r w:rsidRPr="00065B1A">
              <w:rPr>
                <w:b w:val="0"/>
              </w:rPr>
              <w:t xml:space="preserve">ethod 1 (Division 2.2.2) for each of the </w:t>
            </w:r>
            <w:r w:rsidR="007755FF" w:rsidRPr="00065B1A">
              <w:rPr>
                <w:b w:val="0"/>
              </w:rPr>
              <w:t xml:space="preserve">3 </w:t>
            </w:r>
            <w:r w:rsidRPr="00065B1A">
              <w:rPr>
                <w:b w:val="0"/>
              </w:rPr>
              <w:t>greenhouse emission gases (j) (carbon dioxide, methane and nitrous oxide), for the fuel type bituminous coal. Emissions are estimated as follows:</w:t>
            </w:r>
          </w:p>
          <w:p w14:paraId="62B3C881" w14:textId="260B772F" w:rsidR="001C3815" w:rsidRPr="00065B1A" w:rsidRDefault="004430EE">
            <w:pPr>
              <w:rPr>
                <w:rFonts w:asciiTheme="majorHAnsi" w:hAnsiTheme="majorHAnsi" w:cstheme="majorHAnsi"/>
                <w:b w:val="0"/>
                <w:sz w:val="28"/>
                <w:szCs w:val="28"/>
              </w:rPr>
            </w:pPr>
            <m:oMathPara>
              <m:oMath>
                <m:sSub>
                  <m:sSubPr>
                    <m:ctrlPr>
                      <w:rPr>
                        <w:rFonts w:ascii="Cambria Math" w:hAnsi="Cambria Math" w:cstheme="majorHAnsi"/>
                        <w:b w:val="0"/>
                        <w:sz w:val="28"/>
                        <w:szCs w:val="28"/>
                      </w:rPr>
                    </m:ctrlPr>
                  </m:sSubPr>
                  <m:e>
                    <m:r>
                      <m:rPr>
                        <m:sty m:val="b"/>
                      </m:rPr>
                      <w:rPr>
                        <w:rFonts w:ascii="Cambria Math" w:hAnsi="Cambria Math" w:cstheme="majorHAnsi"/>
                        <w:sz w:val="28"/>
                        <w:szCs w:val="28"/>
                      </w:rPr>
                      <m:t>E</m:t>
                    </m:r>
                  </m:e>
                  <m:sub>
                    <m:r>
                      <m:rPr>
                        <m:sty m:val="b"/>
                      </m:rPr>
                      <w:rPr>
                        <w:rFonts w:ascii="Cambria Math" w:hAnsi="Cambria Math" w:cstheme="majorHAnsi"/>
                        <w:sz w:val="28"/>
                        <w:szCs w:val="28"/>
                      </w:rPr>
                      <m:t>ij</m:t>
                    </m:r>
                  </m:sub>
                </m:sSub>
                <m:r>
                  <m:rPr>
                    <m:sty m:val="b"/>
                  </m:rPr>
                  <w:rPr>
                    <w:rFonts w:ascii="Cambria Math" w:hAnsi="Cambria Math" w:cstheme="majorHAnsi"/>
                    <w:sz w:val="28"/>
                    <w:szCs w:val="28"/>
                  </w:rPr>
                  <m:t xml:space="preserve">= </m:t>
                </m:r>
                <m:f>
                  <m:fPr>
                    <m:ctrlPr>
                      <w:rPr>
                        <w:rFonts w:ascii="Cambria Math" w:hAnsi="Cambria Math" w:cstheme="majorHAnsi"/>
                        <w:b w:val="0"/>
                        <w:sz w:val="28"/>
                        <w:szCs w:val="28"/>
                      </w:rPr>
                    </m:ctrlPr>
                  </m:fPr>
                  <m:num>
                    <m:sSub>
                      <m:sSubPr>
                        <m:ctrlPr>
                          <w:rPr>
                            <w:rFonts w:ascii="Cambria Math" w:hAnsi="Cambria Math" w:cstheme="majorHAnsi"/>
                            <w:b w:val="0"/>
                            <w:sz w:val="28"/>
                            <w:szCs w:val="28"/>
                          </w:rPr>
                        </m:ctrlPr>
                      </m:sSubPr>
                      <m:e>
                        <m:r>
                          <m:rPr>
                            <m:sty m:val="b"/>
                          </m:rPr>
                          <w:rPr>
                            <w:rFonts w:ascii="Cambria Math" w:hAnsi="Cambria Math" w:cstheme="majorHAnsi"/>
                            <w:sz w:val="28"/>
                            <w:szCs w:val="28"/>
                          </w:rPr>
                          <m:t>Q</m:t>
                        </m:r>
                      </m:e>
                      <m:sub>
                        <m:r>
                          <m:rPr>
                            <m:sty m:val="b"/>
                          </m:rPr>
                          <w:rPr>
                            <w:rFonts w:ascii="Cambria Math" w:hAnsi="Cambria Math" w:cstheme="majorHAnsi"/>
                            <w:sz w:val="28"/>
                            <w:szCs w:val="28"/>
                          </w:rPr>
                          <m:t>i</m:t>
                        </m:r>
                      </m:sub>
                    </m:sSub>
                    <m:r>
                      <m:rPr>
                        <m:sty m:val="b"/>
                      </m:rPr>
                      <w:rPr>
                        <w:rFonts w:ascii="Cambria Math" w:hAnsi="Cambria Math" w:cstheme="majorHAnsi"/>
                        <w:sz w:val="28"/>
                        <w:szCs w:val="28"/>
                      </w:rPr>
                      <m:t xml:space="preserve"> × </m:t>
                    </m:r>
                    <m:sSub>
                      <m:sSubPr>
                        <m:ctrlPr>
                          <w:rPr>
                            <w:rFonts w:ascii="Cambria Math" w:hAnsi="Cambria Math" w:cstheme="majorHAnsi"/>
                            <w:b w:val="0"/>
                            <w:sz w:val="28"/>
                            <w:szCs w:val="28"/>
                          </w:rPr>
                        </m:ctrlPr>
                      </m:sSubPr>
                      <m:e>
                        <m:r>
                          <m:rPr>
                            <m:sty m:val="b"/>
                          </m:rPr>
                          <w:rPr>
                            <w:rFonts w:ascii="Cambria Math" w:hAnsi="Cambria Math" w:cstheme="majorHAnsi"/>
                            <w:sz w:val="28"/>
                            <w:szCs w:val="28"/>
                          </w:rPr>
                          <m:t>EC</m:t>
                        </m:r>
                      </m:e>
                      <m:sub>
                        <m:r>
                          <m:rPr>
                            <m:sty m:val="b"/>
                          </m:rPr>
                          <w:rPr>
                            <w:rFonts w:ascii="Cambria Math" w:hAnsi="Cambria Math" w:cstheme="majorHAnsi"/>
                            <w:sz w:val="28"/>
                            <w:szCs w:val="28"/>
                          </w:rPr>
                          <m:t>i</m:t>
                        </m:r>
                      </m:sub>
                    </m:sSub>
                    <m:r>
                      <m:rPr>
                        <m:sty m:val="b"/>
                      </m:rPr>
                      <w:rPr>
                        <w:rFonts w:ascii="Cambria Math" w:hAnsi="Cambria Math" w:cstheme="majorHAnsi"/>
                        <w:sz w:val="28"/>
                        <w:szCs w:val="28"/>
                      </w:rPr>
                      <m:t xml:space="preserve"> ×</m:t>
                    </m:r>
                    <m:sSub>
                      <m:sSubPr>
                        <m:ctrlPr>
                          <w:rPr>
                            <w:rFonts w:ascii="Cambria Math" w:hAnsi="Cambria Math" w:cstheme="majorHAnsi"/>
                            <w:b w:val="0"/>
                            <w:sz w:val="28"/>
                            <w:szCs w:val="28"/>
                          </w:rPr>
                        </m:ctrlPr>
                      </m:sSubPr>
                      <m:e>
                        <m:r>
                          <m:rPr>
                            <m:sty m:val="b"/>
                          </m:rPr>
                          <w:rPr>
                            <w:rFonts w:ascii="Cambria Math" w:hAnsi="Cambria Math" w:cstheme="majorHAnsi"/>
                            <w:sz w:val="28"/>
                            <w:szCs w:val="28"/>
                          </w:rPr>
                          <m:t>EF</m:t>
                        </m:r>
                      </m:e>
                      <m:sub>
                        <m:r>
                          <m:rPr>
                            <m:sty m:val="b"/>
                          </m:rPr>
                          <w:rPr>
                            <w:rFonts w:ascii="Cambria Math" w:hAnsi="Cambria Math" w:cstheme="majorHAnsi"/>
                            <w:sz w:val="28"/>
                            <w:szCs w:val="28"/>
                          </w:rPr>
                          <m:t>ijoxec</m:t>
                        </m:r>
                      </m:sub>
                    </m:sSub>
                  </m:num>
                  <m:den>
                    <m:r>
                      <m:rPr>
                        <m:sty m:val="b"/>
                      </m:rPr>
                      <w:rPr>
                        <w:rFonts w:ascii="Cambria Math" w:hAnsi="Cambria Math" w:cstheme="majorHAnsi"/>
                        <w:sz w:val="28"/>
                        <w:szCs w:val="28"/>
                      </w:rPr>
                      <m:t>1,000</m:t>
                    </m:r>
                  </m:den>
                </m:f>
              </m:oMath>
            </m:oMathPara>
          </w:p>
          <w:p w14:paraId="261FDE59" w14:textId="77777777" w:rsidR="001C3815" w:rsidRPr="00065B1A" w:rsidRDefault="001C3815">
            <w:pPr>
              <w:rPr>
                <w:b w:val="0"/>
              </w:rPr>
            </w:pPr>
            <w:r w:rsidRPr="00065B1A">
              <w:rPr>
                <w:b w:val="0"/>
              </w:rPr>
              <w:t>where:</w:t>
            </w:r>
          </w:p>
          <w:p w14:paraId="2FA1BBDF" w14:textId="5702129A" w:rsidR="001C3815" w:rsidRPr="00065B1A" w:rsidRDefault="001C3815">
            <w:pPr>
              <w:rPr>
                <w:b w:val="0"/>
              </w:rPr>
            </w:pPr>
            <w:proofErr w:type="spellStart"/>
            <w:r w:rsidRPr="00065B1A">
              <w:rPr>
                <w:b w:val="0"/>
                <w:i/>
                <w:iCs/>
              </w:rPr>
              <w:t>E</w:t>
            </w:r>
            <w:r w:rsidRPr="00065B1A">
              <w:rPr>
                <w:b w:val="0"/>
                <w:i/>
                <w:iCs/>
                <w:vertAlign w:val="subscript"/>
              </w:rPr>
              <w:t>ij</w:t>
            </w:r>
            <w:proofErr w:type="spellEnd"/>
            <w:r w:rsidRPr="00065B1A">
              <w:rPr>
                <w:b w:val="0"/>
              </w:rPr>
              <w:t xml:space="preserve"> is the emissions of gas type (j) released from the combustion of fuel type (</w:t>
            </w:r>
            <w:proofErr w:type="spellStart"/>
            <w:r w:rsidRPr="00065B1A">
              <w:rPr>
                <w:b w:val="0"/>
              </w:rPr>
              <w:t>i</w:t>
            </w:r>
            <w:proofErr w:type="spellEnd"/>
            <w:r w:rsidRPr="00065B1A">
              <w:rPr>
                <w:b w:val="0"/>
              </w:rPr>
              <w:t xml:space="preserve">) from the operation of the facility during the year measured in </w:t>
            </w:r>
            <w:r w:rsidR="009A7CCD">
              <w:rPr>
                <w:b w:val="0"/>
              </w:rPr>
              <w:t>tonnes of carbon dioxide equivalence (t </w:t>
            </w:r>
            <w:r w:rsidRPr="00065B1A">
              <w:rPr>
                <w:b w:val="0"/>
              </w:rPr>
              <w:t>CO</w:t>
            </w:r>
            <w:r w:rsidRPr="00065B1A">
              <w:rPr>
                <w:b w:val="0"/>
                <w:vertAlign w:val="subscript"/>
              </w:rPr>
              <w:t>2</w:t>
            </w:r>
            <w:r w:rsidR="009A7CCD">
              <w:rPr>
                <w:b w:val="0"/>
              </w:rPr>
              <w:t>-</w:t>
            </w:r>
            <w:r w:rsidRPr="00065B1A">
              <w:rPr>
                <w:b w:val="0"/>
              </w:rPr>
              <w:t>e</w:t>
            </w:r>
            <w:r w:rsidR="009A7CCD">
              <w:rPr>
                <w:b w:val="0"/>
              </w:rPr>
              <w:t>)</w:t>
            </w:r>
            <w:r w:rsidRPr="00065B1A">
              <w:rPr>
                <w:b w:val="0"/>
              </w:rPr>
              <w:t>.</w:t>
            </w:r>
          </w:p>
          <w:p w14:paraId="6AB1350C" w14:textId="41E1DA4E" w:rsidR="001C3815" w:rsidRPr="00065B1A" w:rsidRDefault="001C3815">
            <w:pPr>
              <w:rPr>
                <w:b w:val="0"/>
              </w:rPr>
            </w:pPr>
            <w:r w:rsidRPr="00065B1A">
              <w:rPr>
                <w:b w:val="0"/>
                <w:i/>
                <w:iCs/>
              </w:rPr>
              <w:t>Q</w:t>
            </w:r>
            <w:r w:rsidRPr="00065B1A">
              <w:rPr>
                <w:b w:val="0"/>
                <w:i/>
                <w:iCs/>
                <w:vertAlign w:val="subscript"/>
              </w:rPr>
              <w:t>i</w:t>
            </w:r>
            <w:r w:rsidRPr="00065B1A">
              <w:rPr>
                <w:b w:val="0"/>
                <w:i/>
                <w:iCs/>
              </w:rPr>
              <w:t xml:space="preserve"> </w:t>
            </w:r>
            <w:r w:rsidRPr="00065B1A">
              <w:rPr>
                <w:b w:val="0"/>
              </w:rPr>
              <w:t>is the quantity of fuel type (</w:t>
            </w:r>
            <w:proofErr w:type="spellStart"/>
            <w:r w:rsidRPr="00065B1A">
              <w:rPr>
                <w:b w:val="0"/>
              </w:rPr>
              <w:t>i</w:t>
            </w:r>
            <w:proofErr w:type="spellEnd"/>
            <w:r w:rsidRPr="00065B1A">
              <w:rPr>
                <w:b w:val="0"/>
              </w:rPr>
              <w:t>) estimated under Division 2.2.5 measured in t. In this case it is 20,000</w:t>
            </w:r>
            <w:r w:rsidR="009A7CCD">
              <w:rPr>
                <w:b w:val="0"/>
              </w:rPr>
              <w:t> </w:t>
            </w:r>
            <w:r w:rsidRPr="00065B1A">
              <w:rPr>
                <w:b w:val="0"/>
              </w:rPr>
              <w:t>t of bituminous coal.</w:t>
            </w:r>
          </w:p>
          <w:p w14:paraId="2B4D01CD" w14:textId="1196FF13" w:rsidR="001C3815" w:rsidRPr="00065B1A" w:rsidRDefault="001C3815">
            <w:pPr>
              <w:rPr>
                <w:b w:val="0"/>
              </w:rPr>
            </w:pPr>
            <w:r w:rsidRPr="00065B1A">
              <w:rPr>
                <w:b w:val="0"/>
                <w:i/>
                <w:iCs/>
              </w:rPr>
              <w:t>EC</w:t>
            </w:r>
            <w:r w:rsidRPr="00065B1A">
              <w:rPr>
                <w:b w:val="0"/>
                <w:i/>
                <w:iCs/>
                <w:vertAlign w:val="subscript"/>
              </w:rPr>
              <w:t>i</w:t>
            </w:r>
            <w:r w:rsidRPr="00065B1A">
              <w:rPr>
                <w:b w:val="0"/>
                <w:i/>
                <w:iCs/>
              </w:rPr>
              <w:t xml:space="preserve"> </w:t>
            </w:r>
            <w:r w:rsidRPr="00065B1A">
              <w:rPr>
                <w:b w:val="0"/>
              </w:rPr>
              <w:t>is the energy content factor of fuel type (</w:t>
            </w:r>
            <w:proofErr w:type="spellStart"/>
            <w:r w:rsidRPr="00065B1A">
              <w:rPr>
                <w:b w:val="0"/>
              </w:rPr>
              <w:t>i</w:t>
            </w:r>
            <w:proofErr w:type="spellEnd"/>
            <w:r w:rsidRPr="00065B1A">
              <w:rPr>
                <w:b w:val="0"/>
              </w:rPr>
              <w:t xml:space="preserve">) estimated under section 6.5. In this case it is assumed to be 27 GJ per tonne </w:t>
            </w:r>
            <w:r w:rsidR="00436059">
              <w:rPr>
                <w:b w:val="0"/>
              </w:rPr>
              <w:t>(GJ/t)</w:t>
            </w:r>
            <w:r w:rsidRPr="00065B1A">
              <w:rPr>
                <w:b w:val="0"/>
              </w:rPr>
              <w:t xml:space="preserve"> of bituminous coal.</w:t>
            </w:r>
          </w:p>
          <w:p w14:paraId="444AD34A" w14:textId="4CCFBCF2" w:rsidR="001C3815" w:rsidRPr="00065B1A" w:rsidRDefault="001C3815">
            <w:pPr>
              <w:rPr>
                <w:b w:val="0"/>
              </w:rPr>
            </w:pPr>
            <w:proofErr w:type="spellStart"/>
            <w:r w:rsidRPr="00065B1A">
              <w:rPr>
                <w:b w:val="0"/>
                <w:i/>
                <w:iCs/>
              </w:rPr>
              <w:t>EF</w:t>
            </w:r>
            <w:r w:rsidRPr="00065B1A">
              <w:rPr>
                <w:b w:val="0"/>
                <w:i/>
                <w:iCs/>
                <w:vertAlign w:val="subscript"/>
              </w:rPr>
              <w:t>ijoxec</w:t>
            </w:r>
            <w:proofErr w:type="spellEnd"/>
            <w:r w:rsidRPr="00065B1A">
              <w:rPr>
                <w:b w:val="0"/>
              </w:rPr>
              <w:t xml:space="preserve"> is the emission factor for each gas type (j) (which includes the effect of an oxidation factor) released from the combustion of fuel type (</w:t>
            </w:r>
            <w:proofErr w:type="spellStart"/>
            <w:r w:rsidRPr="00065B1A">
              <w:rPr>
                <w:b w:val="0"/>
              </w:rPr>
              <w:t>i</w:t>
            </w:r>
            <w:proofErr w:type="spellEnd"/>
            <w:r w:rsidRPr="00065B1A">
              <w:rPr>
                <w:b w:val="0"/>
              </w:rPr>
              <w:t>) measured in kilograms of CO</w:t>
            </w:r>
            <w:r w:rsidRPr="00065B1A">
              <w:rPr>
                <w:b w:val="0"/>
                <w:vertAlign w:val="subscript"/>
              </w:rPr>
              <w:t>2</w:t>
            </w:r>
            <w:r w:rsidR="00436059">
              <w:rPr>
                <w:b w:val="0"/>
              </w:rPr>
              <w:t>-</w:t>
            </w:r>
            <w:r w:rsidRPr="00065B1A">
              <w:rPr>
                <w:b w:val="0"/>
              </w:rPr>
              <w:t xml:space="preserve">e per GJ </w:t>
            </w:r>
            <w:r w:rsidR="00436059">
              <w:rPr>
                <w:b w:val="0"/>
              </w:rPr>
              <w:t>(</w:t>
            </w:r>
            <w:r w:rsidR="003228C5">
              <w:rPr>
                <w:b w:val="0"/>
              </w:rPr>
              <w:t>kg </w:t>
            </w:r>
            <w:r w:rsidR="00372CB0">
              <w:rPr>
                <w:b w:val="0"/>
              </w:rPr>
              <w:t>CO</w:t>
            </w:r>
            <w:r w:rsidR="00372CB0">
              <w:rPr>
                <w:b w:val="0"/>
                <w:vertAlign w:val="subscript"/>
              </w:rPr>
              <w:t>2</w:t>
            </w:r>
            <w:r w:rsidR="00372CB0">
              <w:rPr>
                <w:b w:val="0"/>
              </w:rPr>
              <w:t>-e/GJ)</w:t>
            </w:r>
            <w:r w:rsidRPr="00065B1A">
              <w:rPr>
                <w:b w:val="0"/>
              </w:rPr>
              <w:t xml:space="preserve"> according to source as mentioned in Schedule 1. In this case, for CO</w:t>
            </w:r>
            <w:r w:rsidRPr="00065B1A">
              <w:rPr>
                <w:b w:val="0"/>
                <w:vertAlign w:val="subscript"/>
              </w:rPr>
              <w:t>2</w:t>
            </w:r>
            <w:r w:rsidRPr="00065B1A">
              <w:rPr>
                <w:b w:val="0"/>
              </w:rPr>
              <w:t>, it is 90.0</w:t>
            </w:r>
            <w:r w:rsidR="00372CB0">
              <w:rPr>
                <w:b w:val="0"/>
              </w:rPr>
              <w:t> </w:t>
            </w:r>
            <w:r w:rsidRPr="00065B1A">
              <w:rPr>
                <w:b w:val="0"/>
              </w:rPr>
              <w:t>kg</w:t>
            </w:r>
            <w:r w:rsidR="00372CB0">
              <w:rPr>
                <w:b w:val="0"/>
              </w:rPr>
              <w:t> </w:t>
            </w:r>
            <w:r w:rsidRPr="00065B1A">
              <w:rPr>
                <w:b w:val="0"/>
              </w:rPr>
              <w:t>CO</w:t>
            </w:r>
            <w:r w:rsidRPr="00065B1A">
              <w:rPr>
                <w:b w:val="0"/>
                <w:vertAlign w:val="subscript"/>
              </w:rPr>
              <w:t>2</w:t>
            </w:r>
            <w:r w:rsidRPr="00065B1A">
              <w:rPr>
                <w:b w:val="0"/>
              </w:rPr>
              <w:t>-e</w:t>
            </w:r>
            <w:r w:rsidR="00372CB0">
              <w:rPr>
                <w:b w:val="0"/>
              </w:rPr>
              <w:t>/</w:t>
            </w:r>
            <w:r w:rsidRPr="00065B1A">
              <w:rPr>
                <w:b w:val="0"/>
              </w:rPr>
              <w:t>GJ for bituminous coal. For methane, the emission factor is 0.04</w:t>
            </w:r>
            <w:r w:rsidR="00372CB0">
              <w:rPr>
                <w:b w:val="0"/>
              </w:rPr>
              <w:t xml:space="preserve"> kg </w:t>
            </w:r>
            <w:r w:rsidRPr="00065B1A">
              <w:rPr>
                <w:b w:val="0"/>
              </w:rPr>
              <w:t xml:space="preserve">per GJ </w:t>
            </w:r>
            <w:r w:rsidR="00372CB0">
              <w:rPr>
                <w:b w:val="0"/>
              </w:rPr>
              <w:t>(kg/GJ)</w:t>
            </w:r>
            <w:r w:rsidRPr="00065B1A">
              <w:rPr>
                <w:b w:val="0"/>
              </w:rPr>
              <w:t xml:space="preserve"> and for nitrous oxide, 0.2</w:t>
            </w:r>
            <w:r w:rsidR="00372CB0">
              <w:rPr>
                <w:b w:val="0"/>
              </w:rPr>
              <w:t> kg/GJ</w:t>
            </w:r>
            <w:r w:rsidRPr="00065B1A">
              <w:rPr>
                <w:b w:val="0"/>
              </w:rPr>
              <w:t>.</w:t>
            </w:r>
          </w:p>
          <w:p w14:paraId="0598921B" w14:textId="09FEF3EE" w:rsidR="001C3815" w:rsidRPr="00065B1A" w:rsidRDefault="001C3815">
            <w:pPr>
              <w:rPr>
                <w:b w:val="0"/>
              </w:rPr>
            </w:pPr>
            <w:r w:rsidRPr="00065B1A">
              <w:rPr>
                <w:b w:val="0"/>
              </w:rPr>
              <w:t>Emissions of greenhouse gases (</w:t>
            </w:r>
            <w:r w:rsidR="00372CB0">
              <w:rPr>
                <w:b w:val="0"/>
              </w:rPr>
              <w:t>carbon dioxide</w:t>
            </w:r>
            <w:r w:rsidRPr="00065B1A">
              <w:rPr>
                <w:b w:val="0"/>
              </w:rPr>
              <w:t>, methane and nitrous oxide) in t</w:t>
            </w:r>
            <w:r w:rsidR="00372CB0">
              <w:rPr>
                <w:b w:val="0"/>
              </w:rPr>
              <w:t> </w:t>
            </w:r>
            <w:r w:rsidRPr="00065B1A">
              <w:rPr>
                <w:b w:val="0"/>
              </w:rPr>
              <w:t>CO</w:t>
            </w:r>
            <w:r w:rsidRPr="00065B1A">
              <w:rPr>
                <w:b w:val="0"/>
                <w:vertAlign w:val="subscript"/>
              </w:rPr>
              <w:t>2</w:t>
            </w:r>
            <w:r w:rsidR="00372CB0">
              <w:rPr>
                <w:b w:val="0"/>
              </w:rPr>
              <w:t>-</w:t>
            </w:r>
            <w:r w:rsidRPr="00065B1A">
              <w:rPr>
                <w:b w:val="0"/>
              </w:rPr>
              <w:t xml:space="preserve">e are estimated as follows: </w:t>
            </w:r>
          </w:p>
          <w:p w14:paraId="4929CF94" w14:textId="77777777" w:rsidR="001C3815" w:rsidRPr="00065B1A" w:rsidRDefault="001C3815">
            <w:pPr>
              <w:rPr>
                <w:b w:val="0"/>
              </w:rPr>
            </w:pPr>
            <w:r w:rsidRPr="00065B1A">
              <w:rPr>
                <w:b w:val="0"/>
              </w:rPr>
              <w:t xml:space="preserve">Emissions of carbon dioxide from combustion of bituminous coal: </w:t>
            </w:r>
          </w:p>
          <w:p w14:paraId="640D3C53" w14:textId="0AFBC7A7" w:rsidR="001C3815" w:rsidRPr="00065B1A" w:rsidRDefault="001C3815">
            <w:pPr>
              <w:ind w:left="720"/>
              <w:rPr>
                <w:b w:val="0"/>
              </w:rPr>
            </w:pPr>
            <w:r w:rsidRPr="00065B1A">
              <w:rPr>
                <w:b w:val="0"/>
              </w:rPr>
              <w:t>= (20,000 x 27.0 x 90.0)/1,000 = 48,600</w:t>
            </w:r>
            <w:r w:rsidR="00372CB0">
              <w:rPr>
                <w:b w:val="0"/>
              </w:rPr>
              <w:t> </w:t>
            </w:r>
            <w:r w:rsidRPr="00065B1A">
              <w:rPr>
                <w:b w:val="0"/>
              </w:rPr>
              <w:t>t</w:t>
            </w:r>
            <w:r w:rsidR="00372CB0">
              <w:rPr>
                <w:b w:val="0"/>
              </w:rPr>
              <w:t> </w:t>
            </w:r>
            <w:r w:rsidRPr="00065B1A">
              <w:rPr>
                <w:b w:val="0"/>
              </w:rPr>
              <w:t>CO</w:t>
            </w:r>
            <w:r w:rsidRPr="00065B1A">
              <w:rPr>
                <w:b w:val="0"/>
                <w:vertAlign w:val="subscript"/>
              </w:rPr>
              <w:t>2</w:t>
            </w:r>
            <w:r w:rsidRPr="00065B1A">
              <w:rPr>
                <w:b w:val="0"/>
              </w:rPr>
              <w:t xml:space="preserve">-e </w:t>
            </w:r>
          </w:p>
          <w:p w14:paraId="6AD03B01" w14:textId="77777777" w:rsidR="001C3815" w:rsidRPr="00065B1A" w:rsidRDefault="001C3815">
            <w:pPr>
              <w:rPr>
                <w:b w:val="0"/>
              </w:rPr>
            </w:pPr>
            <w:r w:rsidRPr="00065B1A">
              <w:rPr>
                <w:b w:val="0"/>
              </w:rPr>
              <w:t xml:space="preserve">Emissions of methane from combustion of bituminous coal: </w:t>
            </w:r>
          </w:p>
          <w:p w14:paraId="5174830F" w14:textId="0E1F558B" w:rsidR="001C3815" w:rsidRPr="00065B1A" w:rsidRDefault="001C3815">
            <w:pPr>
              <w:ind w:left="720"/>
              <w:rPr>
                <w:b w:val="0"/>
              </w:rPr>
            </w:pPr>
            <w:r w:rsidRPr="00065B1A">
              <w:rPr>
                <w:b w:val="0"/>
              </w:rPr>
              <w:t>= (20,000 x 27.0 x 0.04)/1,000 = 22</w:t>
            </w:r>
            <w:r w:rsidR="00372CB0">
              <w:rPr>
                <w:b w:val="0"/>
              </w:rPr>
              <w:t> </w:t>
            </w:r>
            <w:r w:rsidRPr="00065B1A">
              <w:rPr>
                <w:b w:val="0"/>
              </w:rPr>
              <w:t>t</w:t>
            </w:r>
            <w:r w:rsidR="00372CB0">
              <w:rPr>
                <w:b w:val="0"/>
              </w:rPr>
              <w:t> </w:t>
            </w:r>
            <w:r w:rsidRPr="00065B1A">
              <w:rPr>
                <w:b w:val="0"/>
              </w:rPr>
              <w:t>CO</w:t>
            </w:r>
            <w:r w:rsidRPr="00065B1A">
              <w:rPr>
                <w:b w:val="0"/>
                <w:vertAlign w:val="subscript"/>
              </w:rPr>
              <w:t>2</w:t>
            </w:r>
            <w:r w:rsidRPr="00065B1A">
              <w:rPr>
                <w:b w:val="0"/>
              </w:rPr>
              <w:t>-e</w:t>
            </w:r>
          </w:p>
          <w:p w14:paraId="7DD4AD4A" w14:textId="77777777" w:rsidR="001C3815" w:rsidRPr="00065B1A" w:rsidRDefault="001C3815">
            <w:pPr>
              <w:rPr>
                <w:b w:val="0"/>
              </w:rPr>
            </w:pPr>
            <w:r w:rsidRPr="00065B1A">
              <w:rPr>
                <w:b w:val="0"/>
              </w:rPr>
              <w:t>Emissions of nitrous oxide from combustion of bituminous coal:</w:t>
            </w:r>
          </w:p>
          <w:p w14:paraId="6308DDBA" w14:textId="1717C3DA" w:rsidR="001C3815" w:rsidRPr="00F149D6" w:rsidRDefault="001C3815">
            <w:pPr>
              <w:ind w:left="720"/>
            </w:pPr>
            <w:r w:rsidRPr="00065B1A">
              <w:rPr>
                <w:b w:val="0"/>
              </w:rPr>
              <w:t>= (20,000 x 27.0 x 0.2)/1,000 = 108</w:t>
            </w:r>
            <w:r w:rsidR="00372CB0">
              <w:rPr>
                <w:b w:val="0"/>
              </w:rPr>
              <w:t> </w:t>
            </w:r>
            <w:r w:rsidRPr="00065B1A">
              <w:rPr>
                <w:b w:val="0"/>
              </w:rPr>
              <w:t>t</w:t>
            </w:r>
            <w:r w:rsidR="00372CB0">
              <w:rPr>
                <w:b w:val="0"/>
              </w:rPr>
              <w:t> </w:t>
            </w:r>
            <w:r w:rsidRPr="00065B1A">
              <w:rPr>
                <w:b w:val="0"/>
              </w:rPr>
              <w:t>CO</w:t>
            </w:r>
            <w:r w:rsidRPr="00065B1A">
              <w:rPr>
                <w:b w:val="0"/>
                <w:vertAlign w:val="subscript"/>
              </w:rPr>
              <w:t>2</w:t>
            </w:r>
            <w:r w:rsidRPr="00065B1A">
              <w:rPr>
                <w:b w:val="0"/>
              </w:rPr>
              <w:t>-e</w:t>
            </w:r>
          </w:p>
        </w:tc>
      </w:tr>
    </w:tbl>
    <w:p w14:paraId="3625B4AD" w14:textId="77777777" w:rsidR="001C3815" w:rsidRDefault="001C3815" w:rsidP="00ED53AE">
      <w:pPr>
        <w:rPr>
          <w:lang w:val="en-GB"/>
        </w:rPr>
      </w:pPr>
    </w:p>
    <w:p w14:paraId="5F912E22" w14:textId="77777777" w:rsidR="001C3815" w:rsidRPr="00F641D5" w:rsidRDefault="001C3815" w:rsidP="001C3815"/>
    <w:p w14:paraId="254A0809" w14:textId="0D9A4E7E" w:rsidR="001C3815" w:rsidRDefault="001C3815" w:rsidP="00C06A90">
      <w:pPr>
        <w:pStyle w:val="Heading3"/>
        <w:numPr>
          <w:ilvl w:val="2"/>
          <w:numId w:val="49"/>
        </w:numPr>
      </w:pPr>
      <w:bookmarkStart w:id="71" w:name="_Toc43983111"/>
      <w:bookmarkStart w:id="72" w:name="_Toc76565694"/>
      <w:bookmarkStart w:id="73" w:name="_Toc235613561"/>
      <w:r>
        <w:lastRenderedPageBreak/>
        <w:t>Method 2—estimating emissions of carbon dioxide using default oxidation factor</w:t>
      </w:r>
      <w:bookmarkEnd w:id="71"/>
      <w:bookmarkEnd w:id="72"/>
      <w:bookmarkEnd w:id="73"/>
    </w:p>
    <w:p w14:paraId="2422FA5E" w14:textId="77777777" w:rsidR="001C3815" w:rsidRPr="00015FD1" w:rsidRDefault="001C3815" w:rsidP="001C3815">
      <w:pPr>
        <w:rPr>
          <w:b/>
        </w:rPr>
      </w:pPr>
      <w:r>
        <w:t>Method 2 (set out in Division 2.2.3) does not apply default emission factors to the estimation of emissions. Method 2 instead produces more</w:t>
      </w:r>
      <w:r w:rsidRPr="00015FD1">
        <w:t xml:space="preserve"> accurate estimates for each facility </w:t>
      </w:r>
      <w:r>
        <w:t>by calculating facility-specific emissions factors – effectively averaging out variations in emissions factors for the fuels that are applicable to a facility. These emissions factors</w:t>
      </w:r>
      <w:r w:rsidRPr="00015FD1">
        <w:t xml:space="preserve"> are expected to be neither over nor under-estimates </w:t>
      </w:r>
      <w:r>
        <w:t>and should comply with the general principles (including accuracy) in section 1.13 of the NGER Measurement Determination. Calculation inputs</w:t>
      </w:r>
      <w:r w:rsidRPr="00015FD1">
        <w:t xml:space="preserve"> </w:t>
      </w:r>
      <w:r>
        <w:t>for Method 2 are</w:t>
      </w:r>
      <w:r w:rsidRPr="00015FD1">
        <w:t xml:space="preserve"> obtained by sampling and analysing the fuels</w:t>
      </w:r>
      <w:r>
        <w:t xml:space="preserve"> that are</w:t>
      </w:r>
      <w:r w:rsidRPr="00015FD1">
        <w:t xml:space="preserve"> combusted at the facility </w:t>
      </w:r>
      <w:r>
        <w:t>to quantify</w:t>
      </w:r>
      <w:r w:rsidRPr="00015FD1">
        <w:t xml:space="preserve"> the intrinsic qualities of the fuels themselves that affect actual emission levels. These qualities include the carbon, ash and moisture content of a fuel and may vary significantly from source to source, particularly for coals.</w:t>
      </w:r>
    </w:p>
    <w:p w14:paraId="6CEBAB5B" w14:textId="77777777" w:rsidR="001C3815" w:rsidRPr="00015FD1" w:rsidRDefault="001C3815" w:rsidP="001C3815">
      <w:pPr>
        <w:rPr>
          <w:b/>
        </w:rPr>
      </w:pPr>
      <w:r w:rsidRPr="00015FD1">
        <w:t xml:space="preserve">Method 2 is derived from the methodologies published in the </w:t>
      </w:r>
      <w:r w:rsidRPr="00F149D6">
        <w:rPr>
          <w:iCs/>
        </w:rPr>
        <w:t>Technical Guidelines for the Generator Efficiency Standards</w:t>
      </w:r>
      <w:r w:rsidRPr="005618E8">
        <w:rPr>
          <w:iCs/>
        </w:rPr>
        <w:t xml:space="preserve"> </w:t>
      </w:r>
      <w:r w:rsidRPr="00015FD1">
        <w:t xml:space="preserve">program, released in December 2006 by the </w:t>
      </w:r>
      <w:r>
        <w:t xml:space="preserve">former </w:t>
      </w:r>
      <w:r w:rsidRPr="00015FD1">
        <w:t xml:space="preserve">Australian Greenhouse Office and is designed to enable more accurate estimates of emissions </w:t>
      </w:r>
      <w:r>
        <w:t>for</w:t>
      </w:r>
      <w:r w:rsidRPr="00015FD1">
        <w:t xml:space="preserve"> a particular facility.  </w:t>
      </w:r>
    </w:p>
    <w:p w14:paraId="2819BFA4" w14:textId="05C13D05" w:rsidR="001C3815" w:rsidRPr="00015FD1" w:rsidRDefault="001C3815" w:rsidP="001C3815">
      <w:pPr>
        <w:rPr>
          <w:b/>
        </w:rPr>
      </w:pPr>
      <w:r w:rsidRPr="00015FD1">
        <w:t xml:space="preserve">Under </w:t>
      </w:r>
      <w:r w:rsidR="016FEDBB">
        <w:t>M</w:t>
      </w:r>
      <w:r w:rsidRPr="00015FD1">
        <w:t xml:space="preserve">ethod 2, representative and unbiased samples of fuels consumed must </w:t>
      </w:r>
      <w:r>
        <w:t>be sampled and analysed in accordance with subdivision 2.2.3.3 of the NGER Measurement Determination</w:t>
      </w:r>
      <w:r w:rsidRPr="00015FD1">
        <w:t>. Analysis of the fuels for carbon, energy, ash or moisture content must be done in accordance with</w:t>
      </w:r>
      <w:r>
        <w:t xml:space="preserve"> the prescribed</w:t>
      </w:r>
      <w:r w:rsidRPr="00015FD1">
        <w:t xml:space="preserve"> Australian or international standards or equivalent.</w:t>
      </w:r>
    </w:p>
    <w:p w14:paraId="7ED9BA89" w14:textId="74DC5BD4" w:rsidR="001C3815" w:rsidRPr="00015FD1" w:rsidRDefault="001C3815" w:rsidP="001C3815">
      <w:pPr>
        <w:rPr>
          <w:b/>
        </w:rPr>
      </w:pPr>
      <w:proofErr w:type="gramStart"/>
      <w:r w:rsidRPr="00015FD1">
        <w:t>In order to</w:t>
      </w:r>
      <w:proofErr w:type="gramEnd"/>
      <w:r w:rsidRPr="00015FD1">
        <w:t xml:space="preserve"> deduct carbon dioxide captured for permanent storage</w:t>
      </w:r>
      <w:r>
        <w:t>,</w:t>
      </w:r>
      <w:r w:rsidRPr="00015FD1">
        <w:t xml:space="preserve"> reporters are required to use </w:t>
      </w:r>
      <w:r w:rsidR="6B160BBF">
        <w:t>M</w:t>
      </w:r>
      <w:r w:rsidRPr="00015FD1">
        <w:t xml:space="preserve">ethod 2 or higher. These higher order methods provide a more accurate estimate of the carbon dioxide emissions than under </w:t>
      </w:r>
      <w:r w:rsidR="2B62EEAE">
        <w:t>M</w:t>
      </w:r>
      <w:r w:rsidRPr="00015FD1">
        <w:t>ethod 1, the default method. As the carbon dioxide captured is deducted from the emissions estimate</w:t>
      </w:r>
      <w:r w:rsidR="4D999809">
        <w:t>,</w:t>
      </w:r>
      <w:r w:rsidRPr="00015FD1">
        <w:t xml:space="preserve"> it is necessary to have a greater level of accuracy in the emissions estimate than is achieved using </w:t>
      </w:r>
      <w:r w:rsidR="71E76EEE">
        <w:t>M</w:t>
      </w:r>
      <w:r w:rsidRPr="00015FD1">
        <w:t xml:space="preserve">ethod 1. </w:t>
      </w:r>
    </w:p>
    <w:p w14:paraId="01D6104F" w14:textId="18C7D0F8" w:rsidR="001C3815" w:rsidRPr="00015FD1" w:rsidRDefault="001C3815" w:rsidP="001C3815">
      <w:pPr>
        <w:rPr>
          <w:b/>
        </w:rPr>
      </w:pPr>
      <w:r w:rsidRPr="00015FD1">
        <w:t xml:space="preserve">Division 2.2.3 </w:t>
      </w:r>
      <w:r>
        <w:t xml:space="preserve">of the NGER Measurement Determination provides </w:t>
      </w:r>
      <w:r w:rsidR="007755FF">
        <w:t xml:space="preserve">2 </w:t>
      </w:r>
      <w:r>
        <w:t xml:space="preserve">options for Method 2, using either </w:t>
      </w:r>
      <w:r w:rsidRPr="00015FD1">
        <w:t>an assumed oxidation factor (subdivision 2.2.3.1</w:t>
      </w:r>
      <w:r>
        <w:t>),</w:t>
      </w:r>
      <w:r w:rsidRPr="00015FD1">
        <w:t xml:space="preserve"> or </w:t>
      </w:r>
      <w:r>
        <w:t>an estimated oxidation factor determined</w:t>
      </w:r>
      <w:r w:rsidRPr="00015FD1">
        <w:t xml:space="preserve"> by reference to additional information about the fuels combusted by the facility (</w:t>
      </w:r>
      <w:r>
        <w:t>s</w:t>
      </w:r>
      <w:r w:rsidRPr="00015FD1">
        <w:t>ubdivision 2.2.3.2).</w:t>
      </w:r>
    </w:p>
    <w:p w14:paraId="0C3C67F7" w14:textId="77777777" w:rsidR="001C3815" w:rsidRPr="00015FD1" w:rsidRDefault="001C3815" w:rsidP="001C3815">
      <w:pPr>
        <w:rPr>
          <w:b/>
        </w:rPr>
      </w:pPr>
      <w:r w:rsidRPr="00015FD1">
        <w:t xml:space="preserve">For sub-division 2.2.3.1, oxidation factors are drawn from default factors utilised in </w:t>
      </w:r>
      <w:r>
        <w:t>Australia's</w:t>
      </w:r>
      <w:r w:rsidRPr="005618E8">
        <w:rPr>
          <w:iCs/>
        </w:rPr>
        <w:t xml:space="preserve"> </w:t>
      </w:r>
      <w:r w:rsidRPr="00F149D6">
        <w:rPr>
          <w:iCs/>
        </w:rPr>
        <w:t>National Greenhouse Accounts</w:t>
      </w:r>
      <w:r w:rsidRPr="00015FD1">
        <w:t>.</w:t>
      </w:r>
    </w:p>
    <w:p w14:paraId="046D2A3B" w14:textId="5BC0CE54" w:rsidR="001C3815" w:rsidRDefault="001C3815" w:rsidP="001C3815">
      <w:r w:rsidRPr="00015FD1">
        <w:t>Once the</w:t>
      </w:r>
      <w:r>
        <w:t xml:space="preserve"> sampling and</w:t>
      </w:r>
      <w:r w:rsidRPr="00015FD1">
        <w:t xml:space="preserve"> analysis of the fuel for carbon, ash and moisture has been completed</w:t>
      </w:r>
      <w:r>
        <w:t xml:space="preserve"> in accordance with subdivision 2.2.3.3</w:t>
      </w:r>
      <w:r w:rsidRPr="00015FD1">
        <w:t xml:space="preserve">, emissions may then be estimated in accordance with the equations specified in </w:t>
      </w:r>
      <w:r w:rsidR="00ED4E67">
        <w:t>sub</w:t>
      </w:r>
      <w:r>
        <w:t>s</w:t>
      </w:r>
      <w:r w:rsidRPr="00015FD1">
        <w:t>ection 2.5(1) or 2.6(1)</w:t>
      </w:r>
      <w:r>
        <w:t xml:space="preserve"> of the NGER Measurement Determination</w:t>
      </w:r>
      <w:r w:rsidRPr="00015FD1">
        <w:t>.</w:t>
      </w:r>
    </w:p>
    <w:tbl>
      <w:tblPr>
        <w:tblStyle w:val="CERCallout"/>
        <w:tblW w:w="0" w:type="auto"/>
        <w:tblLook w:val="04A0" w:firstRow="1" w:lastRow="0" w:firstColumn="1" w:lastColumn="0" w:noHBand="0" w:noVBand="1"/>
      </w:tblPr>
      <w:tblGrid>
        <w:gridCol w:w="9710"/>
      </w:tblGrid>
      <w:tr w:rsidR="001C3815" w14:paraId="3229386C" w14:textId="77777777" w:rsidTr="4AB9D180">
        <w:trPr>
          <w:cnfStyle w:val="100000000000" w:firstRow="1" w:lastRow="0" w:firstColumn="0" w:lastColumn="0" w:oddVBand="0" w:evenVBand="0" w:oddHBand="0" w:evenHBand="0" w:firstRowFirstColumn="0" w:firstRowLastColumn="0" w:lastRowFirstColumn="0" w:lastRowLastColumn="0"/>
        </w:trPr>
        <w:tc>
          <w:tcPr>
            <w:tcW w:w="9730" w:type="dxa"/>
          </w:tcPr>
          <w:p w14:paraId="6AF9C614" w14:textId="6959A111" w:rsidR="001C3815" w:rsidRPr="00793B33" w:rsidRDefault="001C3815" w:rsidP="006F6AB8">
            <w:pPr>
              <w:pStyle w:val="Heading5"/>
              <w:rPr>
                <w:lang w:eastAsia="en-AU"/>
              </w:rPr>
            </w:pPr>
            <w:bookmarkStart w:id="74" w:name="_Toc235613562"/>
            <w:r w:rsidRPr="00793B33">
              <w:rPr>
                <w:b/>
                <w:lang w:eastAsia="en-AU"/>
              </w:rPr>
              <w:lastRenderedPageBreak/>
              <w:t>Example</w:t>
            </w:r>
            <w:r w:rsidR="00373F7C">
              <w:rPr>
                <w:b/>
                <w:lang w:eastAsia="en-AU"/>
              </w:rPr>
              <w:t xml:space="preserve"> 2</w:t>
            </w:r>
            <w:bookmarkEnd w:id="74"/>
          </w:p>
          <w:p w14:paraId="0B30E81B" w14:textId="37032439" w:rsidR="001C3815" w:rsidRPr="00065B1A" w:rsidRDefault="001C3815">
            <w:pPr>
              <w:rPr>
                <w:rFonts w:eastAsia="Times New Roman"/>
                <w:b w:val="0"/>
                <w:bCs/>
                <w:lang w:eastAsia="en-AU"/>
              </w:rPr>
            </w:pPr>
            <w:r w:rsidRPr="00065B1A">
              <w:rPr>
                <w:rFonts w:eastAsia="Times New Roman"/>
                <w:b w:val="0"/>
                <w:bCs/>
                <w:lang w:eastAsia="en-AU"/>
              </w:rPr>
              <w:t>A facility consumes 100,000</w:t>
            </w:r>
            <w:r w:rsidR="00944EEB">
              <w:rPr>
                <w:rFonts w:eastAsia="Times New Roman"/>
                <w:b w:val="0"/>
                <w:bCs/>
                <w:lang w:eastAsia="en-AU"/>
              </w:rPr>
              <w:t> </w:t>
            </w:r>
            <w:r w:rsidRPr="00065B1A">
              <w:rPr>
                <w:rFonts w:eastAsia="Times New Roman"/>
                <w:b w:val="0"/>
                <w:bCs/>
                <w:lang w:eastAsia="en-AU"/>
              </w:rPr>
              <w:t>t of bituminous coal with a carbon content of 75% and an energy content of 28.5</w:t>
            </w:r>
            <w:r w:rsidR="00944EEB">
              <w:rPr>
                <w:rFonts w:eastAsia="Times New Roman"/>
                <w:b w:val="0"/>
                <w:bCs/>
                <w:lang w:eastAsia="en-AU"/>
              </w:rPr>
              <w:t> </w:t>
            </w:r>
            <w:r w:rsidRPr="00065B1A">
              <w:rPr>
                <w:rFonts w:eastAsia="Times New Roman"/>
                <w:b w:val="0"/>
                <w:bCs/>
                <w:lang w:eastAsia="en-AU"/>
              </w:rPr>
              <w:t>GJ</w:t>
            </w:r>
            <w:r w:rsidR="00944EEB">
              <w:rPr>
                <w:rFonts w:eastAsia="Times New Roman"/>
                <w:b w:val="0"/>
                <w:bCs/>
                <w:lang w:eastAsia="en-AU"/>
              </w:rPr>
              <w:t> </w:t>
            </w:r>
            <w:r w:rsidRPr="00065B1A">
              <w:rPr>
                <w:rFonts w:eastAsia="Times New Roman"/>
                <w:b w:val="0"/>
                <w:bCs/>
                <w:lang w:eastAsia="en-AU"/>
              </w:rPr>
              <w:t>per</w:t>
            </w:r>
            <w:r w:rsidR="00944EEB">
              <w:rPr>
                <w:rFonts w:eastAsia="Times New Roman"/>
                <w:b w:val="0"/>
                <w:bCs/>
                <w:lang w:eastAsia="en-AU"/>
              </w:rPr>
              <w:t> </w:t>
            </w:r>
            <w:r w:rsidRPr="00065B1A">
              <w:rPr>
                <w:rFonts w:eastAsia="Times New Roman"/>
                <w:b w:val="0"/>
                <w:bCs/>
                <w:lang w:eastAsia="en-AU"/>
              </w:rPr>
              <w:t>tonne</w:t>
            </w:r>
            <w:r w:rsidR="00944EEB">
              <w:rPr>
                <w:rFonts w:eastAsia="Times New Roman"/>
                <w:b w:val="0"/>
                <w:bCs/>
                <w:lang w:eastAsia="en-AU"/>
              </w:rPr>
              <w:t> (GJ/t)</w:t>
            </w:r>
            <w:r w:rsidRPr="00065B1A">
              <w:rPr>
                <w:rFonts w:eastAsia="Times New Roman"/>
                <w:b w:val="0"/>
                <w:bCs/>
                <w:lang w:eastAsia="en-AU"/>
              </w:rPr>
              <w:t xml:space="preserve"> for purposes other than coke or electricity production. The reporter elects to use </w:t>
            </w:r>
            <w:r w:rsidR="6925DFB8" w:rsidRPr="4AB9D180">
              <w:rPr>
                <w:rFonts w:eastAsia="Times New Roman"/>
                <w:b w:val="0"/>
                <w:lang w:eastAsia="en-AU"/>
              </w:rPr>
              <w:t>M</w:t>
            </w:r>
            <w:r w:rsidRPr="00065B1A">
              <w:rPr>
                <w:rFonts w:eastAsia="Times New Roman"/>
                <w:b w:val="0"/>
                <w:bCs/>
                <w:lang w:eastAsia="en-AU"/>
              </w:rPr>
              <w:t xml:space="preserve">ethod 2 (using default oxidation factor) (section 2.5 of the NGER Measurement Determination) for the estimation of emissions of carbon dioxide and </w:t>
            </w:r>
            <w:r w:rsidR="2A561660" w:rsidRPr="4AB9D180">
              <w:rPr>
                <w:rFonts w:eastAsia="Times New Roman"/>
                <w:b w:val="0"/>
                <w:lang w:eastAsia="en-AU"/>
              </w:rPr>
              <w:t>M</w:t>
            </w:r>
            <w:r w:rsidRPr="00065B1A">
              <w:rPr>
                <w:rFonts w:eastAsia="Times New Roman"/>
                <w:b w:val="0"/>
                <w:bCs/>
                <w:lang w:eastAsia="en-AU"/>
              </w:rPr>
              <w:t xml:space="preserve">ethod 1 (division 2.2.2) for the estimation of emissions from methane and nitrous oxide. </w:t>
            </w:r>
          </w:p>
          <w:p w14:paraId="6E450389" w14:textId="583F26C2" w:rsidR="001C3815" w:rsidRPr="00065B1A" w:rsidRDefault="001C3815">
            <w:pPr>
              <w:rPr>
                <w:rFonts w:eastAsia="Times New Roman"/>
                <w:b w:val="0"/>
                <w:bCs/>
                <w:lang w:eastAsia="en-AU"/>
              </w:rPr>
            </w:pPr>
            <w:r w:rsidRPr="00065B1A">
              <w:rPr>
                <w:rFonts w:eastAsia="Times New Roman"/>
                <w:b w:val="0"/>
                <w:bCs/>
                <w:lang w:eastAsia="en-AU"/>
              </w:rPr>
              <w:t xml:space="preserve">Carbon dioxide emissions are estimated according to </w:t>
            </w:r>
            <w:r w:rsidR="5F568751" w:rsidRPr="4AB9D180">
              <w:rPr>
                <w:rFonts w:eastAsia="Times New Roman"/>
                <w:b w:val="0"/>
                <w:lang w:eastAsia="en-AU"/>
              </w:rPr>
              <w:t>M</w:t>
            </w:r>
            <w:r w:rsidRPr="00065B1A">
              <w:rPr>
                <w:rFonts w:eastAsia="Times New Roman"/>
                <w:b w:val="0"/>
                <w:bCs/>
                <w:lang w:eastAsia="en-AU"/>
              </w:rPr>
              <w:t>ethod 2 (using default oxidation factor) as follows:</w:t>
            </w:r>
          </w:p>
          <w:p w14:paraId="68A593A8" w14:textId="77777777" w:rsidR="001C3815" w:rsidRPr="00065B1A" w:rsidRDefault="001C3815">
            <w:pPr>
              <w:rPr>
                <w:rFonts w:eastAsia="Times New Roman"/>
                <w:b w:val="0"/>
                <w:bCs/>
                <w:lang w:eastAsia="en-AU"/>
              </w:rPr>
            </w:pPr>
            <w:r w:rsidRPr="00065B1A">
              <w:rPr>
                <w:rFonts w:eastAsia="Times New Roman"/>
                <w:b w:val="0"/>
                <w:bCs/>
                <w:lang w:eastAsia="en-AU"/>
              </w:rPr>
              <w:t>1. Estimate the carbon dioxide emission factor (EF</w:t>
            </w:r>
            <w:r w:rsidRPr="00065B1A">
              <w:rPr>
                <w:rFonts w:eastAsia="Times New Roman"/>
                <w:b w:val="0"/>
                <w:bCs/>
                <w:vertAlign w:val="subscript"/>
                <w:lang w:eastAsia="en-AU"/>
              </w:rPr>
              <w:t>ico2</w:t>
            </w:r>
            <w:proofErr w:type="gramStart"/>
            <w:r w:rsidRPr="00065B1A">
              <w:rPr>
                <w:rFonts w:eastAsia="Times New Roman"/>
                <w:b w:val="0"/>
                <w:bCs/>
                <w:vertAlign w:val="subscript"/>
                <w:lang w:eastAsia="en-AU"/>
              </w:rPr>
              <w:t>ox,kg</w:t>
            </w:r>
            <w:proofErr w:type="gramEnd"/>
            <w:r w:rsidRPr="00065B1A">
              <w:rPr>
                <w:rFonts w:eastAsia="Times New Roman"/>
                <w:b w:val="0"/>
                <w:bCs/>
                <w:lang w:eastAsia="en-AU"/>
              </w:rPr>
              <w:t>) for fuel type (</w:t>
            </w:r>
            <w:proofErr w:type="spellStart"/>
            <w:r w:rsidRPr="00065B1A">
              <w:rPr>
                <w:rFonts w:eastAsia="Times New Roman"/>
                <w:b w:val="0"/>
                <w:bCs/>
                <w:lang w:eastAsia="en-AU"/>
              </w:rPr>
              <w:t>i</w:t>
            </w:r>
            <w:proofErr w:type="spellEnd"/>
            <w:r w:rsidRPr="00065B1A">
              <w:rPr>
                <w:rFonts w:eastAsia="Times New Roman"/>
                <w:b w:val="0"/>
                <w:bCs/>
                <w:lang w:eastAsia="en-AU"/>
              </w:rPr>
              <w:t>) as follows:</w:t>
            </w:r>
          </w:p>
          <w:p w14:paraId="331E7BA8" w14:textId="3ACC6328" w:rsidR="001C3815" w:rsidRPr="00065B1A" w:rsidRDefault="004430EE">
            <w:pPr>
              <w:rPr>
                <w:rFonts w:eastAsia="Times New Roman"/>
                <w:b w:val="0"/>
                <w:bCs/>
                <w:iCs/>
                <w:sz w:val="28"/>
                <w:szCs w:val="28"/>
                <w:lang w:eastAsia="en-AU"/>
              </w:rPr>
            </w:pPr>
            <m:oMathPara>
              <m:oMathParaPr>
                <m:jc m:val="left"/>
              </m:oMathParaPr>
              <m:oMath>
                <m:sSub>
                  <m:sSubPr>
                    <m:ctrlPr>
                      <w:rPr>
                        <w:rFonts w:ascii="Cambria Math" w:eastAsia="Times New Roman" w:hAnsi="Cambria Math"/>
                        <w:b w:val="0"/>
                        <w:bCs/>
                        <w:iCs/>
                        <w:sz w:val="28"/>
                        <w:szCs w:val="28"/>
                        <w:lang w:eastAsia="en-AU"/>
                      </w:rPr>
                    </m:ctrlPr>
                  </m:sSubPr>
                  <m:e>
                    <m:r>
                      <m:rPr>
                        <m:sty m:val="b"/>
                      </m:rPr>
                      <w:rPr>
                        <w:rFonts w:ascii="Cambria Math" w:eastAsia="Times New Roman" w:hAnsi="Cambria Math"/>
                        <w:sz w:val="28"/>
                        <w:szCs w:val="28"/>
                        <w:lang w:eastAsia="en-AU"/>
                      </w:rPr>
                      <m:t>EF</m:t>
                    </m:r>
                  </m:e>
                  <m:sub>
                    <m:sSub>
                      <m:sSubPr>
                        <m:ctrlPr>
                          <w:rPr>
                            <w:rFonts w:ascii="Cambria Math" w:eastAsia="Times New Roman" w:hAnsi="Cambria Math"/>
                            <w:b w:val="0"/>
                            <w:bCs/>
                            <w:iCs/>
                            <w:sz w:val="28"/>
                            <w:szCs w:val="28"/>
                            <w:lang w:eastAsia="en-AU"/>
                          </w:rPr>
                        </m:ctrlPr>
                      </m:sSubPr>
                      <m:e>
                        <m:r>
                          <m:rPr>
                            <m:sty m:val="b"/>
                          </m:rPr>
                          <w:rPr>
                            <w:rFonts w:ascii="Cambria Math" w:eastAsia="Times New Roman" w:hAnsi="Cambria Math"/>
                            <w:sz w:val="28"/>
                            <w:szCs w:val="28"/>
                            <w:lang w:eastAsia="en-AU"/>
                          </w:rPr>
                          <m:t>ico</m:t>
                        </m:r>
                      </m:e>
                      <m:sub>
                        <m:r>
                          <m:rPr>
                            <m:sty m:val="b"/>
                          </m:rPr>
                          <w:rPr>
                            <w:rFonts w:ascii="Cambria Math" w:eastAsia="Times New Roman" w:hAnsi="Cambria Math"/>
                            <w:sz w:val="28"/>
                            <w:szCs w:val="28"/>
                            <w:lang w:eastAsia="en-AU"/>
                          </w:rPr>
                          <m:t>2</m:t>
                        </m:r>
                      </m:sub>
                    </m:sSub>
                    <m:r>
                      <m:rPr>
                        <m:sty m:val="b"/>
                      </m:rPr>
                      <w:rPr>
                        <w:rFonts w:ascii="Cambria Math" w:eastAsia="Times New Roman" w:hAnsi="Cambria Math"/>
                        <w:sz w:val="28"/>
                        <w:szCs w:val="28"/>
                        <w:lang w:eastAsia="en-AU"/>
                      </w:rPr>
                      <m:t>ox,kg</m:t>
                    </m:r>
                  </m:sub>
                </m:sSub>
                <m:r>
                  <m:rPr>
                    <m:sty m:val="b"/>
                  </m:rPr>
                  <w:rPr>
                    <w:rFonts w:ascii="Cambria Math" w:eastAsia="Times New Roman" w:hAnsi="Cambria Math"/>
                    <w:sz w:val="28"/>
                    <w:szCs w:val="28"/>
                    <w:lang w:eastAsia="en-AU"/>
                  </w:rPr>
                  <m:t xml:space="preserve">= </m:t>
                </m:r>
                <m:f>
                  <m:fPr>
                    <m:ctrlPr>
                      <w:rPr>
                        <w:rFonts w:ascii="Cambria Math" w:eastAsia="Times New Roman" w:hAnsi="Cambria Math"/>
                        <w:b w:val="0"/>
                        <w:bCs/>
                        <w:iCs/>
                        <w:sz w:val="28"/>
                        <w:szCs w:val="28"/>
                        <w:lang w:eastAsia="en-AU"/>
                      </w:rPr>
                    </m:ctrlPr>
                  </m:fPr>
                  <m:num>
                    <m:sSub>
                      <m:sSubPr>
                        <m:ctrlPr>
                          <w:rPr>
                            <w:rFonts w:ascii="Cambria Math" w:eastAsia="Times New Roman" w:hAnsi="Cambria Math"/>
                            <w:b w:val="0"/>
                            <w:bCs/>
                            <w:iCs/>
                            <w:sz w:val="28"/>
                            <w:szCs w:val="28"/>
                            <w:lang w:eastAsia="en-AU"/>
                          </w:rPr>
                        </m:ctrlPr>
                      </m:sSubPr>
                      <m:e>
                        <m:r>
                          <m:rPr>
                            <m:sty m:val="b"/>
                          </m:rPr>
                          <w:rPr>
                            <w:rFonts w:ascii="Cambria Math" w:eastAsia="Times New Roman" w:hAnsi="Cambria Math"/>
                            <w:sz w:val="28"/>
                            <w:szCs w:val="28"/>
                            <w:lang w:eastAsia="en-AU"/>
                          </w:rPr>
                          <m:t>C</m:t>
                        </m:r>
                      </m:e>
                      <m:sub>
                        <m:r>
                          <m:rPr>
                            <m:sty m:val="b"/>
                          </m:rPr>
                          <w:rPr>
                            <w:rFonts w:ascii="Cambria Math" w:eastAsia="Times New Roman" w:hAnsi="Cambria Math"/>
                            <w:sz w:val="28"/>
                            <w:szCs w:val="28"/>
                            <w:lang w:eastAsia="en-AU"/>
                          </w:rPr>
                          <m:t>ar</m:t>
                        </m:r>
                      </m:sub>
                    </m:sSub>
                  </m:num>
                  <m:den>
                    <m:r>
                      <m:rPr>
                        <m:sty m:val="b"/>
                      </m:rPr>
                      <w:rPr>
                        <w:rFonts w:ascii="Cambria Math" w:eastAsia="Times New Roman" w:hAnsi="Cambria Math"/>
                        <w:sz w:val="28"/>
                        <w:szCs w:val="28"/>
                        <w:lang w:eastAsia="en-AU"/>
                      </w:rPr>
                      <m:t>100</m:t>
                    </m:r>
                  </m:den>
                </m:f>
                <m:r>
                  <m:rPr>
                    <m:sty m:val="b"/>
                  </m:rPr>
                  <w:rPr>
                    <w:rFonts w:ascii="Cambria Math" w:eastAsia="Times New Roman" w:hAnsi="Cambria Math"/>
                    <w:sz w:val="28"/>
                    <w:szCs w:val="28"/>
                    <w:lang w:eastAsia="en-AU"/>
                  </w:rPr>
                  <m:t xml:space="preserve"> ×</m:t>
                </m:r>
                <m:sSub>
                  <m:sSubPr>
                    <m:ctrlPr>
                      <w:rPr>
                        <w:rFonts w:ascii="Cambria Math" w:eastAsia="Times New Roman" w:hAnsi="Cambria Math"/>
                        <w:b w:val="0"/>
                        <w:bCs/>
                        <w:iCs/>
                        <w:sz w:val="28"/>
                        <w:szCs w:val="28"/>
                        <w:lang w:eastAsia="en-AU"/>
                      </w:rPr>
                    </m:ctrlPr>
                  </m:sSubPr>
                  <m:e>
                    <m:r>
                      <m:rPr>
                        <m:sty m:val="b"/>
                      </m:rPr>
                      <w:rPr>
                        <w:rFonts w:ascii="Cambria Math" w:eastAsia="Times New Roman" w:hAnsi="Cambria Math"/>
                        <w:sz w:val="28"/>
                        <w:szCs w:val="28"/>
                        <w:lang w:eastAsia="en-AU"/>
                      </w:rPr>
                      <m:t>OF</m:t>
                    </m:r>
                  </m:e>
                  <m:sub>
                    <m:r>
                      <m:rPr>
                        <m:sty m:val="b"/>
                      </m:rPr>
                      <w:rPr>
                        <w:rFonts w:ascii="Cambria Math" w:eastAsia="Times New Roman" w:hAnsi="Cambria Math"/>
                        <w:sz w:val="28"/>
                        <w:szCs w:val="28"/>
                        <w:lang w:eastAsia="en-AU"/>
                      </w:rPr>
                      <m:t>s</m:t>
                    </m:r>
                  </m:sub>
                </m:sSub>
                <m:r>
                  <m:rPr>
                    <m:sty m:val="b"/>
                  </m:rPr>
                  <w:rPr>
                    <w:rFonts w:ascii="Cambria Math" w:eastAsia="Times New Roman" w:hAnsi="Cambria Math"/>
                    <w:sz w:val="28"/>
                    <w:szCs w:val="28"/>
                    <w:lang w:eastAsia="en-AU"/>
                  </w:rPr>
                  <m:t xml:space="preserve"> ×3.664</m:t>
                </m:r>
              </m:oMath>
            </m:oMathPara>
          </w:p>
          <w:p w14:paraId="337ABDE4" w14:textId="77777777" w:rsidR="001C3815" w:rsidRPr="00065B1A" w:rsidRDefault="001C3815">
            <w:pPr>
              <w:rPr>
                <w:rFonts w:eastAsia="Times New Roman"/>
                <w:b w:val="0"/>
                <w:bCs/>
                <w:lang w:eastAsia="en-AU"/>
              </w:rPr>
            </w:pPr>
            <w:r w:rsidRPr="00065B1A">
              <w:rPr>
                <w:rFonts w:eastAsia="Times New Roman"/>
                <w:b w:val="0"/>
                <w:bCs/>
                <w:lang w:eastAsia="en-AU"/>
              </w:rPr>
              <w:t xml:space="preserve"> where:</w:t>
            </w:r>
          </w:p>
          <w:p w14:paraId="06D38FD9" w14:textId="646DB69C" w:rsidR="001C3815" w:rsidRPr="00065B1A" w:rsidRDefault="001C3815">
            <w:pPr>
              <w:rPr>
                <w:rFonts w:eastAsia="Times New Roman"/>
                <w:b w:val="0"/>
                <w:bCs/>
                <w:lang w:eastAsia="en-AU"/>
              </w:rPr>
            </w:pPr>
            <w:r w:rsidRPr="00065B1A">
              <w:rPr>
                <w:rFonts w:eastAsia="Times New Roman"/>
                <w:b w:val="0"/>
                <w:bCs/>
                <w:i/>
                <w:iCs/>
                <w:lang w:eastAsia="en-AU"/>
              </w:rPr>
              <w:t>EF</w:t>
            </w:r>
            <w:r w:rsidRPr="00065B1A">
              <w:rPr>
                <w:rFonts w:eastAsia="Times New Roman"/>
                <w:b w:val="0"/>
                <w:bCs/>
                <w:i/>
                <w:iCs/>
                <w:vertAlign w:val="subscript"/>
                <w:lang w:eastAsia="en-AU"/>
              </w:rPr>
              <w:t>ico2</w:t>
            </w:r>
            <w:proofErr w:type="gramStart"/>
            <w:r w:rsidRPr="00065B1A">
              <w:rPr>
                <w:rFonts w:eastAsia="Times New Roman"/>
                <w:b w:val="0"/>
                <w:bCs/>
                <w:i/>
                <w:iCs/>
                <w:vertAlign w:val="subscript"/>
                <w:lang w:eastAsia="en-AU"/>
              </w:rPr>
              <w:t>ox,kg</w:t>
            </w:r>
            <w:proofErr w:type="gramEnd"/>
            <w:r w:rsidRPr="00065B1A">
              <w:rPr>
                <w:rFonts w:eastAsia="Times New Roman"/>
                <w:b w:val="0"/>
                <w:bCs/>
                <w:vertAlign w:val="subscript"/>
                <w:lang w:eastAsia="en-AU"/>
              </w:rPr>
              <w:t xml:space="preserve"> </w:t>
            </w:r>
            <w:r w:rsidRPr="00065B1A">
              <w:rPr>
                <w:rFonts w:eastAsia="Times New Roman"/>
                <w:b w:val="0"/>
                <w:bCs/>
                <w:lang w:eastAsia="en-AU"/>
              </w:rPr>
              <w:t>the carbon dioxide emission factor for fuel type (</w:t>
            </w:r>
            <w:proofErr w:type="spellStart"/>
            <w:r w:rsidRPr="00065B1A">
              <w:rPr>
                <w:rFonts w:eastAsia="Times New Roman"/>
                <w:b w:val="0"/>
                <w:bCs/>
                <w:lang w:eastAsia="en-AU"/>
              </w:rPr>
              <w:t>i</w:t>
            </w:r>
            <w:proofErr w:type="spellEnd"/>
            <w:r w:rsidRPr="00065B1A">
              <w:rPr>
                <w:rFonts w:eastAsia="Times New Roman"/>
                <w:b w:val="0"/>
                <w:bCs/>
                <w:lang w:eastAsia="en-AU"/>
              </w:rPr>
              <w:t>) in kg</w:t>
            </w:r>
            <w:r w:rsidR="00AA7B04">
              <w:rPr>
                <w:rFonts w:eastAsia="Times New Roman"/>
                <w:b w:val="0"/>
                <w:bCs/>
                <w:lang w:eastAsia="en-AU"/>
              </w:rPr>
              <w:t xml:space="preserve"> </w:t>
            </w:r>
            <w:r w:rsidRPr="00065B1A">
              <w:rPr>
                <w:rFonts w:eastAsia="Times New Roman"/>
                <w:b w:val="0"/>
                <w:bCs/>
                <w:lang w:eastAsia="en-AU"/>
              </w:rPr>
              <w:t>of CO</w:t>
            </w:r>
            <w:r w:rsidRPr="00065B1A">
              <w:rPr>
                <w:rFonts w:eastAsia="Times New Roman"/>
                <w:b w:val="0"/>
                <w:bCs/>
                <w:vertAlign w:val="subscript"/>
                <w:lang w:eastAsia="en-AU"/>
              </w:rPr>
              <w:t>2</w:t>
            </w:r>
            <w:r w:rsidRPr="00065B1A">
              <w:rPr>
                <w:rFonts w:eastAsia="Times New Roman"/>
                <w:b w:val="0"/>
                <w:bCs/>
                <w:lang w:eastAsia="en-AU"/>
              </w:rPr>
              <w:t>-e per kg of fuel;</w:t>
            </w:r>
          </w:p>
          <w:p w14:paraId="7D423E43" w14:textId="77777777" w:rsidR="001C3815" w:rsidRPr="00065B1A" w:rsidRDefault="001C3815">
            <w:pPr>
              <w:rPr>
                <w:rFonts w:eastAsia="Times New Roman"/>
                <w:b w:val="0"/>
                <w:bCs/>
                <w:lang w:eastAsia="en-AU"/>
              </w:rPr>
            </w:pPr>
            <w:r w:rsidRPr="00065B1A">
              <w:rPr>
                <w:rFonts w:eastAsia="Times New Roman"/>
                <w:b w:val="0"/>
                <w:bCs/>
                <w:i/>
                <w:iCs/>
                <w:lang w:eastAsia="en-AU"/>
              </w:rPr>
              <w:t>C</w:t>
            </w:r>
            <w:r w:rsidRPr="00065B1A">
              <w:rPr>
                <w:rFonts w:eastAsia="Times New Roman"/>
                <w:b w:val="0"/>
                <w:bCs/>
                <w:i/>
                <w:iCs/>
                <w:vertAlign w:val="subscript"/>
                <w:lang w:eastAsia="en-AU"/>
              </w:rPr>
              <w:t>ar</w:t>
            </w:r>
            <w:r w:rsidRPr="00065B1A">
              <w:rPr>
                <w:rFonts w:eastAsia="Times New Roman"/>
                <w:b w:val="0"/>
                <w:bCs/>
                <w:lang w:eastAsia="en-AU"/>
              </w:rPr>
              <w:t xml:space="preserve"> is the percentage of carbon in fuel type (</w:t>
            </w:r>
            <w:proofErr w:type="spellStart"/>
            <w:r w:rsidRPr="00065B1A">
              <w:rPr>
                <w:rFonts w:eastAsia="Times New Roman"/>
                <w:b w:val="0"/>
                <w:bCs/>
                <w:lang w:eastAsia="en-AU"/>
              </w:rPr>
              <w:t>i</w:t>
            </w:r>
            <w:proofErr w:type="spellEnd"/>
            <w:r w:rsidRPr="00065B1A">
              <w:rPr>
                <w:rFonts w:eastAsia="Times New Roman"/>
                <w:b w:val="0"/>
                <w:bCs/>
                <w:lang w:eastAsia="en-AU"/>
              </w:rPr>
              <w:t>) as received for the facility. In this case the percentage of carbon in bituminous coal is estimated to be 75.</w:t>
            </w:r>
          </w:p>
          <w:p w14:paraId="715B86A6" w14:textId="77777777" w:rsidR="001C3815" w:rsidRPr="00065B1A" w:rsidRDefault="001C3815">
            <w:pPr>
              <w:rPr>
                <w:rFonts w:eastAsia="Times New Roman"/>
                <w:b w:val="0"/>
                <w:bCs/>
                <w:lang w:eastAsia="en-AU"/>
              </w:rPr>
            </w:pPr>
            <w:r w:rsidRPr="00065B1A">
              <w:rPr>
                <w:rFonts w:eastAsia="Times New Roman"/>
                <w:b w:val="0"/>
                <w:bCs/>
                <w:lang w:eastAsia="en-AU"/>
              </w:rPr>
              <w:t>OF</w:t>
            </w:r>
            <w:r w:rsidRPr="00065B1A">
              <w:rPr>
                <w:rFonts w:eastAsia="Times New Roman"/>
                <w:b w:val="0"/>
                <w:bCs/>
                <w:vertAlign w:val="subscript"/>
                <w:lang w:eastAsia="en-AU"/>
              </w:rPr>
              <w:t>s</w:t>
            </w:r>
            <w:r w:rsidRPr="00065B1A">
              <w:rPr>
                <w:rFonts w:eastAsia="Times New Roman"/>
                <w:b w:val="0"/>
                <w:bCs/>
                <w:lang w:eastAsia="en-AU"/>
              </w:rPr>
              <w:t xml:space="preserve"> or oxidation factor, is 1.0</w:t>
            </w:r>
          </w:p>
          <w:p w14:paraId="5F498750" w14:textId="747A6218" w:rsidR="001C3815" w:rsidRPr="00065B1A" w:rsidRDefault="001C3815">
            <w:pPr>
              <w:rPr>
                <w:rFonts w:eastAsia="Times New Roman"/>
                <w:b w:val="0"/>
                <w:bCs/>
                <w:lang w:eastAsia="en-AU"/>
              </w:rPr>
            </w:pPr>
            <w:r w:rsidRPr="00065B1A">
              <w:rPr>
                <w:rFonts w:eastAsia="Times New Roman"/>
                <w:b w:val="0"/>
                <w:bCs/>
                <w:lang w:eastAsia="en-AU"/>
              </w:rPr>
              <w:t>= 75/100 x 1.0 x 3.664 = 2.75</w:t>
            </w:r>
            <w:r w:rsidR="002A0449">
              <w:rPr>
                <w:rFonts w:eastAsia="Times New Roman"/>
                <w:b w:val="0"/>
                <w:bCs/>
                <w:lang w:eastAsia="en-AU"/>
              </w:rPr>
              <w:t> </w:t>
            </w:r>
            <w:r w:rsidRPr="00065B1A">
              <w:rPr>
                <w:rFonts w:eastAsia="Times New Roman"/>
                <w:b w:val="0"/>
                <w:bCs/>
                <w:lang w:eastAsia="en-AU"/>
              </w:rPr>
              <w:t>kg</w:t>
            </w:r>
            <w:r w:rsidR="002A0449">
              <w:rPr>
                <w:rFonts w:eastAsia="Times New Roman"/>
                <w:b w:val="0"/>
                <w:bCs/>
                <w:lang w:eastAsia="en-AU"/>
              </w:rPr>
              <w:t> </w:t>
            </w:r>
            <w:r w:rsidRPr="00065B1A">
              <w:rPr>
                <w:rFonts w:eastAsia="Times New Roman"/>
                <w:b w:val="0"/>
                <w:bCs/>
                <w:lang w:eastAsia="en-AU"/>
              </w:rPr>
              <w:t>CO</w:t>
            </w:r>
            <w:r w:rsidRPr="00065B1A">
              <w:rPr>
                <w:rFonts w:eastAsia="Times New Roman"/>
                <w:b w:val="0"/>
                <w:bCs/>
                <w:vertAlign w:val="subscript"/>
                <w:lang w:eastAsia="en-AU"/>
              </w:rPr>
              <w:t>2</w:t>
            </w:r>
            <w:r w:rsidR="002A0449">
              <w:rPr>
                <w:rFonts w:eastAsia="Times New Roman"/>
                <w:b w:val="0"/>
                <w:bCs/>
                <w:lang w:eastAsia="en-AU"/>
              </w:rPr>
              <w:t>-</w:t>
            </w:r>
            <w:r w:rsidRPr="00065B1A">
              <w:rPr>
                <w:rFonts w:eastAsia="Times New Roman"/>
                <w:b w:val="0"/>
                <w:bCs/>
                <w:lang w:eastAsia="en-AU"/>
              </w:rPr>
              <w:t xml:space="preserve">e per kg of fuel </w:t>
            </w:r>
          </w:p>
          <w:p w14:paraId="22D8EF64" w14:textId="095414A0" w:rsidR="001C3815" w:rsidRPr="00065B1A" w:rsidRDefault="001C3815">
            <w:pPr>
              <w:rPr>
                <w:rFonts w:eastAsia="Times New Roman"/>
                <w:b w:val="0"/>
                <w:bCs/>
                <w:lang w:eastAsia="en-AU"/>
              </w:rPr>
            </w:pPr>
            <w:r w:rsidRPr="00065B1A">
              <w:rPr>
                <w:rFonts w:eastAsia="Times New Roman"/>
                <w:b w:val="0"/>
                <w:bCs/>
                <w:lang w:eastAsia="en-AU"/>
              </w:rPr>
              <w:t>2. Estimate the carbon dioxide emission factor for fuel type (</w:t>
            </w:r>
            <w:proofErr w:type="spellStart"/>
            <w:r w:rsidRPr="00065B1A">
              <w:rPr>
                <w:rFonts w:eastAsia="Times New Roman"/>
                <w:b w:val="0"/>
                <w:bCs/>
                <w:lang w:eastAsia="en-AU"/>
              </w:rPr>
              <w:t>i</w:t>
            </w:r>
            <w:proofErr w:type="spellEnd"/>
            <w:r w:rsidRPr="00065B1A">
              <w:rPr>
                <w:rFonts w:eastAsia="Times New Roman"/>
                <w:b w:val="0"/>
                <w:bCs/>
                <w:lang w:eastAsia="en-AU"/>
              </w:rPr>
              <w:t>) measured in kg</w:t>
            </w:r>
            <w:r w:rsidR="00135226">
              <w:rPr>
                <w:rFonts w:eastAsia="Times New Roman"/>
                <w:b w:val="0"/>
                <w:bCs/>
                <w:lang w:eastAsia="en-AU"/>
              </w:rPr>
              <w:t> </w:t>
            </w:r>
            <w:r w:rsidRPr="00065B1A">
              <w:rPr>
                <w:rFonts w:eastAsia="Times New Roman"/>
                <w:b w:val="0"/>
                <w:bCs/>
                <w:lang w:eastAsia="en-AU"/>
              </w:rPr>
              <w:t>CO</w:t>
            </w:r>
            <w:r w:rsidRPr="00065B1A">
              <w:rPr>
                <w:rFonts w:eastAsia="Times New Roman"/>
                <w:b w:val="0"/>
                <w:bCs/>
                <w:vertAlign w:val="subscript"/>
                <w:lang w:eastAsia="en-AU"/>
              </w:rPr>
              <w:t>2</w:t>
            </w:r>
            <w:r w:rsidR="002A0449">
              <w:rPr>
                <w:rFonts w:eastAsia="Times New Roman"/>
                <w:b w:val="0"/>
                <w:bCs/>
                <w:lang w:eastAsia="en-AU"/>
              </w:rPr>
              <w:t>-</w:t>
            </w:r>
            <w:r w:rsidRPr="00065B1A">
              <w:rPr>
                <w:rFonts w:eastAsia="Times New Roman"/>
                <w:b w:val="0"/>
                <w:bCs/>
                <w:lang w:eastAsia="en-AU"/>
              </w:rPr>
              <w:t xml:space="preserve">e </w:t>
            </w:r>
            <w:r w:rsidR="00FB319A">
              <w:rPr>
                <w:rFonts w:eastAsia="Times New Roman"/>
                <w:b w:val="0"/>
                <w:bCs/>
                <w:lang w:eastAsia="en-AU"/>
              </w:rPr>
              <w:t>p</w:t>
            </w:r>
            <w:r w:rsidRPr="00065B1A">
              <w:rPr>
                <w:rFonts w:eastAsia="Times New Roman"/>
                <w:b w:val="0"/>
                <w:bCs/>
                <w:lang w:eastAsia="en-AU"/>
              </w:rPr>
              <w:t>er</w:t>
            </w:r>
            <w:r w:rsidR="00FB319A">
              <w:rPr>
                <w:rFonts w:eastAsia="Times New Roman"/>
                <w:b w:val="0"/>
                <w:bCs/>
                <w:lang w:eastAsia="en-AU"/>
              </w:rPr>
              <w:t> </w:t>
            </w:r>
            <w:r w:rsidRPr="00065B1A">
              <w:rPr>
                <w:rFonts w:eastAsia="Times New Roman"/>
                <w:b w:val="0"/>
                <w:bCs/>
                <w:lang w:eastAsia="en-AU"/>
              </w:rPr>
              <w:t>GJ</w:t>
            </w:r>
            <w:r w:rsidR="00FB319A">
              <w:rPr>
                <w:rFonts w:eastAsia="Times New Roman"/>
                <w:b w:val="0"/>
                <w:bCs/>
                <w:lang w:eastAsia="en-AU"/>
              </w:rPr>
              <w:t> (kg CO</w:t>
            </w:r>
            <w:r w:rsidR="00FB319A">
              <w:rPr>
                <w:rFonts w:eastAsia="Times New Roman"/>
                <w:b w:val="0"/>
                <w:bCs/>
                <w:vertAlign w:val="subscript"/>
                <w:lang w:eastAsia="en-AU"/>
              </w:rPr>
              <w:t>2</w:t>
            </w:r>
            <w:r w:rsidR="00FB319A">
              <w:rPr>
                <w:rFonts w:eastAsia="Times New Roman"/>
                <w:b w:val="0"/>
                <w:bCs/>
                <w:lang w:eastAsia="en-AU"/>
              </w:rPr>
              <w:t>-e/GJ)</w:t>
            </w:r>
            <w:r w:rsidRPr="00065B1A">
              <w:rPr>
                <w:rFonts w:eastAsia="Times New Roman"/>
                <w:b w:val="0"/>
                <w:bCs/>
                <w:lang w:eastAsia="en-AU"/>
              </w:rPr>
              <w:t xml:space="preserve"> as follows: </w:t>
            </w:r>
          </w:p>
          <w:p w14:paraId="7764954F" w14:textId="2BBE9770" w:rsidR="001C3815" w:rsidRPr="00065B1A" w:rsidRDefault="004430EE">
            <w:pPr>
              <w:rPr>
                <w:b w:val="0"/>
                <w:bCs/>
                <w:sz w:val="28"/>
                <w:szCs w:val="28"/>
              </w:rPr>
            </w:pPr>
            <m:oMathPara>
              <m:oMathParaPr>
                <m:jc m:val="left"/>
              </m:oMathParaPr>
              <m:oMath>
                <m:sSub>
                  <m:sSubPr>
                    <m:ctrlPr>
                      <w:rPr>
                        <w:rFonts w:ascii="Cambria Math" w:hAnsi="Cambria Math"/>
                        <w:b w:val="0"/>
                        <w:bCs/>
                        <w:sz w:val="28"/>
                        <w:szCs w:val="28"/>
                      </w:rPr>
                    </m:ctrlPr>
                  </m:sSubPr>
                  <m:e>
                    <m:r>
                      <m:rPr>
                        <m:sty m:val="b"/>
                      </m:rPr>
                      <w:rPr>
                        <w:rFonts w:ascii="Cambria Math" w:hAnsi="Cambria Math"/>
                        <w:sz w:val="28"/>
                        <w:szCs w:val="28"/>
                      </w:rPr>
                      <m:t>EF</m:t>
                    </m:r>
                  </m:e>
                  <m:sub>
                    <m:sSub>
                      <m:sSubPr>
                        <m:ctrlPr>
                          <w:rPr>
                            <w:rFonts w:ascii="Cambria Math" w:hAnsi="Cambria Math"/>
                            <w:b w:val="0"/>
                            <w:bCs/>
                            <w:sz w:val="28"/>
                            <w:szCs w:val="28"/>
                          </w:rPr>
                        </m:ctrlPr>
                      </m:sSubPr>
                      <m:e>
                        <m:r>
                          <m:rPr>
                            <m:sty m:val="b"/>
                          </m:rPr>
                          <w:rPr>
                            <w:rFonts w:ascii="Cambria Math" w:hAnsi="Cambria Math"/>
                            <w:sz w:val="28"/>
                            <w:szCs w:val="28"/>
                          </w:rPr>
                          <m:t>ico</m:t>
                        </m:r>
                      </m:e>
                      <m:sub>
                        <m:r>
                          <m:rPr>
                            <m:sty m:val="b"/>
                          </m:rPr>
                          <w:rPr>
                            <w:rFonts w:ascii="Cambria Math" w:hAnsi="Cambria Math"/>
                            <w:sz w:val="28"/>
                            <w:szCs w:val="28"/>
                          </w:rPr>
                          <m:t>2</m:t>
                        </m:r>
                      </m:sub>
                    </m:sSub>
                    <m:r>
                      <m:rPr>
                        <m:sty m:val="b"/>
                      </m:rPr>
                      <w:rPr>
                        <w:rFonts w:ascii="Cambria Math" w:hAnsi="Cambria Math"/>
                        <w:sz w:val="28"/>
                        <w:szCs w:val="28"/>
                      </w:rPr>
                      <m:t>oxec</m:t>
                    </m:r>
                  </m:sub>
                </m:sSub>
                <m:r>
                  <m:rPr>
                    <m:sty m:val="b"/>
                  </m:rPr>
                  <w:rPr>
                    <w:rFonts w:ascii="Cambria Math" w:hAnsi="Cambria Math"/>
                    <w:sz w:val="28"/>
                    <w:szCs w:val="28"/>
                  </w:rPr>
                  <m:t xml:space="preserve"> = </m:t>
                </m:r>
                <m:f>
                  <m:fPr>
                    <m:ctrlPr>
                      <w:rPr>
                        <w:rFonts w:ascii="Cambria Math" w:hAnsi="Cambria Math"/>
                        <w:b w:val="0"/>
                        <w:bCs/>
                        <w:sz w:val="28"/>
                        <w:szCs w:val="28"/>
                      </w:rPr>
                    </m:ctrlPr>
                  </m:fPr>
                  <m:num>
                    <m:sSub>
                      <m:sSubPr>
                        <m:ctrlPr>
                          <w:rPr>
                            <w:rFonts w:ascii="Cambria Math" w:hAnsi="Cambria Math"/>
                            <w:b w:val="0"/>
                            <w:bCs/>
                            <w:sz w:val="28"/>
                            <w:szCs w:val="28"/>
                          </w:rPr>
                        </m:ctrlPr>
                      </m:sSubPr>
                      <m:e>
                        <m:r>
                          <m:rPr>
                            <m:sty m:val="b"/>
                          </m:rPr>
                          <w:rPr>
                            <w:rFonts w:ascii="Cambria Math" w:hAnsi="Cambria Math"/>
                            <w:sz w:val="28"/>
                            <w:szCs w:val="28"/>
                          </w:rPr>
                          <m:t>EF</m:t>
                        </m:r>
                      </m:e>
                      <m:sub>
                        <m:sSub>
                          <m:sSubPr>
                            <m:ctrlPr>
                              <w:rPr>
                                <w:rFonts w:ascii="Cambria Math" w:hAnsi="Cambria Math"/>
                                <w:b w:val="0"/>
                                <w:bCs/>
                                <w:sz w:val="28"/>
                                <w:szCs w:val="28"/>
                              </w:rPr>
                            </m:ctrlPr>
                          </m:sSubPr>
                          <m:e>
                            <m:r>
                              <m:rPr>
                                <m:sty m:val="b"/>
                              </m:rPr>
                              <w:rPr>
                                <w:rFonts w:ascii="Cambria Math" w:hAnsi="Cambria Math"/>
                                <w:sz w:val="28"/>
                                <w:szCs w:val="28"/>
                              </w:rPr>
                              <m:t>ico</m:t>
                            </m:r>
                          </m:e>
                          <m:sub>
                            <m:r>
                              <m:rPr>
                                <m:sty m:val="b"/>
                              </m:rPr>
                              <w:rPr>
                                <w:rFonts w:ascii="Cambria Math" w:hAnsi="Cambria Math"/>
                                <w:sz w:val="28"/>
                                <w:szCs w:val="28"/>
                              </w:rPr>
                              <m:t>2</m:t>
                            </m:r>
                          </m:sub>
                        </m:sSub>
                        <m:r>
                          <m:rPr>
                            <m:sty m:val="b"/>
                          </m:rPr>
                          <w:rPr>
                            <w:rFonts w:ascii="Cambria Math" w:hAnsi="Cambria Math"/>
                            <w:sz w:val="28"/>
                            <w:szCs w:val="28"/>
                          </w:rPr>
                          <m:t>ox,kg</m:t>
                        </m:r>
                      </m:sub>
                    </m:sSub>
                  </m:num>
                  <m:den>
                    <m:sSub>
                      <m:sSubPr>
                        <m:ctrlPr>
                          <w:rPr>
                            <w:rFonts w:ascii="Cambria Math" w:hAnsi="Cambria Math"/>
                            <w:b w:val="0"/>
                            <w:bCs/>
                            <w:sz w:val="28"/>
                            <w:szCs w:val="28"/>
                          </w:rPr>
                        </m:ctrlPr>
                      </m:sSubPr>
                      <m:e>
                        <m:r>
                          <m:rPr>
                            <m:sty m:val="b"/>
                          </m:rPr>
                          <w:rPr>
                            <w:rFonts w:ascii="Cambria Math" w:hAnsi="Cambria Math"/>
                            <w:sz w:val="28"/>
                            <w:szCs w:val="28"/>
                          </w:rPr>
                          <m:t>EC</m:t>
                        </m:r>
                      </m:e>
                      <m:sub>
                        <m:r>
                          <m:rPr>
                            <m:sty m:val="b"/>
                          </m:rPr>
                          <w:rPr>
                            <w:rFonts w:ascii="Cambria Math" w:hAnsi="Cambria Math"/>
                            <w:sz w:val="28"/>
                            <w:szCs w:val="28"/>
                          </w:rPr>
                          <m:t>i</m:t>
                        </m:r>
                      </m:sub>
                    </m:sSub>
                  </m:den>
                </m:f>
                <m:r>
                  <m:rPr>
                    <m:sty m:val="b"/>
                  </m:rPr>
                  <w:rPr>
                    <w:rFonts w:ascii="Cambria Math" w:hAnsi="Cambria Math"/>
                    <w:sz w:val="28"/>
                    <w:szCs w:val="28"/>
                  </w:rPr>
                  <m:t xml:space="preserve"> ×1,000</m:t>
                </m:r>
              </m:oMath>
            </m:oMathPara>
          </w:p>
          <w:p w14:paraId="68C0EA90" w14:textId="77777777" w:rsidR="001C3815" w:rsidRPr="00065B1A" w:rsidRDefault="001C3815">
            <w:pPr>
              <w:rPr>
                <w:rFonts w:eastAsia="Times New Roman"/>
                <w:b w:val="0"/>
                <w:bCs/>
                <w:lang w:eastAsia="en-AU"/>
              </w:rPr>
            </w:pPr>
            <w:r w:rsidRPr="00065B1A">
              <w:rPr>
                <w:rFonts w:eastAsia="Times New Roman"/>
                <w:b w:val="0"/>
                <w:bCs/>
                <w:lang w:eastAsia="en-AU"/>
              </w:rPr>
              <w:t>where:</w:t>
            </w:r>
          </w:p>
          <w:p w14:paraId="4BF381AF" w14:textId="4EA03D84" w:rsidR="001C3815" w:rsidRPr="00065B1A" w:rsidRDefault="001C3815">
            <w:pPr>
              <w:rPr>
                <w:rFonts w:eastAsia="Times New Roman"/>
                <w:b w:val="0"/>
                <w:bCs/>
                <w:lang w:eastAsia="en-AU"/>
              </w:rPr>
            </w:pPr>
            <w:r w:rsidRPr="00065B1A">
              <w:rPr>
                <w:rFonts w:eastAsia="Times New Roman"/>
                <w:b w:val="0"/>
                <w:bCs/>
                <w:i/>
                <w:iCs/>
                <w:lang w:eastAsia="en-AU"/>
              </w:rPr>
              <w:t>EF</w:t>
            </w:r>
            <w:r w:rsidRPr="00065B1A">
              <w:rPr>
                <w:rFonts w:eastAsia="Times New Roman"/>
                <w:b w:val="0"/>
                <w:bCs/>
                <w:i/>
                <w:iCs/>
                <w:vertAlign w:val="subscript"/>
                <w:lang w:eastAsia="en-AU"/>
              </w:rPr>
              <w:t>ico2</w:t>
            </w:r>
            <w:proofErr w:type="gramStart"/>
            <w:r w:rsidRPr="00065B1A">
              <w:rPr>
                <w:rFonts w:eastAsia="Times New Roman"/>
                <w:b w:val="0"/>
                <w:bCs/>
                <w:i/>
                <w:iCs/>
                <w:vertAlign w:val="subscript"/>
                <w:lang w:eastAsia="en-AU"/>
              </w:rPr>
              <w:t>ox,kg</w:t>
            </w:r>
            <w:proofErr w:type="gramEnd"/>
            <w:r w:rsidRPr="00065B1A">
              <w:rPr>
                <w:rFonts w:eastAsia="Times New Roman"/>
                <w:b w:val="0"/>
                <w:bCs/>
                <w:vertAlign w:val="subscript"/>
                <w:lang w:eastAsia="en-AU"/>
              </w:rPr>
              <w:t xml:space="preserve"> </w:t>
            </w:r>
            <w:r w:rsidRPr="00065B1A">
              <w:rPr>
                <w:rFonts w:eastAsia="Times New Roman"/>
                <w:b w:val="0"/>
                <w:bCs/>
                <w:lang w:eastAsia="en-AU"/>
              </w:rPr>
              <w:t>is the carbon dioxide emission factor for fuel type (</w:t>
            </w:r>
            <w:proofErr w:type="spellStart"/>
            <w:r w:rsidRPr="00065B1A">
              <w:rPr>
                <w:rFonts w:eastAsia="Times New Roman"/>
                <w:b w:val="0"/>
                <w:bCs/>
                <w:lang w:eastAsia="en-AU"/>
              </w:rPr>
              <w:t>i</w:t>
            </w:r>
            <w:proofErr w:type="spellEnd"/>
            <w:r w:rsidRPr="00065B1A">
              <w:rPr>
                <w:rFonts w:eastAsia="Times New Roman"/>
                <w:b w:val="0"/>
                <w:bCs/>
                <w:lang w:eastAsia="en-AU"/>
              </w:rPr>
              <w:t>) measured in kg</w:t>
            </w:r>
            <w:r w:rsidR="00135226">
              <w:rPr>
                <w:rFonts w:eastAsia="Times New Roman"/>
                <w:b w:val="0"/>
                <w:bCs/>
                <w:lang w:eastAsia="en-AU"/>
              </w:rPr>
              <w:t> </w:t>
            </w:r>
            <w:r w:rsidRPr="00065B1A">
              <w:rPr>
                <w:rFonts w:eastAsia="Times New Roman"/>
                <w:b w:val="0"/>
                <w:bCs/>
                <w:lang w:eastAsia="en-AU"/>
              </w:rPr>
              <w:t>CO</w:t>
            </w:r>
            <w:r w:rsidRPr="00065B1A">
              <w:rPr>
                <w:rFonts w:eastAsia="Times New Roman"/>
                <w:b w:val="0"/>
                <w:bCs/>
                <w:vertAlign w:val="subscript"/>
                <w:lang w:eastAsia="en-AU"/>
              </w:rPr>
              <w:t>2</w:t>
            </w:r>
            <w:r w:rsidRPr="00065B1A">
              <w:rPr>
                <w:rFonts w:eastAsia="Times New Roman"/>
                <w:b w:val="0"/>
                <w:bCs/>
                <w:lang w:eastAsia="en-AU"/>
              </w:rPr>
              <w:t>-e per k</w:t>
            </w:r>
            <w:r w:rsidR="00135226">
              <w:rPr>
                <w:rFonts w:eastAsia="Times New Roman"/>
                <w:b w:val="0"/>
                <w:bCs/>
                <w:lang w:eastAsia="en-AU"/>
              </w:rPr>
              <w:t>g</w:t>
            </w:r>
            <w:r w:rsidRPr="00065B1A">
              <w:rPr>
                <w:rFonts w:eastAsia="Times New Roman"/>
                <w:b w:val="0"/>
                <w:bCs/>
                <w:lang w:eastAsia="en-AU"/>
              </w:rPr>
              <w:t xml:space="preserve"> of fuel.</w:t>
            </w:r>
          </w:p>
          <w:p w14:paraId="57C2FB94" w14:textId="7464DD99" w:rsidR="001C3815" w:rsidRPr="00065B1A" w:rsidRDefault="001C3815">
            <w:pPr>
              <w:rPr>
                <w:rFonts w:eastAsia="Times New Roman"/>
                <w:b w:val="0"/>
                <w:bCs/>
                <w:lang w:eastAsia="en-AU"/>
              </w:rPr>
            </w:pPr>
            <w:r w:rsidRPr="00065B1A">
              <w:rPr>
                <w:rFonts w:eastAsia="Times New Roman"/>
                <w:b w:val="0"/>
                <w:bCs/>
                <w:lang w:eastAsia="en-AU"/>
              </w:rPr>
              <w:t>EC</w:t>
            </w:r>
            <w:r w:rsidRPr="00065B1A">
              <w:rPr>
                <w:rFonts w:eastAsia="Times New Roman"/>
                <w:b w:val="0"/>
                <w:bCs/>
                <w:vertAlign w:val="subscript"/>
                <w:lang w:eastAsia="en-AU"/>
              </w:rPr>
              <w:t>i</w:t>
            </w:r>
            <w:r w:rsidRPr="00065B1A">
              <w:rPr>
                <w:rFonts w:eastAsia="Times New Roman"/>
                <w:b w:val="0"/>
                <w:bCs/>
                <w:lang w:eastAsia="en-AU"/>
              </w:rPr>
              <w:t xml:space="preserve"> is the energy content factor of fuel type (</w:t>
            </w:r>
            <w:proofErr w:type="spellStart"/>
            <w:r w:rsidRPr="00065B1A">
              <w:rPr>
                <w:rFonts w:eastAsia="Times New Roman"/>
                <w:b w:val="0"/>
                <w:bCs/>
                <w:lang w:eastAsia="en-AU"/>
              </w:rPr>
              <w:t>i</w:t>
            </w:r>
            <w:proofErr w:type="spellEnd"/>
            <w:r w:rsidRPr="00065B1A">
              <w:rPr>
                <w:rFonts w:eastAsia="Times New Roman"/>
                <w:b w:val="0"/>
                <w:bCs/>
                <w:lang w:eastAsia="en-AU"/>
              </w:rPr>
              <w:t>) estimated under section 6.5 of the NGER Measurement Determination. In this case the energy content factor of bituminous coal is estimated to be 28.5</w:t>
            </w:r>
            <w:r w:rsidR="00135226">
              <w:rPr>
                <w:rFonts w:eastAsia="Times New Roman"/>
                <w:b w:val="0"/>
                <w:bCs/>
                <w:lang w:eastAsia="en-AU"/>
              </w:rPr>
              <w:t> </w:t>
            </w:r>
            <w:r w:rsidRPr="00065B1A">
              <w:rPr>
                <w:rFonts w:eastAsia="Times New Roman"/>
                <w:b w:val="0"/>
                <w:bCs/>
                <w:lang w:eastAsia="en-AU"/>
              </w:rPr>
              <w:t>GJ/t.</w:t>
            </w:r>
          </w:p>
          <w:p w14:paraId="6E3A30E8" w14:textId="690F1EEF" w:rsidR="001C3815" w:rsidRPr="00065B1A" w:rsidRDefault="001C3815">
            <w:pPr>
              <w:rPr>
                <w:rFonts w:eastAsia="Times New Roman"/>
                <w:b w:val="0"/>
                <w:bCs/>
                <w:lang w:eastAsia="en-AU"/>
              </w:rPr>
            </w:pPr>
            <w:r w:rsidRPr="00065B1A">
              <w:rPr>
                <w:rFonts w:eastAsia="Times New Roman"/>
                <w:b w:val="0"/>
                <w:bCs/>
                <w:lang w:eastAsia="en-AU"/>
              </w:rPr>
              <w:t>= 2.75/28.5 x 1,000 = 96.4</w:t>
            </w:r>
            <w:r w:rsidR="00135226">
              <w:rPr>
                <w:rFonts w:eastAsia="Times New Roman"/>
                <w:b w:val="0"/>
                <w:bCs/>
                <w:lang w:eastAsia="en-AU"/>
              </w:rPr>
              <w:t> </w:t>
            </w:r>
            <w:r w:rsidRPr="00065B1A">
              <w:rPr>
                <w:rFonts w:eastAsia="Times New Roman"/>
                <w:b w:val="0"/>
                <w:bCs/>
                <w:lang w:eastAsia="en-AU"/>
              </w:rPr>
              <w:t>kg</w:t>
            </w:r>
            <w:r w:rsidR="00135226">
              <w:rPr>
                <w:rFonts w:eastAsia="Times New Roman"/>
                <w:b w:val="0"/>
                <w:bCs/>
                <w:lang w:eastAsia="en-AU"/>
              </w:rPr>
              <w:t> </w:t>
            </w:r>
            <w:r w:rsidRPr="00065B1A">
              <w:rPr>
                <w:rFonts w:eastAsia="Times New Roman"/>
                <w:b w:val="0"/>
                <w:bCs/>
                <w:lang w:eastAsia="en-AU"/>
              </w:rPr>
              <w:t>CO</w:t>
            </w:r>
            <w:r w:rsidRPr="00065B1A">
              <w:rPr>
                <w:rFonts w:eastAsia="Times New Roman"/>
                <w:b w:val="0"/>
                <w:bCs/>
                <w:vertAlign w:val="subscript"/>
                <w:lang w:eastAsia="en-AU"/>
              </w:rPr>
              <w:t>2</w:t>
            </w:r>
            <w:r w:rsidR="005A7447">
              <w:rPr>
                <w:rFonts w:eastAsia="Times New Roman"/>
                <w:b w:val="0"/>
                <w:bCs/>
                <w:lang w:eastAsia="en-AU"/>
              </w:rPr>
              <w:t>-</w:t>
            </w:r>
            <w:r w:rsidRPr="00065B1A">
              <w:rPr>
                <w:rFonts w:eastAsia="Times New Roman"/>
                <w:b w:val="0"/>
                <w:bCs/>
                <w:lang w:eastAsia="en-AU"/>
              </w:rPr>
              <w:t>e</w:t>
            </w:r>
            <w:r w:rsidR="005A7447">
              <w:rPr>
                <w:rFonts w:eastAsia="Times New Roman"/>
                <w:b w:val="0"/>
                <w:bCs/>
                <w:lang w:eastAsia="en-AU"/>
              </w:rPr>
              <w:t>/</w:t>
            </w:r>
            <w:r w:rsidRPr="00065B1A">
              <w:rPr>
                <w:rFonts w:eastAsia="Times New Roman"/>
                <w:b w:val="0"/>
                <w:bCs/>
                <w:lang w:eastAsia="en-AU"/>
              </w:rPr>
              <w:t>GJ</w:t>
            </w:r>
          </w:p>
          <w:p w14:paraId="497333CF" w14:textId="77777777" w:rsidR="001C3815" w:rsidRDefault="001C3815"/>
          <w:p w14:paraId="3A3ACB2A" w14:textId="77777777" w:rsidR="00F21C1A" w:rsidRPr="00387C92" w:rsidRDefault="00F21C1A">
            <w:pPr>
              <w:rPr>
                <w:b w:val="0"/>
              </w:rPr>
            </w:pPr>
          </w:p>
          <w:p w14:paraId="63976C08" w14:textId="0422B0A9" w:rsidR="001C3815" w:rsidRPr="00387C92" w:rsidRDefault="001C3815" w:rsidP="00873709">
            <w:pPr>
              <w:pStyle w:val="ListParagraph"/>
              <w:numPr>
                <w:ilvl w:val="0"/>
                <w:numId w:val="64"/>
              </w:numPr>
              <w:rPr>
                <w:b w:val="0"/>
              </w:rPr>
            </w:pPr>
            <w:r w:rsidRPr="004E60D4">
              <w:lastRenderedPageBreak/>
              <w:t>Estimate emissions as follows:</w:t>
            </w:r>
          </w:p>
          <w:bookmarkStart w:id="75" w:name="_Hlk50025248"/>
          <w:p w14:paraId="431854F5" w14:textId="41E00435" w:rsidR="001C3815" w:rsidRPr="00793B33" w:rsidRDefault="004430EE">
            <w:pPr>
              <w:rPr>
                <w:rFonts w:eastAsia="Times New Roman"/>
                <w:b w:val="0"/>
                <w:iCs/>
                <w:color w:val="000000"/>
                <w:sz w:val="28"/>
                <w:szCs w:val="28"/>
              </w:rPr>
            </w:pPr>
            <m:oMathPara>
              <m:oMathParaPr>
                <m:jc m:val="left"/>
              </m:oMathParaPr>
              <m:oMath>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E</m:t>
                    </m:r>
                  </m:e>
                  <m:sub>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ico</m:t>
                        </m:r>
                      </m:e>
                      <m:sub>
                        <m:r>
                          <m:rPr>
                            <m:sty m:val="b"/>
                          </m:rPr>
                          <w:rPr>
                            <w:rFonts w:ascii="Cambria Math" w:eastAsia="Times New Roman" w:hAnsi="Cambria Math"/>
                            <w:color w:val="000000"/>
                            <w:sz w:val="28"/>
                            <w:szCs w:val="28"/>
                          </w:rPr>
                          <m:t>2</m:t>
                        </m:r>
                      </m:sub>
                    </m:sSub>
                  </m:sub>
                </m:sSub>
                <m:r>
                  <m:rPr>
                    <m:sty m:val="b"/>
                  </m:rPr>
                  <w:rPr>
                    <w:rFonts w:ascii="Cambria Math" w:eastAsia="Times New Roman" w:hAnsi="Cambria Math"/>
                    <w:color w:val="000000"/>
                    <w:sz w:val="28"/>
                    <w:szCs w:val="28"/>
                  </w:rPr>
                  <m:t xml:space="preserve">= </m:t>
                </m:r>
                <m:f>
                  <m:fPr>
                    <m:ctrlPr>
                      <w:rPr>
                        <w:rFonts w:ascii="Cambria Math" w:eastAsia="Times New Roman" w:hAnsi="Cambria Math"/>
                        <w:b w:val="0"/>
                        <w:iCs/>
                        <w:color w:val="000000"/>
                        <w:sz w:val="28"/>
                        <w:szCs w:val="28"/>
                      </w:rPr>
                    </m:ctrlPr>
                  </m:fPr>
                  <m:num>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Q</m:t>
                        </m:r>
                      </m:e>
                      <m:sub>
                        <m:r>
                          <m:rPr>
                            <m:sty m:val="b"/>
                          </m:rPr>
                          <w:rPr>
                            <w:rFonts w:ascii="Cambria Math" w:eastAsia="Times New Roman" w:hAnsi="Cambria Math"/>
                            <w:color w:val="000000"/>
                            <w:sz w:val="28"/>
                            <w:szCs w:val="28"/>
                          </w:rPr>
                          <m:t>i</m:t>
                        </m:r>
                      </m:sub>
                    </m:sSub>
                    <m:r>
                      <m:rPr>
                        <m:sty m:val="b"/>
                      </m:rPr>
                      <w:rPr>
                        <w:rFonts w:ascii="Cambria Math" w:eastAsia="Times New Roman" w:hAnsi="Cambria Math"/>
                        <w:color w:val="000000"/>
                        <w:sz w:val="28"/>
                        <w:szCs w:val="28"/>
                      </w:rPr>
                      <m:t>×</m:t>
                    </m:r>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EC</m:t>
                        </m:r>
                      </m:e>
                      <m:sub>
                        <m:r>
                          <m:rPr>
                            <m:sty m:val="b"/>
                          </m:rPr>
                          <w:rPr>
                            <w:rFonts w:ascii="Cambria Math" w:eastAsia="Times New Roman" w:hAnsi="Cambria Math"/>
                            <w:color w:val="000000"/>
                            <w:sz w:val="28"/>
                            <w:szCs w:val="28"/>
                          </w:rPr>
                          <m:t>i</m:t>
                        </m:r>
                      </m:sub>
                    </m:sSub>
                    <m:r>
                      <m:rPr>
                        <m:sty m:val="b"/>
                      </m:rPr>
                      <w:rPr>
                        <w:rFonts w:ascii="Cambria Math" w:eastAsia="Times New Roman" w:hAnsi="Cambria Math"/>
                        <w:color w:val="000000"/>
                        <w:sz w:val="28"/>
                        <w:szCs w:val="28"/>
                      </w:rPr>
                      <m:t>×</m:t>
                    </m:r>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EF</m:t>
                        </m:r>
                      </m:e>
                      <m:sub>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ico</m:t>
                            </m:r>
                          </m:e>
                          <m:sub>
                            <m:r>
                              <m:rPr>
                                <m:sty m:val="b"/>
                              </m:rPr>
                              <w:rPr>
                                <w:rFonts w:ascii="Cambria Math" w:eastAsia="Times New Roman" w:hAnsi="Cambria Math"/>
                                <w:color w:val="000000"/>
                                <w:sz w:val="28"/>
                                <w:szCs w:val="28"/>
                              </w:rPr>
                              <m:t>2</m:t>
                            </m:r>
                          </m:sub>
                        </m:sSub>
                        <m:r>
                          <m:rPr>
                            <m:sty m:val="b"/>
                          </m:rPr>
                          <w:rPr>
                            <w:rFonts w:ascii="Cambria Math" w:eastAsia="Times New Roman" w:hAnsi="Cambria Math"/>
                            <w:color w:val="000000"/>
                            <w:sz w:val="28"/>
                            <w:szCs w:val="28"/>
                          </w:rPr>
                          <m:t>oxec</m:t>
                        </m:r>
                      </m:sub>
                    </m:sSub>
                  </m:num>
                  <m:den>
                    <m:r>
                      <m:rPr>
                        <m:sty m:val="b"/>
                      </m:rPr>
                      <w:rPr>
                        <w:rFonts w:ascii="Cambria Math" w:eastAsia="Times New Roman" w:hAnsi="Cambria Math"/>
                        <w:color w:val="000000"/>
                        <w:sz w:val="28"/>
                        <w:szCs w:val="28"/>
                      </w:rPr>
                      <m:t>1,000</m:t>
                    </m:r>
                  </m:den>
                </m:f>
                <m:r>
                  <m:rPr>
                    <m:sty m:val="b"/>
                  </m:rPr>
                  <w:rPr>
                    <w:rFonts w:ascii="Cambria Math" w:eastAsia="Times New Roman" w:hAnsi="Cambria Math"/>
                    <w:color w:val="000000"/>
                    <w:sz w:val="28"/>
                    <w:szCs w:val="28"/>
                  </w:rPr>
                  <m:t xml:space="preserve">- </m:t>
                </m:r>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γRCCS</m:t>
                    </m:r>
                  </m:e>
                  <m:sub>
                    <m:sSub>
                      <m:sSubPr>
                        <m:ctrlPr>
                          <w:rPr>
                            <w:rFonts w:ascii="Cambria Math" w:eastAsia="Times New Roman" w:hAnsi="Cambria Math"/>
                            <w:b w:val="0"/>
                            <w:iCs/>
                            <w:color w:val="000000"/>
                            <w:sz w:val="28"/>
                            <w:szCs w:val="28"/>
                          </w:rPr>
                        </m:ctrlPr>
                      </m:sSubPr>
                      <m:e>
                        <m:r>
                          <m:rPr>
                            <m:sty m:val="b"/>
                          </m:rPr>
                          <w:rPr>
                            <w:rFonts w:ascii="Cambria Math" w:eastAsia="Times New Roman" w:hAnsi="Cambria Math"/>
                            <w:color w:val="000000"/>
                            <w:sz w:val="28"/>
                            <w:szCs w:val="28"/>
                          </w:rPr>
                          <m:t>CO</m:t>
                        </m:r>
                      </m:e>
                      <m:sub>
                        <m:r>
                          <m:rPr>
                            <m:sty m:val="b"/>
                          </m:rPr>
                          <w:rPr>
                            <w:rFonts w:ascii="Cambria Math" w:eastAsia="Times New Roman" w:hAnsi="Cambria Math"/>
                            <w:color w:val="000000"/>
                            <w:sz w:val="28"/>
                            <w:szCs w:val="28"/>
                          </w:rPr>
                          <m:t>2</m:t>
                        </m:r>
                      </m:sub>
                    </m:sSub>
                  </m:sub>
                </m:sSub>
              </m:oMath>
            </m:oMathPara>
          </w:p>
          <w:bookmarkEnd w:id="75"/>
          <w:p w14:paraId="178023FB" w14:textId="77777777" w:rsidR="001C3815" w:rsidRPr="00793B33" w:rsidRDefault="001C3815">
            <w:pPr>
              <w:rPr>
                <w:b w:val="0"/>
              </w:rPr>
            </w:pPr>
          </w:p>
          <w:p w14:paraId="29F11A05" w14:textId="77777777" w:rsidR="001C3815" w:rsidRPr="00065B1A" w:rsidRDefault="001C3815">
            <w:pPr>
              <w:rPr>
                <w:b w:val="0"/>
                <w:bCs/>
              </w:rPr>
            </w:pPr>
            <w:r w:rsidRPr="00065B1A">
              <w:rPr>
                <w:b w:val="0"/>
                <w:bCs/>
              </w:rPr>
              <w:t>where:</w:t>
            </w:r>
          </w:p>
          <w:p w14:paraId="217FF062" w14:textId="169B5F5A" w:rsidR="001C3815" w:rsidRPr="00065B1A" w:rsidRDefault="001C3815">
            <w:pPr>
              <w:rPr>
                <w:b w:val="0"/>
                <w:bCs/>
              </w:rPr>
            </w:pPr>
            <w:r w:rsidRPr="00065B1A">
              <w:rPr>
                <w:b w:val="0"/>
                <w:bCs/>
              </w:rPr>
              <w:t>E</w:t>
            </w:r>
            <w:r w:rsidRPr="00065B1A">
              <w:rPr>
                <w:b w:val="0"/>
                <w:bCs/>
                <w:vertAlign w:val="subscript"/>
              </w:rPr>
              <w:t>ico2</w:t>
            </w:r>
            <w:r w:rsidRPr="00065B1A">
              <w:rPr>
                <w:b w:val="0"/>
                <w:bCs/>
              </w:rPr>
              <w:t xml:space="preserve"> means the emissions of carbon dioxide released from the combustion of a fuel type (</w:t>
            </w:r>
            <w:proofErr w:type="spellStart"/>
            <w:r w:rsidRPr="00065B1A">
              <w:rPr>
                <w:b w:val="0"/>
                <w:bCs/>
              </w:rPr>
              <w:t>i</w:t>
            </w:r>
            <w:proofErr w:type="spellEnd"/>
            <w:r w:rsidRPr="00065B1A">
              <w:rPr>
                <w:b w:val="0"/>
                <w:bCs/>
              </w:rPr>
              <w:t xml:space="preserve">) from the operation of the facility during the year measured in </w:t>
            </w:r>
            <w:r w:rsidR="005A7447">
              <w:rPr>
                <w:b w:val="0"/>
                <w:bCs/>
              </w:rPr>
              <w:t>t </w:t>
            </w:r>
            <w:r w:rsidRPr="00065B1A">
              <w:rPr>
                <w:b w:val="0"/>
                <w:bCs/>
              </w:rPr>
              <w:t>CO</w:t>
            </w:r>
            <w:r w:rsidRPr="00065B1A">
              <w:rPr>
                <w:b w:val="0"/>
                <w:bCs/>
                <w:vertAlign w:val="subscript"/>
              </w:rPr>
              <w:t>2</w:t>
            </w:r>
            <w:r w:rsidR="005A7447">
              <w:rPr>
                <w:b w:val="0"/>
                <w:bCs/>
              </w:rPr>
              <w:t>-</w:t>
            </w:r>
            <w:r w:rsidRPr="00065B1A">
              <w:rPr>
                <w:b w:val="0"/>
                <w:bCs/>
              </w:rPr>
              <w:t>e.</w:t>
            </w:r>
          </w:p>
          <w:p w14:paraId="4435ACC7" w14:textId="77777777" w:rsidR="001C3815" w:rsidRPr="00065B1A" w:rsidRDefault="001C3815">
            <w:pPr>
              <w:rPr>
                <w:b w:val="0"/>
                <w:bCs/>
              </w:rPr>
            </w:pPr>
            <w:r w:rsidRPr="00065B1A">
              <w:rPr>
                <w:b w:val="0"/>
                <w:bCs/>
              </w:rPr>
              <w:t>Q</w:t>
            </w:r>
            <w:r w:rsidRPr="00065B1A">
              <w:rPr>
                <w:b w:val="0"/>
                <w:bCs/>
                <w:vertAlign w:val="subscript"/>
              </w:rPr>
              <w:t>i</w:t>
            </w:r>
            <w:r w:rsidRPr="00065B1A">
              <w:rPr>
                <w:b w:val="0"/>
                <w:bCs/>
              </w:rPr>
              <w:t xml:space="preserve"> is the quantity of fuel type (</w:t>
            </w:r>
            <w:proofErr w:type="spellStart"/>
            <w:r w:rsidRPr="00065B1A">
              <w:rPr>
                <w:b w:val="0"/>
                <w:bCs/>
              </w:rPr>
              <w:t>i</w:t>
            </w:r>
            <w:proofErr w:type="spellEnd"/>
            <w:r w:rsidRPr="00065B1A">
              <w:rPr>
                <w:b w:val="0"/>
                <w:bCs/>
              </w:rPr>
              <w:t>) measured in tonnes estimated under Division 2.2.5.</w:t>
            </w:r>
          </w:p>
          <w:p w14:paraId="5A322B94" w14:textId="77777777" w:rsidR="001C3815" w:rsidRPr="00065B1A" w:rsidRDefault="001C3815">
            <w:pPr>
              <w:rPr>
                <w:b w:val="0"/>
                <w:bCs/>
              </w:rPr>
            </w:pPr>
            <w:r w:rsidRPr="00065B1A">
              <w:rPr>
                <w:b w:val="0"/>
                <w:bCs/>
                <w:i/>
                <w:iCs/>
              </w:rPr>
              <w:t>EC</w:t>
            </w:r>
            <w:r w:rsidRPr="00065B1A">
              <w:rPr>
                <w:b w:val="0"/>
                <w:bCs/>
                <w:i/>
                <w:iCs/>
                <w:vertAlign w:val="subscript"/>
              </w:rPr>
              <w:t>i</w:t>
            </w:r>
            <w:r w:rsidRPr="00065B1A">
              <w:rPr>
                <w:b w:val="0"/>
                <w:bCs/>
              </w:rPr>
              <w:t xml:space="preserve"> is the energy content factor of fuel type (</w:t>
            </w:r>
            <w:proofErr w:type="spellStart"/>
            <w:r w:rsidRPr="00065B1A">
              <w:rPr>
                <w:b w:val="0"/>
                <w:bCs/>
              </w:rPr>
              <w:t>i</w:t>
            </w:r>
            <w:proofErr w:type="spellEnd"/>
            <w:r w:rsidRPr="00065B1A">
              <w:rPr>
                <w:b w:val="0"/>
                <w:bCs/>
              </w:rPr>
              <w:t>) estimated under section 6.5.</w:t>
            </w:r>
          </w:p>
          <w:p w14:paraId="51BEAC13" w14:textId="4E56881B" w:rsidR="001C3815" w:rsidRPr="00065B1A" w:rsidRDefault="001C3815">
            <w:pPr>
              <w:rPr>
                <w:b w:val="0"/>
                <w:bCs/>
              </w:rPr>
            </w:pPr>
            <w:r w:rsidRPr="00065B1A">
              <w:rPr>
                <w:b w:val="0"/>
                <w:bCs/>
                <w:i/>
                <w:iCs/>
              </w:rPr>
              <w:t xml:space="preserve">γ </w:t>
            </w:r>
            <w:r w:rsidRPr="00065B1A">
              <w:rPr>
                <w:b w:val="0"/>
                <w:bCs/>
              </w:rPr>
              <w:t>is the factor 1.861 × 10</w:t>
            </w:r>
            <w:r w:rsidR="00AC4AD9">
              <w:rPr>
                <w:b w:val="0"/>
                <w:bCs/>
                <w:vertAlign w:val="superscript"/>
              </w:rPr>
              <w:t>–</w:t>
            </w:r>
            <w:r w:rsidRPr="00873709">
              <w:rPr>
                <w:vertAlign w:val="superscript"/>
              </w:rPr>
              <w:t xml:space="preserve">3 </w:t>
            </w:r>
            <w:r w:rsidRPr="00065B1A">
              <w:rPr>
                <w:b w:val="0"/>
                <w:bCs/>
              </w:rPr>
              <w:t xml:space="preserve">for converting a quantity of carbon dioxide from cubic metres </w:t>
            </w:r>
            <w:r w:rsidR="005A7447">
              <w:rPr>
                <w:b w:val="0"/>
                <w:bCs/>
              </w:rPr>
              <w:t>(m</w:t>
            </w:r>
            <w:r w:rsidR="005A7447">
              <w:rPr>
                <w:b w:val="0"/>
                <w:bCs/>
                <w:vertAlign w:val="superscript"/>
              </w:rPr>
              <w:t>3</w:t>
            </w:r>
            <w:r w:rsidR="005A7447">
              <w:rPr>
                <w:b w:val="0"/>
                <w:bCs/>
              </w:rPr>
              <w:t>)</w:t>
            </w:r>
            <w:r w:rsidRPr="00065B1A">
              <w:rPr>
                <w:b w:val="0"/>
                <w:bCs/>
              </w:rPr>
              <w:t xml:space="preserve"> at standard conditions of pressure and temperature to </w:t>
            </w:r>
            <w:r w:rsidR="005A7447">
              <w:rPr>
                <w:b w:val="0"/>
                <w:bCs/>
              </w:rPr>
              <w:t>t </w:t>
            </w:r>
            <w:r w:rsidRPr="00065B1A">
              <w:rPr>
                <w:b w:val="0"/>
                <w:bCs/>
              </w:rPr>
              <w:t>CO</w:t>
            </w:r>
            <w:r w:rsidRPr="00065B1A">
              <w:rPr>
                <w:b w:val="0"/>
                <w:bCs/>
                <w:vertAlign w:val="subscript"/>
              </w:rPr>
              <w:t>2</w:t>
            </w:r>
            <w:r w:rsidR="005A7447">
              <w:rPr>
                <w:b w:val="0"/>
                <w:bCs/>
              </w:rPr>
              <w:t>-</w:t>
            </w:r>
            <w:r w:rsidRPr="00065B1A">
              <w:rPr>
                <w:b w:val="0"/>
                <w:bCs/>
              </w:rPr>
              <w:t>e.</w:t>
            </w:r>
          </w:p>
          <w:p w14:paraId="1ADC308B" w14:textId="4E3DEF60" w:rsidR="001C3815" w:rsidRPr="00065B1A" w:rsidRDefault="001C3815">
            <w:pPr>
              <w:rPr>
                <w:b w:val="0"/>
                <w:bCs/>
              </w:rPr>
            </w:pPr>
            <w:r w:rsidRPr="00065B1A">
              <w:rPr>
                <w:b w:val="0"/>
                <w:bCs/>
              </w:rPr>
              <w:t>RCCS</w:t>
            </w:r>
            <w:r w:rsidRPr="00065B1A">
              <w:rPr>
                <w:b w:val="0"/>
                <w:bCs/>
                <w:vertAlign w:val="subscript"/>
              </w:rPr>
              <w:t>CO2</w:t>
            </w:r>
            <w:r w:rsidRPr="00065B1A">
              <w:rPr>
                <w:b w:val="0"/>
                <w:bCs/>
              </w:rPr>
              <w:t xml:space="preserve"> is carbon dioxide captured for permanent storage measured in </w:t>
            </w:r>
            <w:r w:rsidR="005A7447">
              <w:rPr>
                <w:b w:val="0"/>
                <w:bCs/>
              </w:rPr>
              <w:t>m</w:t>
            </w:r>
            <w:r w:rsidR="005A7447">
              <w:rPr>
                <w:b w:val="0"/>
                <w:bCs/>
                <w:vertAlign w:val="superscript"/>
              </w:rPr>
              <w:t>3</w:t>
            </w:r>
            <w:r w:rsidRPr="00065B1A">
              <w:rPr>
                <w:b w:val="0"/>
                <w:bCs/>
              </w:rPr>
              <w:t xml:space="preserve"> in accordance with Division 1.2.3.</w:t>
            </w:r>
          </w:p>
          <w:p w14:paraId="0C3EFD98" w14:textId="6AA0D813" w:rsidR="001C3815" w:rsidRPr="00065B1A" w:rsidRDefault="001C3815">
            <w:pPr>
              <w:rPr>
                <w:b w:val="0"/>
                <w:bCs/>
              </w:rPr>
            </w:pPr>
            <w:r w:rsidRPr="00065B1A">
              <w:rPr>
                <w:b w:val="0"/>
                <w:bCs/>
              </w:rPr>
              <w:t>EF</w:t>
            </w:r>
            <w:r w:rsidRPr="00065B1A">
              <w:rPr>
                <w:b w:val="0"/>
                <w:bCs/>
                <w:vertAlign w:val="subscript"/>
              </w:rPr>
              <w:t>ico2oxec</w:t>
            </w:r>
            <w:r w:rsidRPr="00065B1A">
              <w:rPr>
                <w:b w:val="0"/>
                <w:bCs/>
              </w:rPr>
              <w:t xml:space="preserve"> is the carbon dioxide emission factor for fuel type (</w:t>
            </w:r>
            <w:proofErr w:type="spellStart"/>
            <w:r w:rsidRPr="00065B1A">
              <w:rPr>
                <w:b w:val="0"/>
                <w:bCs/>
              </w:rPr>
              <w:t>i</w:t>
            </w:r>
            <w:proofErr w:type="spellEnd"/>
            <w:r w:rsidRPr="00065B1A">
              <w:rPr>
                <w:b w:val="0"/>
                <w:bCs/>
              </w:rPr>
              <w:t>) measured in kg</w:t>
            </w:r>
            <w:r w:rsidR="00AC2AAD">
              <w:rPr>
                <w:b w:val="0"/>
                <w:bCs/>
              </w:rPr>
              <w:t> </w:t>
            </w:r>
            <w:r w:rsidRPr="00065B1A">
              <w:rPr>
                <w:b w:val="0"/>
                <w:bCs/>
              </w:rPr>
              <w:t>CO</w:t>
            </w:r>
            <w:r w:rsidRPr="00065B1A">
              <w:rPr>
                <w:b w:val="0"/>
                <w:bCs/>
                <w:vertAlign w:val="subscript"/>
              </w:rPr>
              <w:t>2</w:t>
            </w:r>
            <w:r w:rsidR="00AC2AAD">
              <w:rPr>
                <w:b w:val="0"/>
                <w:bCs/>
              </w:rPr>
              <w:t>-</w:t>
            </w:r>
            <w:r w:rsidRPr="00065B1A">
              <w:rPr>
                <w:b w:val="0"/>
                <w:bCs/>
              </w:rPr>
              <w:t>e</w:t>
            </w:r>
            <w:r w:rsidR="00AC2AAD">
              <w:rPr>
                <w:b w:val="0"/>
                <w:bCs/>
              </w:rPr>
              <w:t>/</w:t>
            </w:r>
            <w:r w:rsidRPr="00065B1A">
              <w:rPr>
                <w:b w:val="0"/>
                <w:bCs/>
              </w:rPr>
              <w:t>GJ.</w:t>
            </w:r>
          </w:p>
          <w:p w14:paraId="6793736D" w14:textId="77777777" w:rsidR="001C3815" w:rsidRPr="00065B1A" w:rsidRDefault="001C3815">
            <w:pPr>
              <w:rPr>
                <w:b w:val="0"/>
                <w:bCs/>
              </w:rPr>
            </w:pPr>
            <w:r w:rsidRPr="00065B1A">
              <w:rPr>
                <w:b w:val="0"/>
                <w:bCs/>
              </w:rPr>
              <w:t>= 100,000 x 28.5 x 96.4/1,000</w:t>
            </w:r>
          </w:p>
          <w:p w14:paraId="1EC01A2E" w14:textId="78F271B5" w:rsidR="001C3815" w:rsidRPr="00065B1A" w:rsidRDefault="001C3815">
            <w:pPr>
              <w:rPr>
                <w:b w:val="0"/>
                <w:bCs/>
              </w:rPr>
            </w:pPr>
            <w:r w:rsidRPr="00065B1A">
              <w:rPr>
                <w:b w:val="0"/>
                <w:bCs/>
              </w:rPr>
              <w:t xml:space="preserve">= 274,800 </w:t>
            </w:r>
            <w:r w:rsidR="00602668" w:rsidRPr="00065B1A">
              <w:rPr>
                <w:b w:val="0"/>
                <w:bCs/>
              </w:rPr>
              <w:t>t</w:t>
            </w:r>
            <w:r w:rsidR="00602668">
              <w:rPr>
                <w:b w:val="0"/>
                <w:bCs/>
              </w:rPr>
              <w:t> </w:t>
            </w:r>
            <w:r w:rsidR="00602668" w:rsidRPr="00065B1A">
              <w:rPr>
                <w:b w:val="0"/>
                <w:bCs/>
              </w:rPr>
              <w:t>CO</w:t>
            </w:r>
            <w:r w:rsidR="00602668" w:rsidRPr="00065B1A">
              <w:rPr>
                <w:b w:val="0"/>
                <w:bCs/>
                <w:vertAlign w:val="subscript"/>
              </w:rPr>
              <w:t>2</w:t>
            </w:r>
            <w:r w:rsidR="00602668" w:rsidRPr="00065B1A">
              <w:rPr>
                <w:b w:val="0"/>
                <w:bCs/>
              </w:rPr>
              <w:t>-e</w:t>
            </w:r>
          </w:p>
          <w:p w14:paraId="4AB91AAC" w14:textId="080125C4" w:rsidR="001C3815" w:rsidRPr="00065B1A" w:rsidRDefault="001C3815">
            <w:pPr>
              <w:rPr>
                <w:b w:val="0"/>
                <w:bCs/>
              </w:rPr>
            </w:pPr>
            <w:r w:rsidRPr="00065B1A">
              <w:rPr>
                <w:b w:val="0"/>
                <w:bCs/>
              </w:rPr>
              <w:t xml:space="preserve">Methane and nitrous oxide emissions are estimated according to </w:t>
            </w:r>
            <w:r w:rsidR="67B10B62">
              <w:rPr>
                <w:b w:val="0"/>
              </w:rPr>
              <w:t>M</w:t>
            </w:r>
            <w:r w:rsidRPr="00065B1A">
              <w:rPr>
                <w:b w:val="0"/>
                <w:bCs/>
              </w:rPr>
              <w:t>ethod 1 as follows:</w:t>
            </w:r>
          </w:p>
          <w:bookmarkStart w:id="76" w:name="_Hlk50025423"/>
          <w:p w14:paraId="3A4108A9" w14:textId="300493DD" w:rsidR="001C3815" w:rsidRPr="00065B1A" w:rsidRDefault="004430EE">
            <w:pPr>
              <w:rPr>
                <w:rFonts w:eastAsia="Times New Roman"/>
                <w:b w:val="0"/>
                <w:bCs/>
                <w:color w:val="auto"/>
                <w:sz w:val="28"/>
                <w:szCs w:val="28"/>
              </w:rPr>
            </w:pPr>
            <m:oMathPara>
              <m:oMathParaPr>
                <m:jc m:val="left"/>
              </m:oMathParaPr>
              <m:oMath>
                <m:sSub>
                  <m:sSubPr>
                    <m:ctrlPr>
                      <w:rPr>
                        <w:rFonts w:ascii="Cambria Math" w:eastAsia="Times New Roman" w:hAnsi="Cambria Math"/>
                        <w:b w:val="0"/>
                        <w:bCs/>
                        <w:color w:val="auto"/>
                        <w:sz w:val="28"/>
                        <w:szCs w:val="28"/>
                      </w:rPr>
                    </m:ctrlPr>
                  </m:sSubPr>
                  <m:e>
                    <m:r>
                      <m:rPr>
                        <m:sty m:val="b"/>
                      </m:rPr>
                      <w:rPr>
                        <w:rFonts w:ascii="Cambria Math" w:eastAsia="Times New Roman" w:hAnsi="Cambria Math"/>
                        <w:color w:val="auto"/>
                        <w:sz w:val="28"/>
                        <w:szCs w:val="28"/>
                      </w:rPr>
                      <m:t>E</m:t>
                    </m:r>
                  </m:e>
                  <m:sub>
                    <m:r>
                      <m:rPr>
                        <m:sty m:val="b"/>
                      </m:rPr>
                      <w:rPr>
                        <w:rFonts w:ascii="Cambria Math" w:eastAsia="Times New Roman" w:hAnsi="Cambria Math"/>
                        <w:color w:val="auto"/>
                        <w:sz w:val="28"/>
                        <w:szCs w:val="28"/>
                      </w:rPr>
                      <m:t>ij</m:t>
                    </m:r>
                  </m:sub>
                </m:sSub>
                <m:r>
                  <m:rPr>
                    <m:sty m:val="b"/>
                  </m:rPr>
                  <w:rPr>
                    <w:rFonts w:ascii="Cambria Math" w:eastAsia="Times New Roman" w:hAnsi="Cambria Math"/>
                    <w:color w:val="auto"/>
                    <w:sz w:val="28"/>
                    <w:szCs w:val="28"/>
                  </w:rPr>
                  <m:t xml:space="preserve">= </m:t>
                </m:r>
                <m:f>
                  <m:fPr>
                    <m:ctrlPr>
                      <w:rPr>
                        <w:rFonts w:ascii="Cambria Math" w:eastAsia="Times New Roman" w:hAnsi="Cambria Math"/>
                        <w:b w:val="0"/>
                        <w:bCs/>
                        <w:color w:val="auto"/>
                        <w:sz w:val="28"/>
                        <w:szCs w:val="28"/>
                      </w:rPr>
                    </m:ctrlPr>
                  </m:fPr>
                  <m:num>
                    <m:sSub>
                      <m:sSubPr>
                        <m:ctrlPr>
                          <w:rPr>
                            <w:rFonts w:ascii="Cambria Math" w:eastAsia="Times New Roman" w:hAnsi="Cambria Math"/>
                            <w:b w:val="0"/>
                            <w:bCs/>
                            <w:color w:val="auto"/>
                            <w:sz w:val="28"/>
                            <w:szCs w:val="28"/>
                          </w:rPr>
                        </m:ctrlPr>
                      </m:sSubPr>
                      <m:e>
                        <m:r>
                          <m:rPr>
                            <m:sty m:val="b"/>
                          </m:rPr>
                          <w:rPr>
                            <w:rFonts w:ascii="Cambria Math" w:eastAsia="Times New Roman" w:hAnsi="Cambria Math"/>
                            <w:color w:val="auto"/>
                            <w:sz w:val="28"/>
                            <w:szCs w:val="28"/>
                          </w:rPr>
                          <m:t>Q</m:t>
                        </m:r>
                      </m:e>
                      <m:sub>
                        <m:r>
                          <m:rPr>
                            <m:sty m:val="b"/>
                          </m:rPr>
                          <w:rPr>
                            <w:rFonts w:ascii="Cambria Math" w:eastAsia="Times New Roman" w:hAnsi="Cambria Math"/>
                            <w:color w:val="auto"/>
                            <w:sz w:val="28"/>
                            <w:szCs w:val="28"/>
                          </w:rPr>
                          <m:t>i</m:t>
                        </m:r>
                      </m:sub>
                    </m:sSub>
                    <m:r>
                      <m:rPr>
                        <m:sty m:val="b"/>
                      </m:rPr>
                      <w:rPr>
                        <w:rFonts w:ascii="Cambria Math" w:eastAsia="Times New Roman" w:hAnsi="Cambria Math"/>
                        <w:color w:val="auto"/>
                        <w:sz w:val="28"/>
                        <w:szCs w:val="28"/>
                      </w:rPr>
                      <m:t>×</m:t>
                    </m:r>
                    <m:sSub>
                      <m:sSubPr>
                        <m:ctrlPr>
                          <w:rPr>
                            <w:rFonts w:ascii="Cambria Math" w:eastAsia="Times New Roman" w:hAnsi="Cambria Math"/>
                            <w:b w:val="0"/>
                            <w:bCs/>
                            <w:color w:val="auto"/>
                            <w:sz w:val="28"/>
                            <w:szCs w:val="28"/>
                          </w:rPr>
                        </m:ctrlPr>
                      </m:sSubPr>
                      <m:e>
                        <m:r>
                          <m:rPr>
                            <m:sty m:val="b"/>
                          </m:rPr>
                          <w:rPr>
                            <w:rFonts w:ascii="Cambria Math" w:eastAsia="Times New Roman" w:hAnsi="Cambria Math"/>
                            <w:color w:val="auto"/>
                            <w:sz w:val="28"/>
                            <w:szCs w:val="28"/>
                          </w:rPr>
                          <m:t>EC</m:t>
                        </m:r>
                      </m:e>
                      <m:sub>
                        <m:r>
                          <m:rPr>
                            <m:sty m:val="b"/>
                          </m:rPr>
                          <w:rPr>
                            <w:rFonts w:ascii="Cambria Math" w:eastAsia="Times New Roman" w:hAnsi="Cambria Math"/>
                            <w:color w:val="auto"/>
                            <w:sz w:val="28"/>
                            <w:szCs w:val="28"/>
                          </w:rPr>
                          <m:t>i</m:t>
                        </m:r>
                      </m:sub>
                    </m:sSub>
                    <m:r>
                      <m:rPr>
                        <m:sty m:val="b"/>
                      </m:rPr>
                      <w:rPr>
                        <w:rFonts w:ascii="Cambria Math" w:eastAsia="Times New Roman" w:hAnsi="Cambria Math"/>
                        <w:color w:val="auto"/>
                        <w:sz w:val="28"/>
                        <w:szCs w:val="28"/>
                      </w:rPr>
                      <m:t>×</m:t>
                    </m:r>
                    <m:sSub>
                      <m:sSubPr>
                        <m:ctrlPr>
                          <w:rPr>
                            <w:rFonts w:ascii="Cambria Math" w:eastAsia="Times New Roman" w:hAnsi="Cambria Math"/>
                            <w:b w:val="0"/>
                            <w:bCs/>
                            <w:color w:val="auto"/>
                            <w:sz w:val="28"/>
                            <w:szCs w:val="28"/>
                          </w:rPr>
                        </m:ctrlPr>
                      </m:sSubPr>
                      <m:e>
                        <m:r>
                          <m:rPr>
                            <m:sty m:val="b"/>
                          </m:rPr>
                          <w:rPr>
                            <w:rFonts w:ascii="Cambria Math" w:eastAsia="Times New Roman" w:hAnsi="Cambria Math"/>
                            <w:color w:val="auto"/>
                            <w:sz w:val="28"/>
                            <w:szCs w:val="28"/>
                          </w:rPr>
                          <m:t>EF</m:t>
                        </m:r>
                      </m:e>
                      <m:sub>
                        <m:r>
                          <m:rPr>
                            <m:sty m:val="b"/>
                          </m:rPr>
                          <w:rPr>
                            <w:rFonts w:ascii="Cambria Math" w:eastAsia="Times New Roman" w:hAnsi="Cambria Math"/>
                            <w:color w:val="auto"/>
                            <w:sz w:val="28"/>
                            <w:szCs w:val="28"/>
                          </w:rPr>
                          <m:t>ijoxec</m:t>
                        </m:r>
                      </m:sub>
                    </m:sSub>
                  </m:num>
                  <m:den>
                    <m:r>
                      <m:rPr>
                        <m:sty m:val="b"/>
                      </m:rPr>
                      <w:rPr>
                        <w:rFonts w:ascii="Cambria Math" w:eastAsia="Times New Roman" w:hAnsi="Cambria Math"/>
                        <w:color w:val="auto"/>
                        <w:sz w:val="28"/>
                        <w:szCs w:val="28"/>
                      </w:rPr>
                      <m:t>1,000</m:t>
                    </m:r>
                  </m:den>
                </m:f>
              </m:oMath>
            </m:oMathPara>
          </w:p>
          <w:bookmarkEnd w:id="76"/>
          <w:p w14:paraId="6BF5FC81" w14:textId="77777777" w:rsidR="001C3815" w:rsidRPr="00065B1A" w:rsidRDefault="001C3815">
            <w:pPr>
              <w:rPr>
                <w:b w:val="0"/>
                <w:bCs/>
              </w:rPr>
            </w:pPr>
          </w:p>
          <w:p w14:paraId="56E4DB25" w14:textId="77777777" w:rsidR="001C3815" w:rsidRPr="00065B1A" w:rsidRDefault="001C3815">
            <w:pPr>
              <w:rPr>
                <w:b w:val="0"/>
                <w:bCs/>
              </w:rPr>
            </w:pPr>
            <w:r w:rsidRPr="00065B1A">
              <w:rPr>
                <w:b w:val="0"/>
                <w:bCs/>
              </w:rPr>
              <w:t>where:</w:t>
            </w:r>
          </w:p>
          <w:p w14:paraId="24B80511" w14:textId="5F5697BC" w:rsidR="001C3815" w:rsidRPr="00065B1A" w:rsidRDefault="001C3815">
            <w:pPr>
              <w:rPr>
                <w:b w:val="0"/>
                <w:bCs/>
              </w:rPr>
            </w:pPr>
            <w:proofErr w:type="spellStart"/>
            <w:r w:rsidRPr="00065B1A">
              <w:rPr>
                <w:b w:val="0"/>
                <w:bCs/>
              </w:rPr>
              <w:t>E</w:t>
            </w:r>
            <w:r w:rsidRPr="00065B1A">
              <w:rPr>
                <w:b w:val="0"/>
                <w:bCs/>
                <w:vertAlign w:val="subscript"/>
              </w:rPr>
              <w:t>ij</w:t>
            </w:r>
            <w:proofErr w:type="spellEnd"/>
            <w:r w:rsidRPr="00065B1A">
              <w:rPr>
                <w:b w:val="0"/>
                <w:bCs/>
              </w:rPr>
              <w:t xml:space="preserve"> is the emissions of gas type (j) released from the combustion of fuel type (</w:t>
            </w:r>
            <w:proofErr w:type="spellStart"/>
            <w:r w:rsidRPr="00065B1A">
              <w:rPr>
                <w:b w:val="0"/>
                <w:bCs/>
              </w:rPr>
              <w:t>i</w:t>
            </w:r>
            <w:proofErr w:type="spellEnd"/>
            <w:r w:rsidRPr="00065B1A">
              <w:rPr>
                <w:b w:val="0"/>
                <w:bCs/>
              </w:rPr>
              <w:t xml:space="preserve">) from the operation of the facility during the year measured in </w:t>
            </w:r>
            <w:r w:rsidR="00230976">
              <w:rPr>
                <w:b w:val="0"/>
                <w:bCs/>
              </w:rPr>
              <w:t>t </w:t>
            </w:r>
            <w:r w:rsidRPr="00065B1A">
              <w:rPr>
                <w:b w:val="0"/>
                <w:bCs/>
              </w:rPr>
              <w:t>CO</w:t>
            </w:r>
            <w:r w:rsidRPr="00065B1A">
              <w:rPr>
                <w:b w:val="0"/>
                <w:bCs/>
                <w:vertAlign w:val="subscript"/>
              </w:rPr>
              <w:t>2</w:t>
            </w:r>
            <w:r w:rsidR="00230976">
              <w:rPr>
                <w:b w:val="0"/>
                <w:bCs/>
              </w:rPr>
              <w:t>-</w:t>
            </w:r>
            <w:r w:rsidRPr="00065B1A">
              <w:rPr>
                <w:b w:val="0"/>
                <w:bCs/>
              </w:rPr>
              <w:t>e.</w:t>
            </w:r>
          </w:p>
          <w:p w14:paraId="42A722DC" w14:textId="1807F418" w:rsidR="001C3815" w:rsidRPr="00065B1A" w:rsidRDefault="001C3815">
            <w:pPr>
              <w:rPr>
                <w:b w:val="0"/>
                <w:bCs/>
              </w:rPr>
            </w:pPr>
            <w:r w:rsidRPr="00065B1A">
              <w:rPr>
                <w:b w:val="0"/>
                <w:bCs/>
                <w:i/>
                <w:iCs/>
              </w:rPr>
              <w:t>Q</w:t>
            </w:r>
            <w:r w:rsidRPr="00065B1A">
              <w:rPr>
                <w:b w:val="0"/>
                <w:bCs/>
                <w:i/>
                <w:iCs/>
                <w:vertAlign w:val="subscript"/>
              </w:rPr>
              <w:t>i</w:t>
            </w:r>
            <w:r w:rsidRPr="00065B1A">
              <w:rPr>
                <w:b w:val="0"/>
                <w:bCs/>
              </w:rPr>
              <w:t xml:space="preserve"> is the quantity of fuel type (</w:t>
            </w:r>
            <w:proofErr w:type="spellStart"/>
            <w:r w:rsidRPr="00065B1A">
              <w:rPr>
                <w:b w:val="0"/>
                <w:bCs/>
              </w:rPr>
              <w:t>i</w:t>
            </w:r>
            <w:proofErr w:type="spellEnd"/>
            <w:r w:rsidRPr="00065B1A">
              <w:rPr>
                <w:b w:val="0"/>
                <w:bCs/>
              </w:rPr>
              <w:t>) estimated under Division 2.2.5 measured in t.</w:t>
            </w:r>
          </w:p>
          <w:p w14:paraId="20F128EA" w14:textId="77777777" w:rsidR="001C3815" w:rsidRPr="00065B1A" w:rsidRDefault="001C3815">
            <w:pPr>
              <w:rPr>
                <w:b w:val="0"/>
                <w:bCs/>
              </w:rPr>
            </w:pPr>
            <w:r w:rsidRPr="00065B1A">
              <w:rPr>
                <w:b w:val="0"/>
                <w:bCs/>
                <w:i/>
                <w:iCs/>
              </w:rPr>
              <w:t>EC</w:t>
            </w:r>
            <w:r w:rsidRPr="00065B1A">
              <w:rPr>
                <w:b w:val="0"/>
                <w:bCs/>
                <w:i/>
                <w:iCs/>
                <w:vertAlign w:val="subscript"/>
              </w:rPr>
              <w:t>i</w:t>
            </w:r>
            <w:r w:rsidRPr="00065B1A">
              <w:rPr>
                <w:b w:val="0"/>
                <w:bCs/>
              </w:rPr>
              <w:t xml:space="preserve"> is the energy content factor of fuel type (</w:t>
            </w:r>
            <w:proofErr w:type="spellStart"/>
            <w:r w:rsidRPr="00065B1A">
              <w:rPr>
                <w:b w:val="0"/>
                <w:bCs/>
              </w:rPr>
              <w:t>i</w:t>
            </w:r>
            <w:proofErr w:type="spellEnd"/>
            <w:r w:rsidRPr="00065B1A">
              <w:rPr>
                <w:b w:val="0"/>
                <w:bCs/>
              </w:rPr>
              <w:t>) estimated under section 6.5.</w:t>
            </w:r>
          </w:p>
          <w:p w14:paraId="5EBB6E6D" w14:textId="5BD735BC" w:rsidR="001C3815" w:rsidRPr="00065B1A" w:rsidRDefault="001C3815">
            <w:pPr>
              <w:rPr>
                <w:b w:val="0"/>
                <w:bCs/>
              </w:rPr>
            </w:pPr>
            <w:proofErr w:type="spellStart"/>
            <w:r w:rsidRPr="00065B1A">
              <w:rPr>
                <w:b w:val="0"/>
                <w:bCs/>
                <w:i/>
                <w:iCs/>
              </w:rPr>
              <w:t>EF</w:t>
            </w:r>
            <w:r w:rsidRPr="00065B1A">
              <w:rPr>
                <w:b w:val="0"/>
                <w:bCs/>
                <w:i/>
                <w:iCs/>
                <w:vertAlign w:val="subscript"/>
              </w:rPr>
              <w:t>ijoxec</w:t>
            </w:r>
            <w:proofErr w:type="spellEnd"/>
            <w:r w:rsidRPr="00065B1A">
              <w:rPr>
                <w:b w:val="0"/>
                <w:bCs/>
              </w:rPr>
              <w:t xml:space="preserve"> is the emission factor for each gas (which includes the effect of a default oxidation factor) released from the combustion of fuel type (</w:t>
            </w:r>
            <w:proofErr w:type="spellStart"/>
            <w:r w:rsidRPr="00065B1A">
              <w:rPr>
                <w:b w:val="0"/>
                <w:bCs/>
              </w:rPr>
              <w:t>i</w:t>
            </w:r>
            <w:proofErr w:type="spellEnd"/>
            <w:r w:rsidRPr="00065B1A">
              <w:rPr>
                <w:b w:val="0"/>
                <w:bCs/>
              </w:rPr>
              <w:t>) measured in kg</w:t>
            </w:r>
            <w:r w:rsidR="00230976">
              <w:rPr>
                <w:b w:val="0"/>
                <w:bCs/>
              </w:rPr>
              <w:t> </w:t>
            </w:r>
            <w:r w:rsidRPr="00065B1A">
              <w:rPr>
                <w:b w:val="0"/>
                <w:bCs/>
              </w:rPr>
              <w:t>CO</w:t>
            </w:r>
            <w:r w:rsidRPr="00065B1A">
              <w:rPr>
                <w:b w:val="0"/>
                <w:bCs/>
                <w:vertAlign w:val="subscript"/>
              </w:rPr>
              <w:t>2</w:t>
            </w:r>
            <w:r w:rsidR="00230976">
              <w:rPr>
                <w:b w:val="0"/>
                <w:bCs/>
              </w:rPr>
              <w:t>-</w:t>
            </w:r>
            <w:r w:rsidRPr="00065B1A">
              <w:rPr>
                <w:b w:val="0"/>
                <w:bCs/>
              </w:rPr>
              <w:t>e</w:t>
            </w:r>
            <w:r w:rsidR="00230976">
              <w:rPr>
                <w:b w:val="0"/>
                <w:bCs/>
              </w:rPr>
              <w:t>/</w:t>
            </w:r>
            <w:r w:rsidRPr="00065B1A">
              <w:rPr>
                <w:b w:val="0"/>
                <w:bCs/>
              </w:rPr>
              <w:t>GJ according to source, as listed in Schedule 1 of the NGER Measurement Determination.</w:t>
            </w:r>
          </w:p>
          <w:p w14:paraId="57882822" w14:textId="77777777" w:rsidR="001C3815" w:rsidRPr="00065B1A" w:rsidRDefault="001C3815">
            <w:pPr>
              <w:rPr>
                <w:b w:val="0"/>
                <w:bCs/>
              </w:rPr>
            </w:pPr>
            <w:r w:rsidRPr="00065B1A">
              <w:rPr>
                <w:b w:val="0"/>
                <w:bCs/>
              </w:rPr>
              <w:lastRenderedPageBreak/>
              <w:t>Emissions of methane from combustion of bituminous coal:</w:t>
            </w:r>
          </w:p>
          <w:p w14:paraId="1D7886B5" w14:textId="1C1037B2" w:rsidR="001C3815" w:rsidRPr="00065B1A" w:rsidRDefault="001C3815">
            <w:pPr>
              <w:ind w:left="720"/>
              <w:rPr>
                <w:b w:val="0"/>
                <w:bCs/>
              </w:rPr>
            </w:pPr>
            <w:r w:rsidRPr="00065B1A">
              <w:rPr>
                <w:b w:val="0"/>
                <w:bCs/>
              </w:rPr>
              <w:t>= (100,000 x 28.5 x 0.04)/1,000 = 114</w:t>
            </w:r>
            <w:r w:rsidR="00230976">
              <w:rPr>
                <w:b w:val="0"/>
                <w:bCs/>
              </w:rPr>
              <w:t> </w:t>
            </w:r>
            <w:r w:rsidRPr="00065B1A">
              <w:rPr>
                <w:b w:val="0"/>
                <w:bCs/>
              </w:rPr>
              <w:t>t</w:t>
            </w:r>
            <w:r w:rsidR="00230976">
              <w:rPr>
                <w:b w:val="0"/>
                <w:bCs/>
              </w:rPr>
              <w:t> </w:t>
            </w:r>
            <w:r w:rsidRPr="00065B1A">
              <w:rPr>
                <w:b w:val="0"/>
                <w:bCs/>
              </w:rPr>
              <w:t>CO</w:t>
            </w:r>
            <w:r w:rsidRPr="00065B1A">
              <w:rPr>
                <w:b w:val="0"/>
                <w:bCs/>
                <w:vertAlign w:val="subscript"/>
              </w:rPr>
              <w:t>2</w:t>
            </w:r>
            <w:r w:rsidRPr="00065B1A">
              <w:rPr>
                <w:b w:val="0"/>
                <w:bCs/>
              </w:rPr>
              <w:t xml:space="preserve">-e </w:t>
            </w:r>
          </w:p>
          <w:p w14:paraId="33D485E0" w14:textId="77777777" w:rsidR="001C3815" w:rsidRPr="00065B1A" w:rsidRDefault="001C3815">
            <w:pPr>
              <w:rPr>
                <w:b w:val="0"/>
                <w:bCs/>
              </w:rPr>
            </w:pPr>
            <w:r w:rsidRPr="00065B1A">
              <w:rPr>
                <w:b w:val="0"/>
                <w:bCs/>
              </w:rPr>
              <w:t>Emissions of nitrous oxide from combustion of bituminous coal:</w:t>
            </w:r>
          </w:p>
          <w:p w14:paraId="7B20BE15" w14:textId="5CEA6F3F" w:rsidR="001C3815" w:rsidRPr="00340EC3" w:rsidRDefault="001C3815">
            <w:pPr>
              <w:ind w:left="720"/>
              <w:rPr>
                <w:bCs/>
              </w:rPr>
            </w:pPr>
            <w:r w:rsidRPr="00065B1A">
              <w:rPr>
                <w:b w:val="0"/>
                <w:bCs/>
              </w:rPr>
              <w:t>= (100,000 x 28.5 x 0.2)/1,000 = 570</w:t>
            </w:r>
            <w:r w:rsidR="00230976">
              <w:rPr>
                <w:b w:val="0"/>
                <w:bCs/>
              </w:rPr>
              <w:t> </w:t>
            </w:r>
            <w:r w:rsidRPr="00065B1A">
              <w:rPr>
                <w:b w:val="0"/>
                <w:bCs/>
              </w:rPr>
              <w:t>t</w:t>
            </w:r>
            <w:r w:rsidR="00230976">
              <w:rPr>
                <w:b w:val="0"/>
                <w:bCs/>
              </w:rPr>
              <w:t> </w:t>
            </w:r>
            <w:r w:rsidRPr="00065B1A">
              <w:rPr>
                <w:b w:val="0"/>
                <w:bCs/>
              </w:rPr>
              <w:t>CO</w:t>
            </w:r>
            <w:r w:rsidRPr="00065B1A">
              <w:rPr>
                <w:b w:val="0"/>
                <w:bCs/>
                <w:vertAlign w:val="subscript"/>
              </w:rPr>
              <w:t>2</w:t>
            </w:r>
            <w:r w:rsidRPr="00065B1A">
              <w:rPr>
                <w:b w:val="0"/>
                <w:bCs/>
              </w:rPr>
              <w:t>-e</w:t>
            </w:r>
          </w:p>
        </w:tc>
      </w:tr>
    </w:tbl>
    <w:p w14:paraId="72664665" w14:textId="2EDCAD99" w:rsidR="001C3815" w:rsidRPr="00FA0550" w:rsidRDefault="001C3815" w:rsidP="00C06A90">
      <w:pPr>
        <w:pStyle w:val="Heading4"/>
        <w:numPr>
          <w:ilvl w:val="3"/>
          <w:numId w:val="49"/>
        </w:numPr>
      </w:pPr>
      <w:bookmarkStart w:id="77" w:name="_Toc423516744"/>
      <w:bookmarkStart w:id="78" w:name="_Toc495652658"/>
      <w:bookmarkStart w:id="79" w:name="_Toc43983112"/>
      <w:bookmarkStart w:id="80" w:name="_Toc76565695"/>
      <w:bookmarkStart w:id="81" w:name="_Toc235613563"/>
      <w:bookmarkStart w:id="82" w:name="_Toc509935582"/>
      <w:r w:rsidRPr="00FA0550">
        <w:lastRenderedPageBreak/>
        <w:t>Method 2—estimating carbon dioxide using an estimated oxidation factor</w:t>
      </w:r>
      <w:bookmarkEnd w:id="77"/>
      <w:bookmarkEnd w:id="78"/>
      <w:bookmarkEnd w:id="79"/>
      <w:bookmarkEnd w:id="80"/>
      <w:bookmarkEnd w:id="81"/>
    </w:p>
    <w:p w14:paraId="58A7959D" w14:textId="77777777" w:rsidR="001C3815" w:rsidRPr="00EC0362" w:rsidRDefault="001C3815" w:rsidP="001C3815">
      <w:pPr>
        <w:pStyle w:val="CERbullets"/>
        <w:rPr>
          <w:rFonts w:eastAsia="Times New Roman"/>
          <w:bCs/>
          <w:szCs w:val="22"/>
        </w:rPr>
      </w:pPr>
      <w:r w:rsidRPr="00EC0362">
        <w:rPr>
          <w:rFonts w:eastAsia="Times New Roman"/>
          <w:bCs/>
          <w:szCs w:val="22"/>
        </w:rPr>
        <w:t xml:space="preserve">Sub-division 2.2.3.2 </w:t>
      </w:r>
      <w:r>
        <w:rPr>
          <w:rFonts w:eastAsia="Times New Roman"/>
          <w:bCs/>
          <w:szCs w:val="22"/>
        </w:rPr>
        <w:t xml:space="preserve">of the NGER Measurement Determination </w:t>
      </w:r>
      <w:r w:rsidRPr="00EC0362">
        <w:rPr>
          <w:rFonts w:eastAsia="Times New Roman"/>
          <w:bCs/>
          <w:szCs w:val="22"/>
        </w:rPr>
        <w:t>sets out the second option for the estimation of emissions from solid fuel combustion using an estimated oxidation level by reference to additional information about the fuels combusted by the facility. An alternative approach, using an assumed oxidation factor, is set out in sub-division 2.2.3.1.</w:t>
      </w:r>
    </w:p>
    <w:p w14:paraId="30238ADE" w14:textId="739D1C16" w:rsidR="001C3815" w:rsidRPr="00FA0550" w:rsidRDefault="001C3815" w:rsidP="00C06A90">
      <w:pPr>
        <w:pStyle w:val="Heading4"/>
        <w:numPr>
          <w:ilvl w:val="3"/>
          <w:numId w:val="49"/>
        </w:numPr>
      </w:pPr>
      <w:bookmarkStart w:id="83" w:name="_Toc423516746"/>
      <w:bookmarkStart w:id="84" w:name="_Toc495652660"/>
      <w:bookmarkStart w:id="85" w:name="_Toc43983113"/>
      <w:bookmarkStart w:id="86" w:name="_Toc76565696"/>
      <w:bookmarkStart w:id="87" w:name="_Toc235613564"/>
      <w:r w:rsidRPr="00FA0550">
        <w:t xml:space="preserve">Sampling and analysis for </w:t>
      </w:r>
      <w:r w:rsidR="6D5796E2">
        <w:t>M</w:t>
      </w:r>
      <w:r w:rsidRPr="00FA0550">
        <w:t>ethod 2</w:t>
      </w:r>
      <w:bookmarkEnd w:id="83"/>
      <w:bookmarkEnd w:id="84"/>
      <w:bookmarkEnd w:id="85"/>
      <w:bookmarkEnd w:id="86"/>
      <w:bookmarkEnd w:id="87"/>
    </w:p>
    <w:p w14:paraId="5E933087" w14:textId="1BF6A696" w:rsidR="001C3815" w:rsidRPr="00EC0362" w:rsidRDefault="001C3815" w:rsidP="001C3815">
      <w:pPr>
        <w:pStyle w:val="CERbullets"/>
        <w:rPr>
          <w:rFonts w:eastAsia="Times New Roman"/>
        </w:rPr>
      </w:pPr>
      <w:r w:rsidRPr="4AB9D180">
        <w:rPr>
          <w:rFonts w:eastAsia="Times New Roman"/>
        </w:rPr>
        <w:t xml:space="preserve">Under </w:t>
      </w:r>
      <w:r w:rsidR="48EB30FB" w:rsidRPr="4AB9D180">
        <w:rPr>
          <w:rFonts w:eastAsia="Times New Roman"/>
        </w:rPr>
        <w:t>M</w:t>
      </w:r>
      <w:r w:rsidRPr="4AB9D180">
        <w:rPr>
          <w:rFonts w:eastAsia="Times New Roman"/>
        </w:rPr>
        <w:t xml:space="preserve">ethod 2, representative and unbiased samples of fuels consumed must be sampled and analysed in accordance with Subdivision 2.2.3.3 of the NGER Measurement Determination.  </w:t>
      </w:r>
    </w:p>
    <w:p w14:paraId="4FB988A1" w14:textId="77777777" w:rsidR="001C3815" w:rsidRPr="00EC0362" w:rsidRDefault="001C3815" w:rsidP="001C3815">
      <w:pPr>
        <w:pStyle w:val="CERbullets"/>
        <w:rPr>
          <w:rFonts w:eastAsia="Times New Roman"/>
          <w:bCs/>
          <w:szCs w:val="22"/>
        </w:rPr>
      </w:pPr>
      <w:r w:rsidRPr="00EC0362">
        <w:rPr>
          <w:rFonts w:eastAsia="Times New Roman"/>
          <w:bCs/>
          <w:szCs w:val="22"/>
        </w:rPr>
        <w:t>As coal is a heterogeneous material, for the sample to be truly representative it must contain the correct proportions of each particle size present, as well as the correct proportions of particles of varying impurity content. Therefore, in the process of collecting a representative sample, each particle in the lot must have an equal probability of being sampled (‘equal selection probability’); the representativeness of the sample being a function of the mass of the sample, or more correctly, the number of particles in the sample.</w:t>
      </w:r>
    </w:p>
    <w:p w14:paraId="1BBB5D4F" w14:textId="6F7FF11E" w:rsidR="001C3815" w:rsidRPr="00EC0362" w:rsidRDefault="001C3815" w:rsidP="001C3815">
      <w:pPr>
        <w:pStyle w:val="CERbullets"/>
        <w:rPr>
          <w:rFonts w:eastAsia="Times New Roman"/>
          <w:bCs/>
          <w:szCs w:val="22"/>
        </w:rPr>
      </w:pPr>
      <w:r w:rsidRPr="00EC0362">
        <w:rPr>
          <w:rFonts w:eastAsia="Times New Roman"/>
          <w:color w:val="000000"/>
          <w:szCs w:val="22"/>
          <w:lang w:eastAsia="en-AU"/>
        </w:rPr>
        <w:t xml:space="preserve">A mechanical sampling system designed and operated in accordance </w:t>
      </w:r>
      <w:r w:rsidRPr="00F149D6">
        <w:rPr>
          <w:color w:val="000000"/>
        </w:rPr>
        <w:t>with</w:t>
      </w:r>
      <w:r>
        <w:rPr>
          <w:rFonts w:eastAsia="Times New Roman"/>
          <w:color w:val="000000"/>
          <w:szCs w:val="22"/>
          <w:lang w:eastAsia="en-AU"/>
        </w:rPr>
        <w:t xml:space="preserve"> Australian Standard</w:t>
      </w:r>
      <w:r w:rsidRPr="00F149D6">
        <w:rPr>
          <w:color w:val="000000"/>
        </w:rPr>
        <w:t xml:space="preserve"> </w:t>
      </w:r>
      <w:hyperlink r:id="rId37" w:tooltip="A link to the 1996 Coal and coke sampling determination on the Standards Australia webpage" w:history="1">
        <w:r w:rsidRPr="004A2E5A">
          <w:rPr>
            <w:rStyle w:val="Hyperlink"/>
            <w:rFonts w:asciiTheme="minorHAnsi" w:eastAsia="Times New Roman" w:hAnsiTheme="minorHAnsi"/>
            <w:szCs w:val="22"/>
            <w:lang w:eastAsia="en-AU"/>
          </w:rPr>
          <w:t xml:space="preserve">AS 4264.4 – </w:t>
        </w:r>
        <w:r w:rsidRPr="00F149D6">
          <w:rPr>
            <w:rStyle w:val="Hyperlink"/>
            <w:rFonts w:asciiTheme="minorHAnsi" w:hAnsiTheme="minorHAnsi"/>
          </w:rPr>
          <w:t>1996 Coal and coke – Sampling – Determination of precision and bias</w:t>
        </w:r>
      </w:hyperlink>
      <w:r w:rsidRPr="004A2E5A">
        <w:rPr>
          <w:rStyle w:val="FootnoteReference"/>
          <w:rFonts w:eastAsia="Times New Roman"/>
          <w:color w:val="000000"/>
          <w:szCs w:val="22"/>
          <w:lang w:eastAsia="en-AU"/>
        </w:rPr>
        <w:footnoteReference w:id="18"/>
      </w:r>
      <w:r w:rsidRPr="004A2E5A">
        <w:rPr>
          <w:rFonts w:eastAsia="Times New Roman"/>
          <w:color w:val="000000"/>
          <w:szCs w:val="22"/>
          <w:lang w:eastAsia="en-AU"/>
        </w:rPr>
        <w:t xml:space="preserve"> </w:t>
      </w:r>
      <w:r w:rsidRPr="00EC0362">
        <w:rPr>
          <w:rFonts w:eastAsia="Times New Roman"/>
          <w:color w:val="000000"/>
          <w:szCs w:val="22"/>
          <w:lang w:eastAsia="en-AU"/>
        </w:rPr>
        <w:t xml:space="preserve">should be used to sample the coal or solid fuel. Ideally, this type of sampling system would be set up to obtain coal as it is either being loaded at the coal source or unloaded at the facility. One lot of coal will normally represent one day or one </w:t>
      </w:r>
      <w:r w:rsidRPr="00EC0362">
        <w:rPr>
          <w:rFonts w:eastAsia="Times New Roman"/>
          <w:bCs/>
          <w:szCs w:val="22"/>
        </w:rPr>
        <w:t>trainload of coal. If necessary, manual sampling of the coal may be used provided that the sampling equipment and procedure used is in accordance with AS 4264</w:t>
      </w:r>
      <w:r>
        <w:rPr>
          <w:rFonts w:eastAsia="Times New Roman"/>
          <w:bCs/>
          <w:szCs w:val="22"/>
        </w:rPr>
        <w:t>.4</w:t>
      </w:r>
      <w:r w:rsidRPr="00EC0362">
        <w:rPr>
          <w:rFonts w:eastAsia="Times New Roman"/>
          <w:bCs/>
          <w:szCs w:val="22"/>
        </w:rPr>
        <w:t>.</w:t>
      </w:r>
    </w:p>
    <w:p w14:paraId="7DF76AD9" w14:textId="42F677AC" w:rsidR="001C3815" w:rsidRPr="00EC0362" w:rsidRDefault="001C3815" w:rsidP="001C3815">
      <w:pPr>
        <w:pStyle w:val="CERbullets"/>
        <w:rPr>
          <w:rFonts w:eastAsia="Times New Roman"/>
          <w:bCs/>
          <w:szCs w:val="22"/>
        </w:rPr>
      </w:pPr>
      <w:r w:rsidRPr="00EC0362">
        <w:rPr>
          <w:rFonts w:eastAsia="Times New Roman"/>
          <w:bCs/>
          <w:szCs w:val="22"/>
        </w:rPr>
        <w:t>Sample preparation</w:t>
      </w:r>
      <w:r>
        <w:rPr>
          <w:rFonts w:eastAsia="Times New Roman"/>
          <w:bCs/>
          <w:szCs w:val="22"/>
        </w:rPr>
        <w:t>,</w:t>
      </w:r>
      <w:r w:rsidRPr="00EC0362">
        <w:rPr>
          <w:rFonts w:eastAsia="Times New Roman"/>
          <w:bCs/>
          <w:szCs w:val="22"/>
        </w:rPr>
        <w:t xml:space="preserve"> as required</w:t>
      </w:r>
      <w:r>
        <w:rPr>
          <w:rFonts w:eastAsia="Times New Roman"/>
          <w:bCs/>
          <w:szCs w:val="22"/>
        </w:rPr>
        <w:t>, for</w:t>
      </w:r>
      <w:r w:rsidRPr="00EC0362">
        <w:rPr>
          <w:rFonts w:eastAsia="Times New Roman"/>
          <w:bCs/>
          <w:szCs w:val="22"/>
        </w:rPr>
        <w:t xml:space="preserve"> providing a laboratory sample for analysis is normally carried out in </w:t>
      </w:r>
      <w:r w:rsidR="007755FF">
        <w:rPr>
          <w:rFonts w:eastAsia="Times New Roman"/>
          <w:bCs/>
          <w:szCs w:val="22"/>
        </w:rPr>
        <w:t>2</w:t>
      </w:r>
      <w:r w:rsidR="007755FF" w:rsidRPr="00EC0362">
        <w:rPr>
          <w:rFonts w:eastAsia="Times New Roman"/>
          <w:bCs/>
          <w:szCs w:val="22"/>
        </w:rPr>
        <w:t xml:space="preserve"> </w:t>
      </w:r>
      <w:r w:rsidRPr="00EC0362">
        <w:rPr>
          <w:rFonts w:eastAsia="Times New Roman"/>
          <w:bCs/>
          <w:szCs w:val="22"/>
        </w:rPr>
        <w:t>steps:</w:t>
      </w:r>
    </w:p>
    <w:p w14:paraId="17CB0E28" w14:textId="77777777" w:rsidR="001C3815" w:rsidRPr="00F149D6" w:rsidRDefault="001C3815" w:rsidP="001C3815">
      <w:pPr>
        <w:pStyle w:val="CERnumbering"/>
        <w:numPr>
          <w:ilvl w:val="0"/>
          <w:numId w:val="30"/>
        </w:numPr>
      </w:pPr>
      <w:r>
        <w:t>i</w:t>
      </w:r>
      <w:r w:rsidRPr="00F149D6">
        <w:t>nitial crushing and subdivision of the samples, as part of an operation that is integrated with the coal sampling</w:t>
      </w:r>
    </w:p>
    <w:p w14:paraId="63EAC9CE" w14:textId="77777777" w:rsidR="001C3815" w:rsidRPr="00F149D6" w:rsidRDefault="001C3815" w:rsidP="001C3815">
      <w:pPr>
        <w:pStyle w:val="CERnumbering"/>
        <w:numPr>
          <w:ilvl w:val="0"/>
          <w:numId w:val="30"/>
        </w:numPr>
      </w:pPr>
      <w:r>
        <w:t>f</w:t>
      </w:r>
      <w:r w:rsidRPr="00F149D6">
        <w:t>inal crushing and subdivision at the laboratory to provide the analysis sample.</w:t>
      </w:r>
    </w:p>
    <w:p w14:paraId="414CC34B" w14:textId="77777777" w:rsidR="001C3815" w:rsidRPr="00EC0362" w:rsidRDefault="001C3815" w:rsidP="001C3815">
      <w:pPr>
        <w:pStyle w:val="CERbullets"/>
        <w:rPr>
          <w:rFonts w:eastAsia="Times New Roman"/>
          <w:bCs/>
          <w:szCs w:val="22"/>
        </w:rPr>
      </w:pPr>
      <w:r w:rsidRPr="00EC0362">
        <w:rPr>
          <w:rFonts w:eastAsia="Times New Roman"/>
          <w:bCs/>
          <w:szCs w:val="22"/>
        </w:rPr>
        <w:t>Precision is defined as a measure of the extent to which the observations within a set agree with each other; usually expressed as twice the standard deviation (95</w:t>
      </w:r>
      <w:r>
        <w:rPr>
          <w:rFonts w:eastAsia="Times New Roman"/>
          <w:bCs/>
          <w:szCs w:val="22"/>
        </w:rPr>
        <w:t>%</w:t>
      </w:r>
      <w:r w:rsidRPr="00EC0362">
        <w:rPr>
          <w:rFonts w:eastAsia="Times New Roman"/>
          <w:bCs/>
          <w:szCs w:val="22"/>
        </w:rPr>
        <w:t xml:space="preserve"> confidence level). Precision checks should be carried out on the sampling process to confirm that the sampling rate is acceptable. The procedure for determining the precision of coal sampling and sample preparation is prescribed in AS 4264.</w:t>
      </w:r>
      <w:r>
        <w:rPr>
          <w:rFonts w:eastAsia="Times New Roman"/>
          <w:bCs/>
          <w:szCs w:val="22"/>
        </w:rPr>
        <w:t>4</w:t>
      </w:r>
      <w:r w:rsidRPr="00EC0362">
        <w:rPr>
          <w:rFonts w:eastAsia="Times New Roman"/>
          <w:bCs/>
          <w:szCs w:val="22"/>
        </w:rPr>
        <w:t xml:space="preserve">. It is </w:t>
      </w:r>
      <w:r w:rsidRPr="00EC0362">
        <w:rPr>
          <w:rFonts w:eastAsia="Times New Roman"/>
          <w:bCs/>
          <w:szCs w:val="22"/>
        </w:rPr>
        <w:lastRenderedPageBreak/>
        <w:t>recommended that precision tests be undertaken on a yearly basis and whenever there is a change in the fuel source or a significant change in the qualit</w:t>
      </w:r>
      <w:r>
        <w:rPr>
          <w:rFonts w:eastAsia="Times New Roman"/>
          <w:bCs/>
          <w:szCs w:val="22"/>
        </w:rPr>
        <w:t>ative</w:t>
      </w:r>
      <w:r w:rsidRPr="00EC0362">
        <w:rPr>
          <w:rFonts w:eastAsia="Times New Roman"/>
          <w:bCs/>
          <w:szCs w:val="22"/>
        </w:rPr>
        <w:t xml:space="preserve"> characteristics of a particular fuel.</w:t>
      </w:r>
    </w:p>
    <w:p w14:paraId="38ECFDD2" w14:textId="77777777" w:rsidR="001C3815" w:rsidRPr="00EC0362" w:rsidRDefault="001C3815" w:rsidP="001C3815">
      <w:pPr>
        <w:pStyle w:val="CERbullets"/>
        <w:rPr>
          <w:rFonts w:eastAsia="Times New Roman"/>
          <w:bCs/>
          <w:szCs w:val="22"/>
        </w:rPr>
      </w:pPr>
      <w:r w:rsidRPr="00EC0362">
        <w:rPr>
          <w:rFonts w:eastAsia="Times New Roman"/>
          <w:bCs/>
          <w:szCs w:val="22"/>
        </w:rPr>
        <w:t>If several sources of fuels are being sampled through a given plant, sampling conditions and sample precision checks should be carried out on the source that exhibits the highest degree of heterogeneity.</w:t>
      </w:r>
    </w:p>
    <w:p w14:paraId="76D23881" w14:textId="77777777" w:rsidR="001C3815" w:rsidRPr="00EC0362" w:rsidRDefault="001C3815" w:rsidP="001C3815">
      <w:pPr>
        <w:pStyle w:val="CERbullets"/>
        <w:rPr>
          <w:rFonts w:eastAsia="Times New Roman"/>
          <w:bCs/>
          <w:szCs w:val="22"/>
        </w:rPr>
      </w:pPr>
      <w:r w:rsidRPr="00EC0362">
        <w:rPr>
          <w:rFonts w:eastAsia="Times New Roman"/>
          <w:bCs/>
          <w:szCs w:val="22"/>
        </w:rPr>
        <w:t xml:space="preserve">Bias can be defined as the tendency to obtain a value that is either consistently higher or consistently lower than the reference value; in practice this is the difference between the reference value and the average result obtained from </w:t>
      </w:r>
      <w:r>
        <w:rPr>
          <w:rFonts w:eastAsia="Times New Roman"/>
          <w:bCs/>
          <w:szCs w:val="22"/>
        </w:rPr>
        <w:t>many</w:t>
      </w:r>
      <w:r w:rsidRPr="00EC0362">
        <w:rPr>
          <w:rFonts w:eastAsia="Times New Roman"/>
          <w:bCs/>
          <w:szCs w:val="22"/>
        </w:rPr>
        <w:t xml:space="preserve"> determinations. The recommended procedure for the estimation of bias in a coal sampling system is given in AS 4264.4. In the case of bias testing of mechanical samplers, the reference samples are usually stopped belt samples off a conveyor belt. For the purposes of verification of a coal sampling system, the coal samples taken for bias testing (pairs consisting of a reference sample and a sample taken by the coal sampler) should be analysed for total moisture and ash.</w:t>
      </w:r>
    </w:p>
    <w:p w14:paraId="79CE972F" w14:textId="77777777" w:rsidR="001C3815" w:rsidRPr="00EC0362" w:rsidRDefault="001C3815" w:rsidP="001C3815">
      <w:pPr>
        <w:pStyle w:val="CERbullets"/>
        <w:rPr>
          <w:rFonts w:eastAsia="Times New Roman"/>
          <w:bCs/>
          <w:szCs w:val="22"/>
        </w:rPr>
      </w:pPr>
      <w:r w:rsidRPr="00EC0362">
        <w:rPr>
          <w:rFonts w:eastAsia="Times New Roman"/>
          <w:bCs/>
          <w:szCs w:val="22"/>
        </w:rPr>
        <w:t>Bias testing should always be carried out on a new sampling system. For an existing system, the following verification procedure may be followed if there is some doubt about the conformance of the sampling system:</w:t>
      </w:r>
    </w:p>
    <w:p w14:paraId="058ADCB1" w14:textId="77777777" w:rsidR="001C3815" w:rsidRPr="004B2A32" w:rsidRDefault="001C3815" w:rsidP="001C3815">
      <w:pPr>
        <w:pStyle w:val="CERnumbering"/>
        <w:numPr>
          <w:ilvl w:val="0"/>
          <w:numId w:val="58"/>
        </w:numPr>
        <w:rPr>
          <w:lang w:val="en-AU"/>
        </w:rPr>
      </w:pPr>
      <w:r w:rsidRPr="004B2A32">
        <w:rPr>
          <w:lang w:val="en-AU"/>
        </w:rPr>
        <w:t>conduct a detailed technical audit of the sampling system</w:t>
      </w:r>
    </w:p>
    <w:p w14:paraId="3B411418" w14:textId="77777777" w:rsidR="001C3815" w:rsidRDefault="001C3815" w:rsidP="001C3815">
      <w:pPr>
        <w:pStyle w:val="CERnumbering"/>
        <w:numPr>
          <w:ilvl w:val="0"/>
          <w:numId w:val="30"/>
        </w:numPr>
        <w:rPr>
          <w:lang w:val="en-AU"/>
        </w:rPr>
      </w:pPr>
      <w:r w:rsidRPr="00EC0362">
        <w:rPr>
          <w:lang w:val="en-AU"/>
        </w:rPr>
        <w:t>correct any non-conformances that have been observed</w:t>
      </w:r>
    </w:p>
    <w:p w14:paraId="4AACB37C" w14:textId="77777777" w:rsidR="001C3815" w:rsidRPr="00EC0362" w:rsidRDefault="001C3815" w:rsidP="001C3815">
      <w:pPr>
        <w:pStyle w:val="CERnumbering"/>
        <w:numPr>
          <w:ilvl w:val="0"/>
          <w:numId w:val="30"/>
        </w:numPr>
        <w:rPr>
          <w:lang w:val="en-AU"/>
        </w:rPr>
      </w:pPr>
      <w:r w:rsidRPr="00EC0362">
        <w:rPr>
          <w:lang w:val="en-AU"/>
        </w:rPr>
        <w:t>conduct a limited bias test on the system, usually with the coal that exhibits the widest stochastic variability in total moisture or ash, to provide a more quantitative verification that the sampling system is performing correctly.</w:t>
      </w:r>
    </w:p>
    <w:p w14:paraId="5E6E82EC" w14:textId="5A5FA7CE" w:rsidR="001C3815" w:rsidRDefault="001C3815" w:rsidP="001C3815">
      <w:pPr>
        <w:pStyle w:val="CERbullets"/>
        <w:rPr>
          <w:rFonts w:eastAsia="Times New Roman"/>
          <w:bCs/>
          <w:szCs w:val="22"/>
        </w:rPr>
      </w:pPr>
      <w:r w:rsidRPr="00EC0362">
        <w:rPr>
          <w:rFonts w:eastAsia="Times New Roman"/>
          <w:bCs/>
          <w:szCs w:val="22"/>
        </w:rPr>
        <w:t xml:space="preserve">Analysis of the fuels for carbon, energy, ash or moisture content must be done in accordance with </w:t>
      </w:r>
      <w:r>
        <w:rPr>
          <w:rFonts w:eastAsia="Times New Roman"/>
          <w:bCs/>
          <w:szCs w:val="22"/>
        </w:rPr>
        <w:t xml:space="preserve">section 2.8 of the NGER Measurement Determination, in accordance with the </w:t>
      </w:r>
      <w:r w:rsidRPr="00EC0362">
        <w:rPr>
          <w:rFonts w:eastAsia="Times New Roman"/>
          <w:bCs/>
          <w:szCs w:val="22"/>
        </w:rPr>
        <w:t xml:space="preserve">listed Australian or international documentary standards </w:t>
      </w:r>
      <w:r>
        <w:rPr>
          <w:rFonts w:eastAsia="Times New Roman"/>
          <w:bCs/>
          <w:szCs w:val="22"/>
        </w:rPr>
        <w:t xml:space="preserve">and by a laboratory that meets the requirements equivalent to those in </w:t>
      </w:r>
      <w:r>
        <w:rPr>
          <w:szCs w:val="22"/>
        </w:rPr>
        <w:t>AS ISO/IEC 17025:2005. Alternatively, the analysis may be undertaken</w:t>
      </w:r>
      <w:r w:rsidRPr="00EC0362">
        <w:rPr>
          <w:rFonts w:eastAsia="Times New Roman"/>
          <w:bCs/>
          <w:szCs w:val="22"/>
        </w:rPr>
        <w:t xml:space="preserve"> by an online analyser in accordance with </w:t>
      </w:r>
      <w:r w:rsidR="007A0A14">
        <w:rPr>
          <w:rFonts w:eastAsia="Times New Roman"/>
          <w:bCs/>
          <w:szCs w:val="22"/>
        </w:rPr>
        <w:t>sub</w:t>
      </w:r>
      <w:r w:rsidRPr="00EC0362">
        <w:rPr>
          <w:rFonts w:eastAsia="Times New Roman"/>
          <w:bCs/>
          <w:szCs w:val="22"/>
        </w:rPr>
        <w:t>section 2.8(3)</w:t>
      </w:r>
      <w:r>
        <w:rPr>
          <w:rFonts w:eastAsia="Times New Roman"/>
          <w:bCs/>
          <w:szCs w:val="22"/>
        </w:rPr>
        <w:t xml:space="preserve"> of the NGER </w:t>
      </w:r>
      <w:r>
        <w:rPr>
          <w:rFonts w:ascii="Calibri" w:hAnsi="Calibri" w:cs="Calibri"/>
          <w:szCs w:val="22"/>
          <w:lang w:eastAsia="en-AU"/>
        </w:rPr>
        <w:t>Measurement Determination</w:t>
      </w:r>
      <w:r w:rsidRPr="00EC0362">
        <w:rPr>
          <w:rFonts w:eastAsia="Times New Roman"/>
          <w:bCs/>
          <w:szCs w:val="22"/>
        </w:rPr>
        <w:t xml:space="preserve">. The listing of applicable standards for the analysis of solid fuels is </w:t>
      </w:r>
      <w:r>
        <w:rPr>
          <w:rFonts w:eastAsia="Times New Roman"/>
          <w:bCs/>
          <w:szCs w:val="22"/>
        </w:rPr>
        <w:t>in Schedule 2 of the NGER Measurement Determination</w:t>
      </w:r>
      <w:r w:rsidRPr="00EC0362">
        <w:rPr>
          <w:rFonts w:eastAsia="Times New Roman"/>
          <w:bCs/>
          <w:szCs w:val="22"/>
        </w:rPr>
        <w:t>.</w:t>
      </w:r>
      <w:r>
        <w:rPr>
          <w:rFonts w:eastAsia="Times New Roman"/>
          <w:bCs/>
          <w:szCs w:val="22"/>
        </w:rPr>
        <w:t xml:space="preserve"> </w:t>
      </w:r>
    </w:p>
    <w:p w14:paraId="50A180A2" w14:textId="77777777" w:rsidR="001C3815" w:rsidRPr="00EC0362" w:rsidRDefault="001C3815" w:rsidP="001C3815">
      <w:pPr>
        <w:pStyle w:val="CERbullets"/>
        <w:rPr>
          <w:rFonts w:eastAsia="Times New Roman"/>
          <w:szCs w:val="22"/>
          <w:lang w:eastAsia="en-AU"/>
        </w:rPr>
      </w:pPr>
      <w:r>
        <w:t xml:space="preserve">For higher ranked coal (bituminous coal, sub-bituminous coal, anthracite, coking coal and coal coke), the standard of analysis defines that an ultimate analysis must be used to determine carbon, moisture and ash content of the fuel which can then be used to determine the emission factor of that solid fuel – the standards for each fuel type are listed in Schedule 2 of the NGER Measurement Determination.  </w:t>
      </w:r>
      <w:r w:rsidRPr="00EC0362">
        <w:rPr>
          <w:rFonts w:eastAsia="Times New Roman"/>
          <w:bCs/>
          <w:szCs w:val="22"/>
        </w:rPr>
        <w:t xml:space="preserve">  Equivalent standards to those listed </w:t>
      </w:r>
      <w:r>
        <w:rPr>
          <w:rFonts w:eastAsia="Times New Roman"/>
          <w:bCs/>
          <w:szCs w:val="22"/>
        </w:rPr>
        <w:t xml:space="preserve">in Schedule 2 </w:t>
      </w:r>
      <w:r w:rsidRPr="00EC0362">
        <w:rPr>
          <w:rFonts w:eastAsia="Times New Roman"/>
          <w:bCs/>
          <w:szCs w:val="22"/>
        </w:rPr>
        <w:t xml:space="preserve">may also be used. Examples of equivalent standards include those produced by AS, </w:t>
      </w:r>
      <w:r>
        <w:t>New Zealand (NZ), American Society for Testing Materials (ASTM), International Organization for Standardization (ISO) and E</w:t>
      </w:r>
      <w:r w:rsidRPr="0002380B">
        <w:t>uropean Committee for Standardization</w:t>
      </w:r>
      <w:r>
        <w:t xml:space="preserve"> (CEN) </w:t>
      </w:r>
      <w:r w:rsidRPr="00EC0362">
        <w:rPr>
          <w:rFonts w:eastAsia="Times New Roman"/>
          <w:bCs/>
          <w:szCs w:val="22"/>
        </w:rPr>
        <w:t xml:space="preserve">standards organisations. The standards must be in force on the date stated in </w:t>
      </w:r>
      <w:r>
        <w:rPr>
          <w:rFonts w:eastAsia="Times New Roman"/>
          <w:bCs/>
          <w:szCs w:val="22"/>
        </w:rPr>
        <w:t>sub</w:t>
      </w:r>
      <w:r w:rsidRPr="00EC0362">
        <w:rPr>
          <w:rFonts w:eastAsia="Times New Roman"/>
          <w:bCs/>
          <w:szCs w:val="22"/>
        </w:rPr>
        <w:t>section 1.9</w:t>
      </w:r>
      <w:r>
        <w:rPr>
          <w:rFonts w:eastAsia="Times New Roman"/>
          <w:bCs/>
          <w:szCs w:val="22"/>
        </w:rPr>
        <w:t>(4)</w:t>
      </w:r>
      <w:r w:rsidRPr="00EC0362">
        <w:rPr>
          <w:rFonts w:eastAsia="Times New Roman"/>
          <w:bCs/>
          <w:szCs w:val="22"/>
        </w:rPr>
        <w:t>. A</w:t>
      </w:r>
      <w:r>
        <w:rPr>
          <w:rFonts w:eastAsia="Times New Roman"/>
          <w:bCs/>
          <w:szCs w:val="22"/>
        </w:rPr>
        <w:t>n</w:t>
      </w:r>
      <w:r w:rsidRPr="00EC0362">
        <w:rPr>
          <w:rFonts w:eastAsia="Times New Roman"/>
          <w:bCs/>
          <w:szCs w:val="22"/>
        </w:rPr>
        <w:t xml:space="preserve"> </w:t>
      </w:r>
      <w:r w:rsidRPr="006D32BD">
        <w:t xml:space="preserve">accredited laboratory </w:t>
      </w:r>
      <w:r>
        <w:t>(as defined in section 1.8 of the NGER Measurement Determination)</w:t>
      </w:r>
      <w:r w:rsidRPr="00EC0362" w:rsidDel="00536448">
        <w:rPr>
          <w:rFonts w:eastAsia="Times New Roman"/>
          <w:bCs/>
          <w:szCs w:val="22"/>
        </w:rPr>
        <w:t xml:space="preserve"> </w:t>
      </w:r>
      <w:r w:rsidRPr="00EC0362">
        <w:rPr>
          <w:rFonts w:eastAsia="Times New Roman"/>
          <w:bCs/>
          <w:szCs w:val="22"/>
        </w:rPr>
        <w:t>or similar laboratory complying with</w:t>
      </w:r>
      <w:r>
        <w:rPr>
          <w:rFonts w:eastAsia="Times New Roman"/>
          <w:bCs/>
          <w:szCs w:val="22"/>
        </w:rPr>
        <w:t xml:space="preserve"> the requirements of</w:t>
      </w:r>
      <w:r w:rsidRPr="00EC0362">
        <w:rPr>
          <w:rFonts w:eastAsia="Times New Roman"/>
          <w:bCs/>
          <w:szCs w:val="22"/>
        </w:rPr>
        <w:t xml:space="preserve"> </w:t>
      </w:r>
      <w:r>
        <w:rPr>
          <w:rFonts w:eastAsia="Times New Roman"/>
          <w:bCs/>
          <w:szCs w:val="22"/>
        </w:rPr>
        <w:t xml:space="preserve">AS </w:t>
      </w:r>
      <w:r w:rsidRPr="00EC0362">
        <w:rPr>
          <w:rFonts w:eastAsia="Times New Roman"/>
          <w:bCs/>
          <w:szCs w:val="22"/>
        </w:rPr>
        <w:t>ISO</w:t>
      </w:r>
      <w:r>
        <w:rPr>
          <w:rFonts w:eastAsia="Times New Roman"/>
          <w:bCs/>
          <w:szCs w:val="22"/>
        </w:rPr>
        <w:t>/IEC</w:t>
      </w:r>
      <w:r w:rsidRPr="00EC0362">
        <w:rPr>
          <w:rFonts w:eastAsia="Times New Roman"/>
          <w:bCs/>
          <w:szCs w:val="22"/>
        </w:rPr>
        <w:t xml:space="preserve"> 17025</w:t>
      </w:r>
      <w:r>
        <w:rPr>
          <w:rFonts w:eastAsia="Times New Roman"/>
          <w:bCs/>
          <w:szCs w:val="22"/>
        </w:rPr>
        <w:t>:2005</w:t>
      </w:r>
      <w:r w:rsidRPr="00EC0362">
        <w:rPr>
          <w:rFonts w:eastAsia="Times New Roman"/>
          <w:bCs/>
          <w:szCs w:val="22"/>
        </w:rPr>
        <w:t xml:space="preserve"> </w:t>
      </w:r>
      <w:r>
        <w:rPr>
          <w:rFonts w:eastAsia="Times New Roman"/>
          <w:bCs/>
          <w:szCs w:val="22"/>
        </w:rPr>
        <w:t>must</w:t>
      </w:r>
      <w:r w:rsidRPr="00EC0362">
        <w:rPr>
          <w:rFonts w:eastAsia="Times New Roman"/>
          <w:bCs/>
          <w:szCs w:val="22"/>
        </w:rPr>
        <w:t xml:space="preserve"> be used to conduct the analysis.  </w:t>
      </w:r>
    </w:p>
    <w:p w14:paraId="5ED0AC14" w14:textId="4538ACE7" w:rsidR="001C3815" w:rsidRDefault="001C3815" w:rsidP="00C06A90">
      <w:pPr>
        <w:pStyle w:val="Heading4"/>
        <w:numPr>
          <w:ilvl w:val="3"/>
          <w:numId w:val="49"/>
        </w:numPr>
      </w:pPr>
      <w:bookmarkStart w:id="88" w:name="_Toc76565697"/>
      <w:bookmarkStart w:id="89" w:name="_Toc235613565"/>
      <w:r w:rsidRPr="00FA0550">
        <w:t>Requirements for analysis of furnace ash and fly ash</w:t>
      </w:r>
      <w:bookmarkEnd w:id="88"/>
      <w:bookmarkEnd w:id="89"/>
    </w:p>
    <w:p w14:paraId="06666452" w14:textId="69E4C9A2" w:rsidR="001C3815" w:rsidRPr="00EC0362" w:rsidRDefault="001C3815" w:rsidP="001C3815">
      <w:pPr>
        <w:pStyle w:val="CERbullets"/>
        <w:rPr>
          <w:rFonts w:eastAsia="Times New Roman"/>
        </w:rPr>
      </w:pPr>
      <w:r w:rsidRPr="4AB9D180">
        <w:rPr>
          <w:rFonts w:eastAsia="Times New Roman"/>
        </w:rPr>
        <w:t xml:space="preserve">Sampling of furnace and fly ash is needed if Method 2 in sub-division 2.2.3.2 of the NGER Measurement Determination is used (using an estimated oxidation factor) rather than </w:t>
      </w:r>
      <w:r w:rsidR="25D180A2" w:rsidRPr="4AB9D180">
        <w:rPr>
          <w:rFonts w:eastAsia="Times New Roman"/>
        </w:rPr>
        <w:t>M</w:t>
      </w:r>
      <w:r w:rsidRPr="4AB9D180">
        <w:rPr>
          <w:rFonts w:eastAsia="Times New Roman"/>
        </w:rPr>
        <w:t xml:space="preserve">ethod 2 in sub-division 2.2.3.1 (using oxidation factor). </w:t>
      </w:r>
    </w:p>
    <w:p w14:paraId="2123443B" w14:textId="77777777" w:rsidR="001C3815" w:rsidRPr="00EC0362" w:rsidRDefault="001C3815" w:rsidP="001C3815">
      <w:pPr>
        <w:pStyle w:val="CERbullets"/>
        <w:rPr>
          <w:rFonts w:eastAsia="Times New Roman"/>
          <w:bCs/>
          <w:szCs w:val="22"/>
        </w:rPr>
      </w:pPr>
      <w:r w:rsidRPr="00EC0362">
        <w:rPr>
          <w:rFonts w:eastAsia="Times New Roman"/>
          <w:bCs/>
          <w:szCs w:val="22"/>
        </w:rPr>
        <w:t xml:space="preserve">It is recognised that the configuration of plant varies and </w:t>
      </w:r>
      <w:r>
        <w:rPr>
          <w:rFonts w:eastAsia="Times New Roman"/>
          <w:bCs/>
          <w:szCs w:val="22"/>
        </w:rPr>
        <w:t>sampling</w:t>
      </w:r>
      <w:r w:rsidRPr="00EC0362">
        <w:rPr>
          <w:rFonts w:eastAsia="Times New Roman"/>
          <w:bCs/>
          <w:szCs w:val="22"/>
        </w:rPr>
        <w:t xml:space="preserve"> of carbon in ash </w:t>
      </w:r>
      <w:r>
        <w:rPr>
          <w:rFonts w:eastAsia="Times New Roman"/>
          <w:bCs/>
          <w:szCs w:val="22"/>
        </w:rPr>
        <w:t>must</w:t>
      </w:r>
      <w:r w:rsidRPr="00EC0362">
        <w:rPr>
          <w:rFonts w:eastAsia="Times New Roman"/>
          <w:bCs/>
          <w:szCs w:val="22"/>
        </w:rPr>
        <w:t xml:space="preserve"> be based on representative operating conditions for the plant.</w:t>
      </w:r>
    </w:p>
    <w:p w14:paraId="60FD45E0" w14:textId="77777777" w:rsidR="001C3815" w:rsidRPr="00EC0362" w:rsidRDefault="001C3815" w:rsidP="001C3815">
      <w:pPr>
        <w:pStyle w:val="CERbullets"/>
        <w:rPr>
          <w:rFonts w:eastAsia="Times New Roman"/>
          <w:bCs/>
          <w:szCs w:val="22"/>
        </w:rPr>
      </w:pPr>
      <w:r w:rsidRPr="00EC0362">
        <w:rPr>
          <w:rFonts w:eastAsia="Times New Roman"/>
          <w:bCs/>
          <w:szCs w:val="22"/>
        </w:rPr>
        <w:t xml:space="preserve">Furnace ash includes ash collected at the bottom of the furnace hopper of the coal unit and ash collected within the economiser hopper at the rear pass of the coal fired power plant. There is no </w:t>
      </w:r>
      <w:r w:rsidRPr="00EC0362">
        <w:rPr>
          <w:rFonts w:eastAsia="Times New Roman"/>
          <w:bCs/>
          <w:szCs w:val="22"/>
        </w:rPr>
        <w:lastRenderedPageBreak/>
        <w:t>standard procedure to collecting furnace ash or economiser hopper ash; however, in a wet extraction system, reasonable samples may be obtained by using sampling ladles to collect material from sluiceways. In a dry extraction system, good representative samples can be obtained directly from the convey</w:t>
      </w:r>
      <w:r>
        <w:rPr>
          <w:rFonts w:eastAsia="Times New Roman"/>
          <w:bCs/>
          <w:szCs w:val="22"/>
        </w:rPr>
        <w:t>o</w:t>
      </w:r>
      <w:r w:rsidRPr="00EC0362">
        <w:rPr>
          <w:rFonts w:eastAsia="Times New Roman"/>
          <w:bCs/>
          <w:szCs w:val="22"/>
        </w:rPr>
        <w:t xml:space="preserve">r. </w:t>
      </w:r>
      <w:r>
        <w:rPr>
          <w:rFonts w:eastAsia="Times New Roman"/>
          <w:bCs/>
          <w:szCs w:val="22"/>
        </w:rPr>
        <w:t>C</w:t>
      </w:r>
      <w:r w:rsidRPr="00EC0362">
        <w:rPr>
          <w:rFonts w:eastAsia="Times New Roman"/>
          <w:bCs/>
          <w:szCs w:val="22"/>
        </w:rPr>
        <w:t>are should be taken in attempting to obtain samples of furnace ash because of the inherent dangers associated with such operations. The</w:t>
      </w:r>
      <w:r>
        <w:rPr>
          <w:rFonts w:eastAsia="Times New Roman"/>
          <w:bCs/>
          <w:szCs w:val="22"/>
        </w:rPr>
        <w:t xml:space="preserve"> NGER</w:t>
      </w:r>
      <w:r w:rsidRPr="00EC0362">
        <w:rPr>
          <w:rFonts w:eastAsia="Times New Roman"/>
          <w:bCs/>
          <w:szCs w:val="22"/>
        </w:rPr>
        <w:t xml:space="preserve"> </w:t>
      </w:r>
      <w:r>
        <w:rPr>
          <w:rFonts w:ascii="Calibri" w:hAnsi="Calibri" w:cs="Calibri"/>
          <w:szCs w:val="22"/>
          <w:lang w:eastAsia="en-AU"/>
        </w:rPr>
        <w:t>Measurement Determination</w:t>
      </w:r>
      <w:r w:rsidRPr="00EC0362">
        <w:rPr>
          <w:rFonts w:eastAsia="Times New Roman"/>
          <w:bCs/>
          <w:szCs w:val="22"/>
        </w:rPr>
        <w:t xml:space="preserve"> allows for alternative collection methods to be used to obtain samples where it is not feasible due to safety and operational considerations</w:t>
      </w:r>
      <w:r>
        <w:rPr>
          <w:rFonts w:eastAsia="Times New Roman"/>
          <w:bCs/>
          <w:szCs w:val="22"/>
        </w:rPr>
        <w:t>, if it provides representative ash sampling.</w:t>
      </w:r>
    </w:p>
    <w:p w14:paraId="6F6E9649" w14:textId="77777777" w:rsidR="001C3815" w:rsidRPr="00EC0362" w:rsidRDefault="001C3815" w:rsidP="001C3815">
      <w:pPr>
        <w:pStyle w:val="CERbullets"/>
        <w:rPr>
          <w:rFonts w:eastAsia="Times New Roman"/>
          <w:bCs/>
          <w:szCs w:val="22"/>
        </w:rPr>
      </w:pPr>
      <w:r>
        <w:rPr>
          <w:rFonts w:eastAsia="Times New Roman"/>
          <w:bCs/>
          <w:szCs w:val="22"/>
        </w:rPr>
        <w:t>Section 2.11 of the NGER Measurement Determination</w:t>
      </w:r>
      <w:r w:rsidRPr="00EC0362">
        <w:rPr>
          <w:rFonts w:eastAsia="Times New Roman"/>
          <w:bCs/>
          <w:szCs w:val="22"/>
        </w:rPr>
        <w:t xml:space="preserve"> sets out the </w:t>
      </w:r>
      <w:r>
        <w:rPr>
          <w:rFonts w:eastAsia="Times New Roman"/>
          <w:bCs/>
          <w:szCs w:val="22"/>
        </w:rPr>
        <w:t xml:space="preserve">procedures and </w:t>
      </w:r>
      <w:r w:rsidRPr="00EC0362">
        <w:rPr>
          <w:rFonts w:eastAsia="Times New Roman"/>
          <w:bCs/>
          <w:szCs w:val="22"/>
        </w:rPr>
        <w:t>minimum frequenc</w:t>
      </w:r>
      <w:r>
        <w:rPr>
          <w:rFonts w:eastAsia="Times New Roman"/>
          <w:bCs/>
          <w:szCs w:val="22"/>
        </w:rPr>
        <w:t>ies</w:t>
      </w:r>
      <w:r w:rsidRPr="00EC0362">
        <w:rPr>
          <w:rFonts w:eastAsia="Times New Roman"/>
          <w:bCs/>
          <w:szCs w:val="22"/>
        </w:rPr>
        <w:t xml:space="preserve"> for sampling for carbon in fly ash. It is acknowledged that some facilities sample on a more regular basis and these more frequent measurements should be incorporated into a facility</w:t>
      </w:r>
      <w:r>
        <w:rPr>
          <w:rFonts w:eastAsia="Times New Roman"/>
          <w:bCs/>
          <w:szCs w:val="22"/>
        </w:rPr>
        <w:t>’s</w:t>
      </w:r>
      <w:r w:rsidRPr="00EC0362">
        <w:rPr>
          <w:rFonts w:eastAsia="Times New Roman"/>
          <w:bCs/>
          <w:szCs w:val="22"/>
        </w:rPr>
        <w:t xml:space="preserve"> estimates. </w:t>
      </w:r>
    </w:p>
    <w:p w14:paraId="00886EA7" w14:textId="77777777" w:rsidR="001C3815" w:rsidRPr="00EC0362" w:rsidRDefault="001C3815" w:rsidP="001C3815">
      <w:pPr>
        <w:pStyle w:val="CERbullets"/>
        <w:rPr>
          <w:rFonts w:eastAsia="Times New Roman"/>
          <w:bCs/>
          <w:szCs w:val="22"/>
        </w:rPr>
      </w:pPr>
      <w:r w:rsidRPr="00EC0362">
        <w:rPr>
          <w:rFonts w:eastAsia="Times New Roman"/>
          <w:bCs/>
          <w:szCs w:val="22"/>
        </w:rPr>
        <w:t xml:space="preserve">Additional sampling should be undertaken for furnace and fly ash after a significant change in operating conditions as the amount and type of ash produced can vary significantly </w:t>
      </w:r>
      <w:proofErr w:type="gramStart"/>
      <w:r w:rsidRPr="00EC0362">
        <w:rPr>
          <w:rFonts w:eastAsia="Times New Roman"/>
          <w:bCs/>
          <w:szCs w:val="22"/>
        </w:rPr>
        <w:t>as a result of</w:t>
      </w:r>
      <w:proofErr w:type="gramEnd"/>
      <w:r w:rsidRPr="00EC0362">
        <w:rPr>
          <w:rFonts w:eastAsia="Times New Roman"/>
          <w:bCs/>
          <w:szCs w:val="22"/>
        </w:rPr>
        <w:t xml:space="preserve"> the change.</w:t>
      </w:r>
      <w:r>
        <w:rPr>
          <w:rFonts w:eastAsia="Times New Roman"/>
          <w:bCs/>
          <w:szCs w:val="22"/>
        </w:rPr>
        <w:t xml:space="preserve"> Sampling after significant changes in operating changes is required under section 2.11 of the NGER Measurement Determination.</w:t>
      </w:r>
    </w:p>
    <w:p w14:paraId="0D09A129" w14:textId="0690A9C6" w:rsidR="001C3815" w:rsidRPr="00EC0362" w:rsidRDefault="001C3815" w:rsidP="001C3815">
      <w:pPr>
        <w:pStyle w:val="CERbullets"/>
        <w:rPr>
          <w:rFonts w:eastAsia="Times New Roman"/>
        </w:rPr>
      </w:pPr>
      <w:r w:rsidRPr="3961F64E">
        <w:rPr>
          <w:rFonts w:eastAsia="Times New Roman"/>
        </w:rPr>
        <w:t>For facilities where load profiles vary significantly throughout the operation of the facility</w:t>
      </w:r>
      <w:r w:rsidR="2A6EA6DB" w:rsidRPr="3961F64E">
        <w:rPr>
          <w:rFonts w:eastAsia="Times New Roman"/>
        </w:rPr>
        <w:t>,</w:t>
      </w:r>
      <w:r w:rsidRPr="3961F64E">
        <w:rPr>
          <w:rFonts w:eastAsia="Times New Roman"/>
        </w:rPr>
        <w:t xml:space="preserve"> it is recommended that ash is sampled as a function of load.</w:t>
      </w:r>
    </w:p>
    <w:p w14:paraId="457866FB" w14:textId="7AC095B7" w:rsidR="001C3815" w:rsidRPr="00EC0362" w:rsidRDefault="001C3815" w:rsidP="001C3815">
      <w:pPr>
        <w:pStyle w:val="CERbullets"/>
        <w:rPr>
          <w:lang w:eastAsia="en-AU"/>
        </w:rPr>
      </w:pPr>
      <w:r w:rsidRPr="00EC0362">
        <w:rPr>
          <w:lang w:eastAsia="en-AU"/>
        </w:rPr>
        <w:t xml:space="preserve">For furnace ash and fly ash, analysis of the carbon content must be undertaken in accordance with </w:t>
      </w:r>
      <w:hyperlink r:id="rId38" w:tooltip="A link to the 1991 moisture content determination on the Standards Australia webpage" w:history="1">
        <w:r w:rsidRPr="008C3D58">
          <w:rPr>
            <w:rStyle w:val="Hyperlink"/>
            <w:rFonts w:asciiTheme="minorHAnsi" w:hAnsiTheme="minorHAnsi"/>
            <w:lang w:eastAsia="en-AU"/>
          </w:rPr>
          <w:t xml:space="preserve">AS 3583.2 – 1991 </w:t>
        </w:r>
        <w:r w:rsidRPr="00F149D6">
          <w:rPr>
            <w:rStyle w:val="Hyperlink"/>
            <w:rFonts w:asciiTheme="minorHAnsi" w:hAnsiTheme="minorHAnsi"/>
            <w:iCs/>
          </w:rPr>
          <w:t>Determination of moisture content</w:t>
        </w:r>
      </w:hyperlink>
      <w:r>
        <w:rPr>
          <w:rStyle w:val="FootnoteReference"/>
          <w:iCs/>
          <w:lang w:eastAsia="en-AU"/>
        </w:rPr>
        <w:footnoteReference w:id="19"/>
      </w:r>
      <w:r w:rsidRPr="00EC0362">
        <w:rPr>
          <w:i/>
          <w:lang w:eastAsia="en-AU"/>
        </w:rPr>
        <w:t xml:space="preserve"> </w:t>
      </w:r>
      <w:r w:rsidRPr="00EC0362">
        <w:rPr>
          <w:lang w:eastAsia="en-AU"/>
        </w:rPr>
        <w:t xml:space="preserve">and </w:t>
      </w:r>
      <w:hyperlink r:id="rId39" w:tooltip="A link to the 1991 determination of loss on ignition on the Standards Australia webpage" w:history="1">
        <w:r w:rsidRPr="008C3D58">
          <w:rPr>
            <w:rStyle w:val="Hyperlink"/>
            <w:rFonts w:asciiTheme="minorHAnsi" w:hAnsiTheme="minorHAnsi"/>
            <w:lang w:eastAsia="en-AU"/>
          </w:rPr>
          <w:t xml:space="preserve">AS 3583.3 – 1991 </w:t>
        </w:r>
        <w:r w:rsidRPr="00F149D6">
          <w:rPr>
            <w:rStyle w:val="Hyperlink"/>
            <w:rFonts w:asciiTheme="minorHAnsi" w:hAnsiTheme="minorHAnsi"/>
            <w:iCs/>
          </w:rPr>
          <w:t>Determination of loss on ignition</w:t>
        </w:r>
      </w:hyperlink>
      <w:r>
        <w:rPr>
          <w:rStyle w:val="FootnoteReference"/>
          <w:iCs/>
          <w:lang w:eastAsia="en-AU"/>
        </w:rPr>
        <w:footnoteReference w:id="20"/>
      </w:r>
      <w:r w:rsidRPr="00EC0362">
        <w:rPr>
          <w:i/>
          <w:lang w:eastAsia="en-AU"/>
        </w:rPr>
        <w:t xml:space="preserve"> </w:t>
      </w:r>
      <w:r w:rsidRPr="00EC0362">
        <w:rPr>
          <w:lang w:eastAsia="en-AU"/>
        </w:rPr>
        <w:t>or a standard that is equivalent to those standards.</w:t>
      </w:r>
    </w:p>
    <w:p w14:paraId="37137C4B" w14:textId="05A2A04B" w:rsidR="001C3815" w:rsidRPr="00EC0362" w:rsidRDefault="001C3815" w:rsidP="00C06A90">
      <w:pPr>
        <w:pStyle w:val="Heading3"/>
        <w:numPr>
          <w:ilvl w:val="2"/>
          <w:numId w:val="49"/>
        </w:numPr>
      </w:pPr>
      <w:bookmarkStart w:id="90" w:name="_Toc43983114"/>
      <w:bookmarkStart w:id="91" w:name="_Toc76565698"/>
      <w:bookmarkStart w:id="92" w:name="_Toc235613566"/>
      <w:r w:rsidRPr="00EC0362">
        <w:t>Method 3—Solid fuels</w:t>
      </w:r>
      <w:bookmarkEnd w:id="90"/>
      <w:bookmarkEnd w:id="91"/>
      <w:bookmarkEnd w:id="92"/>
    </w:p>
    <w:p w14:paraId="019427F6" w14:textId="17D27173" w:rsidR="001C3815" w:rsidRDefault="001C3815" w:rsidP="001C3815">
      <w:pPr>
        <w:pStyle w:val="CERbullets"/>
        <w:rPr>
          <w:rFonts w:eastAsia="Times New Roman"/>
        </w:rPr>
      </w:pPr>
      <w:r w:rsidRPr="40531069">
        <w:rPr>
          <w:rFonts w:eastAsia="Times New Roman"/>
        </w:rPr>
        <w:t xml:space="preserve">Method 3 is a variation on </w:t>
      </w:r>
      <w:r w:rsidR="63EA1D5F" w:rsidRPr="40531069">
        <w:rPr>
          <w:rFonts w:eastAsia="Times New Roman"/>
        </w:rPr>
        <w:t>M</w:t>
      </w:r>
      <w:r w:rsidRPr="40531069">
        <w:rPr>
          <w:rFonts w:eastAsia="Times New Roman"/>
        </w:rPr>
        <w:t xml:space="preserve">ethod 2. Method 3 is the same as </w:t>
      </w:r>
      <w:r w:rsidR="36BE000C" w:rsidRPr="40531069">
        <w:rPr>
          <w:rFonts w:eastAsia="Times New Roman"/>
        </w:rPr>
        <w:t>M</w:t>
      </w:r>
      <w:r w:rsidRPr="40531069">
        <w:rPr>
          <w:rFonts w:eastAsia="Times New Roman"/>
        </w:rPr>
        <w:t xml:space="preserve">ethod 2 (including whether using the oxidation factor under section 2.5 or an estimated oxidation factor under section 2.6), except that sampling of fuels must be conducted in accordance with the Australian or international standards listed in section 2.12 of the NGER Measurement Determination or by an equivalent standard.  </w:t>
      </w:r>
    </w:p>
    <w:p w14:paraId="2BCDAC42" w14:textId="28DA5922" w:rsidR="001C3815" w:rsidRPr="00865BEC" w:rsidRDefault="001C3815" w:rsidP="001C3815">
      <w:pPr>
        <w:pStyle w:val="CERbullets"/>
        <w:rPr>
          <w:rFonts w:eastAsia="Times New Roman"/>
        </w:rPr>
      </w:pPr>
      <w:r w:rsidRPr="40531069">
        <w:rPr>
          <w:rFonts w:eastAsia="Times New Roman"/>
        </w:rPr>
        <w:t xml:space="preserve">Once sampling of the fuel has been conducted in accordance with the standard, the analysis of the fuel for carbon, ash and moisture should be conducted as for </w:t>
      </w:r>
      <w:r w:rsidR="2D92F8BA" w:rsidRPr="40531069">
        <w:rPr>
          <w:rFonts w:eastAsia="Times New Roman"/>
        </w:rPr>
        <w:t>M</w:t>
      </w:r>
      <w:r w:rsidRPr="40531069">
        <w:rPr>
          <w:rFonts w:eastAsia="Times New Roman"/>
        </w:rPr>
        <w:t xml:space="preserve">ethod 2. Emissions may then be estimated in accordance with the same equations as set out in </w:t>
      </w:r>
      <w:r w:rsidR="009F1865">
        <w:rPr>
          <w:rFonts w:eastAsia="Times New Roman"/>
        </w:rPr>
        <w:t>sub</w:t>
      </w:r>
      <w:r w:rsidRPr="40531069">
        <w:rPr>
          <w:rFonts w:eastAsia="Times New Roman"/>
        </w:rPr>
        <w:t xml:space="preserve">sections 2.5(1) or 2.6(1) (depending on whether an oxidation factor under section 2.5 or an estimated oxidation factor under section 2.6 is used) of the NGER Measurement Determination.  </w:t>
      </w:r>
    </w:p>
    <w:p w14:paraId="0C563A0C" w14:textId="1047F07E" w:rsidR="001C3815" w:rsidRPr="007C053B" w:rsidRDefault="001C3815" w:rsidP="00C06A90">
      <w:pPr>
        <w:pStyle w:val="Heading2"/>
        <w:numPr>
          <w:ilvl w:val="1"/>
          <w:numId w:val="49"/>
        </w:numPr>
      </w:pPr>
      <w:bookmarkStart w:id="93" w:name="_Toc43983115"/>
      <w:bookmarkStart w:id="94" w:name="_Toc76565699"/>
      <w:bookmarkStart w:id="95" w:name="_Toc235613567"/>
      <w:bookmarkStart w:id="96" w:name="_Hlk43115866"/>
      <w:r w:rsidRPr="007C053B">
        <w:t>Emissions released from the combustion of gaseous fuels</w:t>
      </w:r>
      <w:bookmarkEnd w:id="93"/>
      <w:bookmarkEnd w:id="94"/>
      <w:bookmarkEnd w:id="95"/>
    </w:p>
    <w:p w14:paraId="62FD83B6" w14:textId="47267AA3" w:rsidR="001C3815" w:rsidRDefault="001C3815" w:rsidP="001C3815">
      <w:pPr>
        <w:pStyle w:val="CERbullets"/>
        <w:rPr>
          <w:rFonts w:eastAsia="Times New Roman"/>
          <w:bCs/>
          <w:szCs w:val="22"/>
        </w:rPr>
      </w:pPr>
      <w:bookmarkStart w:id="97" w:name="_Hlk43115913"/>
      <w:bookmarkEnd w:id="96"/>
      <w:r w:rsidRPr="006D729A">
        <w:rPr>
          <w:rFonts w:eastAsia="Times New Roman"/>
          <w:bCs/>
          <w:szCs w:val="22"/>
        </w:rPr>
        <w:t xml:space="preserve">Part 2.3 of the NGER Measurement Determination </w:t>
      </w:r>
      <w:r w:rsidRPr="007C053B">
        <w:rPr>
          <w:rFonts w:eastAsia="Times New Roman"/>
          <w:bCs/>
          <w:szCs w:val="22"/>
        </w:rPr>
        <w:t>applies to emissions released from the combustion of gaseous fuels in relation to a separate instance of a source if the amount of gaseous fuel combusted in relation to the separate instance of the source is more than 1</w:t>
      </w:r>
      <w:r>
        <w:rPr>
          <w:rFonts w:eastAsia="Times New Roman"/>
          <w:bCs/>
          <w:szCs w:val="22"/>
        </w:rPr>
        <w:t>,</w:t>
      </w:r>
      <w:r w:rsidRPr="007C053B">
        <w:rPr>
          <w:rFonts w:eastAsia="Times New Roman"/>
          <w:bCs/>
          <w:szCs w:val="22"/>
        </w:rPr>
        <w:t>000</w:t>
      </w:r>
      <w:r w:rsidR="00D235A5">
        <w:rPr>
          <w:rFonts w:eastAsia="Times New Roman"/>
          <w:bCs/>
          <w:szCs w:val="22"/>
        </w:rPr>
        <w:t> m</w:t>
      </w:r>
      <w:r w:rsidR="00D235A5">
        <w:rPr>
          <w:rFonts w:eastAsia="Times New Roman"/>
          <w:bCs/>
          <w:szCs w:val="22"/>
          <w:vertAlign w:val="superscript"/>
        </w:rPr>
        <w:t>3</w:t>
      </w:r>
      <w:r>
        <w:rPr>
          <w:rFonts w:eastAsia="Times New Roman"/>
          <w:bCs/>
          <w:szCs w:val="22"/>
        </w:rPr>
        <w:t xml:space="preserve">. </w:t>
      </w:r>
    </w:p>
    <w:p w14:paraId="32B2B8CB" w14:textId="2A3BAA70" w:rsidR="001C3815" w:rsidRDefault="001C3815" w:rsidP="001C3815">
      <w:pPr>
        <w:pStyle w:val="CERbullets"/>
        <w:rPr>
          <w:rFonts w:eastAsia="Times New Roman"/>
          <w:bCs/>
          <w:szCs w:val="22"/>
        </w:rPr>
      </w:pPr>
      <w:r>
        <w:rPr>
          <w:rFonts w:eastAsia="Times New Roman"/>
          <w:bCs/>
          <w:szCs w:val="22"/>
        </w:rPr>
        <w:t>R</w:t>
      </w:r>
      <w:r w:rsidRPr="007C053B">
        <w:rPr>
          <w:rFonts w:eastAsia="Times New Roman"/>
          <w:bCs/>
          <w:szCs w:val="22"/>
        </w:rPr>
        <w:t>eporting of emissions and energy associated with the combustion of a gaseous fuel is optional if the quantity of gaseous fuel combusted in a separate instance of a source is 1</w:t>
      </w:r>
      <w:r>
        <w:rPr>
          <w:rFonts w:eastAsia="Times New Roman"/>
          <w:bCs/>
          <w:szCs w:val="22"/>
        </w:rPr>
        <w:t>,</w:t>
      </w:r>
      <w:r w:rsidRPr="007C053B">
        <w:rPr>
          <w:rFonts w:eastAsia="Times New Roman"/>
          <w:bCs/>
          <w:szCs w:val="22"/>
        </w:rPr>
        <w:t>000</w:t>
      </w:r>
      <w:r w:rsidR="00D235A5">
        <w:rPr>
          <w:rFonts w:eastAsia="Times New Roman"/>
          <w:bCs/>
          <w:szCs w:val="22"/>
        </w:rPr>
        <w:t> m</w:t>
      </w:r>
      <w:r w:rsidR="00D235A5">
        <w:rPr>
          <w:rFonts w:eastAsia="Times New Roman"/>
          <w:bCs/>
          <w:szCs w:val="22"/>
          <w:vertAlign w:val="superscript"/>
        </w:rPr>
        <w:t>3</w:t>
      </w:r>
      <w:r w:rsidRPr="007C053B">
        <w:rPr>
          <w:rFonts w:eastAsia="Times New Roman"/>
          <w:bCs/>
          <w:szCs w:val="22"/>
        </w:rPr>
        <w:t xml:space="preserve"> or less. </w:t>
      </w:r>
    </w:p>
    <w:p w14:paraId="0D681379" w14:textId="77777777" w:rsidR="001C3815" w:rsidRDefault="001C3815" w:rsidP="001C3815">
      <w:pPr>
        <w:pStyle w:val="CERbullets"/>
        <w:rPr>
          <w:rFonts w:eastAsia="Times New Roman"/>
          <w:bCs/>
          <w:szCs w:val="22"/>
        </w:rPr>
      </w:pPr>
      <w:r w:rsidRPr="007C053B">
        <w:rPr>
          <w:rFonts w:eastAsia="Times New Roman"/>
          <w:bCs/>
          <w:szCs w:val="22"/>
        </w:rPr>
        <w:t>Separate instance of a source is defined in section 1.9A</w:t>
      </w:r>
      <w:r>
        <w:rPr>
          <w:rFonts w:eastAsia="Times New Roman"/>
          <w:bCs/>
          <w:szCs w:val="22"/>
        </w:rPr>
        <w:t xml:space="preserve"> of the NGER Measurement Determination</w:t>
      </w:r>
      <w:r w:rsidRPr="007C053B">
        <w:rPr>
          <w:rFonts w:eastAsia="Times New Roman"/>
          <w:bCs/>
          <w:szCs w:val="22"/>
        </w:rPr>
        <w:t>. Amounts below the reporting threshold may still be reported if doing so is more efficient for the reporter.</w:t>
      </w:r>
    </w:p>
    <w:p w14:paraId="70A499E0" w14:textId="31C90C4C" w:rsidR="00DF3ABE" w:rsidRDefault="00DF3ABE" w:rsidP="00873709">
      <w:pPr>
        <w:pStyle w:val="CERbullets"/>
        <w:numPr>
          <w:ilvl w:val="0"/>
          <w:numId w:val="0"/>
        </w:numPr>
      </w:pPr>
      <w:bookmarkStart w:id="98" w:name="_Hlk43472586"/>
      <w:bookmarkStart w:id="99" w:name="_Hlk43115899"/>
      <w:bookmarkEnd w:id="97"/>
      <w:r>
        <w:lastRenderedPageBreak/>
        <w:t xml:space="preserve">The list of gaseous fuels for which emissions must be calculated is given in Schedule 1 of the NGER Regulations. </w:t>
      </w:r>
      <w:r>
        <w:rPr>
          <w:rStyle w:val="ui-provider"/>
        </w:rPr>
        <w:t xml:space="preserve">See </w:t>
      </w:r>
      <w:hyperlink r:id="rId40" w:tooltip="A link to the 'Reporting blended fuels, other fuel mixes, bitument and explosives' guide on the Clean Energy Regulator webpage" w:history="1">
        <w:r w:rsidRPr="00095BA4">
          <w:rPr>
            <w:rStyle w:val="Hyperlink"/>
            <w:rFonts w:asciiTheme="minorHAnsi" w:hAnsiTheme="minorHAnsi"/>
          </w:rPr>
          <w:t>Reporting blended fuels, other fuel mixes, bitumen and explosives guideline</w:t>
        </w:r>
      </w:hyperlink>
      <w:r>
        <w:rPr>
          <w:rStyle w:val="FootnoteReference"/>
        </w:rPr>
        <w:footnoteReference w:id="21"/>
      </w:r>
      <w:r>
        <w:rPr>
          <w:rStyle w:val="ui-provider"/>
        </w:rPr>
        <w:t xml:space="preserve"> for more information on how to report emissions from the combustion of biomethane. </w:t>
      </w:r>
    </w:p>
    <w:p w14:paraId="6CBFC69F" w14:textId="77777777" w:rsidR="001C3815" w:rsidRPr="00F149D6" w:rsidRDefault="001C3815" w:rsidP="001C3815">
      <w:r w:rsidRPr="006D729A">
        <w:t xml:space="preserve">The methods available for reporting the combustion of </w:t>
      </w:r>
      <w:r>
        <w:t>gaseous</w:t>
      </w:r>
      <w:r w:rsidRPr="006D729A">
        <w:t xml:space="preserve"> fuels under </w:t>
      </w:r>
      <w:r>
        <w:t>p</w:t>
      </w:r>
      <w:r w:rsidRPr="006D729A">
        <w:t>art 2.</w:t>
      </w:r>
      <w:r>
        <w:t>3</w:t>
      </w:r>
      <w:r w:rsidRPr="006D729A">
        <w:t xml:space="preserve"> of the NGER Measurement Determination by gas are summarised in table </w:t>
      </w:r>
      <w:r>
        <w:t>3</w:t>
      </w:r>
      <w:r w:rsidRPr="006D729A">
        <w:t>.</w:t>
      </w:r>
    </w:p>
    <w:bookmarkEnd w:id="98"/>
    <w:p w14:paraId="1433AE69" w14:textId="22F70D97" w:rsidR="001C3815" w:rsidRPr="00A05815" w:rsidRDefault="001C3815" w:rsidP="001C3815">
      <w:pPr>
        <w:pStyle w:val="Caption"/>
      </w:pPr>
      <w:r w:rsidRPr="00A05815">
        <w:t xml:space="preserve">Table </w:t>
      </w:r>
      <w:fldSimple w:instr=" SEQ Table \* ARABIC ">
        <w:r w:rsidR="00185B26">
          <w:rPr>
            <w:noProof/>
          </w:rPr>
          <w:t>3</w:t>
        </w:r>
      </w:fldSimple>
      <w:r w:rsidRPr="00A05815">
        <w:t>: Summary of available methods, for estimating emissions from the combustion of gaseous fuel, by emissions of gas type (j)</w:t>
      </w:r>
      <w:r w:rsidR="003F4E6A">
        <w:t>.</w:t>
      </w:r>
    </w:p>
    <w:tbl>
      <w:tblPr>
        <w:tblStyle w:val="CERTable"/>
        <w:tblW w:w="5000" w:type="pct"/>
        <w:tblLook w:val="0620" w:firstRow="1" w:lastRow="0" w:firstColumn="0" w:lastColumn="0" w:noHBand="1" w:noVBand="1"/>
      </w:tblPr>
      <w:tblGrid>
        <w:gridCol w:w="2490"/>
        <w:gridCol w:w="2417"/>
        <w:gridCol w:w="2417"/>
        <w:gridCol w:w="2416"/>
      </w:tblGrid>
      <w:tr w:rsidR="001C3815" w:rsidRPr="00A05815" w14:paraId="5D9962D4" w14:textId="77777777" w:rsidTr="0002292A">
        <w:trPr>
          <w:cnfStyle w:val="100000000000" w:firstRow="1" w:lastRow="0" w:firstColumn="0" w:lastColumn="0" w:oddVBand="0" w:evenVBand="0" w:oddHBand="0" w:evenHBand="0" w:firstRowFirstColumn="0" w:firstRowLastColumn="0" w:lastRowFirstColumn="0" w:lastRowLastColumn="0"/>
          <w:tblHeader/>
        </w:trPr>
        <w:tc>
          <w:tcPr>
            <w:tcW w:w="0" w:type="pct"/>
          </w:tcPr>
          <w:p w14:paraId="1DB6B44F" w14:textId="77777777" w:rsidR="001C3815" w:rsidRPr="003E5D50" w:rsidRDefault="001C3815" w:rsidP="00793B33">
            <w:r w:rsidRPr="003E5D50">
              <w:t>Method</w:t>
            </w:r>
          </w:p>
        </w:tc>
        <w:tc>
          <w:tcPr>
            <w:tcW w:w="0" w:type="pct"/>
          </w:tcPr>
          <w:p w14:paraId="052FFD17" w14:textId="77777777" w:rsidR="001C3815" w:rsidRPr="00793B33" w:rsidRDefault="001C3815" w:rsidP="00793B33">
            <w:r w:rsidRPr="003E5D50">
              <w:t>CO</w:t>
            </w:r>
            <w:r w:rsidRPr="006F6AB8">
              <w:rPr>
                <w:vertAlign w:val="subscript"/>
              </w:rPr>
              <w:t>2</w:t>
            </w:r>
          </w:p>
        </w:tc>
        <w:tc>
          <w:tcPr>
            <w:tcW w:w="0" w:type="pct"/>
          </w:tcPr>
          <w:p w14:paraId="1D0D0C49" w14:textId="77777777" w:rsidR="001C3815" w:rsidRPr="00793B33" w:rsidRDefault="001C3815" w:rsidP="00793B33">
            <w:r w:rsidRPr="003E5D50">
              <w:t>CH</w:t>
            </w:r>
            <w:r w:rsidRPr="006F6AB8">
              <w:rPr>
                <w:vertAlign w:val="subscript"/>
              </w:rPr>
              <w:t>4</w:t>
            </w:r>
          </w:p>
        </w:tc>
        <w:tc>
          <w:tcPr>
            <w:tcW w:w="0" w:type="pct"/>
          </w:tcPr>
          <w:p w14:paraId="189D1773" w14:textId="77777777" w:rsidR="001C3815" w:rsidRPr="00793B33" w:rsidRDefault="001C3815" w:rsidP="00793B33">
            <w:r w:rsidRPr="003E5D50">
              <w:t>N</w:t>
            </w:r>
            <w:r w:rsidRPr="006F6AB8">
              <w:rPr>
                <w:vertAlign w:val="subscript"/>
              </w:rPr>
              <w:t>2</w:t>
            </w:r>
            <w:r w:rsidRPr="00793B33">
              <w:t>O</w:t>
            </w:r>
          </w:p>
        </w:tc>
      </w:tr>
      <w:tr w:rsidR="001C3815" w:rsidRPr="00A05815" w14:paraId="5301287E" w14:textId="77777777" w:rsidTr="005A2568">
        <w:tc>
          <w:tcPr>
            <w:tcW w:w="0" w:type="pct"/>
          </w:tcPr>
          <w:p w14:paraId="607146DD" w14:textId="77777777" w:rsidR="001C3815" w:rsidRPr="00793B33" w:rsidRDefault="001C3815" w:rsidP="00793B33">
            <w:r w:rsidRPr="003E5D50">
              <w:t>Method 1</w:t>
            </w:r>
          </w:p>
        </w:tc>
        <w:tc>
          <w:tcPr>
            <w:tcW w:w="0" w:type="pct"/>
          </w:tcPr>
          <w:p w14:paraId="74B8830B" w14:textId="77777777" w:rsidR="001C3815" w:rsidRPr="00793B33" w:rsidRDefault="001C3815" w:rsidP="00793B33">
            <w:r w:rsidRPr="003E5D50">
              <w:t xml:space="preserve">Section </w:t>
            </w:r>
            <w:r w:rsidRPr="00793B33">
              <w:t>2.20</w:t>
            </w:r>
          </w:p>
        </w:tc>
        <w:tc>
          <w:tcPr>
            <w:tcW w:w="0" w:type="pct"/>
          </w:tcPr>
          <w:p w14:paraId="65883960" w14:textId="77777777" w:rsidR="001C3815" w:rsidRPr="00793B33" w:rsidRDefault="001C3815" w:rsidP="00793B33">
            <w:r w:rsidRPr="003E5D50">
              <w:t>Section 2.20</w:t>
            </w:r>
          </w:p>
        </w:tc>
        <w:tc>
          <w:tcPr>
            <w:tcW w:w="0" w:type="pct"/>
          </w:tcPr>
          <w:p w14:paraId="360E05CC" w14:textId="77777777" w:rsidR="001C3815" w:rsidRPr="00793B33" w:rsidRDefault="001C3815" w:rsidP="00793B33">
            <w:r w:rsidRPr="003E5D50">
              <w:t>Section 2.20</w:t>
            </w:r>
          </w:p>
        </w:tc>
      </w:tr>
      <w:tr w:rsidR="001C3815" w:rsidRPr="00A05815" w14:paraId="09607C84" w14:textId="77777777" w:rsidTr="005A2568">
        <w:tc>
          <w:tcPr>
            <w:tcW w:w="0" w:type="pct"/>
          </w:tcPr>
          <w:p w14:paraId="6E7B4B41" w14:textId="77777777" w:rsidR="001C3815" w:rsidRPr="00793B33" w:rsidRDefault="001C3815" w:rsidP="00793B33">
            <w:r w:rsidRPr="003E5D50">
              <w:t>Method 2</w:t>
            </w:r>
          </w:p>
        </w:tc>
        <w:tc>
          <w:tcPr>
            <w:tcW w:w="0" w:type="pct"/>
          </w:tcPr>
          <w:p w14:paraId="0B02E285" w14:textId="77777777" w:rsidR="001C3815" w:rsidRPr="00793B33" w:rsidRDefault="001C3815" w:rsidP="00793B33">
            <w:r w:rsidRPr="003E5D50">
              <w:t>Section 2.21</w:t>
            </w:r>
          </w:p>
        </w:tc>
        <w:tc>
          <w:tcPr>
            <w:tcW w:w="0" w:type="pct"/>
          </w:tcPr>
          <w:p w14:paraId="08B8BCFF" w14:textId="77777777" w:rsidR="001C3815" w:rsidRPr="00793B33" w:rsidRDefault="001C3815" w:rsidP="00793B33">
            <w:r w:rsidRPr="003E5D50">
              <w:t>Section 2.27</w:t>
            </w:r>
          </w:p>
        </w:tc>
        <w:tc>
          <w:tcPr>
            <w:tcW w:w="0" w:type="pct"/>
          </w:tcPr>
          <w:p w14:paraId="32372A5A" w14:textId="77777777" w:rsidR="001C3815" w:rsidRPr="00793B33" w:rsidRDefault="001C3815" w:rsidP="00793B33">
            <w:r w:rsidRPr="003E5D50">
              <w:t>NA</w:t>
            </w:r>
          </w:p>
        </w:tc>
      </w:tr>
      <w:tr w:rsidR="001C3815" w:rsidRPr="00A05815" w14:paraId="2C8608D4" w14:textId="77777777" w:rsidTr="005A2568">
        <w:tc>
          <w:tcPr>
            <w:tcW w:w="0" w:type="pct"/>
          </w:tcPr>
          <w:p w14:paraId="559581CF" w14:textId="77777777" w:rsidR="001C3815" w:rsidRPr="00793B33" w:rsidRDefault="001C3815" w:rsidP="00793B33">
            <w:r w:rsidRPr="003E5D50">
              <w:t>Method 3</w:t>
            </w:r>
          </w:p>
        </w:tc>
        <w:tc>
          <w:tcPr>
            <w:tcW w:w="0" w:type="pct"/>
          </w:tcPr>
          <w:p w14:paraId="63A1C255" w14:textId="77777777" w:rsidR="001C3815" w:rsidRPr="00793B33" w:rsidRDefault="001C3815" w:rsidP="00793B33">
            <w:r w:rsidRPr="003E5D50">
              <w:t>Section 2.26</w:t>
            </w:r>
          </w:p>
        </w:tc>
        <w:tc>
          <w:tcPr>
            <w:tcW w:w="0" w:type="pct"/>
          </w:tcPr>
          <w:p w14:paraId="4FA91271" w14:textId="77777777" w:rsidR="001C3815" w:rsidRPr="00793B33" w:rsidRDefault="001C3815" w:rsidP="00793B33">
            <w:r w:rsidRPr="003E5D50">
              <w:t>NA</w:t>
            </w:r>
          </w:p>
        </w:tc>
        <w:tc>
          <w:tcPr>
            <w:tcW w:w="0" w:type="pct"/>
          </w:tcPr>
          <w:p w14:paraId="2435518B" w14:textId="77777777" w:rsidR="001C3815" w:rsidRPr="00793B33" w:rsidRDefault="001C3815" w:rsidP="00793B33">
            <w:r w:rsidRPr="003E5D50">
              <w:t>NA</w:t>
            </w:r>
          </w:p>
        </w:tc>
      </w:tr>
      <w:tr w:rsidR="001C3815" w:rsidRPr="00A05815" w14:paraId="2162BD9B" w14:textId="77777777" w:rsidTr="005A2568">
        <w:tc>
          <w:tcPr>
            <w:tcW w:w="0" w:type="pct"/>
          </w:tcPr>
          <w:p w14:paraId="2D0D83DC" w14:textId="77777777" w:rsidR="001C3815" w:rsidRPr="00793B33" w:rsidRDefault="001C3815" w:rsidP="00793B33">
            <w:r w:rsidRPr="003E5D50">
              <w:t>Method 4</w:t>
            </w:r>
          </w:p>
        </w:tc>
        <w:tc>
          <w:tcPr>
            <w:tcW w:w="0" w:type="pct"/>
          </w:tcPr>
          <w:p w14:paraId="7A885666" w14:textId="77777777" w:rsidR="001C3815" w:rsidRPr="007812C7" w:rsidRDefault="001C3815" w:rsidP="00793B33">
            <w:pPr>
              <w:rPr>
                <w:bCs/>
              </w:rPr>
            </w:pPr>
            <w:r w:rsidRPr="009B7BFA">
              <w:t>Part 1.3</w:t>
            </w:r>
          </w:p>
        </w:tc>
        <w:tc>
          <w:tcPr>
            <w:tcW w:w="0" w:type="pct"/>
          </w:tcPr>
          <w:p w14:paraId="5B679232" w14:textId="77777777" w:rsidR="001C3815" w:rsidRPr="007812C7" w:rsidRDefault="001C3815" w:rsidP="00793B33">
            <w:pPr>
              <w:rPr>
                <w:bCs/>
              </w:rPr>
            </w:pPr>
            <w:r w:rsidRPr="009B7BFA">
              <w:t>NA</w:t>
            </w:r>
          </w:p>
        </w:tc>
        <w:tc>
          <w:tcPr>
            <w:tcW w:w="0" w:type="pct"/>
          </w:tcPr>
          <w:p w14:paraId="2F606DD8" w14:textId="202BD0D2" w:rsidR="001C3815" w:rsidRPr="007812C7" w:rsidRDefault="001C3815" w:rsidP="00793B33">
            <w:pPr>
              <w:rPr>
                <w:bCs/>
              </w:rPr>
            </w:pPr>
            <w:r w:rsidRPr="009B7BFA">
              <w:t>NA</w:t>
            </w:r>
          </w:p>
        </w:tc>
      </w:tr>
    </w:tbl>
    <w:p w14:paraId="64109762" w14:textId="77777777" w:rsidR="001C3815" w:rsidRPr="00C67CDF" w:rsidRDefault="001C3815" w:rsidP="001C3815">
      <w:r w:rsidRPr="00A05815">
        <w:t>Note: NA = Not available.</w:t>
      </w:r>
      <w:r w:rsidRPr="00A05815" w:rsidDel="00B56706">
        <w:t xml:space="preserve"> </w:t>
      </w:r>
    </w:p>
    <w:p w14:paraId="6B8C6DA8" w14:textId="447BF1E2" w:rsidR="001C3815" w:rsidRDefault="001C3815" w:rsidP="00C06A90">
      <w:pPr>
        <w:pStyle w:val="Heading3"/>
        <w:numPr>
          <w:ilvl w:val="2"/>
          <w:numId w:val="49"/>
        </w:numPr>
        <w:rPr>
          <w:b w:val="0"/>
          <w:bCs w:val="0"/>
        </w:rPr>
      </w:pPr>
      <w:bookmarkStart w:id="100" w:name="_Toc43983116"/>
      <w:bookmarkStart w:id="101" w:name="_Toc76565700"/>
      <w:bookmarkStart w:id="102" w:name="_Toc235613568"/>
      <w:bookmarkEnd w:id="99"/>
      <w:r w:rsidRPr="007C053B">
        <w:t>Method 1—emissions of carbon dioxide, methane and nitrous oxide</w:t>
      </w:r>
      <w:bookmarkEnd w:id="100"/>
      <w:bookmarkEnd w:id="101"/>
      <w:bookmarkEnd w:id="102"/>
    </w:p>
    <w:p w14:paraId="0557A4D2" w14:textId="77777777" w:rsidR="001C3815" w:rsidRDefault="001C3815" w:rsidP="001C3815">
      <w:r>
        <w:t xml:space="preserve">Method 1 for gaseous fuels is derived from the methodology in Australia’s </w:t>
      </w:r>
      <w:r w:rsidRPr="00685F29">
        <w:t>National Greenhouse Account</w:t>
      </w:r>
      <w:r>
        <w:t xml:space="preserve">s as published in the </w:t>
      </w:r>
      <w:r w:rsidRPr="00685F29">
        <w:t>National Inventory Report</w:t>
      </w:r>
      <w:r>
        <w:t>.  Emissions for each gas type (carbon dioxide, methane or nitrous oxide) are estimated for individual fuel types by multiplying a (physical) quantity of fuel combusted by a fuel-specific energy content factor and a fuel-specific emission factor for each relevant greenhouse gas.</w:t>
      </w:r>
    </w:p>
    <w:p w14:paraId="4933E29E" w14:textId="77777777" w:rsidR="001C3815" w:rsidRDefault="001C3815" w:rsidP="001C3815">
      <w:r>
        <w:t xml:space="preserve">Energy content and emission factors required for the estimation of emissions using this approach are set out </w:t>
      </w:r>
      <w:r w:rsidRPr="00BE113F">
        <w:t xml:space="preserve">in Part </w:t>
      </w:r>
      <w:r>
        <w:t>2</w:t>
      </w:r>
      <w:r w:rsidRPr="00BE113F">
        <w:t xml:space="preserve"> of Schedule 1 of the NGER Measurement Determination</w:t>
      </w:r>
      <w:r>
        <w:t xml:space="preserve">. These factors are intended as default factors that can be used in the absence of better information.  </w:t>
      </w:r>
    </w:p>
    <w:p w14:paraId="6689AA3A" w14:textId="77777777" w:rsidR="001C3815" w:rsidRDefault="001C3815" w:rsidP="001C3815">
      <w:r>
        <w:t xml:space="preserve">Once selected, the energy content factor (ECi) for a particular fuel must be applied to all calculations of energy emissions from that fuel for a facility in the reporting year. The emission factors listed have been estimated using the Australian Greenhouse Emissions Information System (AGEIS) operated by the Department. Consequently, they are determined simultaneously with the production of Australia’s </w:t>
      </w:r>
      <w:r w:rsidRPr="00F149D6">
        <w:rPr>
          <w:iCs/>
        </w:rPr>
        <w:t>National Greenhouse Accounts</w:t>
      </w:r>
      <w:r>
        <w:t xml:space="preserve"> ensuring that reporter inventories are consistent with those national accounts.</w:t>
      </w:r>
    </w:p>
    <w:p w14:paraId="4A546350" w14:textId="4D4A978F" w:rsidR="001C3815" w:rsidRDefault="001C3815" w:rsidP="00C06A90">
      <w:pPr>
        <w:pStyle w:val="Heading3"/>
        <w:numPr>
          <w:ilvl w:val="2"/>
          <w:numId w:val="49"/>
        </w:numPr>
      </w:pPr>
      <w:bookmarkStart w:id="103" w:name="_Toc43983117"/>
      <w:bookmarkStart w:id="104" w:name="_Toc76565701"/>
      <w:bookmarkStart w:id="105" w:name="_Toc235613569"/>
      <w:r>
        <w:t>Method 2—emissions of carbon dioxide from the combustion of gaseous fuels</w:t>
      </w:r>
      <w:bookmarkEnd w:id="103"/>
      <w:bookmarkEnd w:id="104"/>
      <w:bookmarkEnd w:id="105"/>
    </w:p>
    <w:p w14:paraId="2272D1A6" w14:textId="77777777" w:rsidR="001C3815" w:rsidRPr="003E2C95" w:rsidRDefault="001C3815" w:rsidP="001C3815">
      <w:r w:rsidRPr="003E2C95">
        <w:t>Method 2 is designed to enable more accurate estimates of emissions at a particular facility. At a facility level, more accurate estimates of emissions are obtained by sampling and analysing fuels for qualities that affect emission levels when the fuel is combusted. These qualities include the composition of the constituent gases of the fuel combusted – for example, the share of methane in the combusted gas.</w:t>
      </w:r>
    </w:p>
    <w:p w14:paraId="29E1A220" w14:textId="1025D367" w:rsidR="001C3815" w:rsidRDefault="001C3815" w:rsidP="00C06A90">
      <w:pPr>
        <w:pStyle w:val="Heading4"/>
        <w:numPr>
          <w:ilvl w:val="3"/>
          <w:numId w:val="49"/>
        </w:numPr>
      </w:pPr>
      <w:bookmarkStart w:id="106" w:name="_Toc43983119"/>
      <w:bookmarkStart w:id="107" w:name="_Toc76565702"/>
      <w:bookmarkStart w:id="108" w:name="_Toc235613570"/>
      <w:r>
        <w:t>Sampling and analysis</w:t>
      </w:r>
      <w:bookmarkEnd w:id="106"/>
      <w:bookmarkEnd w:id="107"/>
      <w:bookmarkEnd w:id="108"/>
    </w:p>
    <w:p w14:paraId="501570C7" w14:textId="4E0661C1" w:rsidR="001C3815" w:rsidRDefault="001C3815" w:rsidP="001C3815">
      <w:r>
        <w:t xml:space="preserve">Under </w:t>
      </w:r>
      <w:r w:rsidR="6F54C1B9">
        <w:t>M</w:t>
      </w:r>
      <w:r>
        <w:t xml:space="preserve">ethod 2, representative and unbiased samples of fuels consumed must be obtained for analysis.  Analysis of the fuels for composition of constituent gases must be done in accordance with listed Australian or international standards. A listing of applicable standards is given in section 2.24 of the NGER </w:t>
      </w:r>
      <w:r>
        <w:lastRenderedPageBreak/>
        <w:t>Measurement Determination. Equivalent standards may also be used. Examples of equivalent standards include those produced by AS, NZ, ASTM, ISO and CEN standards organisations. The standards must be on the date stated in subsection 1.9(4)</w:t>
      </w:r>
      <w:r w:rsidRPr="009C4BC3">
        <w:t xml:space="preserve"> </w:t>
      </w:r>
      <w:r>
        <w:t>of the NGER Measurement Determination in force for the reporting period</w:t>
      </w:r>
      <w:r w:rsidRPr="006D32BD">
        <w:t xml:space="preserve">.  </w:t>
      </w:r>
    </w:p>
    <w:p w14:paraId="61946340" w14:textId="77777777" w:rsidR="001C3815" w:rsidRDefault="001C3815" w:rsidP="001C3815">
      <w:r>
        <w:t xml:space="preserve">An </w:t>
      </w:r>
      <w:r w:rsidRPr="006D32BD">
        <w:t xml:space="preserve">accredited laboratory </w:t>
      </w:r>
      <w:r>
        <w:t>(as defined in section 1.8 of the NGER Measurement Determination)</w:t>
      </w:r>
      <w:r w:rsidDel="00DE087C">
        <w:t xml:space="preserve"> </w:t>
      </w:r>
      <w:r>
        <w:t>or a laboratory complying with the requirements in AS ISO/IEC 17025:2005 (or equivalent requirements) must be used to conduct the analysis. An online analyser may be used if calibrated in accordance with an appropriate standard, and if the online analysis is undertaken in accordance with section 2.24 of the NGER Measurement Determination.</w:t>
      </w:r>
    </w:p>
    <w:p w14:paraId="14B069BE" w14:textId="77777777" w:rsidR="001C3815" w:rsidRDefault="001C3815" w:rsidP="001C3815">
      <w:r>
        <w:t xml:space="preserve">The minimum frequencies of analysis of the gaseous fuels are set out in section 2.25 of the NGER Measurement Determination. </w:t>
      </w:r>
    </w:p>
    <w:p w14:paraId="4ED5492E" w14:textId="77777777" w:rsidR="001C3815" w:rsidRDefault="001C3815" w:rsidP="001C3815">
      <w:r>
        <w:t>Emissions may then be estimated in accordance with Subdivision 2.3.3.1 of the NGER Measurement Determination.</w:t>
      </w:r>
    </w:p>
    <w:p w14:paraId="67655B86" w14:textId="18D0A1FC" w:rsidR="001C3815" w:rsidRDefault="001C3815" w:rsidP="00C06A90">
      <w:pPr>
        <w:pStyle w:val="Heading3"/>
        <w:numPr>
          <w:ilvl w:val="2"/>
          <w:numId w:val="49"/>
        </w:numPr>
      </w:pPr>
      <w:bookmarkStart w:id="109" w:name="_Toc43983120"/>
      <w:bookmarkStart w:id="110" w:name="_Toc76565703"/>
      <w:bookmarkStart w:id="111" w:name="_Toc235613571"/>
      <w:r>
        <w:t>Method 3—emissions of carbon dioxide released from the combustion of gaseous fuels</w:t>
      </w:r>
      <w:bookmarkEnd w:id="109"/>
      <w:bookmarkEnd w:id="110"/>
      <w:bookmarkEnd w:id="111"/>
    </w:p>
    <w:p w14:paraId="36752083" w14:textId="101412BD" w:rsidR="001C3815" w:rsidRDefault="001C3815" w:rsidP="001C3815">
      <w:r>
        <w:t xml:space="preserve">As for solid fuels, </w:t>
      </w:r>
      <w:r w:rsidR="7248F1C9">
        <w:t>M</w:t>
      </w:r>
      <w:r>
        <w:t xml:space="preserve">ethod 3 is a variation on </w:t>
      </w:r>
      <w:r w:rsidR="714746C0">
        <w:t>M</w:t>
      </w:r>
      <w:r>
        <w:t xml:space="preserve">ethod 2. Method 3 is the same as </w:t>
      </w:r>
      <w:r w:rsidR="6A949BE3">
        <w:t>M</w:t>
      </w:r>
      <w:r>
        <w:t xml:space="preserve">ethod 2 except that sampling of fuels should be conducted in accordance with the standards prescribed in section 2.26 of the NGER Measurement Determination or an equivalent standard.  </w:t>
      </w:r>
    </w:p>
    <w:p w14:paraId="466D0C98" w14:textId="7234D6E1" w:rsidR="001C3815" w:rsidRDefault="001C3815" w:rsidP="001C3815">
      <w:r>
        <w:t xml:space="preserve">Once sampling of the fuel has been conducted in accordance with the relevant standard, the analysis of the fuel should be conducted as for </w:t>
      </w:r>
      <w:r w:rsidR="641B0BDB">
        <w:t>M</w:t>
      </w:r>
      <w:r>
        <w:t xml:space="preserve">ethod 2. Emissions may then be estimated in accordance with the equations specified in </w:t>
      </w:r>
      <w:r w:rsidR="00114E7B">
        <w:t>sub</w:t>
      </w:r>
      <w:r>
        <w:t xml:space="preserve">section 2.21(1) in </w:t>
      </w:r>
      <w:r w:rsidR="004C794C">
        <w:t>M</w:t>
      </w:r>
      <w:r>
        <w:t>ethod 2 of the NGER Measurement Determination.</w:t>
      </w:r>
    </w:p>
    <w:p w14:paraId="6088F63D" w14:textId="7D892A65" w:rsidR="001C3815" w:rsidRDefault="001C3815" w:rsidP="00C06A90">
      <w:pPr>
        <w:pStyle w:val="Heading3"/>
        <w:numPr>
          <w:ilvl w:val="2"/>
          <w:numId w:val="49"/>
        </w:numPr>
      </w:pPr>
      <w:bookmarkStart w:id="112" w:name="_Toc43983121"/>
      <w:bookmarkStart w:id="113" w:name="_Toc76565704"/>
      <w:bookmarkStart w:id="114" w:name="_Toc235613572"/>
      <w:r>
        <w:t>Method 2—emissions of methane from the combustion of gaseous fuels</w:t>
      </w:r>
      <w:bookmarkEnd w:id="112"/>
      <w:bookmarkEnd w:id="113"/>
      <w:bookmarkEnd w:id="114"/>
    </w:p>
    <w:p w14:paraId="015B65E5" w14:textId="0043C3CB" w:rsidR="001C3815" w:rsidRDefault="001C3815" w:rsidP="001C3815">
      <w:r>
        <w:t xml:space="preserve">Section 2.27 of the NGER Measurement Determination sets out </w:t>
      </w:r>
      <w:r w:rsidR="5FE5E67B">
        <w:t>M</w:t>
      </w:r>
      <w:r>
        <w:t xml:space="preserve">ethod 2 for estimating methane emissions from the combustion of gaseous fuels. The quantity of methane emissions from the combustion of fuels depends on the equipment used. In the case of gaseous fuels, small variations in emissions are possible. </w:t>
      </w:r>
    </w:p>
    <w:p w14:paraId="0E235ABD" w14:textId="12B2AE49" w:rsidR="00184C96" w:rsidRDefault="001C3815" w:rsidP="001C3815">
      <w:r>
        <w:t xml:space="preserve">Method 2 for estimating emissions of methane is the same as </w:t>
      </w:r>
      <w:r w:rsidR="728B7EF4">
        <w:t>M</w:t>
      </w:r>
      <w:r>
        <w:t xml:space="preserve">ethod 1 under section 2.20 of the NGER Measurement Determination, save that the factor </w:t>
      </w:r>
      <w:proofErr w:type="spellStart"/>
      <w:r w:rsidRPr="00610810">
        <w:t>EF</w:t>
      </w:r>
      <w:r w:rsidRPr="003E2C95">
        <w:rPr>
          <w:vertAlign w:val="subscript"/>
        </w:rPr>
        <w:t>ijoxec</w:t>
      </w:r>
      <w:proofErr w:type="spellEnd"/>
      <w:r>
        <w:t xml:space="preserve"> (being the emission factor for methane released during the year measured in kg</w:t>
      </w:r>
      <w:r w:rsidR="000164C7">
        <w:t> </w:t>
      </w:r>
      <w:r>
        <w:t>CO</w:t>
      </w:r>
      <w:r w:rsidRPr="003E2C95">
        <w:rPr>
          <w:vertAlign w:val="subscript"/>
        </w:rPr>
        <w:t>2</w:t>
      </w:r>
      <w:r>
        <w:t>-e</w:t>
      </w:r>
      <w:r w:rsidR="000164C7">
        <w:t>/</w:t>
      </w:r>
      <w:r>
        <w:t>GJ of fuel type (</w:t>
      </w:r>
      <w:proofErr w:type="spellStart"/>
      <w:r>
        <w:rPr>
          <w:i/>
        </w:rPr>
        <w:t>i</w:t>
      </w:r>
      <w:proofErr w:type="spellEnd"/>
      <w:r>
        <w:rPr>
          <w:i/>
        </w:rPr>
        <w:t xml:space="preserve">)) </w:t>
      </w:r>
      <w:r>
        <w:t>is instead obtained using the equipment type emission factors listed in Volume 2, section 2.3.2.3 of the 2006 IPCC Guidelines, corrected to gross calorific values.</w:t>
      </w:r>
    </w:p>
    <w:p w14:paraId="59CA6271" w14:textId="1BABF789" w:rsidR="001C3815" w:rsidRPr="007C053B" w:rsidRDefault="001C3815" w:rsidP="00C06A90">
      <w:pPr>
        <w:pStyle w:val="Heading2"/>
        <w:numPr>
          <w:ilvl w:val="1"/>
          <w:numId w:val="49"/>
        </w:numPr>
      </w:pPr>
      <w:bookmarkStart w:id="115" w:name="_Toc43983122"/>
      <w:bookmarkStart w:id="116" w:name="_Toc76565705"/>
      <w:bookmarkStart w:id="117" w:name="_Toc235613573"/>
      <w:r w:rsidRPr="007C053B">
        <w:t xml:space="preserve">Emissions released from the combustion of </w:t>
      </w:r>
      <w:r>
        <w:t>liquid</w:t>
      </w:r>
      <w:r w:rsidRPr="007C053B">
        <w:t xml:space="preserve"> fuels</w:t>
      </w:r>
      <w:bookmarkEnd w:id="115"/>
      <w:bookmarkEnd w:id="116"/>
      <w:bookmarkEnd w:id="117"/>
    </w:p>
    <w:bookmarkEnd w:id="82"/>
    <w:p w14:paraId="442F6DDE" w14:textId="77777777" w:rsidR="001C3815" w:rsidRDefault="001C3815" w:rsidP="001C3815">
      <w:r w:rsidRPr="006D729A">
        <w:t xml:space="preserve">Part 2.4 of the NGER Measurement Determination </w:t>
      </w:r>
      <w:r w:rsidRPr="007C053B">
        <w:t xml:space="preserve">applies to emissions released from the combustion of </w:t>
      </w:r>
      <w:r>
        <w:t>liquid</w:t>
      </w:r>
      <w:r w:rsidRPr="007C053B">
        <w:t xml:space="preserve"> in relation to a separate instance of a source if the amount of </w:t>
      </w:r>
      <w:r>
        <w:t>liquid</w:t>
      </w:r>
      <w:r w:rsidRPr="007C053B">
        <w:t xml:space="preserve"> fuel combusted in relation to the separate instance of the source is</w:t>
      </w:r>
      <w:r>
        <w:t>:</w:t>
      </w:r>
    </w:p>
    <w:p w14:paraId="6A96B384" w14:textId="1B9351E0" w:rsidR="001C3815" w:rsidRPr="00F149D6" w:rsidRDefault="001C3815" w:rsidP="001C3815">
      <w:pPr>
        <w:pStyle w:val="CERbullets"/>
        <w:numPr>
          <w:ilvl w:val="0"/>
          <w:numId w:val="54"/>
        </w:numPr>
      </w:pPr>
      <w:r w:rsidRPr="00F149D6">
        <w:t xml:space="preserve">the combustion of petroleum-based oil (other than petroleum-based oil used as fuel) or petroleum-based grease, in relation to a separate instance of a source, if the total amount of oil and grease combusted in relation to the separate instance of the source is more than 5 </w:t>
      </w:r>
      <w:proofErr w:type="spellStart"/>
      <w:r w:rsidR="00C76077">
        <w:t>kL</w:t>
      </w:r>
      <w:proofErr w:type="spellEnd"/>
      <w:r w:rsidR="00C76077">
        <w:t>.</w:t>
      </w:r>
    </w:p>
    <w:p w14:paraId="3271AEF0" w14:textId="7DB8CEE7" w:rsidR="001C3815" w:rsidRPr="00F149D6" w:rsidRDefault="001C3815" w:rsidP="001C3815">
      <w:pPr>
        <w:pStyle w:val="CERbullets"/>
        <w:numPr>
          <w:ilvl w:val="0"/>
          <w:numId w:val="54"/>
        </w:numPr>
      </w:pPr>
      <w:r w:rsidRPr="00F149D6">
        <w:t xml:space="preserve">for a liquid fuel not of the kind mentioned in paragraph (a)—the combustion of liquid fuel in relation to a separate instance of a source, if the total amount of liquid fuel combusted in relation to the separate instance of the source is more than 1 </w:t>
      </w:r>
      <w:proofErr w:type="spellStart"/>
      <w:r w:rsidRPr="00F149D6">
        <w:t>k</w:t>
      </w:r>
      <w:r w:rsidR="00C76077">
        <w:t>L</w:t>
      </w:r>
      <w:proofErr w:type="spellEnd"/>
      <w:r w:rsidRPr="00F149D6">
        <w:t>.</w:t>
      </w:r>
    </w:p>
    <w:p w14:paraId="477BEEBC" w14:textId="3386C711" w:rsidR="00D85475" w:rsidRDefault="001C3815" w:rsidP="001C3815">
      <w:pPr>
        <w:pStyle w:val="CERbullets"/>
        <w:numPr>
          <w:ilvl w:val="0"/>
          <w:numId w:val="0"/>
        </w:numPr>
        <w:rPr>
          <w:rFonts w:eastAsia="Times New Roman"/>
          <w:bCs/>
          <w:szCs w:val="22"/>
        </w:rPr>
      </w:pPr>
      <w:r>
        <w:rPr>
          <w:rFonts w:eastAsia="Times New Roman"/>
          <w:bCs/>
          <w:szCs w:val="22"/>
        </w:rPr>
        <w:t>R</w:t>
      </w:r>
      <w:r w:rsidRPr="007C053B">
        <w:rPr>
          <w:rFonts w:eastAsia="Times New Roman"/>
          <w:bCs/>
          <w:szCs w:val="22"/>
        </w:rPr>
        <w:t xml:space="preserve">eporting of emissions and energy associated with the combustion of a </w:t>
      </w:r>
      <w:r>
        <w:rPr>
          <w:rFonts w:eastAsia="Times New Roman"/>
          <w:bCs/>
          <w:szCs w:val="22"/>
        </w:rPr>
        <w:t xml:space="preserve">liquid </w:t>
      </w:r>
      <w:r w:rsidRPr="007C053B">
        <w:rPr>
          <w:rFonts w:eastAsia="Times New Roman"/>
          <w:bCs/>
          <w:szCs w:val="22"/>
        </w:rPr>
        <w:t>fuel</w:t>
      </w:r>
      <w:r>
        <w:rPr>
          <w:rFonts w:eastAsia="Times New Roman"/>
          <w:bCs/>
          <w:szCs w:val="22"/>
        </w:rPr>
        <w:t>s</w:t>
      </w:r>
      <w:r w:rsidRPr="007C053B">
        <w:rPr>
          <w:rFonts w:eastAsia="Times New Roman"/>
          <w:bCs/>
          <w:szCs w:val="22"/>
        </w:rPr>
        <w:t xml:space="preserve"> is optional if the quantity of </w:t>
      </w:r>
      <w:r>
        <w:rPr>
          <w:rFonts w:eastAsia="Times New Roman"/>
          <w:bCs/>
          <w:szCs w:val="22"/>
        </w:rPr>
        <w:t>liquid</w:t>
      </w:r>
      <w:r w:rsidRPr="007C053B">
        <w:rPr>
          <w:rFonts w:eastAsia="Times New Roman"/>
          <w:bCs/>
          <w:szCs w:val="22"/>
        </w:rPr>
        <w:t xml:space="preserve"> fuel combusted in a separate instance of a source </w:t>
      </w:r>
      <w:r>
        <w:rPr>
          <w:rFonts w:eastAsia="Times New Roman"/>
          <w:bCs/>
          <w:szCs w:val="22"/>
        </w:rPr>
        <w:t xml:space="preserve">is less than the amounts described in (a) and (b) </w:t>
      </w:r>
      <w:r>
        <w:rPr>
          <w:rFonts w:eastAsia="Times New Roman"/>
          <w:bCs/>
          <w:szCs w:val="22"/>
        </w:rPr>
        <w:lastRenderedPageBreak/>
        <w:t>above</w:t>
      </w:r>
      <w:r w:rsidRPr="007C053B">
        <w:rPr>
          <w:rFonts w:eastAsia="Times New Roman"/>
          <w:bCs/>
          <w:szCs w:val="22"/>
        </w:rPr>
        <w:t xml:space="preserve">. </w:t>
      </w:r>
      <w:r>
        <w:rPr>
          <w:rFonts w:eastAsia="Times New Roman"/>
          <w:bCs/>
          <w:szCs w:val="22"/>
        </w:rPr>
        <w:t>‘</w:t>
      </w:r>
      <w:r w:rsidRPr="007C053B">
        <w:rPr>
          <w:rFonts w:eastAsia="Times New Roman"/>
          <w:bCs/>
          <w:szCs w:val="22"/>
        </w:rPr>
        <w:t>Separate instance of a source</w:t>
      </w:r>
      <w:r>
        <w:rPr>
          <w:rFonts w:eastAsia="Times New Roman"/>
          <w:bCs/>
          <w:szCs w:val="22"/>
        </w:rPr>
        <w:t>’</w:t>
      </w:r>
      <w:r w:rsidRPr="007C053B">
        <w:rPr>
          <w:rFonts w:eastAsia="Times New Roman"/>
          <w:bCs/>
          <w:szCs w:val="22"/>
        </w:rPr>
        <w:t xml:space="preserve"> is </w:t>
      </w:r>
      <w:r w:rsidR="00E432F2">
        <w:rPr>
          <w:rFonts w:eastAsia="Times New Roman"/>
          <w:bCs/>
          <w:szCs w:val="22"/>
        </w:rPr>
        <w:t>described</w:t>
      </w:r>
      <w:r w:rsidR="00E432F2" w:rsidRPr="007C053B">
        <w:rPr>
          <w:rFonts w:eastAsia="Times New Roman"/>
          <w:bCs/>
          <w:szCs w:val="22"/>
        </w:rPr>
        <w:t xml:space="preserve"> </w:t>
      </w:r>
      <w:r w:rsidRPr="007C053B">
        <w:rPr>
          <w:rFonts w:eastAsia="Times New Roman"/>
          <w:bCs/>
          <w:szCs w:val="22"/>
        </w:rPr>
        <w:t>in section 1.9A</w:t>
      </w:r>
      <w:r>
        <w:rPr>
          <w:rFonts w:eastAsia="Times New Roman"/>
          <w:bCs/>
          <w:szCs w:val="22"/>
        </w:rPr>
        <w:t xml:space="preserve"> of the NGER Measurement Determination</w:t>
      </w:r>
      <w:r w:rsidRPr="007C053B">
        <w:rPr>
          <w:rFonts w:eastAsia="Times New Roman"/>
          <w:bCs/>
          <w:szCs w:val="22"/>
        </w:rPr>
        <w:t>. Amounts below the reporting threshold may still be reported.</w:t>
      </w:r>
    </w:p>
    <w:p w14:paraId="13B2DE4C" w14:textId="43980A1D" w:rsidR="001C3815" w:rsidRPr="00F149D6" w:rsidRDefault="001C3815" w:rsidP="001C3815">
      <w:r w:rsidRPr="006D729A">
        <w:t xml:space="preserve">The methods available for reporting the combustion of </w:t>
      </w:r>
      <w:r w:rsidR="00FF0007">
        <w:t>liquid fuels</w:t>
      </w:r>
      <w:r w:rsidRPr="006D729A">
        <w:t xml:space="preserve"> under </w:t>
      </w:r>
      <w:bookmarkStart w:id="118" w:name="_Hlk43472609"/>
      <w:r>
        <w:t>p</w:t>
      </w:r>
      <w:r w:rsidRPr="006D729A">
        <w:t>art 2.</w:t>
      </w:r>
      <w:r>
        <w:t>4</w:t>
      </w:r>
      <w:r w:rsidRPr="006D729A">
        <w:t xml:space="preserve"> of the NGER Measurement Determination</w:t>
      </w:r>
      <w:bookmarkEnd w:id="118"/>
      <w:r w:rsidRPr="006D729A">
        <w:t xml:space="preserve"> by gas are summarised in table </w:t>
      </w:r>
      <w:r>
        <w:t>4</w:t>
      </w:r>
      <w:r w:rsidRPr="006D729A">
        <w:t>.</w:t>
      </w:r>
    </w:p>
    <w:p w14:paraId="5006D031" w14:textId="3A491E88" w:rsidR="001C3815" w:rsidRPr="00AD67EF" w:rsidRDefault="001C3815" w:rsidP="001C3815">
      <w:pPr>
        <w:pStyle w:val="Caption"/>
      </w:pPr>
      <w:r w:rsidRPr="00AD67EF">
        <w:t xml:space="preserve">Table </w:t>
      </w:r>
      <w:fldSimple w:instr=" SEQ Table \* ARABIC ">
        <w:r w:rsidR="00185B26">
          <w:rPr>
            <w:noProof/>
          </w:rPr>
          <w:t>4</w:t>
        </w:r>
      </w:fldSimple>
      <w:r w:rsidRPr="00AD67EF">
        <w:t>: Summary of available methods, for estimating emissions from the combustion of liquid fuels, by emissions of gas type (j)</w:t>
      </w:r>
      <w:r w:rsidR="003F4E6A">
        <w:t>.</w:t>
      </w:r>
    </w:p>
    <w:tbl>
      <w:tblPr>
        <w:tblStyle w:val="CERTable"/>
        <w:tblW w:w="0" w:type="auto"/>
        <w:tblLook w:val="0620" w:firstRow="1" w:lastRow="0" w:firstColumn="0" w:lastColumn="0" w:noHBand="1" w:noVBand="1"/>
      </w:tblPr>
      <w:tblGrid>
        <w:gridCol w:w="2503"/>
        <w:gridCol w:w="2310"/>
        <w:gridCol w:w="2310"/>
        <w:gridCol w:w="2310"/>
      </w:tblGrid>
      <w:tr w:rsidR="001C3815" w:rsidRPr="00AD67EF" w14:paraId="1F48AF63" w14:textId="77777777" w:rsidTr="0002292A">
        <w:trPr>
          <w:cnfStyle w:val="100000000000" w:firstRow="1" w:lastRow="0" w:firstColumn="0" w:lastColumn="0" w:oddVBand="0" w:evenVBand="0" w:oddHBand="0" w:evenHBand="0" w:firstRowFirstColumn="0" w:firstRowLastColumn="0" w:lastRowFirstColumn="0" w:lastRowLastColumn="0"/>
          <w:trHeight w:val="603"/>
          <w:tblHeader/>
        </w:trPr>
        <w:tc>
          <w:tcPr>
            <w:tcW w:w="2503" w:type="dxa"/>
          </w:tcPr>
          <w:p w14:paraId="306DC5B0" w14:textId="77777777" w:rsidR="001C3815" w:rsidRPr="003E5D50" w:rsidRDefault="001C3815" w:rsidP="00793B33">
            <w:r w:rsidRPr="003E5D50">
              <w:t>Method</w:t>
            </w:r>
          </w:p>
        </w:tc>
        <w:tc>
          <w:tcPr>
            <w:tcW w:w="2310" w:type="dxa"/>
          </w:tcPr>
          <w:p w14:paraId="7E45BB43" w14:textId="77777777" w:rsidR="001C3815" w:rsidRPr="00793B33" w:rsidRDefault="001C3815" w:rsidP="00793B33">
            <w:r w:rsidRPr="003E5D50">
              <w:t>CO</w:t>
            </w:r>
            <w:r w:rsidRPr="006F6AB8">
              <w:rPr>
                <w:vertAlign w:val="subscript"/>
              </w:rPr>
              <w:t>2</w:t>
            </w:r>
          </w:p>
        </w:tc>
        <w:tc>
          <w:tcPr>
            <w:tcW w:w="2310" w:type="dxa"/>
          </w:tcPr>
          <w:p w14:paraId="542E00BC" w14:textId="77777777" w:rsidR="001C3815" w:rsidRPr="00793B33" w:rsidRDefault="001C3815" w:rsidP="00793B33">
            <w:r w:rsidRPr="003E5D50">
              <w:t>CH</w:t>
            </w:r>
            <w:r w:rsidRPr="006F6AB8">
              <w:rPr>
                <w:vertAlign w:val="subscript"/>
              </w:rPr>
              <w:t>4</w:t>
            </w:r>
          </w:p>
        </w:tc>
        <w:tc>
          <w:tcPr>
            <w:tcW w:w="2310" w:type="dxa"/>
          </w:tcPr>
          <w:p w14:paraId="03DF0ED5" w14:textId="77777777" w:rsidR="001C3815" w:rsidRPr="00793B33" w:rsidRDefault="001C3815" w:rsidP="00793B33">
            <w:r w:rsidRPr="003E5D50">
              <w:t>N</w:t>
            </w:r>
            <w:r w:rsidRPr="006F6AB8">
              <w:rPr>
                <w:vertAlign w:val="subscript"/>
              </w:rPr>
              <w:t>2</w:t>
            </w:r>
            <w:r w:rsidRPr="00793B33">
              <w:t>O</w:t>
            </w:r>
          </w:p>
        </w:tc>
      </w:tr>
      <w:tr w:rsidR="001C3815" w:rsidRPr="00AD67EF" w14:paraId="1B2D2395" w14:textId="77777777" w:rsidTr="005A2568">
        <w:trPr>
          <w:trHeight w:val="858"/>
        </w:trPr>
        <w:tc>
          <w:tcPr>
            <w:tcW w:w="2503" w:type="dxa"/>
          </w:tcPr>
          <w:p w14:paraId="427D30AC" w14:textId="77777777" w:rsidR="001C3815" w:rsidRPr="00793B33" w:rsidRDefault="001C3815" w:rsidP="00793B33">
            <w:r w:rsidRPr="003E5D50">
              <w:t>Method 1</w:t>
            </w:r>
          </w:p>
        </w:tc>
        <w:tc>
          <w:tcPr>
            <w:tcW w:w="2310" w:type="dxa"/>
          </w:tcPr>
          <w:p w14:paraId="57C109CE" w14:textId="77777777" w:rsidR="001C3815" w:rsidRPr="00793B33" w:rsidRDefault="001C3815" w:rsidP="00793B33">
            <w:r w:rsidRPr="003E5D50">
              <w:t>Section 2.41</w:t>
            </w:r>
          </w:p>
        </w:tc>
        <w:tc>
          <w:tcPr>
            <w:tcW w:w="2310" w:type="dxa"/>
          </w:tcPr>
          <w:p w14:paraId="23A1FD14" w14:textId="77777777" w:rsidR="001C3815" w:rsidRPr="00793B33" w:rsidRDefault="001C3815" w:rsidP="00793B33">
            <w:r w:rsidRPr="003E5D50">
              <w:t>Section 2.41</w:t>
            </w:r>
          </w:p>
        </w:tc>
        <w:tc>
          <w:tcPr>
            <w:tcW w:w="2310" w:type="dxa"/>
          </w:tcPr>
          <w:p w14:paraId="1876A88F" w14:textId="77777777" w:rsidR="001C3815" w:rsidRPr="00793B33" w:rsidRDefault="001C3815" w:rsidP="00793B33">
            <w:r w:rsidRPr="003E5D50">
              <w:t>Section 2.41</w:t>
            </w:r>
          </w:p>
        </w:tc>
      </w:tr>
      <w:tr w:rsidR="001C3815" w:rsidRPr="00AD67EF" w14:paraId="768AB7F3" w14:textId="77777777" w:rsidTr="005A2568">
        <w:trPr>
          <w:trHeight w:val="858"/>
        </w:trPr>
        <w:tc>
          <w:tcPr>
            <w:tcW w:w="2503" w:type="dxa"/>
          </w:tcPr>
          <w:p w14:paraId="2DBAD65C" w14:textId="77777777" w:rsidR="001C3815" w:rsidRPr="00793B33" w:rsidRDefault="001C3815" w:rsidP="00793B33">
            <w:r w:rsidRPr="003E5D50">
              <w:t>Method 2</w:t>
            </w:r>
          </w:p>
        </w:tc>
        <w:tc>
          <w:tcPr>
            <w:tcW w:w="2310" w:type="dxa"/>
          </w:tcPr>
          <w:p w14:paraId="73BE48FB" w14:textId="77777777" w:rsidR="001C3815" w:rsidRPr="00793B33" w:rsidRDefault="001C3815" w:rsidP="00793B33">
            <w:r w:rsidRPr="003E5D50">
              <w:t>Section 2.42</w:t>
            </w:r>
          </w:p>
        </w:tc>
        <w:tc>
          <w:tcPr>
            <w:tcW w:w="2310" w:type="dxa"/>
          </w:tcPr>
          <w:p w14:paraId="6602C2E9" w14:textId="77777777" w:rsidR="001C3815" w:rsidRPr="00793B33" w:rsidRDefault="001C3815" w:rsidP="00793B33">
            <w:r w:rsidRPr="003E5D50">
              <w:t>Section 2.48</w:t>
            </w:r>
          </w:p>
        </w:tc>
        <w:tc>
          <w:tcPr>
            <w:tcW w:w="2310" w:type="dxa"/>
          </w:tcPr>
          <w:p w14:paraId="12FC5D0F" w14:textId="77777777" w:rsidR="001C3815" w:rsidRPr="00793B33" w:rsidRDefault="001C3815" w:rsidP="00793B33">
            <w:r w:rsidRPr="003E5D50">
              <w:t>Section 2.48</w:t>
            </w:r>
          </w:p>
        </w:tc>
      </w:tr>
      <w:tr w:rsidR="001C3815" w:rsidRPr="00AD67EF" w14:paraId="6C047193" w14:textId="77777777" w:rsidTr="005A2568">
        <w:trPr>
          <w:trHeight w:val="872"/>
        </w:trPr>
        <w:tc>
          <w:tcPr>
            <w:tcW w:w="2503" w:type="dxa"/>
          </w:tcPr>
          <w:p w14:paraId="42BFEBA0" w14:textId="77777777" w:rsidR="001C3815" w:rsidRPr="00793B33" w:rsidRDefault="001C3815" w:rsidP="00793B33">
            <w:r w:rsidRPr="003E5D50">
              <w:t>Method 3</w:t>
            </w:r>
          </w:p>
        </w:tc>
        <w:tc>
          <w:tcPr>
            <w:tcW w:w="2310" w:type="dxa"/>
          </w:tcPr>
          <w:p w14:paraId="57BF26D3" w14:textId="77777777" w:rsidR="001C3815" w:rsidRPr="00793B33" w:rsidRDefault="001C3815" w:rsidP="00793B33">
            <w:r w:rsidRPr="003E5D50">
              <w:t>Section 2.47</w:t>
            </w:r>
          </w:p>
        </w:tc>
        <w:tc>
          <w:tcPr>
            <w:tcW w:w="2310" w:type="dxa"/>
          </w:tcPr>
          <w:p w14:paraId="5B41545A" w14:textId="77777777" w:rsidR="001C3815" w:rsidRPr="00793B33" w:rsidRDefault="001C3815" w:rsidP="00793B33">
            <w:r w:rsidRPr="003E5D50">
              <w:t>NA</w:t>
            </w:r>
          </w:p>
        </w:tc>
        <w:tc>
          <w:tcPr>
            <w:tcW w:w="2310" w:type="dxa"/>
          </w:tcPr>
          <w:p w14:paraId="744DE984" w14:textId="77777777" w:rsidR="001C3815" w:rsidRPr="00793B33" w:rsidRDefault="001C3815" w:rsidP="00793B33">
            <w:r w:rsidRPr="003E5D50">
              <w:t>NA</w:t>
            </w:r>
          </w:p>
        </w:tc>
      </w:tr>
      <w:tr w:rsidR="001C3815" w:rsidRPr="00AD67EF" w14:paraId="38A709A5" w14:textId="77777777" w:rsidTr="005A2568">
        <w:trPr>
          <w:trHeight w:val="858"/>
        </w:trPr>
        <w:tc>
          <w:tcPr>
            <w:tcW w:w="2503" w:type="dxa"/>
          </w:tcPr>
          <w:p w14:paraId="018601BA" w14:textId="77777777" w:rsidR="001C3815" w:rsidRPr="00793B33" w:rsidRDefault="001C3815" w:rsidP="00793B33">
            <w:r w:rsidRPr="003E5D50">
              <w:t>Method 4</w:t>
            </w:r>
          </w:p>
        </w:tc>
        <w:tc>
          <w:tcPr>
            <w:tcW w:w="2310" w:type="dxa"/>
          </w:tcPr>
          <w:p w14:paraId="0CFCF0A6" w14:textId="77777777" w:rsidR="001C3815" w:rsidRPr="006D6DA1" w:rsidRDefault="001C3815" w:rsidP="00793B33">
            <w:pPr>
              <w:rPr>
                <w:bCs/>
              </w:rPr>
            </w:pPr>
            <w:r w:rsidRPr="009B7BFA">
              <w:t>Part 1.3</w:t>
            </w:r>
          </w:p>
        </w:tc>
        <w:tc>
          <w:tcPr>
            <w:tcW w:w="2310" w:type="dxa"/>
          </w:tcPr>
          <w:p w14:paraId="5EA8CCFF" w14:textId="77777777" w:rsidR="001C3815" w:rsidRPr="006D6DA1" w:rsidRDefault="001C3815" w:rsidP="00793B33">
            <w:pPr>
              <w:rPr>
                <w:bCs/>
              </w:rPr>
            </w:pPr>
            <w:r w:rsidRPr="009B7BFA">
              <w:t>NA</w:t>
            </w:r>
          </w:p>
        </w:tc>
        <w:tc>
          <w:tcPr>
            <w:tcW w:w="2310" w:type="dxa"/>
          </w:tcPr>
          <w:p w14:paraId="0CCD3CED" w14:textId="77777777" w:rsidR="001C3815" w:rsidRPr="006D6DA1" w:rsidRDefault="001C3815" w:rsidP="00793B33">
            <w:pPr>
              <w:rPr>
                <w:bCs/>
              </w:rPr>
            </w:pPr>
            <w:r w:rsidRPr="009B7BFA">
              <w:t>NA</w:t>
            </w:r>
          </w:p>
        </w:tc>
      </w:tr>
    </w:tbl>
    <w:p w14:paraId="7B29C598" w14:textId="77777777" w:rsidR="001C3815" w:rsidRPr="00C67CDF" w:rsidRDefault="001C3815" w:rsidP="001C3815">
      <w:r w:rsidRPr="00AD67EF">
        <w:t>Note: NA = Not available.</w:t>
      </w:r>
      <w:r w:rsidRPr="00AD67EF" w:rsidDel="00C44BE7">
        <w:t xml:space="preserve"> </w:t>
      </w:r>
    </w:p>
    <w:p w14:paraId="0C8E6370" w14:textId="41A20B14" w:rsidR="001C3815" w:rsidRPr="00EB47F7" w:rsidRDefault="001C3815" w:rsidP="00C06A90">
      <w:pPr>
        <w:pStyle w:val="Heading3"/>
        <w:numPr>
          <w:ilvl w:val="2"/>
          <w:numId w:val="49"/>
        </w:numPr>
      </w:pPr>
      <w:bookmarkStart w:id="119" w:name="_Toc423516798"/>
      <w:bookmarkStart w:id="120" w:name="_Toc495652714"/>
      <w:bookmarkStart w:id="121" w:name="_Toc43983123"/>
      <w:bookmarkStart w:id="122" w:name="_Toc76565706"/>
      <w:bookmarkStart w:id="123" w:name="_Toc235613574"/>
      <w:r w:rsidRPr="00EB47F7">
        <w:t xml:space="preserve">Method 1—emissions of carbon dioxide, methane and nitrous oxide from liquid fuels other than </w:t>
      </w:r>
      <w:r>
        <w:t>petroleum-based</w:t>
      </w:r>
      <w:r w:rsidRPr="00EB47F7">
        <w:t xml:space="preserve"> oils or greases</w:t>
      </w:r>
      <w:bookmarkEnd w:id="119"/>
      <w:bookmarkEnd w:id="120"/>
      <w:bookmarkEnd w:id="121"/>
      <w:bookmarkEnd w:id="122"/>
      <w:bookmarkEnd w:id="123"/>
    </w:p>
    <w:p w14:paraId="4D89860B" w14:textId="35E65FBE" w:rsidR="001C3815" w:rsidRPr="00EB47F7" w:rsidRDefault="001C3815" w:rsidP="001C3815">
      <w:r w:rsidRPr="00EB47F7">
        <w:t xml:space="preserve">As for solid and gaseous fuels, </w:t>
      </w:r>
      <w:r w:rsidR="2C1703A5">
        <w:t>M</w:t>
      </w:r>
      <w:r w:rsidRPr="00EB47F7">
        <w:t xml:space="preserve">ethod 1 is derived from the </w:t>
      </w:r>
      <w:r w:rsidRPr="00F149D6">
        <w:rPr>
          <w:iCs/>
        </w:rPr>
        <w:t>National Greenhouse Accounts</w:t>
      </w:r>
      <w:r w:rsidRPr="00EB47F7">
        <w:rPr>
          <w:i/>
        </w:rPr>
        <w:t xml:space="preserve"> </w:t>
      </w:r>
      <w:r w:rsidRPr="00EB47F7">
        <w:t xml:space="preserve">national methodology as published in the </w:t>
      </w:r>
      <w:r w:rsidRPr="00F149D6">
        <w:rPr>
          <w:iCs/>
        </w:rPr>
        <w:t>National Inventory Report</w:t>
      </w:r>
      <w:r w:rsidRPr="00EB47F7">
        <w:t>. Emissions are estimated for individual fuel types by multiplying a (physical) quantity of fuel combusted by a fuel-specific energy content factor and a fuel-specific emission factor for each relevant greenhouse gas (in this case, carbon dioxide, methane and nitrous oxide).</w:t>
      </w:r>
    </w:p>
    <w:p w14:paraId="2FE84357" w14:textId="124601E9" w:rsidR="001C3815" w:rsidRPr="00EB47F7" w:rsidRDefault="001C3815" w:rsidP="001C3815">
      <w:r w:rsidRPr="00EB47F7">
        <w:t xml:space="preserve">The list of liquid fuels for which emissions must be calculated is given </w:t>
      </w:r>
      <w:r w:rsidR="00D31DC1">
        <w:t xml:space="preserve">in </w:t>
      </w:r>
      <w:r>
        <w:t>S</w:t>
      </w:r>
      <w:r w:rsidRPr="00EB47F7">
        <w:t xml:space="preserve">chedule 1 </w:t>
      </w:r>
      <w:r>
        <w:t>to</w:t>
      </w:r>
      <w:r w:rsidRPr="00EB47F7">
        <w:t xml:space="preserve"> the </w:t>
      </w:r>
      <w:r>
        <w:t>NGER Regulations</w:t>
      </w:r>
      <w:r w:rsidRPr="00EB47F7">
        <w:t>.</w:t>
      </w:r>
    </w:p>
    <w:p w14:paraId="7C6C374B" w14:textId="77777777" w:rsidR="001C3815" w:rsidRPr="00EB47F7" w:rsidRDefault="001C3815" w:rsidP="001C3815">
      <w:pPr>
        <w:rPr>
          <w:lang w:eastAsia="en-AU"/>
        </w:rPr>
      </w:pPr>
      <w:r w:rsidRPr="00EB47F7">
        <w:t xml:space="preserve">Energy content </w:t>
      </w:r>
      <w:r>
        <w:t xml:space="preserve">factors for each fuel type are required to be estimated under section 6.5 of the NGER Measurement Determination. </w:t>
      </w:r>
      <w:r w:rsidRPr="00EB47F7">
        <w:rPr>
          <w:lang w:eastAsia="en-AU"/>
        </w:rPr>
        <w:t>Once selected</w:t>
      </w:r>
      <w:r>
        <w:rPr>
          <w:lang w:eastAsia="en-AU"/>
        </w:rPr>
        <w:t>,</w:t>
      </w:r>
      <w:r w:rsidRPr="00EB47F7">
        <w:rPr>
          <w:lang w:eastAsia="en-AU"/>
        </w:rPr>
        <w:t xml:space="preserve"> the energy content factor (EC</w:t>
      </w:r>
      <w:r w:rsidRPr="00EB47F7">
        <w:rPr>
          <w:vertAlign w:val="subscript"/>
          <w:lang w:eastAsia="en-AU"/>
        </w:rPr>
        <w:t>i</w:t>
      </w:r>
      <w:r w:rsidRPr="00EB47F7">
        <w:rPr>
          <w:lang w:eastAsia="en-AU"/>
        </w:rPr>
        <w:t>) for a particular fuel must be applied to all calculations of energy emissions from that fuel for a facility in the reporting year.</w:t>
      </w:r>
    </w:p>
    <w:p w14:paraId="5E923E84" w14:textId="01E3B8BF" w:rsidR="001C3815" w:rsidRPr="00EB47F7" w:rsidRDefault="001C3815" w:rsidP="001C3815">
      <w:r>
        <w:t>The</w:t>
      </w:r>
      <w:r w:rsidRPr="00EB47F7">
        <w:t xml:space="preserve"> emission factors required for the estimation of emissions using </w:t>
      </w:r>
      <w:r>
        <w:t>Method 1</w:t>
      </w:r>
      <w:r w:rsidRPr="00EB47F7">
        <w:t xml:space="preserve"> are given </w:t>
      </w:r>
      <w:r w:rsidRPr="00BE113F">
        <w:t xml:space="preserve">in Part </w:t>
      </w:r>
      <w:r>
        <w:t>3</w:t>
      </w:r>
      <w:r w:rsidRPr="00BE113F">
        <w:t xml:space="preserve"> of Schedule 1 of the NGER Measurement Determination</w:t>
      </w:r>
      <w:r>
        <w:t xml:space="preserve"> for stationary energy purposes</w:t>
      </w:r>
      <w:r w:rsidR="00BA2006">
        <w:t xml:space="preserve"> </w:t>
      </w:r>
      <w:r>
        <w:t>and in Division 4.1 of Schedule 1 for transport energy purposes</w:t>
      </w:r>
      <w:r w:rsidRPr="00EB47F7">
        <w:t xml:space="preserve">. </w:t>
      </w:r>
      <w:r w:rsidR="00AF3250">
        <w:t>‘T</w:t>
      </w:r>
      <w:r w:rsidR="00206474">
        <w:t xml:space="preserve">ransport </w:t>
      </w:r>
      <w:r w:rsidR="00DD2D6B">
        <w:t xml:space="preserve">energy </w:t>
      </w:r>
      <w:r w:rsidR="00206474">
        <w:t>purposes</w:t>
      </w:r>
      <w:r w:rsidR="00932942">
        <w:t>’</w:t>
      </w:r>
      <w:r w:rsidR="00206474">
        <w:t xml:space="preserve"> </w:t>
      </w:r>
      <w:r w:rsidR="00932942">
        <w:t xml:space="preserve">include transport </w:t>
      </w:r>
      <w:proofErr w:type="gramStart"/>
      <w:r w:rsidR="00932942">
        <w:t>by</w:t>
      </w:r>
      <w:r w:rsidR="00D9092E">
        <w:t>:</w:t>
      </w:r>
      <w:proofErr w:type="gramEnd"/>
      <w:r w:rsidR="00206474">
        <w:t xml:space="preserve"> rail, water, </w:t>
      </w:r>
      <w:r w:rsidR="00AA3EA3">
        <w:t xml:space="preserve">and </w:t>
      </w:r>
      <w:r w:rsidR="00206474">
        <w:t xml:space="preserve">air, </w:t>
      </w:r>
      <w:r w:rsidR="005D4F47">
        <w:t>and</w:t>
      </w:r>
      <w:r w:rsidR="00206474">
        <w:t xml:space="preserve"> vehicles registered for road use. </w:t>
      </w:r>
      <w:r w:rsidR="00C446B3">
        <w:t xml:space="preserve">Other purposes, including transport by vehicles that are not road-registered or </w:t>
      </w:r>
      <w:r w:rsidR="00544FE4">
        <w:t xml:space="preserve">equipment that does not move, </w:t>
      </w:r>
      <w:proofErr w:type="gramStart"/>
      <w:r w:rsidR="00BA2006">
        <w:t>are</w:t>
      </w:r>
      <w:r w:rsidR="00544FE4">
        <w:t xml:space="preserve"> considered to be</w:t>
      </w:r>
      <w:proofErr w:type="gramEnd"/>
      <w:r w:rsidR="00544FE4">
        <w:t xml:space="preserve"> stationary.</w:t>
      </w:r>
    </w:p>
    <w:p w14:paraId="3F5D6C36" w14:textId="3E5620E9" w:rsidR="00051810" w:rsidRDefault="001C3815" w:rsidP="001C3815">
      <w:r w:rsidRPr="00EB47F7">
        <w:t xml:space="preserve">Equipment specific factors for methane and nitrous oxide are provided for transport fleets.  It is intended that the methane and nitrous oxide factors applicable to </w:t>
      </w:r>
      <w:proofErr w:type="gramStart"/>
      <w:r w:rsidRPr="00EB47F7">
        <w:t>particular transport</w:t>
      </w:r>
      <w:proofErr w:type="gramEnd"/>
      <w:r w:rsidRPr="00EB47F7">
        <w:t xml:space="preserve"> fleet should be utilised in the estimation of emissions for the fuel combusted for those fleets. No transport factors are provided for vehicles not registered for road use.  Stationary energy factors for individual fuel types should be used in these cases.   </w:t>
      </w:r>
    </w:p>
    <w:p w14:paraId="4B64474F" w14:textId="1F563DCB" w:rsidR="001C3815" w:rsidRPr="00EB47F7" w:rsidRDefault="001C3815" w:rsidP="001C3815">
      <w:r w:rsidRPr="00EB47F7">
        <w:lastRenderedPageBreak/>
        <w:t xml:space="preserve">The emission factors listed have been estimated using the </w:t>
      </w:r>
      <w:r w:rsidR="0028578F" w:rsidRPr="00C06A90">
        <w:t>Australian Greenhouse Emissions Information System</w:t>
      </w:r>
      <w:r w:rsidRPr="00EB47F7">
        <w:rPr>
          <w:i/>
        </w:rPr>
        <w:t xml:space="preserve">. </w:t>
      </w:r>
      <w:r w:rsidRPr="00EB47F7">
        <w:t xml:space="preserve">Consequently, they are determined simultaneously with the production of </w:t>
      </w:r>
      <w:r w:rsidRPr="00F149D6">
        <w:rPr>
          <w:iCs/>
        </w:rPr>
        <w:t>Australia’s National Greenhouse Accounts</w:t>
      </w:r>
      <w:r w:rsidRPr="00EB47F7">
        <w:t xml:space="preserve"> ensuring that </w:t>
      </w:r>
      <w:r>
        <w:t>r</w:t>
      </w:r>
      <w:r w:rsidRPr="00EB47F7">
        <w:t xml:space="preserve">eporter inventories are consistent with those </w:t>
      </w:r>
      <w:r w:rsidRPr="003E2C95">
        <w:t>national accounts</w:t>
      </w:r>
      <w:r w:rsidRPr="00EB47F7">
        <w:t xml:space="preserve">. </w:t>
      </w:r>
    </w:p>
    <w:p w14:paraId="61108E45" w14:textId="73921DD6" w:rsidR="001C3815" w:rsidRPr="008C7251" w:rsidRDefault="001C3815" w:rsidP="00C06A90">
      <w:pPr>
        <w:pStyle w:val="Heading3"/>
        <w:numPr>
          <w:ilvl w:val="2"/>
          <w:numId w:val="49"/>
        </w:numPr>
      </w:pPr>
      <w:bookmarkStart w:id="124" w:name="_Toc495652718"/>
      <w:bookmarkStart w:id="125" w:name="_Toc43983124"/>
      <w:bookmarkStart w:id="126" w:name="_Toc76565707"/>
      <w:bookmarkStart w:id="127" w:name="_Toc235613575"/>
      <w:r w:rsidRPr="00626852">
        <w:t>Metho</w:t>
      </w:r>
      <w:r w:rsidRPr="005618E8">
        <w:t xml:space="preserve">d 2—emissions of carbon dioxide from liquid fuels </w:t>
      </w:r>
      <w:r w:rsidRPr="00626852">
        <w:t>other than petroleum-based oils or greases</w:t>
      </w:r>
      <w:bookmarkEnd w:id="124"/>
      <w:bookmarkEnd w:id="125"/>
      <w:bookmarkEnd w:id="126"/>
      <w:bookmarkEnd w:id="127"/>
    </w:p>
    <w:p w14:paraId="532ECE79" w14:textId="77777777" w:rsidR="001C3815" w:rsidRPr="006A02E5" w:rsidRDefault="001C3815" w:rsidP="001C3815">
      <w:r w:rsidRPr="008C7251">
        <w:t xml:space="preserve">Method 2 is designed to enable more accurate estimates of emissions at a particular facility. </w:t>
      </w:r>
      <w:r w:rsidRPr="00637698">
        <w:t xml:space="preserve">At a facility level more accurate estimates of emissions </w:t>
      </w:r>
      <w:r>
        <w:t>are</w:t>
      </w:r>
      <w:r w:rsidRPr="00637698">
        <w:t xml:space="preserve"> obtained by sampling and analysing fuels for qualities that affect emission levels when the fuel is combusted. These qualities include the fuel’s carbon content which may vary from fuel to fuel, albeit marginally for standard commercial fuels.</w:t>
      </w:r>
    </w:p>
    <w:p w14:paraId="45B3D6E4" w14:textId="39F17B79" w:rsidR="001C3815" w:rsidRPr="006D32BD" w:rsidRDefault="001C3815" w:rsidP="00C06A90">
      <w:pPr>
        <w:pStyle w:val="Heading4"/>
        <w:numPr>
          <w:ilvl w:val="3"/>
          <w:numId w:val="49"/>
        </w:numPr>
      </w:pPr>
      <w:bookmarkStart w:id="128" w:name="_Toc423516804"/>
      <w:bookmarkStart w:id="129" w:name="_Toc495652722"/>
      <w:bookmarkStart w:id="130" w:name="_Toc43983125"/>
      <w:bookmarkStart w:id="131" w:name="_Toc76565708"/>
      <w:bookmarkStart w:id="132" w:name="_Toc235613576"/>
      <w:r w:rsidRPr="006D32BD">
        <w:t>Sampling and analysis</w:t>
      </w:r>
      <w:bookmarkEnd w:id="128"/>
      <w:bookmarkEnd w:id="129"/>
      <w:bookmarkEnd w:id="130"/>
      <w:bookmarkEnd w:id="131"/>
      <w:bookmarkEnd w:id="132"/>
    </w:p>
    <w:p w14:paraId="1F47C7FD" w14:textId="61F3BE2F" w:rsidR="001C3815" w:rsidRDefault="001C3815" w:rsidP="001C3815">
      <w:r>
        <w:t>If using</w:t>
      </w:r>
      <w:r w:rsidRPr="006D32BD">
        <w:t xml:space="preserve"> </w:t>
      </w:r>
      <w:r w:rsidR="283922F5">
        <w:t>M</w:t>
      </w:r>
      <w:r w:rsidRPr="006D32BD">
        <w:t xml:space="preserve">ethod 2, representative and unbiased samples of fuels consumed must be obtained </w:t>
      </w:r>
      <w:r>
        <w:t>and analysed</w:t>
      </w:r>
      <w:r w:rsidRPr="006D32BD">
        <w:t xml:space="preserve">.  </w:t>
      </w:r>
      <w:r>
        <w:t xml:space="preserve">The general requirements for sampling are set out in section 2.44 of the NGER Measurement Determination. </w:t>
      </w:r>
    </w:p>
    <w:p w14:paraId="1FD0029D" w14:textId="77777777" w:rsidR="001C3815" w:rsidRPr="006D32BD" w:rsidRDefault="001C3815" w:rsidP="001C3815">
      <w:r w:rsidRPr="006D32BD">
        <w:t>Analysis of the fuels for carbon, energy content</w:t>
      </w:r>
      <w:r>
        <w:t xml:space="preserve"> and density</w:t>
      </w:r>
      <w:r w:rsidRPr="006D32BD">
        <w:t xml:space="preserve"> must be done in accordance with </w:t>
      </w:r>
      <w:r>
        <w:t xml:space="preserve">the </w:t>
      </w:r>
      <w:r w:rsidRPr="006D32BD">
        <w:t>Australian or international standards</w:t>
      </w:r>
      <w:r>
        <w:t xml:space="preserve"> listed in section 2.45, or an equivalent standard</w:t>
      </w:r>
      <w:r w:rsidRPr="006D32BD">
        <w:t xml:space="preserve">. Examples of equivalent standards include those produced by AS, NZ, ASTM, ISO and CEN standards organisations. The standards must be in force on the date stated in </w:t>
      </w:r>
      <w:r>
        <w:t>sub</w:t>
      </w:r>
      <w:r w:rsidRPr="006D32BD">
        <w:t>section 1.9</w:t>
      </w:r>
      <w:r>
        <w:t>(4) of the NGER Measurement Determination in force for the reporting period</w:t>
      </w:r>
      <w:r w:rsidRPr="006D32BD">
        <w:t xml:space="preserve">.  </w:t>
      </w:r>
    </w:p>
    <w:p w14:paraId="0A010260" w14:textId="5ED3F9D3" w:rsidR="001C3815" w:rsidRPr="006D32BD" w:rsidRDefault="001C3815" w:rsidP="001C3815">
      <w:r w:rsidRPr="006D32BD">
        <w:t xml:space="preserve">Unlike solid and gaseous fuels, standards for analysis have not been listed for </w:t>
      </w:r>
      <w:proofErr w:type="gramStart"/>
      <w:r w:rsidRPr="006D32BD">
        <w:t>a number of</w:t>
      </w:r>
      <w:proofErr w:type="gramEnd"/>
      <w:r w:rsidRPr="006D32BD">
        <w:t xml:space="preserve"> fuel types, reflecting the apparent absence of such standards particularly for volatile fuels. It is considered that for many liquid fuels that the use of </w:t>
      </w:r>
      <w:r w:rsidR="2F49821E">
        <w:t>M</w:t>
      </w:r>
      <w:r w:rsidRPr="006D32BD">
        <w:t xml:space="preserve">ethod 2 facility-specific emission factors would be likely to bring only marginal benefits in any case.    </w:t>
      </w:r>
    </w:p>
    <w:p w14:paraId="63C4DF56" w14:textId="77777777" w:rsidR="001C3815" w:rsidRPr="006D32BD" w:rsidRDefault="001C3815" w:rsidP="001C3815">
      <w:r w:rsidRPr="006D32BD">
        <w:t>A</w:t>
      </w:r>
      <w:r>
        <w:t>n</w:t>
      </w:r>
      <w:r w:rsidRPr="006D32BD">
        <w:t xml:space="preserve"> accredited laboratory </w:t>
      </w:r>
      <w:r>
        <w:t xml:space="preserve">as defined in section 1.8 of the NGER Measurement Determination, </w:t>
      </w:r>
      <w:r w:rsidRPr="006D32BD">
        <w:t xml:space="preserve">or similar laboratory </w:t>
      </w:r>
      <w:r>
        <w:t>that meets the requirements of</w:t>
      </w:r>
      <w:r w:rsidRPr="006D32BD">
        <w:t xml:space="preserve"> </w:t>
      </w:r>
      <w:r>
        <w:t xml:space="preserve">ASO </w:t>
      </w:r>
      <w:r w:rsidRPr="006D32BD">
        <w:t>ISO</w:t>
      </w:r>
      <w:r>
        <w:t>/IEC</w:t>
      </w:r>
      <w:r w:rsidRPr="006D32BD">
        <w:t xml:space="preserve"> 17025</w:t>
      </w:r>
      <w:r>
        <w:t>:2005</w:t>
      </w:r>
      <w:r w:rsidRPr="006D32BD">
        <w:t xml:space="preserve"> </w:t>
      </w:r>
      <w:r>
        <w:t>must</w:t>
      </w:r>
      <w:r w:rsidRPr="006D32BD">
        <w:t xml:space="preserve"> be used to conduct the analysis.  </w:t>
      </w:r>
    </w:p>
    <w:p w14:paraId="12B8C481" w14:textId="77777777" w:rsidR="001C3815" w:rsidRPr="006D32BD" w:rsidRDefault="001C3815" w:rsidP="001C3815">
      <w:r>
        <w:t>A</w:t>
      </w:r>
      <w:r w:rsidRPr="006D32BD">
        <w:t xml:space="preserve">nalysis </w:t>
      </w:r>
      <w:r>
        <w:t>must be performed at least as frequently as</w:t>
      </w:r>
      <w:r w:rsidRPr="006D32BD">
        <w:t xml:space="preserve"> provided for in section 2.46</w:t>
      </w:r>
      <w:r>
        <w:t xml:space="preserve"> of the NGER Measurement Determination (currently, quarterly, or by delivery of the fuel)</w:t>
      </w:r>
      <w:r w:rsidRPr="006D32BD">
        <w:t xml:space="preserve">. </w:t>
      </w:r>
    </w:p>
    <w:p w14:paraId="55574FAB" w14:textId="5FA83725" w:rsidR="001C3815" w:rsidRPr="006D32BD" w:rsidRDefault="001C3815" w:rsidP="00C06A90">
      <w:pPr>
        <w:pStyle w:val="Heading3"/>
        <w:numPr>
          <w:ilvl w:val="2"/>
          <w:numId w:val="49"/>
        </w:numPr>
      </w:pPr>
      <w:bookmarkStart w:id="133" w:name="_Toc43983126"/>
      <w:bookmarkStart w:id="134" w:name="_Toc76565709"/>
      <w:bookmarkStart w:id="135" w:name="_Toc235613577"/>
      <w:r w:rsidRPr="006D32BD">
        <w:t xml:space="preserve">Method 3—emissions of carbon dioxide from liquid fuels other than </w:t>
      </w:r>
      <w:r>
        <w:t>petroleum-based</w:t>
      </w:r>
      <w:r w:rsidRPr="006D32BD">
        <w:t xml:space="preserve"> oils or greases</w:t>
      </w:r>
      <w:bookmarkEnd w:id="133"/>
      <w:bookmarkEnd w:id="134"/>
      <w:bookmarkEnd w:id="135"/>
    </w:p>
    <w:p w14:paraId="119845EA" w14:textId="77777777" w:rsidR="001C3815" w:rsidRDefault="001C3815" w:rsidP="001C3815">
      <w:r>
        <w:t xml:space="preserve">Method 3 is </w:t>
      </w:r>
      <w:proofErr w:type="gramStart"/>
      <w:r>
        <w:t>similar to</w:t>
      </w:r>
      <w:proofErr w:type="gramEnd"/>
      <w:r>
        <w:t xml:space="preserve"> Method 2. The main difference is that, in Method 3, the sampling of fuels should be conducted in accordance with the standard prescribed in section 2.47 of the Determination or its equivalent. Once the sampling is completed, the analysis processes of Method 2 should be employed, including the estimate of emissions specified in section 2.42 of the Determination.</w:t>
      </w:r>
    </w:p>
    <w:p w14:paraId="19BEDFFA" w14:textId="2F1B874F" w:rsidR="001C3815" w:rsidRPr="006D32BD" w:rsidRDefault="001C3815" w:rsidP="00C06A90">
      <w:pPr>
        <w:pStyle w:val="Heading3"/>
        <w:numPr>
          <w:ilvl w:val="2"/>
          <w:numId w:val="49"/>
        </w:numPr>
      </w:pPr>
      <w:bookmarkStart w:id="136" w:name="_Toc423516810"/>
      <w:bookmarkStart w:id="137" w:name="_Toc495652728"/>
      <w:bookmarkStart w:id="138" w:name="_Toc43983127"/>
      <w:bookmarkStart w:id="139" w:name="_Toc76565710"/>
      <w:bookmarkStart w:id="140" w:name="_Toc235613578"/>
      <w:r w:rsidRPr="006D32BD">
        <w:t xml:space="preserve">Method 2—emissions of methane and nitrous oxide from liquid fuels other than </w:t>
      </w:r>
      <w:r>
        <w:t>petroleum-based</w:t>
      </w:r>
      <w:r w:rsidRPr="006D32BD">
        <w:t xml:space="preserve"> oils or greases</w:t>
      </w:r>
      <w:bookmarkEnd w:id="136"/>
      <w:bookmarkEnd w:id="137"/>
      <w:bookmarkEnd w:id="138"/>
      <w:bookmarkEnd w:id="139"/>
      <w:bookmarkEnd w:id="140"/>
    </w:p>
    <w:p w14:paraId="4AA3359D" w14:textId="4A40CF6A" w:rsidR="001C3815" w:rsidRPr="006D32BD" w:rsidRDefault="001C3815" w:rsidP="001C3815">
      <w:r w:rsidRPr="006D32BD">
        <w:t xml:space="preserve">Method 2 for the estimation of methane and nitrous oxide emissions from the combustion of liquid fuels is </w:t>
      </w:r>
      <w:r>
        <w:t>the same as</w:t>
      </w:r>
      <w:r w:rsidRPr="006D32BD">
        <w:t xml:space="preserve"> </w:t>
      </w:r>
      <w:r w:rsidR="3B5F883B">
        <w:t>M</w:t>
      </w:r>
      <w:r w:rsidRPr="006D32BD">
        <w:t xml:space="preserve">ethod 1 </w:t>
      </w:r>
      <w:r>
        <w:t>under section 2.41, save that</w:t>
      </w:r>
      <w:r w:rsidRPr="006D32BD">
        <w:t xml:space="preserve"> the </w:t>
      </w:r>
      <w:r>
        <w:t>r</w:t>
      </w:r>
      <w:r w:rsidRPr="006D32BD">
        <w:t xml:space="preserve">eporter uses </w:t>
      </w:r>
      <w:r>
        <w:t>the</w:t>
      </w:r>
      <w:r w:rsidRPr="006D32BD">
        <w:t xml:space="preserve"> equipment-specific emission factor</w:t>
      </w:r>
      <w:r>
        <w:t>s</w:t>
      </w:r>
      <w:r w:rsidRPr="006D32BD">
        <w:t xml:space="preserve"> set out in </w:t>
      </w:r>
      <w:r>
        <w:t>s</w:t>
      </w:r>
      <w:r w:rsidRPr="006D32BD">
        <w:t xml:space="preserve">chedule 1 of the </w:t>
      </w:r>
      <w:r>
        <w:t xml:space="preserve">NGER </w:t>
      </w:r>
      <w:r w:rsidRPr="7B9D8C82">
        <w:rPr>
          <w:rFonts w:ascii="Calibri" w:hAnsi="Calibri" w:cs="Calibri"/>
          <w:color w:val="auto"/>
          <w:lang w:eastAsia="en-AU"/>
        </w:rPr>
        <w:t>Measurement Determination</w:t>
      </w:r>
      <w:r w:rsidRPr="006D32BD">
        <w:t xml:space="preserve">. This approach is only available for vehicles </w:t>
      </w:r>
      <w:r>
        <w:t xml:space="preserve">manufactured </w:t>
      </w:r>
      <w:r w:rsidRPr="006D32BD">
        <w:t>post-2004</w:t>
      </w:r>
      <w:r>
        <w:t xml:space="preserve"> (see paragraph 2.48(2)(a) of the NGER Measurement Determination)</w:t>
      </w:r>
      <w:r w:rsidRPr="006D32BD">
        <w:t xml:space="preserve"> and certain trucks </w:t>
      </w:r>
      <w:r>
        <w:t>that meet</w:t>
      </w:r>
      <w:r w:rsidRPr="006D32BD">
        <w:t xml:space="preserve"> </w:t>
      </w:r>
      <w:r>
        <w:t>specified</w:t>
      </w:r>
      <w:r w:rsidRPr="006D32BD">
        <w:t xml:space="preserve"> design</w:t>
      </w:r>
      <w:r>
        <w:t xml:space="preserve"> standards (see paragraph 2.48(2)(b) of the NGER Measurement Determination</w:t>
      </w:r>
      <w:r w:rsidR="00B01081">
        <w:t>)</w:t>
      </w:r>
      <w:r w:rsidRPr="006D32BD">
        <w:t xml:space="preserve">. </w:t>
      </w:r>
    </w:p>
    <w:p w14:paraId="724C9FEC" w14:textId="2CD127CA" w:rsidR="001C3815" w:rsidRDefault="001C3815" w:rsidP="001C3815">
      <w:r w:rsidRPr="006D32BD">
        <w:t xml:space="preserve">No sampling and analysis of fuels are required for this </w:t>
      </w:r>
      <w:r w:rsidR="7939032A">
        <w:t>M</w:t>
      </w:r>
      <w:r w:rsidRPr="006D32BD">
        <w:t xml:space="preserve">ethod 2 for non-carbon dioxide emissions. This is because the emissions of methane and nitrous oxide depend on combustion conditions and the equipment used to combust the fuel. In contrast, the carbon dioxide emissions depend on the chemical qualities of the fuels themselves which can only be ascertained by analysis.  </w:t>
      </w:r>
    </w:p>
    <w:tbl>
      <w:tblPr>
        <w:tblStyle w:val="CERCallout"/>
        <w:tblW w:w="0" w:type="auto"/>
        <w:tblLook w:val="04A0" w:firstRow="1" w:lastRow="0" w:firstColumn="1" w:lastColumn="0" w:noHBand="0" w:noVBand="1"/>
      </w:tblPr>
      <w:tblGrid>
        <w:gridCol w:w="9710"/>
      </w:tblGrid>
      <w:tr w:rsidR="001C3815" w14:paraId="0606C62E" w14:textId="77777777" w:rsidTr="5CBB9E4E">
        <w:trPr>
          <w:cnfStyle w:val="100000000000" w:firstRow="1" w:lastRow="0" w:firstColumn="0" w:lastColumn="0" w:oddVBand="0" w:evenVBand="0" w:oddHBand="0" w:evenHBand="0" w:firstRowFirstColumn="0" w:firstRowLastColumn="0" w:lastRowFirstColumn="0" w:lastRowLastColumn="0"/>
        </w:trPr>
        <w:tc>
          <w:tcPr>
            <w:tcW w:w="9730" w:type="dxa"/>
          </w:tcPr>
          <w:p w14:paraId="00A0236A" w14:textId="31902364" w:rsidR="001C3815" w:rsidRPr="00065B1A" w:rsidRDefault="001C3815" w:rsidP="006F6AB8">
            <w:pPr>
              <w:pStyle w:val="Heading5"/>
              <w:rPr>
                <w:b/>
                <w:bCs/>
              </w:rPr>
            </w:pPr>
            <w:bookmarkStart w:id="141" w:name="_Toc108022519"/>
            <w:bookmarkStart w:id="142" w:name="_Toc235613579"/>
            <w:r w:rsidRPr="00065B1A">
              <w:rPr>
                <w:b/>
              </w:rPr>
              <w:lastRenderedPageBreak/>
              <w:t>Example</w:t>
            </w:r>
            <w:bookmarkEnd w:id="141"/>
            <w:r w:rsidR="00B505F3">
              <w:rPr>
                <w:b/>
              </w:rPr>
              <w:t xml:space="preserve"> 3</w:t>
            </w:r>
            <w:bookmarkEnd w:id="142"/>
          </w:p>
          <w:p w14:paraId="1A7B4498" w14:textId="3133DAD7" w:rsidR="001C3815" w:rsidRPr="00065B1A" w:rsidRDefault="001C3815">
            <w:pPr>
              <w:rPr>
                <w:b w:val="0"/>
              </w:rPr>
            </w:pPr>
            <w:r w:rsidRPr="00065B1A">
              <w:rPr>
                <w:b w:val="0"/>
              </w:rPr>
              <w:t>A company consumes 35,000</w:t>
            </w:r>
            <w:r w:rsidR="009B17DA">
              <w:rPr>
                <w:b w:val="0"/>
              </w:rPr>
              <w:t> </w:t>
            </w:r>
            <w:proofErr w:type="spellStart"/>
            <w:r w:rsidRPr="00065B1A">
              <w:rPr>
                <w:b w:val="0"/>
              </w:rPr>
              <w:t>kL</w:t>
            </w:r>
            <w:proofErr w:type="spellEnd"/>
            <w:r w:rsidRPr="00065B1A">
              <w:rPr>
                <w:b w:val="0"/>
              </w:rPr>
              <w:t xml:space="preserve"> (kilolitres) of diesel oil: 25,000</w:t>
            </w:r>
            <w:r w:rsidR="009B17DA">
              <w:rPr>
                <w:b w:val="0"/>
              </w:rPr>
              <w:t> </w:t>
            </w:r>
            <w:proofErr w:type="spellStart"/>
            <w:r w:rsidRPr="00065B1A">
              <w:rPr>
                <w:b w:val="0"/>
              </w:rPr>
              <w:t>kL</w:t>
            </w:r>
            <w:proofErr w:type="spellEnd"/>
            <w:r w:rsidRPr="00065B1A">
              <w:rPr>
                <w:b w:val="0"/>
              </w:rPr>
              <w:t xml:space="preserve"> for transport purposes (with a post-2004 vehicle fleet) and 10,000</w:t>
            </w:r>
            <w:r w:rsidR="009B17DA">
              <w:rPr>
                <w:b w:val="0"/>
              </w:rPr>
              <w:t> </w:t>
            </w:r>
            <w:proofErr w:type="spellStart"/>
            <w:r w:rsidRPr="00065B1A">
              <w:rPr>
                <w:b w:val="0"/>
              </w:rPr>
              <w:t>kL</w:t>
            </w:r>
            <w:proofErr w:type="spellEnd"/>
            <w:r w:rsidRPr="00065B1A">
              <w:rPr>
                <w:b w:val="0"/>
              </w:rPr>
              <w:t xml:space="preserve"> for stationary energy purposes. The reporter elects to use </w:t>
            </w:r>
            <w:r w:rsidR="686823B5">
              <w:rPr>
                <w:b w:val="0"/>
              </w:rPr>
              <w:t>M</w:t>
            </w:r>
            <w:r w:rsidRPr="00065B1A">
              <w:rPr>
                <w:b w:val="0"/>
              </w:rPr>
              <w:t xml:space="preserve">ethod 1 (Division 2.4.2 of the NGER Measurement Determination) for each of the </w:t>
            </w:r>
            <w:r w:rsidR="007755FF" w:rsidRPr="00065B1A">
              <w:rPr>
                <w:b w:val="0"/>
              </w:rPr>
              <w:t xml:space="preserve">3 </w:t>
            </w:r>
            <w:r w:rsidRPr="00065B1A">
              <w:rPr>
                <w:b w:val="0"/>
              </w:rPr>
              <w:t xml:space="preserve">greenhouse emission gases (j) (carbon dioxide, methane and nitrous oxide) for the diesel consumed for stationary energy purposes and </w:t>
            </w:r>
            <w:r w:rsidR="1EC496ED">
              <w:rPr>
                <w:b w:val="0"/>
              </w:rPr>
              <w:t>M</w:t>
            </w:r>
            <w:r w:rsidRPr="00065B1A">
              <w:rPr>
                <w:b w:val="0"/>
              </w:rPr>
              <w:t>ethod 2 (Division 2.4.5 of the NGER Measurement Determination) for methane and nitrous oxide emissions from diesel consumed for transport by post 2004 vehicles.</w:t>
            </w:r>
          </w:p>
          <w:p w14:paraId="06033FB5" w14:textId="77777777" w:rsidR="001C3815" w:rsidRPr="00065B1A" w:rsidRDefault="001C3815">
            <w:pPr>
              <w:rPr>
                <w:b w:val="0"/>
              </w:rPr>
            </w:pPr>
            <w:r w:rsidRPr="00065B1A">
              <w:rPr>
                <w:b w:val="0"/>
              </w:rPr>
              <w:t>Emissions for the diesel consumed for stationary energy purposes are estimated as follows:</w:t>
            </w:r>
          </w:p>
          <w:p w14:paraId="45AFC27B" w14:textId="044FB32E" w:rsidR="001C3815" w:rsidRPr="00065B1A" w:rsidRDefault="004430EE">
            <w:pPr>
              <w:rPr>
                <w:b w:val="0"/>
                <w:sz w:val="28"/>
                <w:szCs w:val="28"/>
              </w:rPr>
            </w:pPr>
            <m:oMathPara>
              <m:oMathParaPr>
                <m:jc m:val="left"/>
              </m:oMathParaPr>
              <m:oMath>
                <m:sSub>
                  <m:sSubPr>
                    <m:ctrlPr>
                      <w:rPr>
                        <w:rFonts w:ascii="Cambria Math" w:hAnsi="Cambria Math"/>
                        <w:b w:val="0"/>
                        <w:sz w:val="28"/>
                        <w:szCs w:val="28"/>
                      </w:rPr>
                    </m:ctrlPr>
                  </m:sSubPr>
                  <m:e>
                    <m:r>
                      <m:rPr>
                        <m:sty m:val="b"/>
                      </m:rPr>
                      <w:rPr>
                        <w:rFonts w:ascii="Cambria Math" w:hAnsi="Cambria Math"/>
                        <w:sz w:val="28"/>
                        <w:szCs w:val="28"/>
                      </w:rPr>
                      <m:t>E</m:t>
                    </m:r>
                  </m:e>
                  <m:sub>
                    <m:r>
                      <m:rPr>
                        <m:sty m:val="b"/>
                      </m:rPr>
                      <w:rPr>
                        <w:rFonts w:ascii="Cambria Math" w:hAnsi="Cambria Math"/>
                        <w:sz w:val="28"/>
                        <w:szCs w:val="28"/>
                      </w:rPr>
                      <m:t>ij</m:t>
                    </m:r>
                  </m:sub>
                </m:sSub>
                <m:r>
                  <m:rPr>
                    <m:sty m:val="b"/>
                  </m:rPr>
                  <w:rPr>
                    <w:rFonts w:ascii="Cambria Math" w:hAnsi="Cambria Math"/>
                    <w:sz w:val="28"/>
                    <w:szCs w:val="28"/>
                  </w:rPr>
                  <m:t xml:space="preserve">= </m:t>
                </m:r>
                <m:f>
                  <m:fPr>
                    <m:ctrlPr>
                      <w:rPr>
                        <w:rFonts w:ascii="Cambria Math" w:hAnsi="Cambria Math"/>
                        <w:b w:val="0"/>
                        <w:sz w:val="28"/>
                        <w:szCs w:val="28"/>
                      </w:rPr>
                    </m:ctrlPr>
                  </m:fPr>
                  <m:num>
                    <m:sSub>
                      <m:sSubPr>
                        <m:ctrlPr>
                          <w:rPr>
                            <w:rFonts w:ascii="Cambria Math" w:hAnsi="Cambria Math"/>
                            <w:b w:val="0"/>
                            <w:sz w:val="28"/>
                            <w:szCs w:val="28"/>
                          </w:rPr>
                        </m:ctrlPr>
                      </m:sSubPr>
                      <m:e>
                        <m:r>
                          <m:rPr>
                            <m:sty m:val="b"/>
                          </m:rPr>
                          <w:rPr>
                            <w:rFonts w:ascii="Cambria Math" w:hAnsi="Cambria Math"/>
                            <w:sz w:val="28"/>
                            <w:szCs w:val="28"/>
                          </w:rPr>
                          <m:t>Q</m:t>
                        </m:r>
                      </m:e>
                      <m:sub>
                        <m:r>
                          <m:rPr>
                            <m:sty m:val="b"/>
                          </m:rPr>
                          <w:rPr>
                            <w:rFonts w:ascii="Cambria Math" w:hAnsi="Cambria Math"/>
                            <w:sz w:val="28"/>
                            <w:szCs w:val="28"/>
                          </w:rPr>
                          <m:t>i</m:t>
                        </m:r>
                      </m:sub>
                    </m:sSub>
                    <m:r>
                      <m:rPr>
                        <m:sty m:val="b"/>
                      </m:rPr>
                      <w:rPr>
                        <w:rFonts w:ascii="Cambria Math" w:hAnsi="Cambria Math"/>
                        <w:sz w:val="28"/>
                        <w:szCs w:val="28"/>
                      </w:rPr>
                      <m:t>×</m:t>
                    </m:r>
                    <m:sSub>
                      <m:sSubPr>
                        <m:ctrlPr>
                          <w:rPr>
                            <w:rFonts w:ascii="Cambria Math" w:hAnsi="Cambria Math"/>
                            <w:b w:val="0"/>
                            <w:sz w:val="28"/>
                            <w:szCs w:val="28"/>
                          </w:rPr>
                        </m:ctrlPr>
                      </m:sSubPr>
                      <m:e>
                        <m:r>
                          <m:rPr>
                            <m:sty m:val="b"/>
                          </m:rPr>
                          <w:rPr>
                            <w:rFonts w:ascii="Cambria Math" w:hAnsi="Cambria Math"/>
                            <w:sz w:val="28"/>
                            <w:szCs w:val="28"/>
                          </w:rPr>
                          <m:t>EC</m:t>
                        </m:r>
                      </m:e>
                      <m:sub>
                        <m:r>
                          <m:rPr>
                            <m:sty m:val="b"/>
                          </m:rPr>
                          <w:rPr>
                            <w:rFonts w:ascii="Cambria Math" w:hAnsi="Cambria Math"/>
                            <w:sz w:val="28"/>
                            <w:szCs w:val="28"/>
                          </w:rPr>
                          <m:t>i</m:t>
                        </m:r>
                      </m:sub>
                    </m:sSub>
                    <m:r>
                      <m:rPr>
                        <m:sty m:val="b"/>
                      </m:rPr>
                      <w:rPr>
                        <w:rFonts w:ascii="Cambria Math" w:hAnsi="Cambria Math"/>
                        <w:sz w:val="28"/>
                        <w:szCs w:val="28"/>
                      </w:rPr>
                      <m:t>×</m:t>
                    </m:r>
                    <m:sSub>
                      <m:sSubPr>
                        <m:ctrlPr>
                          <w:rPr>
                            <w:rFonts w:ascii="Cambria Math" w:hAnsi="Cambria Math"/>
                            <w:b w:val="0"/>
                            <w:sz w:val="28"/>
                            <w:szCs w:val="28"/>
                          </w:rPr>
                        </m:ctrlPr>
                      </m:sSubPr>
                      <m:e>
                        <m:r>
                          <m:rPr>
                            <m:sty m:val="b"/>
                          </m:rPr>
                          <w:rPr>
                            <w:rFonts w:ascii="Cambria Math" w:hAnsi="Cambria Math"/>
                            <w:sz w:val="28"/>
                            <w:szCs w:val="28"/>
                          </w:rPr>
                          <m:t>EF</m:t>
                        </m:r>
                      </m:e>
                      <m:sub>
                        <m:r>
                          <m:rPr>
                            <m:sty m:val="b"/>
                          </m:rPr>
                          <w:rPr>
                            <w:rFonts w:ascii="Cambria Math" w:hAnsi="Cambria Math"/>
                            <w:sz w:val="28"/>
                            <w:szCs w:val="28"/>
                          </w:rPr>
                          <m:t>ijoxec</m:t>
                        </m:r>
                      </m:sub>
                    </m:sSub>
                  </m:num>
                  <m:den>
                    <m:r>
                      <m:rPr>
                        <m:sty m:val="b"/>
                      </m:rPr>
                      <w:rPr>
                        <w:rFonts w:ascii="Cambria Math" w:hAnsi="Cambria Math"/>
                        <w:sz w:val="28"/>
                        <w:szCs w:val="28"/>
                      </w:rPr>
                      <m:t>1,000</m:t>
                    </m:r>
                  </m:den>
                </m:f>
              </m:oMath>
            </m:oMathPara>
          </w:p>
          <w:p w14:paraId="02C4C1F7" w14:textId="77777777" w:rsidR="001C3815" w:rsidRPr="00065B1A" w:rsidRDefault="001C3815">
            <w:pPr>
              <w:rPr>
                <w:b w:val="0"/>
              </w:rPr>
            </w:pPr>
            <w:r w:rsidRPr="00065B1A">
              <w:rPr>
                <w:b w:val="0"/>
              </w:rPr>
              <w:t xml:space="preserve"> </w:t>
            </w:r>
          </w:p>
          <w:p w14:paraId="5151D149" w14:textId="77777777" w:rsidR="001C3815" w:rsidRPr="00065B1A" w:rsidRDefault="001C3815">
            <w:pPr>
              <w:rPr>
                <w:b w:val="0"/>
              </w:rPr>
            </w:pPr>
            <w:r w:rsidRPr="00065B1A">
              <w:rPr>
                <w:b w:val="0"/>
              </w:rPr>
              <w:t>where:</w:t>
            </w:r>
          </w:p>
          <w:p w14:paraId="4AD6ABF9" w14:textId="3909803F" w:rsidR="001C3815" w:rsidRPr="00065B1A" w:rsidRDefault="001C3815">
            <w:pPr>
              <w:rPr>
                <w:b w:val="0"/>
              </w:rPr>
            </w:pPr>
            <w:proofErr w:type="spellStart"/>
            <w:r w:rsidRPr="00065B1A">
              <w:rPr>
                <w:b w:val="0"/>
                <w:i/>
                <w:iCs/>
              </w:rPr>
              <w:t>E</w:t>
            </w:r>
            <w:r w:rsidRPr="00065B1A">
              <w:rPr>
                <w:b w:val="0"/>
                <w:i/>
                <w:iCs/>
                <w:vertAlign w:val="subscript"/>
              </w:rPr>
              <w:t>ij</w:t>
            </w:r>
            <w:proofErr w:type="spellEnd"/>
            <w:r w:rsidRPr="00065B1A">
              <w:rPr>
                <w:b w:val="0"/>
                <w:i/>
                <w:iCs/>
              </w:rPr>
              <w:t xml:space="preserve"> </w:t>
            </w:r>
            <w:r w:rsidRPr="00065B1A">
              <w:rPr>
                <w:b w:val="0"/>
              </w:rPr>
              <w:t>is emissions of gas type (j) released from the combustion of fuel type (</w:t>
            </w:r>
            <w:proofErr w:type="spellStart"/>
            <w:r w:rsidRPr="00065B1A">
              <w:rPr>
                <w:b w:val="0"/>
              </w:rPr>
              <w:t>i</w:t>
            </w:r>
            <w:proofErr w:type="spellEnd"/>
            <w:r w:rsidRPr="00065B1A">
              <w:rPr>
                <w:b w:val="0"/>
              </w:rPr>
              <w:t xml:space="preserve">) from the operation of the facility during the year measured in </w:t>
            </w:r>
            <w:r w:rsidR="009F4036">
              <w:rPr>
                <w:b w:val="0"/>
              </w:rPr>
              <w:t>t </w:t>
            </w:r>
            <w:r w:rsidRPr="00065B1A">
              <w:rPr>
                <w:b w:val="0"/>
              </w:rPr>
              <w:t>CO</w:t>
            </w:r>
            <w:r w:rsidRPr="00065B1A">
              <w:rPr>
                <w:b w:val="0"/>
                <w:vertAlign w:val="subscript"/>
              </w:rPr>
              <w:t>2</w:t>
            </w:r>
            <w:r w:rsidR="009F4036">
              <w:rPr>
                <w:b w:val="0"/>
              </w:rPr>
              <w:t>-</w:t>
            </w:r>
            <w:r w:rsidRPr="00065B1A">
              <w:rPr>
                <w:b w:val="0"/>
              </w:rPr>
              <w:t>e.</w:t>
            </w:r>
          </w:p>
          <w:p w14:paraId="289040C2" w14:textId="09450083" w:rsidR="001C3815" w:rsidRPr="00065B1A" w:rsidRDefault="001C3815">
            <w:pPr>
              <w:rPr>
                <w:b w:val="0"/>
              </w:rPr>
            </w:pPr>
            <w:r w:rsidRPr="00065B1A">
              <w:rPr>
                <w:b w:val="0"/>
              </w:rPr>
              <w:t>Q</w:t>
            </w:r>
            <w:r w:rsidRPr="00065B1A">
              <w:rPr>
                <w:b w:val="0"/>
                <w:vertAlign w:val="subscript"/>
              </w:rPr>
              <w:t>i</w:t>
            </w:r>
            <w:r w:rsidRPr="00065B1A">
              <w:rPr>
                <w:b w:val="0"/>
              </w:rPr>
              <w:t xml:space="preserve"> is the quantity of the fuel type (</w:t>
            </w:r>
            <w:proofErr w:type="spellStart"/>
            <w:r w:rsidRPr="00065B1A">
              <w:rPr>
                <w:b w:val="0"/>
              </w:rPr>
              <w:t>i</w:t>
            </w:r>
            <w:proofErr w:type="spellEnd"/>
            <w:r w:rsidRPr="00065B1A">
              <w:rPr>
                <w:b w:val="0"/>
              </w:rPr>
              <w:t>) combusted from the operation of the facility during the year measured in tonnes and estimated under Division 2.4.6. In this case 25,000</w:t>
            </w:r>
            <w:r w:rsidR="009F4036">
              <w:rPr>
                <w:b w:val="0"/>
              </w:rPr>
              <w:t> </w:t>
            </w:r>
            <w:proofErr w:type="spellStart"/>
            <w:r w:rsidRPr="00065B1A">
              <w:rPr>
                <w:b w:val="0"/>
              </w:rPr>
              <w:t>kL</w:t>
            </w:r>
            <w:proofErr w:type="spellEnd"/>
            <w:r w:rsidRPr="00065B1A">
              <w:rPr>
                <w:b w:val="0"/>
              </w:rPr>
              <w:t xml:space="preserve"> of diesel is used for transport </w:t>
            </w:r>
            <w:proofErr w:type="gramStart"/>
            <w:r w:rsidRPr="00065B1A">
              <w:rPr>
                <w:b w:val="0"/>
              </w:rPr>
              <w:t>purposes</w:t>
            </w:r>
            <w:proofErr w:type="gramEnd"/>
            <w:r w:rsidRPr="00065B1A">
              <w:rPr>
                <w:b w:val="0"/>
              </w:rPr>
              <w:t xml:space="preserve"> and 10,000</w:t>
            </w:r>
            <w:r w:rsidR="009F4036">
              <w:rPr>
                <w:b w:val="0"/>
              </w:rPr>
              <w:t> </w:t>
            </w:r>
            <w:proofErr w:type="spellStart"/>
            <w:r w:rsidRPr="00065B1A">
              <w:rPr>
                <w:b w:val="0"/>
              </w:rPr>
              <w:t>kL</w:t>
            </w:r>
            <w:proofErr w:type="spellEnd"/>
            <w:r w:rsidRPr="00065B1A">
              <w:rPr>
                <w:b w:val="0"/>
              </w:rPr>
              <w:t xml:space="preserve"> of diesel is for stationary energy purposes.</w:t>
            </w:r>
          </w:p>
          <w:p w14:paraId="41110906" w14:textId="77777777" w:rsidR="001C3815" w:rsidRPr="00065B1A" w:rsidRDefault="001C3815">
            <w:pPr>
              <w:rPr>
                <w:b w:val="0"/>
              </w:rPr>
            </w:pPr>
            <w:r w:rsidRPr="00065B1A">
              <w:rPr>
                <w:b w:val="0"/>
                <w:i/>
                <w:iCs/>
              </w:rPr>
              <w:t>EC</w:t>
            </w:r>
            <w:r w:rsidRPr="00065B1A">
              <w:rPr>
                <w:b w:val="0"/>
                <w:i/>
                <w:iCs/>
                <w:vertAlign w:val="subscript"/>
              </w:rPr>
              <w:t>i</w:t>
            </w:r>
            <w:r w:rsidRPr="00065B1A">
              <w:rPr>
                <w:b w:val="0"/>
              </w:rPr>
              <w:t xml:space="preserve"> is the energy content factor of fuel type (</w:t>
            </w:r>
            <w:proofErr w:type="spellStart"/>
            <w:r w:rsidRPr="00065B1A">
              <w:rPr>
                <w:b w:val="0"/>
              </w:rPr>
              <w:t>i</w:t>
            </w:r>
            <w:proofErr w:type="spellEnd"/>
            <w:r w:rsidRPr="00065B1A">
              <w:rPr>
                <w:b w:val="0"/>
              </w:rPr>
              <w:t>) estimated under section 6.5</w:t>
            </w:r>
          </w:p>
          <w:p w14:paraId="45940E03" w14:textId="4F616ED2" w:rsidR="001C3815" w:rsidRPr="00065B1A" w:rsidRDefault="001C3815" w:rsidP="001C3815">
            <w:pPr>
              <w:pStyle w:val="CERbullets"/>
              <w:numPr>
                <w:ilvl w:val="0"/>
                <w:numId w:val="56"/>
              </w:numPr>
              <w:spacing w:beforeAutospacing="0"/>
              <w:rPr>
                <w:b w:val="0"/>
              </w:rPr>
            </w:pPr>
            <w:r w:rsidRPr="00065B1A">
              <w:rPr>
                <w:b w:val="0"/>
              </w:rPr>
              <w:t xml:space="preserve">for stationary energy purposes — column 3 of part 3 of schedule 1 of the NGER Measurement Determination. In this case being 38.6 </w:t>
            </w:r>
            <w:r w:rsidR="00762DC0">
              <w:rPr>
                <w:b w:val="0"/>
              </w:rPr>
              <w:t>gigajoules per kilolitre</w:t>
            </w:r>
            <w:r w:rsidR="009F4036">
              <w:rPr>
                <w:b w:val="0"/>
              </w:rPr>
              <w:t> </w:t>
            </w:r>
            <w:r w:rsidR="00762DC0">
              <w:rPr>
                <w:b w:val="0"/>
              </w:rPr>
              <w:t>(</w:t>
            </w:r>
            <w:r w:rsidRPr="00065B1A">
              <w:rPr>
                <w:b w:val="0"/>
              </w:rPr>
              <w:t>GJ/</w:t>
            </w:r>
            <w:proofErr w:type="spellStart"/>
            <w:r w:rsidRPr="00065B1A">
              <w:rPr>
                <w:b w:val="0"/>
              </w:rPr>
              <w:t>kL</w:t>
            </w:r>
            <w:proofErr w:type="spellEnd"/>
            <w:r w:rsidR="00762DC0">
              <w:rPr>
                <w:b w:val="0"/>
              </w:rPr>
              <w:t>)</w:t>
            </w:r>
            <w:r w:rsidRPr="00065B1A">
              <w:rPr>
                <w:b w:val="0"/>
              </w:rPr>
              <w:t>.</w:t>
            </w:r>
          </w:p>
          <w:p w14:paraId="5BEA52F8" w14:textId="622ED058" w:rsidR="001C3815" w:rsidRPr="00065B1A" w:rsidRDefault="001C3815" w:rsidP="001C3815">
            <w:pPr>
              <w:pStyle w:val="CERbullets"/>
              <w:numPr>
                <w:ilvl w:val="0"/>
                <w:numId w:val="56"/>
              </w:numPr>
              <w:spacing w:beforeAutospacing="0"/>
              <w:rPr>
                <w:b w:val="0"/>
              </w:rPr>
            </w:pPr>
            <w:r w:rsidRPr="00065B1A">
              <w:rPr>
                <w:b w:val="0"/>
              </w:rPr>
              <w:t>for post 2004 vehicles — column 3 of Division 4.2 of part 4 of schedule 1 of the NGER Measurement Determination. In this case being 38.6</w:t>
            </w:r>
            <w:r w:rsidR="00762DC0">
              <w:rPr>
                <w:b w:val="0"/>
              </w:rPr>
              <w:t> </w:t>
            </w:r>
            <w:r w:rsidRPr="00065B1A">
              <w:rPr>
                <w:b w:val="0"/>
              </w:rPr>
              <w:t>GJ/</w:t>
            </w:r>
            <w:proofErr w:type="spellStart"/>
            <w:r w:rsidRPr="00065B1A">
              <w:rPr>
                <w:b w:val="0"/>
              </w:rPr>
              <w:t>kL</w:t>
            </w:r>
            <w:proofErr w:type="spellEnd"/>
            <w:r w:rsidRPr="00065B1A">
              <w:rPr>
                <w:b w:val="0"/>
              </w:rPr>
              <w:t>.</w:t>
            </w:r>
          </w:p>
          <w:p w14:paraId="477DD1AE" w14:textId="4E451E38" w:rsidR="001C3815" w:rsidRPr="00065B1A" w:rsidRDefault="001C3815">
            <w:pPr>
              <w:rPr>
                <w:b w:val="0"/>
              </w:rPr>
            </w:pPr>
            <w:proofErr w:type="spellStart"/>
            <w:r w:rsidRPr="00065B1A">
              <w:rPr>
                <w:b w:val="0"/>
              </w:rPr>
              <w:t>EF</w:t>
            </w:r>
            <w:r w:rsidRPr="00065B1A">
              <w:rPr>
                <w:b w:val="0"/>
                <w:vertAlign w:val="subscript"/>
              </w:rPr>
              <w:t>ijoxec</w:t>
            </w:r>
            <w:proofErr w:type="spellEnd"/>
            <w:r w:rsidRPr="00065B1A">
              <w:rPr>
                <w:b w:val="0"/>
              </w:rPr>
              <w:t xml:space="preserve"> is the emission factor for each gas type (j) released from the operation of the facility during the year (which includes the effect of a default oxidation factor) measured in </w:t>
            </w:r>
            <w:r w:rsidR="003228C5">
              <w:rPr>
                <w:b w:val="0"/>
              </w:rPr>
              <w:t>kg </w:t>
            </w:r>
            <w:r w:rsidRPr="00065B1A">
              <w:rPr>
                <w:b w:val="0"/>
              </w:rPr>
              <w:t>CO</w:t>
            </w:r>
            <w:r w:rsidRPr="00065B1A">
              <w:rPr>
                <w:b w:val="0"/>
                <w:vertAlign w:val="subscript"/>
              </w:rPr>
              <w:t>2</w:t>
            </w:r>
            <w:r w:rsidR="005F27BD">
              <w:rPr>
                <w:b w:val="0"/>
              </w:rPr>
              <w:t>-</w:t>
            </w:r>
            <w:r w:rsidRPr="00065B1A">
              <w:rPr>
                <w:b w:val="0"/>
              </w:rPr>
              <w:t>e</w:t>
            </w:r>
            <w:r w:rsidR="003228C5">
              <w:rPr>
                <w:b w:val="0"/>
              </w:rPr>
              <w:t>/</w:t>
            </w:r>
            <w:r w:rsidRPr="00065B1A">
              <w:rPr>
                <w:b w:val="0"/>
              </w:rPr>
              <w:t>GJ of the fuel type (</w:t>
            </w:r>
            <w:proofErr w:type="spellStart"/>
            <w:r w:rsidRPr="00065B1A">
              <w:rPr>
                <w:b w:val="0"/>
              </w:rPr>
              <w:t>i</w:t>
            </w:r>
            <w:proofErr w:type="spellEnd"/>
            <w:r w:rsidRPr="00065B1A">
              <w:rPr>
                <w:b w:val="0"/>
              </w:rPr>
              <w:t>) according to source as mentioned in:</w:t>
            </w:r>
          </w:p>
          <w:p w14:paraId="40E1D508" w14:textId="5FDB0ED8" w:rsidR="001C3815" w:rsidRPr="00065B1A" w:rsidRDefault="001C3815">
            <w:pPr>
              <w:rPr>
                <w:b w:val="0"/>
              </w:rPr>
            </w:pPr>
            <w:r w:rsidRPr="00065B1A">
              <w:rPr>
                <w:b w:val="0"/>
              </w:rPr>
              <w:t>(a) for stationary energy purposes — columns 4</w:t>
            </w:r>
            <w:r w:rsidR="009B485C">
              <w:rPr>
                <w:b w:val="0"/>
              </w:rPr>
              <w:t>–</w:t>
            </w:r>
            <w:r w:rsidRPr="00065B1A">
              <w:rPr>
                <w:b w:val="0"/>
              </w:rPr>
              <w:t>6 of part 3 of schedule 1 of the NGER Measurement Determination; and</w:t>
            </w:r>
          </w:p>
          <w:p w14:paraId="32B65F0F" w14:textId="3F9EC6F6" w:rsidR="001C3815" w:rsidRPr="00065B1A" w:rsidRDefault="001C3815">
            <w:pPr>
              <w:rPr>
                <w:b w:val="0"/>
              </w:rPr>
            </w:pPr>
            <w:r w:rsidRPr="00065B1A">
              <w:rPr>
                <w:b w:val="0"/>
              </w:rPr>
              <w:t>(b) for post 2004 vehicles — column 4</w:t>
            </w:r>
            <w:r w:rsidR="009B485C">
              <w:rPr>
                <w:b w:val="0"/>
              </w:rPr>
              <w:t>–</w:t>
            </w:r>
            <w:r w:rsidRPr="00065B1A">
              <w:rPr>
                <w:b w:val="0"/>
              </w:rPr>
              <w:t>6 of Division 4.2 of part 4 of schedule 1 of the NGER Measurement Determination.</w:t>
            </w:r>
          </w:p>
          <w:p w14:paraId="1969A369" w14:textId="72444136" w:rsidR="001C3815" w:rsidRPr="00065B1A" w:rsidRDefault="001C3815">
            <w:pPr>
              <w:rPr>
                <w:b w:val="0"/>
              </w:rPr>
            </w:pPr>
            <w:r w:rsidRPr="00065B1A">
              <w:rPr>
                <w:b w:val="0"/>
              </w:rPr>
              <w:t xml:space="preserve">Therefore, emissions of greenhouse gases (carbon dioxide, methane and nitrous oxide) </w:t>
            </w:r>
            <w:r w:rsidR="00072EDB" w:rsidRPr="00065B1A">
              <w:rPr>
                <w:b w:val="0"/>
              </w:rPr>
              <w:t>in</w:t>
            </w:r>
            <w:r w:rsidRPr="00065B1A">
              <w:rPr>
                <w:b w:val="0"/>
              </w:rPr>
              <w:t xml:space="preserve"> t</w:t>
            </w:r>
            <w:r w:rsidR="00072EDB">
              <w:rPr>
                <w:b w:val="0"/>
              </w:rPr>
              <w:t> </w:t>
            </w:r>
            <w:r w:rsidRPr="00065B1A">
              <w:rPr>
                <w:b w:val="0"/>
              </w:rPr>
              <w:t>CO</w:t>
            </w:r>
            <w:r w:rsidRPr="00065B1A">
              <w:rPr>
                <w:b w:val="0"/>
                <w:vertAlign w:val="subscript"/>
              </w:rPr>
              <w:t>2</w:t>
            </w:r>
            <w:r w:rsidR="00762DC0">
              <w:rPr>
                <w:b w:val="0"/>
              </w:rPr>
              <w:t>-</w:t>
            </w:r>
            <w:r w:rsidRPr="00065B1A">
              <w:rPr>
                <w:b w:val="0"/>
              </w:rPr>
              <w:t xml:space="preserve">e are estimated as follows: </w:t>
            </w:r>
          </w:p>
          <w:p w14:paraId="04AEA846" w14:textId="3F86B353" w:rsidR="001C3815" w:rsidRPr="00065B1A" w:rsidRDefault="001C3815">
            <w:pPr>
              <w:rPr>
                <w:b w:val="0"/>
              </w:rPr>
            </w:pPr>
            <w:r w:rsidRPr="00065B1A">
              <w:rPr>
                <w:b w:val="0"/>
              </w:rPr>
              <w:t>Combustion of diesel oil for stationary energy purposes (</w:t>
            </w:r>
            <w:r w:rsidR="7FD31633">
              <w:rPr>
                <w:b w:val="0"/>
              </w:rPr>
              <w:t>M</w:t>
            </w:r>
            <w:r w:rsidRPr="00065B1A">
              <w:rPr>
                <w:b w:val="0"/>
              </w:rPr>
              <w:t xml:space="preserve">ethod 1): </w:t>
            </w:r>
          </w:p>
          <w:p w14:paraId="3B7A3097" w14:textId="34D4ACB3" w:rsidR="001C3815" w:rsidRPr="00065B1A" w:rsidRDefault="001C3815">
            <w:pPr>
              <w:rPr>
                <w:b w:val="0"/>
              </w:rPr>
            </w:pPr>
            <w:r w:rsidRPr="00065B1A">
              <w:rPr>
                <w:b w:val="0"/>
              </w:rPr>
              <w:lastRenderedPageBreak/>
              <w:t>Emissions of carbon dioxide = (10,000 x 38.6 x 69.9)/1,000 = 26,981</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-e</w:t>
            </w:r>
          </w:p>
          <w:p w14:paraId="59A6DC4F" w14:textId="2DFCBF7C" w:rsidR="001C3815" w:rsidRPr="00065B1A" w:rsidRDefault="001C3815">
            <w:pPr>
              <w:rPr>
                <w:b w:val="0"/>
              </w:rPr>
            </w:pPr>
            <w:r w:rsidRPr="00065B1A">
              <w:rPr>
                <w:b w:val="0"/>
              </w:rPr>
              <w:t>Emissions of methane = (10,000 x 38.6 x 0.1)/1,000 = 39</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-e</w:t>
            </w:r>
          </w:p>
          <w:p w14:paraId="715E992A" w14:textId="5520A61C" w:rsidR="001C3815" w:rsidRPr="00065B1A" w:rsidRDefault="001C3815">
            <w:pPr>
              <w:rPr>
                <w:b w:val="0"/>
              </w:rPr>
            </w:pPr>
            <w:r w:rsidRPr="00065B1A">
              <w:rPr>
                <w:b w:val="0"/>
              </w:rPr>
              <w:t>Emissions of nitrous oxide = (10,000 x 38.6 x 0.2)/1,000 = 77</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-e</w:t>
            </w:r>
          </w:p>
          <w:p w14:paraId="5526D1A0" w14:textId="77777777" w:rsidR="001C3815" w:rsidRPr="00065B1A" w:rsidRDefault="001C3815">
            <w:pPr>
              <w:rPr>
                <w:b w:val="0"/>
              </w:rPr>
            </w:pPr>
            <w:r w:rsidRPr="00065B1A">
              <w:rPr>
                <w:b w:val="0"/>
              </w:rPr>
              <w:t xml:space="preserve">Combustion of diesel oil for transport purposes for post-2004 vehicles: </w:t>
            </w:r>
          </w:p>
          <w:p w14:paraId="4D44BA38" w14:textId="45DA785F" w:rsidR="001C3815" w:rsidRPr="00065B1A" w:rsidRDefault="001C3815">
            <w:pPr>
              <w:rPr>
                <w:b w:val="0"/>
              </w:rPr>
            </w:pPr>
            <w:r w:rsidRPr="00065B1A">
              <w:rPr>
                <w:b w:val="0"/>
              </w:rPr>
              <w:t>Emissions of carbon dioxide = (25,000 x 38.6 x 69.9)/1,000 = 67,454</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 xml:space="preserve">-e </w:t>
            </w:r>
          </w:p>
          <w:p w14:paraId="60A8E10A" w14:textId="11BBB3DD" w:rsidR="001C3815" w:rsidRPr="00065B1A" w:rsidRDefault="001C3815">
            <w:pPr>
              <w:rPr>
                <w:b w:val="0"/>
              </w:rPr>
            </w:pPr>
            <w:r w:rsidRPr="00065B1A">
              <w:rPr>
                <w:b w:val="0"/>
              </w:rPr>
              <w:t>Emissions of methane (</w:t>
            </w:r>
            <w:r w:rsidR="124E3197">
              <w:rPr>
                <w:b w:val="0"/>
              </w:rPr>
              <w:t>M</w:t>
            </w:r>
            <w:r w:rsidRPr="00065B1A">
              <w:rPr>
                <w:b w:val="0"/>
              </w:rPr>
              <w:t>ethod 2) = (25,000 x 38.6 x 0.01)/1,000 = 10</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-e</w:t>
            </w:r>
          </w:p>
          <w:p w14:paraId="49CE2FA6" w14:textId="04873996" w:rsidR="001C3815" w:rsidRPr="00F149D6" w:rsidRDefault="001C3815">
            <w:r w:rsidRPr="00065B1A">
              <w:rPr>
                <w:b w:val="0"/>
              </w:rPr>
              <w:t>Emissions of nitrous oxide (</w:t>
            </w:r>
            <w:r w:rsidR="2A24D5FF">
              <w:rPr>
                <w:b w:val="0"/>
              </w:rPr>
              <w:t>M</w:t>
            </w:r>
            <w:r w:rsidRPr="00065B1A">
              <w:rPr>
                <w:b w:val="0"/>
              </w:rPr>
              <w:t>ethod 2) = (25,000 x 38.6 x 0.5)/1,000 = 483</w:t>
            </w:r>
            <w:r w:rsidR="00072EDB">
              <w:rPr>
                <w:b w:val="0"/>
              </w:rPr>
              <w:t> </w:t>
            </w:r>
            <w:r w:rsidRPr="00065B1A">
              <w:rPr>
                <w:b w:val="0"/>
              </w:rPr>
              <w:t>t</w:t>
            </w:r>
            <w:r w:rsidR="00072EDB">
              <w:rPr>
                <w:b w:val="0"/>
              </w:rPr>
              <w:t> </w:t>
            </w:r>
            <w:r w:rsidRPr="00065B1A">
              <w:rPr>
                <w:b w:val="0"/>
              </w:rPr>
              <w:t>CO</w:t>
            </w:r>
            <w:r w:rsidRPr="00065B1A">
              <w:rPr>
                <w:b w:val="0"/>
                <w:vertAlign w:val="subscript"/>
              </w:rPr>
              <w:t>2</w:t>
            </w:r>
            <w:r w:rsidRPr="00065B1A">
              <w:rPr>
                <w:b w:val="0"/>
              </w:rPr>
              <w:t>-e</w:t>
            </w:r>
          </w:p>
        </w:tc>
      </w:tr>
    </w:tbl>
    <w:p w14:paraId="4CED8224" w14:textId="190E4C7F" w:rsidR="001C3815" w:rsidRDefault="001C3815" w:rsidP="00C06A90">
      <w:pPr>
        <w:pStyle w:val="Heading3"/>
        <w:numPr>
          <w:ilvl w:val="2"/>
          <w:numId w:val="49"/>
        </w:numPr>
      </w:pPr>
      <w:bookmarkStart w:id="143" w:name="_Toc423516812"/>
      <w:bookmarkStart w:id="144" w:name="_Toc495652732"/>
      <w:bookmarkStart w:id="145" w:name="_Toc43983128"/>
      <w:bookmarkStart w:id="146" w:name="_Toc76565711"/>
      <w:bookmarkStart w:id="147" w:name="_Toc235613580"/>
      <w:r w:rsidRPr="006D32BD">
        <w:lastRenderedPageBreak/>
        <w:t xml:space="preserve">Methods for estimating emissions from </w:t>
      </w:r>
      <w:r>
        <w:t>petroleum-based</w:t>
      </w:r>
      <w:r w:rsidRPr="006D32BD">
        <w:t xml:space="preserve"> oils </w:t>
      </w:r>
      <w:bookmarkEnd w:id="143"/>
      <w:bookmarkEnd w:id="144"/>
      <w:bookmarkEnd w:id="145"/>
      <w:bookmarkEnd w:id="146"/>
      <w:r w:rsidR="00C508F4">
        <w:t>when used as fuel</w:t>
      </w:r>
      <w:bookmarkEnd w:id="147"/>
    </w:p>
    <w:p w14:paraId="5D7A70E5" w14:textId="2082CFAD" w:rsidR="00517B3B" w:rsidRDefault="00AF65B2" w:rsidP="00C7293A">
      <w:r>
        <w:t>P</w:t>
      </w:r>
      <w:r w:rsidR="001E0ABF">
        <w:t>etroleum-based oils (</w:t>
      </w:r>
      <w:r w:rsidR="005843BD">
        <w:t>PBOs</w:t>
      </w:r>
      <w:r w:rsidR="001E0ABF">
        <w:t>)</w:t>
      </w:r>
      <w:r w:rsidR="005843BD">
        <w:t xml:space="preserve"> are </w:t>
      </w:r>
      <w:r w:rsidR="00517B3B">
        <w:t xml:space="preserve">considered to have been ‘used as a fuel’ when they are combusted: </w:t>
      </w:r>
    </w:p>
    <w:p w14:paraId="3596E05C" w14:textId="57CA5FFC" w:rsidR="00517B3B" w:rsidRDefault="00C610CA" w:rsidP="005E2132">
      <w:pPr>
        <w:pStyle w:val="CERbullets"/>
      </w:pPr>
      <w:r>
        <w:t>to produce heat or electricity</w:t>
      </w:r>
      <w:r w:rsidR="00517B3B">
        <w:t>, or</w:t>
      </w:r>
      <w:r w:rsidR="00C84A76" w:rsidRPr="00C84A76">
        <w:t xml:space="preserve"> </w:t>
      </w:r>
    </w:p>
    <w:p w14:paraId="4792C2F1" w14:textId="223C9DA4" w:rsidR="00517B3B" w:rsidRDefault="00C84A76" w:rsidP="005E2132">
      <w:pPr>
        <w:pStyle w:val="CERbullets"/>
      </w:pPr>
      <w:r>
        <w:t>for stationary energy purposes</w:t>
      </w:r>
      <w:r w:rsidR="7CE22645">
        <w:t>.</w:t>
      </w:r>
      <w:r w:rsidR="005843BD">
        <w:t xml:space="preserve"> </w:t>
      </w:r>
    </w:p>
    <w:p w14:paraId="0A2EF7DB" w14:textId="61D2FC3E" w:rsidR="00C7293A" w:rsidRDefault="00C7293A" w:rsidP="00C7293A">
      <w:r>
        <w:t xml:space="preserve">Emissions from the combustion of PBOs used as a fuel should be reported when the amount exceeds 1 </w:t>
      </w:r>
      <w:proofErr w:type="spellStart"/>
      <w:r>
        <w:t>kL</w:t>
      </w:r>
      <w:proofErr w:type="spellEnd"/>
      <w:r>
        <w:t xml:space="preserve"> (as described in section 2.39(b) of the NGER Measurement Determination). </w:t>
      </w:r>
      <w:r>
        <w:br/>
      </w:r>
      <w:r>
        <w:br/>
        <w:t>When a PBO is used as a fuel, the methods described in subdivision 2.4.1.1 of the NGER Measurement Determination</w:t>
      </w:r>
      <w:r w:rsidR="009216C9">
        <w:t xml:space="preserve"> apply</w:t>
      </w:r>
      <w:r>
        <w:t xml:space="preserve">. The most suitable fuel type is likely to be </w:t>
      </w:r>
      <w:r w:rsidRPr="00B07177">
        <w:t>item ‘</w:t>
      </w:r>
      <w:r w:rsidR="00F21BA0" w:rsidRPr="00906484">
        <w:rPr>
          <w:i/>
          <w:iCs/>
        </w:rPr>
        <w:t>49</w:t>
      </w:r>
      <w:r w:rsidRPr="00906484">
        <w:rPr>
          <w:i/>
          <w:iCs/>
        </w:rPr>
        <w:t xml:space="preserve"> - Petroleum based products other than: (a) </w:t>
      </w:r>
      <w:proofErr w:type="gramStart"/>
      <w:r w:rsidRPr="00906484">
        <w:rPr>
          <w:i/>
          <w:iCs/>
        </w:rPr>
        <w:t>petroleum based</w:t>
      </w:r>
      <w:proofErr w:type="gramEnd"/>
      <w:r w:rsidRPr="00906484">
        <w:rPr>
          <w:i/>
          <w:iCs/>
        </w:rPr>
        <w:t xml:space="preserve"> oils and </w:t>
      </w:r>
      <w:proofErr w:type="gramStart"/>
      <w:r w:rsidRPr="00906484">
        <w:rPr>
          <w:i/>
          <w:iCs/>
        </w:rPr>
        <w:t>petroleum based</w:t>
      </w:r>
      <w:proofErr w:type="gramEnd"/>
      <w:r w:rsidRPr="00906484">
        <w:rPr>
          <w:i/>
          <w:iCs/>
        </w:rPr>
        <w:t xml:space="preserve"> greases mentioned in items 31 and 32</w:t>
      </w:r>
      <w:r w:rsidRPr="00B07177">
        <w:t xml:space="preserve">’ or another appropriate item listed in Schedule 1 of the NGER </w:t>
      </w:r>
      <w:r w:rsidR="00F21BA0">
        <w:t>Measurement Determination</w:t>
      </w:r>
      <w:r w:rsidRPr="00B07177">
        <w:t>.</w:t>
      </w:r>
    </w:p>
    <w:p w14:paraId="46E749A0" w14:textId="77777777" w:rsidR="00C7293A" w:rsidRDefault="00C7293A" w:rsidP="00C7293A">
      <w:r>
        <w:t xml:space="preserve">There is no method to report emissions from petroleum-based </w:t>
      </w:r>
      <w:r w:rsidRPr="007F78A7">
        <w:t>grease</w:t>
      </w:r>
      <w:r>
        <w:t xml:space="preserve">s (PBGs) used as a fuel under the NGER Scheme. </w:t>
      </w:r>
    </w:p>
    <w:tbl>
      <w:tblPr>
        <w:tblStyle w:val="CERCallout"/>
        <w:tblW w:w="0" w:type="auto"/>
        <w:tblLook w:val="04A0" w:firstRow="1" w:lastRow="0" w:firstColumn="1" w:lastColumn="0" w:noHBand="0" w:noVBand="1"/>
      </w:tblPr>
      <w:tblGrid>
        <w:gridCol w:w="9710"/>
      </w:tblGrid>
      <w:tr w:rsidR="0093409C" w14:paraId="624F8590"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32005A64" w14:textId="77777777" w:rsidR="00C7293A" w:rsidRPr="00D76143" w:rsidRDefault="00C7293A">
            <w:pPr>
              <w:rPr>
                <w:bCs/>
              </w:rPr>
            </w:pPr>
            <w:r w:rsidRPr="00D76143">
              <w:rPr>
                <w:bCs/>
              </w:rPr>
              <w:t xml:space="preserve">PBOs and PBGs </w:t>
            </w:r>
            <w:r>
              <w:rPr>
                <w:bCs/>
              </w:rPr>
              <w:t>consumed for other purposes</w:t>
            </w:r>
          </w:p>
          <w:p w14:paraId="52986AF2" w14:textId="50536C65" w:rsidR="00C7293A" w:rsidRPr="00C50759" w:rsidRDefault="00C7293A">
            <w:pPr>
              <w:rPr>
                <w:b w:val="0"/>
                <w:bCs/>
              </w:rPr>
            </w:pPr>
            <w:r w:rsidRPr="00C50759">
              <w:rPr>
                <w:b w:val="0"/>
                <w:bCs/>
              </w:rPr>
              <w:t xml:space="preserve">PBOs and PBGs are consumed by combustion when used as lubricants. </w:t>
            </w:r>
            <w:r w:rsidR="00A6462B" w:rsidRPr="00C50759">
              <w:rPr>
                <w:b w:val="0"/>
                <w:bCs/>
              </w:rPr>
              <w:t>Read</w:t>
            </w:r>
            <w:r w:rsidRPr="00C50759">
              <w:rPr>
                <w:b w:val="0"/>
                <w:bCs/>
              </w:rPr>
              <w:t xml:space="preserve"> </w:t>
            </w:r>
            <w:r w:rsidR="00301A3E">
              <w:rPr>
                <w:bCs/>
              </w:rPr>
              <w:t>chapter</w:t>
            </w:r>
            <w:r w:rsidRPr="00906484">
              <w:rPr>
                <w:bCs/>
              </w:rPr>
              <w:t xml:space="preserve"> 5 </w:t>
            </w:r>
            <w:r w:rsidR="00083E33" w:rsidRPr="00906484">
              <w:rPr>
                <w:bCs/>
              </w:rPr>
              <w:t xml:space="preserve">of the </w:t>
            </w:r>
            <w:hyperlink r:id="rId41" w:tooltip="A link to the Petroleum-based oils and greases guideline on the Clean Energy Regulator webpage" w:history="1">
              <w:r w:rsidR="00C50759" w:rsidRPr="00C50759">
                <w:rPr>
                  <w:rStyle w:val="Hyperlink"/>
                  <w:rFonts w:asciiTheme="minorHAnsi" w:hAnsiTheme="minorHAnsi"/>
                  <w:b w:val="0"/>
                  <w:bCs/>
                </w:rPr>
                <w:t>Petroleum-based oils and greases guidelin</w:t>
              </w:r>
              <w:r w:rsidR="00F863FC">
                <w:rPr>
                  <w:rStyle w:val="Hyperlink"/>
                  <w:rFonts w:asciiTheme="minorHAnsi" w:hAnsiTheme="minorHAnsi"/>
                  <w:b w:val="0"/>
                  <w:bCs/>
                </w:rPr>
                <w:t>e</w:t>
              </w:r>
            </w:hyperlink>
            <w:r w:rsidR="00F90106" w:rsidRPr="00C50759">
              <w:rPr>
                <w:rStyle w:val="FootnoteReference"/>
                <w:bCs/>
              </w:rPr>
              <w:footnoteReference w:id="22"/>
            </w:r>
            <w:r w:rsidRPr="00C50759">
              <w:rPr>
                <w:b w:val="0"/>
                <w:bCs/>
              </w:rPr>
              <w:t xml:space="preserve"> for information on reporting emissions of carbon dioxide released from the use of PBOs and PBGs as lubricants. </w:t>
            </w:r>
          </w:p>
          <w:p w14:paraId="3C4B9DBB" w14:textId="095E2C8D" w:rsidR="00C7293A" w:rsidRDefault="00C7293A">
            <w:r w:rsidRPr="00C50759">
              <w:rPr>
                <w:b w:val="0"/>
                <w:bCs/>
              </w:rPr>
              <w:t xml:space="preserve">PBOs and PBGs can also be consumed without combustion. </w:t>
            </w:r>
            <w:r w:rsidR="00A6462B" w:rsidRPr="00C50759">
              <w:rPr>
                <w:b w:val="0"/>
                <w:bCs/>
              </w:rPr>
              <w:t>Read</w:t>
            </w:r>
            <w:r w:rsidRPr="00C50759">
              <w:rPr>
                <w:b w:val="0"/>
                <w:bCs/>
              </w:rPr>
              <w:t xml:space="preserve"> </w:t>
            </w:r>
            <w:r w:rsidR="00301A3E">
              <w:rPr>
                <w:bCs/>
              </w:rPr>
              <w:t>chapter</w:t>
            </w:r>
            <w:r w:rsidRPr="00906484">
              <w:rPr>
                <w:bCs/>
              </w:rPr>
              <w:t xml:space="preserve"> 6 </w:t>
            </w:r>
            <w:r w:rsidR="004C5E68" w:rsidRPr="00906484">
              <w:rPr>
                <w:bCs/>
              </w:rPr>
              <w:t>of</w:t>
            </w:r>
            <w:r w:rsidR="00C50759" w:rsidRPr="00906484">
              <w:rPr>
                <w:bCs/>
              </w:rPr>
              <w:t xml:space="preserve"> the </w:t>
            </w:r>
            <w:r w:rsidR="00EB56B2" w:rsidRPr="00C06A90">
              <w:t>Petroleum-based oils and greases guideline</w:t>
            </w:r>
            <w:r w:rsidRPr="00C50759">
              <w:rPr>
                <w:b w:val="0"/>
                <w:bCs/>
              </w:rPr>
              <w:t xml:space="preserve"> for information on how to report energy from the</w:t>
            </w:r>
            <w:r w:rsidRPr="00D76143">
              <w:rPr>
                <w:b w:val="0"/>
                <w:bCs/>
              </w:rPr>
              <w:t xml:space="preserve"> consumption of PBOs and PBGs without combustion. </w:t>
            </w:r>
          </w:p>
        </w:tc>
      </w:tr>
    </w:tbl>
    <w:p w14:paraId="08D5CFD4" w14:textId="7D1DE57A" w:rsidR="001C3815" w:rsidRPr="00871510" w:rsidRDefault="001C3815" w:rsidP="00C06A90">
      <w:pPr>
        <w:pStyle w:val="Heading2"/>
        <w:numPr>
          <w:ilvl w:val="1"/>
          <w:numId w:val="49"/>
        </w:numPr>
      </w:pPr>
      <w:bookmarkStart w:id="148" w:name="_Toc423516844"/>
      <w:bookmarkStart w:id="149" w:name="_Toc495652762"/>
      <w:bookmarkStart w:id="150" w:name="_Toc43983129"/>
      <w:bookmarkStart w:id="151" w:name="_Toc76565712"/>
      <w:bookmarkStart w:id="152" w:name="_Toc235613581"/>
      <w:r w:rsidRPr="00871510">
        <w:lastRenderedPageBreak/>
        <w:t>Amount of energy consumed in a cogeneration process</w:t>
      </w:r>
      <w:bookmarkEnd w:id="148"/>
      <w:bookmarkEnd w:id="149"/>
      <w:bookmarkEnd w:id="150"/>
      <w:bookmarkEnd w:id="151"/>
      <w:bookmarkEnd w:id="152"/>
    </w:p>
    <w:p w14:paraId="0D92B8C2" w14:textId="42637FE5" w:rsidR="001C3815" w:rsidRPr="00AD67EF" w:rsidRDefault="001C3815" w:rsidP="001C3815">
      <w:r w:rsidRPr="00871510">
        <w:t>Cogeneration processes are situations where electricity and another product are produced from the consumption of a single quantity of fuel.</w:t>
      </w:r>
      <w:r>
        <w:t xml:space="preserve"> For the reporting requirements of a co-generation process please see the </w:t>
      </w:r>
      <w:bookmarkStart w:id="153" w:name="_Hlk43962958"/>
      <w:r>
        <w:rPr>
          <w:iCs/>
        </w:rPr>
        <w:fldChar w:fldCharType="begin"/>
      </w:r>
      <w:r w:rsidR="00CA5C57">
        <w:rPr>
          <w:iCs/>
        </w:rPr>
        <w:instrText>HYPERLINK "https://cer.gov.au/document_page/estimating-emissions-and-energy-electricity-generation-transmission-and-distribution-sectors" \o "A link to the Estimating emissions and energy from electricty production and conumption guideline on the Clean Energy Regulator webpage"</w:instrText>
      </w:r>
      <w:r>
        <w:rPr>
          <w:iCs/>
        </w:rPr>
      </w:r>
      <w:r>
        <w:rPr>
          <w:iCs/>
        </w:rPr>
        <w:fldChar w:fldCharType="separate"/>
      </w:r>
      <w:bookmarkEnd w:id="153"/>
      <w:r w:rsidR="00CA5C57">
        <w:rPr>
          <w:rStyle w:val="Hyperlink"/>
          <w:rFonts w:asciiTheme="minorHAnsi" w:hAnsiTheme="minorHAnsi"/>
          <w:iCs/>
        </w:rPr>
        <w:t>Estimating emissions and energy from electricity production and consumption guideline</w:t>
      </w:r>
      <w:r>
        <w:rPr>
          <w:iCs/>
        </w:rPr>
        <w:fldChar w:fldCharType="end"/>
      </w:r>
      <w:r w:rsidRPr="00F149D6">
        <w:rPr>
          <w:rStyle w:val="FootnoteReference"/>
          <w:iCs/>
        </w:rPr>
        <w:footnoteReference w:id="23"/>
      </w:r>
      <w:r>
        <w:rPr>
          <w:iCs/>
        </w:rPr>
        <w:t xml:space="preserve"> for more information.</w:t>
      </w:r>
    </w:p>
    <w:p w14:paraId="50C69B8E" w14:textId="2158DF23" w:rsidR="001C3815" w:rsidRPr="006D32BD" w:rsidRDefault="001C3815" w:rsidP="00C06A90">
      <w:pPr>
        <w:pStyle w:val="Heading2"/>
        <w:numPr>
          <w:ilvl w:val="1"/>
          <w:numId w:val="49"/>
        </w:numPr>
      </w:pPr>
      <w:bookmarkStart w:id="154" w:name="_Toc423516845"/>
      <w:bookmarkStart w:id="155" w:name="_Toc495652763"/>
      <w:bookmarkStart w:id="156" w:name="_Toc43983130"/>
      <w:bookmarkStart w:id="157" w:name="_Toc76565713"/>
      <w:bookmarkStart w:id="158" w:name="_Toc235613582"/>
      <w:r w:rsidRPr="006D32BD">
        <w:t>Apportionment of energy consumed for electricity, transport and for stationary energy</w:t>
      </w:r>
      <w:bookmarkEnd w:id="154"/>
      <w:bookmarkEnd w:id="155"/>
      <w:bookmarkEnd w:id="156"/>
      <w:bookmarkEnd w:id="157"/>
      <w:bookmarkEnd w:id="158"/>
    </w:p>
    <w:p w14:paraId="3E218025" w14:textId="37770063" w:rsidR="00F80C7F" w:rsidRDefault="00930651" w:rsidP="001C3815">
      <w:r>
        <w:t>S</w:t>
      </w:r>
      <w:r w:rsidRPr="005A08E4">
        <w:t>ubject to section 2.70 of the NGER Measurement Determination</w:t>
      </w:r>
      <w:r>
        <w:t>, w</w:t>
      </w:r>
      <w:r w:rsidR="00695766">
        <w:t xml:space="preserve">hen a single </w:t>
      </w:r>
      <w:r w:rsidR="00242E0B">
        <w:t xml:space="preserve">fuel type is consumed </w:t>
      </w:r>
      <w:r w:rsidR="00F6379C">
        <w:t>in multiple activities, a</w:t>
      </w:r>
      <w:r w:rsidR="001C3815" w:rsidRPr="006D32BD">
        <w:t xml:space="preserve">llocations of </w:t>
      </w:r>
      <w:r w:rsidR="00F6379C">
        <w:t>the</w:t>
      </w:r>
      <w:r w:rsidR="001C3815" w:rsidRPr="006D32BD">
        <w:t xml:space="preserve"> fuel between </w:t>
      </w:r>
      <w:r w:rsidR="00F6379C">
        <w:t>the activities</w:t>
      </w:r>
      <w:r w:rsidR="001C3815" w:rsidRPr="006D32BD">
        <w:t xml:space="preserve"> may be determined </w:t>
      </w:r>
      <w:r w:rsidR="0029263A">
        <w:t>from</w:t>
      </w:r>
      <w:r w:rsidR="00520079">
        <w:t xml:space="preserve"> </w:t>
      </w:r>
      <w:r w:rsidR="0029263A">
        <w:t>your records</w:t>
      </w:r>
      <w:r w:rsidR="00A96B1E">
        <w:t>, if the records are based on measurement equipment</w:t>
      </w:r>
      <w:r w:rsidR="006D2BDF">
        <w:t xml:space="preserve"> </w:t>
      </w:r>
      <w:r w:rsidR="006D2BDF" w:rsidRPr="005A08E4">
        <w:t>(see section 2.71 of the NGER Measurement Determination)</w:t>
      </w:r>
      <w:r w:rsidR="00520079">
        <w:t>.</w:t>
      </w:r>
    </w:p>
    <w:p w14:paraId="62FFD5DE" w14:textId="6BAD1655" w:rsidR="00C26E52" w:rsidRDefault="00BA27B8" w:rsidP="00BA27B8">
      <w:r>
        <w:t xml:space="preserve">As noted above, ‘Transport energy purposes’ include transport </w:t>
      </w:r>
      <w:proofErr w:type="gramStart"/>
      <w:r>
        <w:t>by:</w:t>
      </w:r>
      <w:proofErr w:type="gramEnd"/>
      <w:r>
        <w:t xml:space="preserve"> rail, water, and air, and vehicles registered for road use. Other purposes, including transport by vehicles that are not road-registered or equipment that does not move, </w:t>
      </w:r>
      <w:proofErr w:type="gramStart"/>
      <w:r>
        <w:t>are considered to be</w:t>
      </w:r>
      <w:proofErr w:type="gramEnd"/>
      <w:r>
        <w:t xml:space="preserve"> stationary.</w:t>
      </w:r>
    </w:p>
    <w:p w14:paraId="74D411F7" w14:textId="5023E2E2" w:rsidR="006B0EA9" w:rsidRDefault="006B0EA9" w:rsidP="001C3815">
      <w:pPr>
        <w:pStyle w:val="Heading1"/>
        <w:keepNext/>
        <w:numPr>
          <w:ilvl w:val="0"/>
          <w:numId w:val="49"/>
        </w:numPr>
        <w:spacing w:before="280" w:after="200"/>
      </w:pPr>
      <w:bookmarkStart w:id="159" w:name="_Toc235613583"/>
      <w:bookmarkStart w:id="160" w:name="_Toc43983131"/>
      <w:bookmarkStart w:id="161" w:name="_Toc76565714"/>
      <w:r>
        <w:t>Matters to be identified</w:t>
      </w:r>
      <w:bookmarkEnd w:id="159"/>
    </w:p>
    <w:p w14:paraId="23C1A813" w14:textId="1D336E8D" w:rsidR="006B0EA9" w:rsidRPr="006B0EA9" w:rsidRDefault="009A3215" w:rsidP="00C06A90">
      <w:r>
        <w:t>If th</w:t>
      </w:r>
      <w:r w:rsidR="00FD2D8C">
        <w:t xml:space="preserve">e fuel combustion activity involves a blended fuel, </w:t>
      </w:r>
      <w:r w:rsidR="00380E0B">
        <w:t>s</w:t>
      </w:r>
      <w:r w:rsidR="00A2192C">
        <w:t>ee</w:t>
      </w:r>
      <w:r w:rsidR="000A66A2">
        <w:t xml:space="preserve"> </w:t>
      </w:r>
      <w:hyperlink r:id="rId42" w:tooltip="A link to the 'Reporting blended fuels, other fuel mixes, bitument and explosives' guide on the Clean Energy Regulator webpage" w:history="1">
        <w:r w:rsidR="000A66A2" w:rsidRPr="00095BA4">
          <w:rPr>
            <w:rStyle w:val="Hyperlink"/>
            <w:rFonts w:asciiTheme="minorHAnsi" w:hAnsiTheme="minorHAnsi"/>
          </w:rPr>
          <w:t>Reporting blended fuels, other fuel mixes, bitumen and explosives guideline</w:t>
        </w:r>
      </w:hyperlink>
      <w:r w:rsidR="000A66A2">
        <w:rPr>
          <w:rStyle w:val="FootnoteReference"/>
        </w:rPr>
        <w:footnoteReference w:id="24"/>
      </w:r>
      <w:r w:rsidR="000A66A2">
        <w:rPr>
          <w:rStyle w:val="ui-provider"/>
        </w:rPr>
        <w:t xml:space="preserve"> for more information on how to report </w:t>
      </w:r>
      <w:r w:rsidR="00094B50">
        <w:rPr>
          <w:rStyle w:val="ui-provider"/>
        </w:rPr>
        <w:t>‘matters to be identified’</w:t>
      </w:r>
      <w:r w:rsidR="000A66A2">
        <w:rPr>
          <w:rStyle w:val="ui-provider"/>
        </w:rPr>
        <w:t xml:space="preserve"> from blended fuels. </w:t>
      </w:r>
    </w:p>
    <w:p w14:paraId="407062F7" w14:textId="24D0AEF1" w:rsidR="001C3815" w:rsidRPr="00F149D6" w:rsidRDefault="001C3815" w:rsidP="001C3815">
      <w:pPr>
        <w:pStyle w:val="Heading1"/>
        <w:keepNext/>
        <w:numPr>
          <w:ilvl w:val="0"/>
          <w:numId w:val="49"/>
        </w:numPr>
        <w:spacing w:before="280" w:after="200"/>
      </w:pPr>
      <w:bookmarkStart w:id="162" w:name="_Toc235613584"/>
      <w:r w:rsidRPr="002C556E">
        <w:t>Uncertainty</w:t>
      </w:r>
      <w:bookmarkEnd w:id="160"/>
      <w:bookmarkEnd w:id="161"/>
      <w:bookmarkEnd w:id="162"/>
    </w:p>
    <w:p w14:paraId="32916CC8" w14:textId="039CC384" w:rsidR="001C3815" w:rsidRDefault="001C3815" w:rsidP="001C3815">
      <w:pPr>
        <w:rPr>
          <w:color w:val="auto"/>
        </w:rPr>
      </w:pPr>
      <w:r w:rsidRPr="002C556E">
        <w:rPr>
          <w:color w:val="auto"/>
        </w:rPr>
        <w:t>Uncertainty must be reported for a facility if the direct (Scope 1) emissions from the combustion of an energy type or for a source are 25,000</w:t>
      </w:r>
      <w:r w:rsidR="005F27BD">
        <w:rPr>
          <w:color w:val="auto"/>
        </w:rPr>
        <w:t> </w:t>
      </w:r>
      <w:r w:rsidRPr="002C556E">
        <w:rPr>
          <w:color w:val="auto"/>
        </w:rPr>
        <w:t>t</w:t>
      </w:r>
      <w:r w:rsidR="005F27BD">
        <w:rPr>
          <w:color w:val="auto"/>
        </w:rPr>
        <w:t> </w:t>
      </w:r>
      <w:r w:rsidRPr="002C556E">
        <w:rPr>
          <w:color w:val="auto"/>
        </w:rPr>
        <w:t>CO</w:t>
      </w:r>
      <w:r w:rsidRPr="002C556E">
        <w:rPr>
          <w:color w:val="auto"/>
          <w:vertAlign w:val="subscript"/>
        </w:rPr>
        <w:t>2</w:t>
      </w:r>
      <w:r w:rsidRPr="002C556E">
        <w:rPr>
          <w:color w:val="auto"/>
        </w:rPr>
        <w:t xml:space="preserve">-e or more in a reporting year. </w:t>
      </w:r>
    </w:p>
    <w:p w14:paraId="10070056" w14:textId="53ACEDD7" w:rsidR="001C3815" w:rsidRPr="002C556E" w:rsidRDefault="001C3815" w:rsidP="001C3815">
      <w:pPr>
        <w:rPr>
          <w:color w:val="auto"/>
        </w:rPr>
      </w:pPr>
      <w:r w:rsidRPr="002C556E">
        <w:rPr>
          <w:color w:val="auto"/>
        </w:rPr>
        <w:t xml:space="preserve">Uncertainty is </w:t>
      </w:r>
      <w:r>
        <w:rPr>
          <w:color w:val="auto"/>
        </w:rPr>
        <w:t xml:space="preserve">reported per above-threshold source and is </w:t>
      </w:r>
      <w:r w:rsidRPr="002C556E">
        <w:rPr>
          <w:color w:val="auto"/>
        </w:rPr>
        <w:t xml:space="preserve">not required to be </w:t>
      </w:r>
      <w:r>
        <w:rPr>
          <w:color w:val="auto"/>
        </w:rPr>
        <w:t>summed and reported at</w:t>
      </w:r>
      <w:r w:rsidRPr="002C556E">
        <w:rPr>
          <w:color w:val="auto"/>
        </w:rPr>
        <w:t xml:space="preserve"> the facility</w:t>
      </w:r>
      <w:r>
        <w:rPr>
          <w:color w:val="auto"/>
        </w:rPr>
        <w:t>,</w:t>
      </w:r>
      <w:r w:rsidRPr="002C556E">
        <w:rPr>
          <w:color w:val="auto"/>
        </w:rPr>
        <w:t xml:space="preserve"> </w:t>
      </w:r>
      <w:r w:rsidR="00065B1A" w:rsidRPr="002C556E">
        <w:rPr>
          <w:color w:val="auto"/>
        </w:rPr>
        <w:t>corporation,</w:t>
      </w:r>
      <w:r w:rsidRPr="002C556E">
        <w:rPr>
          <w:color w:val="auto"/>
        </w:rPr>
        <w:t xml:space="preserve"> or group levels. </w:t>
      </w:r>
    </w:p>
    <w:p w14:paraId="77A4A840" w14:textId="2B5F5EC8" w:rsidR="001C3815" w:rsidRPr="00340EC3" w:rsidRDefault="001C3815" w:rsidP="001C3815">
      <w:pPr>
        <w:rPr>
          <w:iCs/>
          <w:color w:val="auto"/>
        </w:rPr>
      </w:pPr>
      <w:r w:rsidRPr="002C556E">
        <w:rPr>
          <w:color w:val="auto"/>
        </w:rPr>
        <w:t xml:space="preserve">Part 8.3 of the </w:t>
      </w:r>
      <w:r>
        <w:rPr>
          <w:color w:val="auto"/>
        </w:rPr>
        <w:t>NGER Measurement Determination</w:t>
      </w:r>
      <w:r w:rsidRPr="002C556E">
        <w:rPr>
          <w:color w:val="auto"/>
        </w:rPr>
        <w:t xml:space="preserve"> sets out how to assess uncertainty where </w:t>
      </w:r>
      <w:r w:rsidR="38A11450" w:rsidRPr="002C556E">
        <w:rPr>
          <w:color w:val="auto"/>
        </w:rPr>
        <w:t>M</w:t>
      </w:r>
      <w:r w:rsidRPr="002C556E">
        <w:rPr>
          <w:color w:val="auto"/>
        </w:rPr>
        <w:t xml:space="preserve">ethod 1 is used to estimate Scope 1 emissions. </w:t>
      </w:r>
      <w:r>
        <w:rPr>
          <w:color w:val="auto"/>
        </w:rPr>
        <w:t>P</w:t>
      </w:r>
      <w:r w:rsidRPr="002C556E">
        <w:rPr>
          <w:color w:val="auto"/>
        </w:rPr>
        <w:t xml:space="preserve">art 8.4 of the </w:t>
      </w:r>
      <w:r>
        <w:rPr>
          <w:color w:val="auto"/>
        </w:rPr>
        <w:t>NGER Measurement Determination</w:t>
      </w:r>
      <w:r w:rsidRPr="002C556E">
        <w:rPr>
          <w:color w:val="auto"/>
        </w:rPr>
        <w:t xml:space="preserve"> sets out the requirements for assessing uncertainty where </w:t>
      </w:r>
      <w:r w:rsidR="345F3D8A" w:rsidRPr="002C556E">
        <w:rPr>
          <w:color w:val="auto"/>
        </w:rPr>
        <w:t>M</w:t>
      </w:r>
      <w:r w:rsidRPr="002C556E">
        <w:rPr>
          <w:color w:val="auto"/>
        </w:rPr>
        <w:t xml:space="preserve">ethod 2, 3 or 4 is used to estimate Scope 1 emissions. </w:t>
      </w:r>
      <w:r>
        <w:rPr>
          <w:color w:val="auto"/>
        </w:rPr>
        <w:t xml:space="preserve">See the </w:t>
      </w:r>
      <w:hyperlink r:id="rId43" w:tooltip="A link to the Reporting uncertainty guideline on the Clean Energy Regulator webpage" w:history="1">
        <w:r w:rsidRPr="00F149D6">
          <w:rPr>
            <w:rStyle w:val="Hyperlink"/>
            <w:rFonts w:asciiTheme="minorHAnsi" w:hAnsiTheme="minorHAnsi"/>
            <w:iCs/>
          </w:rPr>
          <w:t>Reporting uncertainty guideline</w:t>
        </w:r>
      </w:hyperlink>
      <w:r>
        <w:rPr>
          <w:rStyle w:val="FootnoteReference"/>
          <w:iCs/>
          <w:color w:val="auto"/>
        </w:rPr>
        <w:footnoteReference w:id="25"/>
      </w:r>
      <w:r>
        <w:rPr>
          <w:iCs/>
          <w:color w:val="auto"/>
        </w:rPr>
        <w:t xml:space="preserve"> for more information</w:t>
      </w:r>
      <w:r w:rsidRPr="00F149D6">
        <w:rPr>
          <w:iCs/>
          <w:color w:val="auto"/>
        </w:rPr>
        <w:t xml:space="preserve">. </w:t>
      </w:r>
    </w:p>
    <w:p w14:paraId="02D78442" w14:textId="77777777" w:rsidR="001C3815" w:rsidRDefault="001C3815" w:rsidP="001C3815">
      <w:pPr>
        <w:spacing w:after="0"/>
        <w:rPr>
          <w:rFonts w:eastAsia="Times New Roman"/>
          <w:b/>
          <w:bCs/>
          <w:color w:val="005874"/>
          <w:kern w:val="32"/>
          <w:sz w:val="40"/>
        </w:rPr>
      </w:pPr>
      <w:bookmarkStart w:id="163" w:name="_Toc510679826"/>
      <w:bookmarkStart w:id="164" w:name="_Toc43983132"/>
      <w:bookmarkStart w:id="165" w:name="_Toc509935606"/>
      <w:r>
        <w:br w:type="page"/>
      </w:r>
    </w:p>
    <w:p w14:paraId="20F985C3" w14:textId="77777777" w:rsidR="001C3815" w:rsidRPr="00F149D6" w:rsidRDefault="001C3815" w:rsidP="001C3815">
      <w:pPr>
        <w:pStyle w:val="Heading1"/>
        <w:keepNext/>
        <w:numPr>
          <w:ilvl w:val="0"/>
          <w:numId w:val="49"/>
        </w:numPr>
        <w:spacing w:before="280" w:after="200"/>
      </w:pPr>
      <w:bookmarkStart w:id="166" w:name="_Toc76565715"/>
      <w:bookmarkStart w:id="167" w:name="_Toc235613585"/>
      <w:r w:rsidRPr="00F149D6">
        <w:lastRenderedPageBreak/>
        <w:t>More information and references</w:t>
      </w:r>
      <w:bookmarkEnd w:id="163"/>
      <w:bookmarkEnd w:id="164"/>
      <w:bookmarkEnd w:id="166"/>
      <w:bookmarkEnd w:id="167"/>
    </w:p>
    <w:p w14:paraId="1F8D3CA5" w14:textId="7DD9DAED" w:rsidR="001C3815" w:rsidRPr="002C556E" w:rsidRDefault="001C3815" w:rsidP="001C3815">
      <w:r w:rsidRPr="002C556E">
        <w:t xml:space="preserve">This </w:t>
      </w:r>
      <w:r>
        <w:t>information</w:t>
      </w:r>
      <w:r w:rsidRPr="002C556E">
        <w:t xml:space="preserve"> has been provided by</w:t>
      </w:r>
      <w:r w:rsidR="00952F8C">
        <w:t xml:space="preserve"> the</w:t>
      </w:r>
      <w:r w:rsidRPr="002C556E">
        <w:t xml:space="preserve"> </w:t>
      </w:r>
      <w:r w:rsidR="001E2090">
        <w:t>CER</w:t>
      </w:r>
      <w:r w:rsidRPr="002C556E">
        <w:t xml:space="preserve"> for use by entities to assist in the consistent accounting and reporting of greenhouse gas emissions, energy consumption and energy production using the NGER </w:t>
      </w:r>
      <w:r>
        <w:t>L</w:t>
      </w:r>
      <w:r w:rsidRPr="002C556E">
        <w:t>egislation.</w:t>
      </w:r>
    </w:p>
    <w:p w14:paraId="085C5645" w14:textId="77777777" w:rsidR="001C3815" w:rsidRPr="002B2985" w:rsidRDefault="001C3815" w:rsidP="001C3815">
      <w:pPr>
        <w:pStyle w:val="Heading2"/>
      </w:pPr>
      <w:bookmarkStart w:id="168" w:name="_Toc510679827"/>
      <w:bookmarkStart w:id="169" w:name="_Toc50111264"/>
      <w:bookmarkStart w:id="170" w:name="_Toc76565716"/>
      <w:bookmarkStart w:id="171" w:name="_Toc108022525"/>
      <w:bookmarkStart w:id="172" w:name="_Toc235613586"/>
      <w:r>
        <w:t>More</w:t>
      </w:r>
      <w:r w:rsidRPr="002B2985">
        <w:t xml:space="preserve"> information</w:t>
      </w:r>
      <w:bookmarkEnd w:id="168"/>
      <w:bookmarkEnd w:id="169"/>
      <w:bookmarkEnd w:id="170"/>
      <w:bookmarkEnd w:id="171"/>
      <w:bookmarkEnd w:id="172"/>
    </w:p>
    <w:p w14:paraId="59663DC0" w14:textId="047CEA6F" w:rsidR="001C3815" w:rsidRPr="002C556E" w:rsidRDefault="001C3815" w:rsidP="001C3815">
      <w:r w:rsidRPr="002C556E">
        <w:t>For more information</w:t>
      </w:r>
      <w:r>
        <w:t>,</w:t>
      </w:r>
      <w:r w:rsidRPr="002C556E">
        <w:t xml:space="preserve"> please contact </w:t>
      </w:r>
      <w:r w:rsidR="001E2090">
        <w:t>CER</w:t>
      </w:r>
      <w:r w:rsidRPr="002C556E">
        <w:t>.</w:t>
      </w:r>
    </w:p>
    <w:p w14:paraId="425BE0CB" w14:textId="1A348370" w:rsidR="001C3815" w:rsidRPr="002C556E" w:rsidRDefault="001C3815" w:rsidP="001C3815">
      <w:r w:rsidRPr="002C556E">
        <w:t>Email:</w:t>
      </w:r>
      <w:r>
        <w:t xml:space="preserve"> </w:t>
      </w:r>
      <w:hyperlink r:id="rId44" w:history="1">
        <w:r w:rsidR="004D7F4B">
          <w:rPr>
            <w:color w:val="005874"/>
            <w:szCs w:val="22"/>
            <w:u w:val="single"/>
          </w:rPr>
          <w:t>cer-nger-reporting@</w:t>
        </w:r>
        <w:r w:rsidR="00F23A14">
          <w:rPr>
            <w:color w:val="005874"/>
            <w:szCs w:val="22"/>
            <w:u w:val="single"/>
          </w:rPr>
          <w:t>cer.gov.au</w:t>
        </w:r>
      </w:hyperlink>
    </w:p>
    <w:p w14:paraId="59CB90C1" w14:textId="77777777" w:rsidR="001C3815" w:rsidRPr="002C556E" w:rsidRDefault="001C3815" w:rsidP="001C3815">
      <w:r w:rsidRPr="002C556E">
        <w:t>Phone:</w:t>
      </w:r>
      <w:r>
        <w:t xml:space="preserve"> </w:t>
      </w:r>
      <w:r w:rsidRPr="00F149D6">
        <w:rPr>
          <w:bCs/>
        </w:rPr>
        <w:t>1300 553 542</w:t>
      </w:r>
      <w:r w:rsidRPr="002C556E">
        <w:rPr>
          <w:b/>
        </w:rPr>
        <w:t xml:space="preserve"> </w:t>
      </w:r>
      <w:r w:rsidRPr="002C556E">
        <w:t xml:space="preserve">within Australia </w:t>
      </w:r>
    </w:p>
    <w:p w14:paraId="717D211D" w14:textId="0A560D37" w:rsidR="001C3815" w:rsidRPr="002C556E" w:rsidRDefault="001C3815" w:rsidP="001C3815">
      <w:r w:rsidRPr="002C556E">
        <w:t>Web</w:t>
      </w:r>
      <w:r>
        <w:t>site</w:t>
      </w:r>
      <w:r w:rsidRPr="002C556E">
        <w:t>:</w:t>
      </w:r>
      <w:r>
        <w:t xml:space="preserve"> </w:t>
      </w:r>
      <w:hyperlink r:id="rId45" w:tooltip="A link to the Clean Energy Regulator webpage" w:history="1">
        <w:r w:rsidR="00D0092E">
          <w:rPr>
            <w:color w:val="005874"/>
            <w:u w:val="single"/>
          </w:rPr>
          <w:t>www.cer.gov.au</w:t>
        </w:r>
      </w:hyperlink>
    </w:p>
    <w:p w14:paraId="686C500A" w14:textId="77777777" w:rsidR="001C3815" w:rsidRPr="002B2985" w:rsidRDefault="001C3815" w:rsidP="00277423">
      <w:pPr>
        <w:pStyle w:val="Heading2"/>
      </w:pPr>
      <w:bookmarkStart w:id="173" w:name="_Toc510679828"/>
      <w:bookmarkStart w:id="174" w:name="_Toc235613587"/>
      <w:r w:rsidRPr="002B2985">
        <w:t>References</w:t>
      </w:r>
      <w:bookmarkEnd w:id="173"/>
      <w:bookmarkEnd w:id="174"/>
    </w:p>
    <w:p w14:paraId="50F1B928" w14:textId="44D101ED" w:rsidR="001C3815" w:rsidRPr="002C556E" w:rsidRDefault="001C3815" w:rsidP="001C3815">
      <w:pPr>
        <w:pStyle w:val="CERbullets"/>
      </w:pPr>
      <w:r>
        <w:t>See</w:t>
      </w:r>
      <w:r w:rsidR="008E6D09">
        <w:t xml:space="preserve"> </w:t>
      </w:r>
      <w:hyperlink r:id="rId46" w:tooltip="A link to the NGER reporting guides on the Clean Energy Regulator webpage" w:history="1">
        <w:r w:rsidR="00040B0E" w:rsidRPr="00F52822">
          <w:rPr>
            <w:rStyle w:val="Hyperlink"/>
            <w:rFonts w:asciiTheme="minorHAnsi" w:hAnsiTheme="minorHAnsi"/>
          </w:rPr>
          <w:t>NGER reporting g</w:t>
        </w:r>
        <w:r w:rsidR="006339FA" w:rsidRPr="00F52822">
          <w:rPr>
            <w:rStyle w:val="Hyperlink"/>
            <w:rFonts w:asciiTheme="minorHAnsi" w:hAnsiTheme="minorHAnsi"/>
          </w:rPr>
          <w:t>uide</w:t>
        </w:r>
        <w:r w:rsidR="00040B0E" w:rsidRPr="00F52822">
          <w:rPr>
            <w:rStyle w:val="Hyperlink"/>
            <w:rFonts w:asciiTheme="minorHAnsi" w:hAnsiTheme="minorHAnsi"/>
          </w:rPr>
          <w:t>s</w:t>
        </w:r>
      </w:hyperlink>
      <w:r w:rsidRPr="00F52822">
        <w:rPr>
          <w:rStyle w:val="FootnoteReference"/>
        </w:rPr>
        <w:footnoteReference w:id="26"/>
      </w:r>
      <w:r w:rsidRPr="00F52822">
        <w:t xml:space="preserve"> for</w:t>
      </w:r>
      <w:r>
        <w:t xml:space="preserve"> additional guidance</w:t>
      </w:r>
      <w:r w:rsidRPr="002C556E">
        <w:t xml:space="preserve"> on:</w:t>
      </w:r>
    </w:p>
    <w:p w14:paraId="64591B74" w14:textId="77777777" w:rsidR="001C3815" w:rsidRPr="005E2132" w:rsidRDefault="001C3815" w:rsidP="005E2132">
      <w:pPr>
        <w:pStyle w:val="CERbullets"/>
        <w:numPr>
          <w:ilvl w:val="1"/>
          <w:numId w:val="21"/>
        </w:numPr>
      </w:pPr>
      <w:r w:rsidRPr="005E2132">
        <w:t>methods and measurement criteria</w:t>
      </w:r>
    </w:p>
    <w:p w14:paraId="497F2EDF" w14:textId="77777777" w:rsidR="001C3815" w:rsidRPr="005E2132" w:rsidRDefault="001C3815" w:rsidP="005E2132">
      <w:pPr>
        <w:pStyle w:val="CERbullets"/>
        <w:numPr>
          <w:ilvl w:val="1"/>
          <w:numId w:val="21"/>
        </w:numPr>
      </w:pPr>
      <w:r w:rsidRPr="005E2132">
        <w:t>reporting energy production and consumption</w:t>
      </w:r>
    </w:p>
    <w:p w14:paraId="2F35F2E9" w14:textId="77777777" w:rsidR="001C3815" w:rsidRPr="005E2132" w:rsidRDefault="001C3815" w:rsidP="005E2132">
      <w:pPr>
        <w:pStyle w:val="CERbullets"/>
        <w:numPr>
          <w:ilvl w:val="1"/>
          <w:numId w:val="21"/>
        </w:numPr>
      </w:pPr>
      <w:r w:rsidRPr="005E2132">
        <w:t>reporting hydrofluorocarbons and sulphur hexafluoride gases</w:t>
      </w:r>
    </w:p>
    <w:p w14:paraId="43B49C93" w14:textId="72ECD589" w:rsidR="001C3815" w:rsidRPr="005E2132" w:rsidRDefault="00F057CE" w:rsidP="005E2132">
      <w:pPr>
        <w:pStyle w:val="CERbullets"/>
        <w:numPr>
          <w:ilvl w:val="1"/>
          <w:numId w:val="21"/>
        </w:numPr>
      </w:pPr>
      <w:r w:rsidRPr="005E2132">
        <w:t>blended fuels, other fuel mixes, bitumen and explosives</w:t>
      </w:r>
    </w:p>
    <w:p w14:paraId="02E79BA2" w14:textId="02C8D56B" w:rsidR="001C3815" w:rsidRPr="005E2132" w:rsidRDefault="001C3815" w:rsidP="005E2132">
      <w:pPr>
        <w:pStyle w:val="CERbullets"/>
        <w:numPr>
          <w:ilvl w:val="1"/>
          <w:numId w:val="21"/>
        </w:numPr>
      </w:pPr>
      <w:r w:rsidRPr="005E2132">
        <w:t>petroleum-</w:t>
      </w:r>
      <w:r w:rsidR="00003AC6" w:rsidRPr="005E2132">
        <w:t>b</w:t>
      </w:r>
      <w:r w:rsidRPr="005E2132">
        <w:t>ased oils and greases measuring and reporting consumption</w:t>
      </w:r>
    </w:p>
    <w:p w14:paraId="0A4A3C5E" w14:textId="77777777" w:rsidR="001C3815" w:rsidRPr="005E2132" w:rsidRDefault="001C3815" w:rsidP="005E2132">
      <w:pPr>
        <w:pStyle w:val="CERbullets"/>
        <w:numPr>
          <w:ilvl w:val="1"/>
          <w:numId w:val="21"/>
        </w:numPr>
      </w:pPr>
      <w:r w:rsidRPr="005E2132">
        <w:t>reporting uncertainty.</w:t>
      </w:r>
      <w:bookmarkEnd w:id="165"/>
    </w:p>
    <w:p w14:paraId="40B874F5" w14:textId="759EC84B" w:rsidR="00235142" w:rsidRPr="005E2132" w:rsidRDefault="00235142" w:rsidP="009A4DB9">
      <w:pPr>
        <w:pStyle w:val="CERbullets"/>
        <w:numPr>
          <w:ilvl w:val="0"/>
          <w:numId w:val="0"/>
        </w:numPr>
        <w:ind w:left="720"/>
      </w:pPr>
    </w:p>
    <w:sectPr w:rsidR="00235142" w:rsidRPr="005E2132" w:rsidSect="00873613">
      <w:headerReference w:type="default" r:id="rId47"/>
      <w:footerReference w:type="even" r:id="rId48"/>
      <w:footerReference w:type="default" r:id="rId49"/>
      <w:headerReference w:type="first" r:id="rId50"/>
      <w:footerReference w:type="first" r:id="rId5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DFA9" w14:textId="77777777" w:rsidR="004430EE" w:rsidRDefault="004430EE" w:rsidP="00176C28">
      <w:r>
        <w:separator/>
      </w:r>
    </w:p>
    <w:p w14:paraId="02F11BDB" w14:textId="77777777" w:rsidR="004430EE" w:rsidRDefault="004430EE"/>
  </w:endnote>
  <w:endnote w:type="continuationSeparator" w:id="0">
    <w:p w14:paraId="33C335BA" w14:textId="77777777" w:rsidR="004430EE" w:rsidRDefault="004430EE" w:rsidP="00176C28">
      <w:r>
        <w:continuationSeparator/>
      </w:r>
    </w:p>
    <w:p w14:paraId="62F0EC9F" w14:textId="77777777" w:rsidR="004430EE" w:rsidRDefault="004430EE"/>
  </w:endnote>
  <w:endnote w:type="continuationNotice" w:id="1">
    <w:p w14:paraId="0CA39270" w14:textId="77777777" w:rsidR="004430EE" w:rsidRDefault="004430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17BE90BF"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2671C4" w:rsidRPr="002D18F3">
      <w:t>c</w:t>
    </w:r>
    <w:r w:rsidR="002671C4">
      <w:t>e</w:t>
    </w:r>
    <w:r w:rsidR="002671C4" w:rsidRPr="002D18F3">
      <w:t>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2671C4" w:rsidRPr="002D18F3">
      <w:rPr>
        <w:rStyle w:val="PageNumber"/>
      </w:rPr>
      <w:t>c</w:t>
    </w:r>
    <w:r w:rsidR="002671C4">
      <w:rPr>
        <w:rStyle w:val="PageNumber"/>
      </w:rPr>
      <w:t>e</w:t>
    </w:r>
    <w:r w:rsidR="002671C4" w:rsidRPr="002D18F3">
      <w:rPr>
        <w:rStyle w:val="PageNumber"/>
      </w:rPr>
      <w:t>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A249" w14:textId="77777777" w:rsidR="004430EE" w:rsidRDefault="004430EE" w:rsidP="00176C28">
      <w:r>
        <w:separator/>
      </w:r>
    </w:p>
    <w:p w14:paraId="7FA8BD4E" w14:textId="77777777" w:rsidR="004430EE" w:rsidRDefault="004430EE"/>
  </w:footnote>
  <w:footnote w:type="continuationSeparator" w:id="0">
    <w:p w14:paraId="70D142C5" w14:textId="77777777" w:rsidR="004430EE" w:rsidRDefault="004430EE" w:rsidP="00176C28">
      <w:r>
        <w:continuationSeparator/>
      </w:r>
    </w:p>
    <w:p w14:paraId="26FB84CA" w14:textId="77777777" w:rsidR="004430EE" w:rsidRDefault="004430EE"/>
  </w:footnote>
  <w:footnote w:type="continuationNotice" w:id="1">
    <w:p w14:paraId="280EC5F8" w14:textId="77777777" w:rsidR="004430EE" w:rsidRDefault="004430EE">
      <w:pPr>
        <w:spacing w:after="0"/>
      </w:pPr>
    </w:p>
  </w:footnote>
  <w:footnote w:id="2">
    <w:p w14:paraId="6B794AAF" w14:textId="4A322F5B" w:rsidR="00493215" w:rsidRPr="00D0347F" w:rsidRDefault="00493215">
      <w:pPr>
        <w:pStyle w:val="FootnoteText"/>
        <w:rPr>
          <w:lang w:val="en-AU"/>
        </w:rPr>
      </w:pPr>
      <w:r>
        <w:rPr>
          <w:rStyle w:val="FootnoteReference"/>
        </w:rPr>
        <w:footnoteRef/>
      </w:r>
      <w:r>
        <w:t xml:space="preserve"> </w:t>
      </w:r>
      <w:r w:rsidR="003C5F99" w:rsidRPr="00946BD1">
        <w:t>https://cer.gov.au/schemes/safeguard-mechanism</w:t>
      </w:r>
    </w:p>
  </w:footnote>
  <w:footnote w:id="3">
    <w:p w14:paraId="294BFE6C" w14:textId="4564A227" w:rsidR="00BB079C" w:rsidRPr="00C06A90" w:rsidRDefault="00BB079C">
      <w:pPr>
        <w:pStyle w:val="FootnoteText"/>
        <w:rPr>
          <w:lang w:val="en-AU"/>
        </w:rPr>
      </w:pPr>
      <w:r>
        <w:rPr>
          <w:rStyle w:val="FootnoteReference"/>
        </w:rPr>
        <w:footnoteRef/>
      </w:r>
      <w:r>
        <w:t xml:space="preserve"> </w:t>
      </w:r>
      <w:r w:rsidRPr="00BB079C">
        <w:t>https://cer.gov.au/document_page/reporting-blended-fuels-other-fuel-mixes-bitumen-and-explosives-guideline</w:t>
      </w:r>
    </w:p>
  </w:footnote>
  <w:footnote w:id="4">
    <w:p w14:paraId="74E321B5" w14:textId="4552A3F3" w:rsidR="00016DDD" w:rsidRPr="008F212C" w:rsidRDefault="00016DDD" w:rsidP="00016DDD">
      <w:pPr>
        <w:pStyle w:val="FootnoteText"/>
        <w:rPr>
          <w:lang w:val="en-AU"/>
        </w:rPr>
      </w:pPr>
      <w:r>
        <w:rPr>
          <w:rStyle w:val="FootnoteReference"/>
        </w:rPr>
        <w:footnoteRef/>
      </w:r>
      <w:r>
        <w:t xml:space="preserve"> </w:t>
      </w:r>
      <w:r w:rsidR="003C5F99" w:rsidRPr="00946BD1">
        <w:t>https://www.legislation.gov.au/help-and-resources/understanding-legislation/reading-legislation</w:t>
      </w:r>
      <w:r>
        <w:t xml:space="preserve"> </w:t>
      </w:r>
    </w:p>
  </w:footnote>
  <w:footnote w:id="5">
    <w:p w14:paraId="482780BE" w14:textId="0F8D58B4" w:rsidR="003B1144" w:rsidRPr="00C06A90" w:rsidRDefault="003B1144">
      <w:pPr>
        <w:pStyle w:val="FootnoteText"/>
        <w:rPr>
          <w:lang w:val="en-AU"/>
        </w:rPr>
      </w:pPr>
      <w:r>
        <w:rPr>
          <w:rStyle w:val="FootnoteReference"/>
        </w:rPr>
        <w:footnoteRef/>
      </w:r>
      <w:r>
        <w:t xml:space="preserve"> </w:t>
      </w:r>
      <w:r w:rsidR="00B9001D" w:rsidRPr="00B9001D">
        <w:t>https://www.legislation.gov.au/C2007A00175/latest/versions</w:t>
      </w:r>
    </w:p>
  </w:footnote>
  <w:footnote w:id="6">
    <w:p w14:paraId="0BCB8620" w14:textId="583E893C" w:rsidR="00B9001D" w:rsidRPr="00C06A90" w:rsidRDefault="00B9001D">
      <w:pPr>
        <w:pStyle w:val="FootnoteText"/>
        <w:rPr>
          <w:lang w:val="en-AU"/>
        </w:rPr>
      </w:pPr>
      <w:r>
        <w:rPr>
          <w:rStyle w:val="FootnoteReference"/>
        </w:rPr>
        <w:footnoteRef/>
      </w:r>
      <w:r>
        <w:t xml:space="preserve"> </w:t>
      </w:r>
      <w:r w:rsidRPr="00B9001D">
        <w:t>https://www.legislation.gov.au/F2008L02230/latest/versions</w:t>
      </w:r>
    </w:p>
  </w:footnote>
  <w:footnote w:id="7">
    <w:p w14:paraId="7C198BE2" w14:textId="6D7BDDD6" w:rsidR="00B9001D" w:rsidRPr="00C06A90" w:rsidRDefault="00B9001D">
      <w:pPr>
        <w:pStyle w:val="FootnoteText"/>
        <w:rPr>
          <w:lang w:val="en-AU"/>
        </w:rPr>
      </w:pPr>
      <w:r>
        <w:rPr>
          <w:rStyle w:val="FootnoteReference"/>
        </w:rPr>
        <w:footnoteRef/>
      </w:r>
      <w:r>
        <w:t xml:space="preserve"> </w:t>
      </w:r>
      <w:r w:rsidR="00DD4309" w:rsidRPr="00DD4309">
        <w:t>https://www.legislation.gov.au/F2008L02309/latest/versions</w:t>
      </w:r>
    </w:p>
  </w:footnote>
  <w:footnote w:id="8">
    <w:p w14:paraId="15B12C36" w14:textId="52A4CD6F" w:rsidR="001C3815" w:rsidRPr="00740092" w:rsidRDefault="001C3815" w:rsidP="001C3815">
      <w:pPr>
        <w:pStyle w:val="FootnoteText"/>
        <w:rPr>
          <w:lang w:val="en-AU"/>
        </w:rPr>
      </w:pPr>
      <w:r w:rsidRPr="002B7D58">
        <w:rPr>
          <w:rStyle w:val="FootnoteReference"/>
        </w:rPr>
        <w:footnoteRef/>
      </w:r>
      <w:r w:rsidRPr="002B7D58">
        <w:t xml:space="preserve"> </w:t>
      </w:r>
      <w:r w:rsidR="00BB4AE3" w:rsidRPr="00BB4AE3">
        <w:t xml:space="preserve"> </w:t>
      </w:r>
      <w:r w:rsidR="006C2A8F" w:rsidRPr="00946BD1">
        <w:t>https://cer.gov.au/schemes/national-greenhouse-and-energy-reporting-scheme</w:t>
      </w:r>
      <w:r w:rsidR="00BB4AE3">
        <w:rPr>
          <w:rStyle w:val="Hyperlink"/>
          <w:sz w:val="20"/>
        </w:rPr>
        <w:t xml:space="preserve"> </w:t>
      </w:r>
    </w:p>
  </w:footnote>
  <w:footnote w:id="9">
    <w:p w14:paraId="5440D019" w14:textId="59E1F1CC" w:rsidR="004F4464" w:rsidRPr="00906484" w:rsidRDefault="004F4464">
      <w:pPr>
        <w:pStyle w:val="FootnoteText"/>
        <w:rPr>
          <w:lang w:val="en-AU"/>
        </w:rPr>
      </w:pPr>
      <w:r>
        <w:rPr>
          <w:rStyle w:val="FootnoteReference"/>
        </w:rPr>
        <w:footnoteRef/>
      </w:r>
      <w:r>
        <w:t xml:space="preserve"> </w:t>
      </w:r>
      <w:r w:rsidR="006D217E" w:rsidRPr="00946BD1">
        <w:t>https://cer.gov.au/schemes/national-greenhouse-and-energy-reporting-scheme/report-emissions-and-energy/amendments</w:t>
      </w:r>
      <w:r>
        <w:t xml:space="preserve"> </w:t>
      </w:r>
    </w:p>
  </w:footnote>
  <w:footnote w:id="10">
    <w:p w14:paraId="0AA0549F" w14:textId="010E1C04" w:rsidR="001C3815" w:rsidRPr="00A04039" w:rsidRDefault="001C3815" w:rsidP="001C3815">
      <w:pPr>
        <w:pStyle w:val="FootnoteText"/>
      </w:pPr>
      <w:r w:rsidRPr="00A04039">
        <w:rPr>
          <w:rStyle w:val="FootnoteReference"/>
        </w:rPr>
        <w:footnoteRef/>
      </w:r>
      <w:r w:rsidRPr="00A04039">
        <w:t xml:space="preserve"> </w:t>
      </w:r>
      <w:bookmarkStart w:id="32" w:name="_Hlk43901209"/>
      <w:r w:rsidR="006D217E" w:rsidRPr="00946BD1">
        <w:t>https://cer.gov.au/schemes/national-greenhouse-and-energy-reporting-scheme/report-emissions-and-energy/nger-reporting-guides</w:t>
      </w:r>
      <w:r w:rsidR="00761080">
        <w:t xml:space="preserve"> </w:t>
      </w:r>
      <w:bookmarkEnd w:id="32"/>
    </w:p>
  </w:footnote>
  <w:footnote w:id="11">
    <w:p w14:paraId="43DB10DB" w14:textId="4B1899E0" w:rsidR="001C3815" w:rsidRPr="00F149D6" w:rsidRDefault="001C3815" w:rsidP="001C3815">
      <w:pPr>
        <w:pStyle w:val="FootnoteText"/>
        <w:rPr>
          <w:lang w:val="en-AU"/>
        </w:rPr>
      </w:pPr>
      <w:r>
        <w:rPr>
          <w:rStyle w:val="FootnoteReference"/>
        </w:rPr>
        <w:footnoteRef/>
      </w:r>
      <w:r>
        <w:t xml:space="preserve"> </w:t>
      </w:r>
      <w:r w:rsidR="00353F1A" w:rsidRPr="00946BD1">
        <w:t>https://www.industry.gov.au/policies-and-initiatives/australias-climate-change-strategies/tracking-and-reporting-greenhouse-gas-emissions</w:t>
      </w:r>
      <w:r>
        <w:t xml:space="preserve"> </w:t>
      </w:r>
      <w:r w:rsidRPr="00C16F1F" w:rsidDel="00C16F1F">
        <w:t xml:space="preserve"> </w:t>
      </w:r>
    </w:p>
  </w:footnote>
  <w:footnote w:id="12">
    <w:p w14:paraId="46228B22" w14:textId="763F37F9" w:rsidR="001C3815" w:rsidRPr="00CB09E2" w:rsidRDefault="001C3815" w:rsidP="001C3815">
      <w:pPr>
        <w:pStyle w:val="FootnoteText"/>
        <w:rPr>
          <w:lang w:val="en-AU"/>
        </w:rPr>
      </w:pPr>
      <w:r>
        <w:rPr>
          <w:rStyle w:val="FootnoteReference"/>
        </w:rPr>
        <w:footnoteRef/>
      </w:r>
      <w:r>
        <w:t xml:space="preserve"> </w:t>
      </w:r>
      <w:r w:rsidRPr="00CB09E2">
        <w:t xml:space="preserve">Note that there is a difference in meaning between the common usage of the word ‘confidence’ and its statistical usage in relation to </w:t>
      </w:r>
      <w:r>
        <w:t>‘</w:t>
      </w:r>
      <w:r w:rsidRPr="00CB09E2">
        <w:t>95</w:t>
      </w:r>
      <w:r>
        <w:t>%</w:t>
      </w:r>
      <w:r w:rsidRPr="00CB09E2">
        <w:t xml:space="preserve"> confidence interval’. In natural science and technical experiments, it is often standard practice to estimate uncertainty at the 95</w:t>
      </w:r>
      <w:r>
        <w:t>%</w:t>
      </w:r>
      <w:r w:rsidRPr="00CB09E2">
        <w:t xml:space="preserve"> confidence interval. The ‘confidence interval’ is defined by a probability value (in this case a probability of 95</w:t>
      </w:r>
      <w:r>
        <w:t>%</w:t>
      </w:r>
      <w:r w:rsidRPr="00CB09E2">
        <w:t>) and confidence limits on either side of the mean value. This means that the uncertainty level (the +/- percentages – otherwise known as the confidence limits) is to be calculated so that there is a 95</w:t>
      </w:r>
      <w:r>
        <w:t>%</w:t>
      </w:r>
      <w:r w:rsidRPr="00CB09E2">
        <w:t xml:space="preserve"> probability that the true value of the estimate is encompassed by the estimated uncertainty levels (the confidence limits). For example, an emission estimate of 100</w:t>
      </w:r>
      <w:r w:rsidR="0041438C">
        <w:t> </w:t>
      </w:r>
      <w:proofErr w:type="spellStart"/>
      <w:r w:rsidRPr="00793B33">
        <w:rPr>
          <w:lang w:val="en-AU"/>
        </w:rPr>
        <w:t>kilotonne</w:t>
      </w:r>
      <w:proofErr w:type="spellEnd"/>
      <w:r w:rsidR="0041438C">
        <w:t> </w:t>
      </w:r>
      <w:r>
        <w:t>(</w:t>
      </w:r>
      <w:r w:rsidRPr="00CB09E2">
        <w:t>kt</w:t>
      </w:r>
      <w:r>
        <w:t>)</w:t>
      </w:r>
      <w:r w:rsidRPr="00CB09E2">
        <w:t xml:space="preserve"> +/- 10</w:t>
      </w:r>
      <w:r>
        <w:t>%</w:t>
      </w:r>
      <w:r w:rsidRPr="00CB09E2">
        <w:t xml:space="preserve"> at the 95</w:t>
      </w:r>
      <w:r>
        <w:t>%</w:t>
      </w:r>
      <w:r w:rsidRPr="00CB09E2">
        <w:t xml:space="preserve"> confidence interval means that the true value lies between 90</w:t>
      </w:r>
      <w:r w:rsidR="0041438C">
        <w:t> </w:t>
      </w:r>
      <w:r w:rsidRPr="00CB09E2">
        <w:t>kt and 110</w:t>
      </w:r>
      <w:r w:rsidR="0041438C">
        <w:t> </w:t>
      </w:r>
      <w:r w:rsidRPr="00CB09E2">
        <w:t>kt with a probability of 95</w:t>
      </w:r>
      <w:r>
        <w:t>%</w:t>
      </w:r>
      <w:r w:rsidRPr="00CB09E2">
        <w:t>.</w:t>
      </w:r>
    </w:p>
  </w:footnote>
  <w:footnote w:id="13">
    <w:p w14:paraId="20054111" w14:textId="74F15FD0" w:rsidR="002E20C7" w:rsidRPr="00E03892" w:rsidRDefault="002E20C7">
      <w:pPr>
        <w:pStyle w:val="FootnoteText"/>
        <w:rPr>
          <w:lang w:val="en-AU"/>
        </w:rPr>
      </w:pPr>
      <w:r>
        <w:rPr>
          <w:rStyle w:val="FootnoteReference"/>
        </w:rPr>
        <w:footnoteRef/>
      </w:r>
      <w:r>
        <w:t xml:space="preserve"> </w:t>
      </w:r>
      <w:r w:rsidR="0010268F" w:rsidRPr="0010268F">
        <w:t>https://cer.gov.au/document_page/methods-and-measurement-criteria-guideline</w:t>
      </w:r>
    </w:p>
  </w:footnote>
  <w:footnote w:id="14">
    <w:p w14:paraId="7508C35C" w14:textId="08CBF93A" w:rsidR="006820ED" w:rsidRPr="006C7E99" w:rsidRDefault="006820ED" w:rsidP="006820ED">
      <w:pPr>
        <w:pStyle w:val="FootnoteText"/>
        <w:rPr>
          <w:lang w:val="en-AU"/>
        </w:rPr>
      </w:pPr>
      <w:r>
        <w:rPr>
          <w:rStyle w:val="FootnoteReference"/>
        </w:rPr>
        <w:footnoteRef/>
      </w:r>
      <w:r>
        <w:t xml:space="preserve"> </w:t>
      </w:r>
      <w:r w:rsidR="00E52258" w:rsidRPr="00946BD1">
        <w:t>https://cer.gov.au/document_page/reporting-blended-fuels-other-fuel-mixes-bitumen-and-explosives-guideline</w:t>
      </w:r>
      <w:r>
        <w:t xml:space="preserve"> </w:t>
      </w:r>
    </w:p>
  </w:footnote>
  <w:footnote w:id="15">
    <w:p w14:paraId="34724E6D" w14:textId="0C4D2F5E" w:rsidR="00102CF4" w:rsidRPr="00C06A90" w:rsidRDefault="00102CF4">
      <w:pPr>
        <w:pStyle w:val="FootnoteText"/>
        <w:rPr>
          <w:lang w:val="en-AU"/>
        </w:rPr>
      </w:pPr>
      <w:r>
        <w:rPr>
          <w:rStyle w:val="FootnoteReference"/>
        </w:rPr>
        <w:footnoteRef/>
      </w:r>
      <w:r>
        <w:t xml:space="preserve"> </w:t>
      </w:r>
      <w:r w:rsidR="00E37BA6" w:rsidRPr="00E37BA6">
        <w:t>https://cer.gov.au/document_page/methods-and-measurement-criteria-guideline</w:t>
      </w:r>
    </w:p>
  </w:footnote>
  <w:footnote w:id="16">
    <w:p w14:paraId="6F7FC8D0" w14:textId="28D3A1FF" w:rsidR="004E6B4C" w:rsidRPr="00C06A90" w:rsidRDefault="004E6B4C">
      <w:pPr>
        <w:pStyle w:val="FootnoteText"/>
        <w:rPr>
          <w:lang w:val="en-AU"/>
        </w:rPr>
      </w:pPr>
      <w:r>
        <w:rPr>
          <w:rStyle w:val="FootnoteReference"/>
        </w:rPr>
        <w:footnoteRef/>
      </w:r>
      <w:r>
        <w:t xml:space="preserve"> </w:t>
      </w:r>
      <w:r w:rsidRPr="004E6B4C">
        <w:t>https://cer.gov.au/document_page/reporting-blended-fuels-other-fuel-mixes-bitumen-and-explosives-guideline</w:t>
      </w:r>
    </w:p>
  </w:footnote>
  <w:footnote w:id="17">
    <w:p w14:paraId="36406E92" w14:textId="2D11B0E6" w:rsidR="001C3815" w:rsidRPr="00F149D6" w:rsidRDefault="001C3815" w:rsidP="001C3815">
      <w:pPr>
        <w:pStyle w:val="FootnoteText"/>
        <w:rPr>
          <w:lang w:val="en-AU"/>
        </w:rPr>
      </w:pPr>
      <w:r>
        <w:rPr>
          <w:rStyle w:val="FootnoteReference"/>
        </w:rPr>
        <w:footnoteRef/>
      </w:r>
      <w:r>
        <w:t xml:space="preserve"> </w:t>
      </w:r>
      <w:r w:rsidR="00F43D7E" w:rsidRPr="00946BD1">
        <w:t>https://www.dcceew.gov.au/climate-change/publications/national-inventory-reports</w:t>
      </w:r>
      <w:r w:rsidR="00362034">
        <w:t xml:space="preserve"> </w:t>
      </w:r>
    </w:p>
  </w:footnote>
  <w:footnote w:id="18">
    <w:p w14:paraId="393FBA93" w14:textId="04BA6B82" w:rsidR="006C0201" w:rsidRDefault="001C3815" w:rsidP="001C3815">
      <w:pPr>
        <w:pStyle w:val="FootnoteText"/>
      </w:pPr>
      <w:r>
        <w:rPr>
          <w:rStyle w:val="FootnoteReference"/>
        </w:rPr>
        <w:footnoteRef/>
      </w:r>
      <w:r>
        <w:t xml:space="preserve"> </w:t>
      </w:r>
      <w:r w:rsidR="007812C7" w:rsidRPr="00946BD1">
        <w:t>https://store.standards.org.au/product/as-4264-4-1996</w:t>
      </w:r>
      <w:r w:rsidR="006C0201" w:rsidDel="006C0201">
        <w:t xml:space="preserve"> </w:t>
      </w:r>
    </w:p>
    <w:p w14:paraId="60DE9AFF" w14:textId="797EA773" w:rsidR="001C3815" w:rsidRPr="00556C93" w:rsidRDefault="001C3815" w:rsidP="001C3815">
      <w:pPr>
        <w:pStyle w:val="FootnoteText"/>
        <w:rPr>
          <w:lang w:val="en-AU"/>
        </w:rPr>
      </w:pPr>
    </w:p>
  </w:footnote>
  <w:footnote w:id="19">
    <w:p w14:paraId="56ED1F2C" w14:textId="5263D402" w:rsidR="001C3815" w:rsidRPr="00F149D6" w:rsidRDefault="001C3815" w:rsidP="001C3815">
      <w:pPr>
        <w:pStyle w:val="FootnoteText"/>
        <w:rPr>
          <w:lang w:val="en-AU"/>
        </w:rPr>
      </w:pPr>
      <w:r>
        <w:rPr>
          <w:rStyle w:val="FootnoteReference"/>
        </w:rPr>
        <w:footnoteRef/>
      </w:r>
      <w:r>
        <w:t xml:space="preserve"> </w:t>
      </w:r>
      <w:r w:rsidR="007812C7" w:rsidRPr="00946BD1">
        <w:t>https://store.standards.org.au/product/as-3583-2-1991</w:t>
      </w:r>
      <w:r w:rsidR="00F85E67">
        <w:t xml:space="preserve"> </w:t>
      </w:r>
    </w:p>
  </w:footnote>
  <w:footnote w:id="20">
    <w:p w14:paraId="61D1C275" w14:textId="75A1A27A" w:rsidR="001C3815" w:rsidRPr="00F149D6" w:rsidRDefault="001C3815" w:rsidP="001C3815">
      <w:pPr>
        <w:pStyle w:val="FootnoteText"/>
        <w:rPr>
          <w:lang w:val="en-AU"/>
        </w:rPr>
      </w:pPr>
      <w:r>
        <w:rPr>
          <w:rStyle w:val="FootnoteReference"/>
        </w:rPr>
        <w:footnoteRef/>
      </w:r>
      <w:r>
        <w:t xml:space="preserve"> </w:t>
      </w:r>
      <w:r w:rsidR="007812C7" w:rsidRPr="00946BD1">
        <w:t>https://store.standards.org.au/product/as-3583-3-1991</w:t>
      </w:r>
    </w:p>
  </w:footnote>
  <w:footnote w:id="21">
    <w:p w14:paraId="3D6FC7E3" w14:textId="47B081D5" w:rsidR="00DF3ABE" w:rsidRPr="006C7E99" w:rsidRDefault="00DF3ABE" w:rsidP="00DF3ABE">
      <w:pPr>
        <w:pStyle w:val="FootnoteText"/>
        <w:rPr>
          <w:lang w:val="en-AU"/>
        </w:rPr>
      </w:pPr>
      <w:r>
        <w:rPr>
          <w:rStyle w:val="FootnoteReference"/>
        </w:rPr>
        <w:footnoteRef/>
      </w:r>
      <w:r>
        <w:t xml:space="preserve"> </w:t>
      </w:r>
      <w:r w:rsidR="006D6DA1" w:rsidRPr="00946BD1">
        <w:t>https://cer.gov.au/document_page/reporting-blended-fuels-other-fuel-mixes-bitumen-and-explosives-guideline</w:t>
      </w:r>
      <w:r>
        <w:t xml:space="preserve"> </w:t>
      </w:r>
    </w:p>
  </w:footnote>
  <w:footnote w:id="22">
    <w:p w14:paraId="760E1B4F" w14:textId="2FD8786E" w:rsidR="00F90106" w:rsidRPr="00906484" w:rsidRDefault="00F90106">
      <w:pPr>
        <w:pStyle w:val="FootnoteText"/>
        <w:rPr>
          <w:lang w:val="en-AU"/>
        </w:rPr>
      </w:pPr>
      <w:r>
        <w:rPr>
          <w:rStyle w:val="FootnoteReference"/>
        </w:rPr>
        <w:footnoteRef/>
      </w:r>
      <w:r>
        <w:t xml:space="preserve"> </w:t>
      </w:r>
      <w:r w:rsidR="001E1F14" w:rsidRPr="00946BD1">
        <w:t>https://cer.gov.au/document_page/petroleum-based-oils-and-greases-guideline</w:t>
      </w:r>
      <w:r w:rsidR="006F10DA">
        <w:t xml:space="preserve"> </w:t>
      </w:r>
    </w:p>
  </w:footnote>
  <w:footnote w:id="23">
    <w:p w14:paraId="647795A4" w14:textId="5C649092" w:rsidR="001C3815" w:rsidRPr="001A051D" w:rsidRDefault="001C3815" w:rsidP="001C3815">
      <w:pPr>
        <w:pStyle w:val="FootnoteText"/>
        <w:rPr>
          <w:lang w:val="en-AU"/>
        </w:rPr>
      </w:pPr>
      <w:r>
        <w:rPr>
          <w:rStyle w:val="FootnoteReference"/>
        </w:rPr>
        <w:footnoteRef/>
      </w:r>
      <w:r>
        <w:t xml:space="preserve"> </w:t>
      </w:r>
      <w:r w:rsidR="0036009F" w:rsidRPr="00946BD1">
        <w:t>https://cer.gov.au/document_page/estimating-emissions-and-energy-electricity-generation-transmission-and-distribution-sectors</w:t>
      </w:r>
      <w:r>
        <w:t xml:space="preserve"> </w:t>
      </w:r>
    </w:p>
  </w:footnote>
  <w:footnote w:id="24">
    <w:p w14:paraId="764317C6" w14:textId="77777777" w:rsidR="000A66A2" w:rsidRPr="006C7E99" w:rsidRDefault="000A66A2" w:rsidP="000A66A2">
      <w:pPr>
        <w:pStyle w:val="FootnoteText"/>
        <w:rPr>
          <w:lang w:val="en-AU"/>
        </w:rPr>
      </w:pPr>
      <w:r>
        <w:rPr>
          <w:rStyle w:val="FootnoteReference"/>
        </w:rPr>
        <w:footnoteRef/>
      </w:r>
      <w:r>
        <w:t xml:space="preserve"> </w:t>
      </w:r>
      <w:r w:rsidRPr="00946BD1">
        <w:t>https://cer.gov.au/document_page/reporting-blended-fuels-other-fuel-mixes-bitumen-and-explosives-guideline</w:t>
      </w:r>
      <w:r>
        <w:t xml:space="preserve"> </w:t>
      </w:r>
    </w:p>
  </w:footnote>
  <w:footnote w:id="25">
    <w:p w14:paraId="5AB4A0A0" w14:textId="46384CF8" w:rsidR="001C3815" w:rsidRPr="00F149D6" w:rsidRDefault="001C3815" w:rsidP="001C3815">
      <w:pPr>
        <w:pStyle w:val="FootnoteText"/>
        <w:rPr>
          <w:lang w:val="en-AU"/>
        </w:rPr>
      </w:pPr>
      <w:r>
        <w:rPr>
          <w:rStyle w:val="FootnoteReference"/>
        </w:rPr>
        <w:footnoteRef/>
      </w:r>
      <w:r>
        <w:t xml:space="preserve"> </w:t>
      </w:r>
      <w:r w:rsidR="0036009F" w:rsidRPr="00946BD1">
        <w:t>https://cer.gov.au/document_page/reporting-uncertainty-guideline</w:t>
      </w:r>
      <w:r>
        <w:t xml:space="preserve"> </w:t>
      </w:r>
    </w:p>
  </w:footnote>
  <w:footnote w:id="26">
    <w:p w14:paraId="5E82F11D" w14:textId="1D94565F" w:rsidR="001C3815" w:rsidRPr="00F149D6" w:rsidRDefault="001C3815" w:rsidP="001C3815">
      <w:pPr>
        <w:pStyle w:val="FootnoteText"/>
        <w:rPr>
          <w:lang w:val="en-AU"/>
        </w:rPr>
      </w:pPr>
      <w:r>
        <w:rPr>
          <w:rStyle w:val="FootnoteReference"/>
        </w:rPr>
        <w:footnoteRef/>
      </w:r>
      <w:r>
        <w:t xml:space="preserve"> </w:t>
      </w:r>
      <w:r w:rsidR="00DE6FFF" w:rsidRPr="00DE6FFF">
        <w:t>https://cer.gov.au/schemes/national-greenhouse-and-energy-reporting-scheme/report-emissions-and-energy/nger-reporting-guides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5302" w14:textId="77777777" w:rsidR="00987F95" w:rsidRDefault="00987F95" w:rsidP="00E349EF">
    <w:pPr>
      <w:pStyle w:val="LegislativesecrecyACT"/>
    </w:pPr>
  </w:p>
  <w:p w14:paraId="1657C533" w14:textId="7D6EAE6C"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31480086">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6F88"/>
    <w:multiLevelType w:val="hybridMultilevel"/>
    <w:tmpl w:val="26CAA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1A7C7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AD2D4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5B5150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531DA3"/>
    <w:multiLevelType w:val="multilevel"/>
    <w:tmpl w:val="78C82B2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087407FD"/>
    <w:multiLevelType w:val="multilevel"/>
    <w:tmpl w:val="DE5272D0"/>
    <w:lvl w:ilvl="0">
      <w:start w:val="1"/>
      <w:numFmt w:val="lowerLetter"/>
      <w:lvlText w:val="(%1)"/>
      <w:lvlJc w:val="left"/>
      <w:pPr>
        <w:ind w:left="360" w:hanging="360"/>
      </w:pPr>
      <w:rPr>
        <w:rFonts w:cs="Times New Roman"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876533D"/>
    <w:multiLevelType w:val="multilevel"/>
    <w:tmpl w:val="F84E7964"/>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b/>
        <w:bCs/>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22" w15:restartNumberingAfterBreak="0">
    <w:nsid w:val="08F677F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D159CC"/>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0A837201"/>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25" w15:restartNumberingAfterBreak="0">
    <w:nsid w:val="1010591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841FF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D547F2"/>
    <w:multiLevelType w:val="hybridMultilevel"/>
    <w:tmpl w:val="CA8E241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13AC726D"/>
    <w:multiLevelType w:val="hybridMultilevel"/>
    <w:tmpl w:val="011498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174A3816"/>
    <w:multiLevelType w:val="multilevel"/>
    <w:tmpl w:val="DE5272D0"/>
    <w:lvl w:ilvl="0">
      <w:start w:val="1"/>
      <w:numFmt w:val="lowerLetter"/>
      <w:lvlText w:val="(%1)"/>
      <w:lvlJc w:val="left"/>
      <w:pPr>
        <w:ind w:left="360" w:hanging="360"/>
      </w:pPr>
      <w:rPr>
        <w:rFonts w:cs="Times New Roman"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B6E0ED1"/>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32" w15:restartNumberingAfterBreak="0">
    <w:nsid w:val="1CF51F86"/>
    <w:multiLevelType w:val="multilevel"/>
    <w:tmpl w:val="3C22774A"/>
    <w:lvl w:ilvl="0">
      <w:start w:val="1"/>
      <w:numFmt w:val="bullet"/>
      <w:lvlText w:val=""/>
      <w:lvlJc w:val="left"/>
      <w:pPr>
        <w:ind w:left="360" w:hanging="360"/>
      </w:pPr>
      <w:rPr>
        <w:rFonts w:ascii="Symbol" w:hAnsi="Symbol" w:hint="default"/>
        <w:color w:val="005874"/>
      </w:rPr>
    </w:lvl>
    <w:lvl w:ilvl="1">
      <w:start w:val="1"/>
      <w:numFmt w:val="lowerLetter"/>
      <w:lvlText w:val="%2)"/>
      <w:lvlJc w:val="left"/>
      <w:pPr>
        <w:ind w:left="720" w:hanging="360"/>
      </w:pPr>
      <w:rPr>
        <w:rFonts w:hint="default"/>
        <w:color w:val="005874"/>
      </w:rPr>
    </w:lvl>
    <w:lvl w:ilvl="2">
      <w:start w:val="1"/>
      <w:numFmt w:val="lowerLetter"/>
      <w:lvlText w:val="(%3)"/>
      <w:lvlJc w:val="left"/>
      <w:pPr>
        <w:ind w:left="1080" w:hanging="360"/>
      </w:pPr>
      <w:rPr>
        <w:rFonts w:asciiTheme="minorHAnsi" w:eastAsia="Cambria" w:hAnsiTheme="minorHAnsi" w:cstheme="minorHAnsi"/>
        <w:b w:val="0"/>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D061B89"/>
    <w:multiLevelType w:val="multilevel"/>
    <w:tmpl w:val="573AB4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sz w:val="25"/>
        <w:szCs w:val="2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1A44741"/>
    <w:multiLevelType w:val="multilevel"/>
    <w:tmpl w:val="F16EB5E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1B6792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B11637"/>
    <w:multiLevelType w:val="multilevel"/>
    <w:tmpl w:val="53A4127A"/>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2E43B8D"/>
    <w:multiLevelType w:val="multilevel"/>
    <w:tmpl w:val="9D124DBC"/>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3CB60FB"/>
    <w:multiLevelType w:val="hybridMultilevel"/>
    <w:tmpl w:val="B06227D4"/>
    <w:lvl w:ilvl="0" w:tplc="0C090001">
      <w:start w:val="1"/>
      <w:numFmt w:val="bullet"/>
      <w:lvlText w:val=""/>
      <w:lvlJc w:val="left"/>
      <w:pPr>
        <w:ind w:left="1080" w:hanging="360"/>
      </w:pPr>
      <w:rPr>
        <w:rFonts w:ascii="Symbol" w:hAnsi="Symbol" w:hint="default"/>
      </w:rPr>
    </w:lvl>
    <w:lvl w:ilvl="1" w:tplc="169E0710">
      <w:start w:val="1"/>
      <w:numFmt w:val="bullet"/>
      <w:lvlText w:val="»"/>
      <w:lvlJc w:val="left"/>
      <w:pPr>
        <w:ind w:left="1800" w:hanging="360"/>
      </w:pPr>
      <w:rPr>
        <w:rFonts w:ascii="Courier New" w:hAnsi="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247C5188"/>
    <w:multiLevelType w:val="multilevel"/>
    <w:tmpl w:val="9F8646F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54216A8"/>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4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A181FBF"/>
    <w:multiLevelType w:val="hybridMultilevel"/>
    <w:tmpl w:val="6868ECF0"/>
    <w:lvl w:ilvl="0" w:tplc="3EACCD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A9C5D1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B836AD0"/>
    <w:multiLevelType w:val="hybridMultilevel"/>
    <w:tmpl w:val="3618AD24"/>
    <w:lvl w:ilvl="0" w:tplc="19924852">
      <w:start w:val="1"/>
      <w:numFmt w:val="lowerRoman"/>
      <w:lvlText w:val="%1)"/>
      <w:lvlJc w:val="left"/>
      <w:pPr>
        <w:tabs>
          <w:tab w:val="num" w:pos="1440"/>
        </w:tabs>
        <w:ind w:left="1440" w:hanging="72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D1700C5"/>
    <w:multiLevelType w:val="multilevel"/>
    <w:tmpl w:val="050AA180"/>
    <w:lvl w:ilvl="0">
      <w:start w:val="3"/>
      <w:numFmt w:val="decimal"/>
      <w:lvlText w:val="%1."/>
      <w:lvlJc w:val="left"/>
      <w:pPr>
        <w:ind w:left="720" w:hanging="360"/>
      </w:pPr>
      <w:rPr>
        <w:rFonts w:hint="default"/>
        <w:b w:val="0"/>
        <w:bCs w:val="0"/>
      </w:rPr>
    </w:lvl>
    <w:lvl w:ilvl="1">
      <w:start w:val="4"/>
      <w:numFmt w:val="decimal"/>
      <w:isLgl/>
      <w:lvlText w:val="%1.%2."/>
      <w:lvlJc w:val="left"/>
      <w:pPr>
        <w:ind w:left="1050" w:hanging="69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F0753E9"/>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50" w15:restartNumberingAfterBreak="0">
    <w:nsid w:val="31315F8D"/>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435046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635402F"/>
    <w:multiLevelType w:val="multilevel"/>
    <w:tmpl w:val="AD24E5AE"/>
    <w:lvl w:ilvl="0">
      <w:start w:val="1"/>
      <w:numFmt w:val="lowerLetter"/>
      <w:lvlText w:val="%1)"/>
      <w:lvlJc w:val="left"/>
      <w:pPr>
        <w:ind w:left="360" w:hanging="360"/>
      </w:pPr>
      <w:rPr>
        <w:rFonts w:hint="default"/>
        <w:color w:val="auto"/>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6A63A3C"/>
    <w:multiLevelType w:val="hybridMultilevel"/>
    <w:tmpl w:val="7CB6B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7515457"/>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7E46724"/>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56"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7"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3A203031"/>
    <w:multiLevelType w:val="hybridMultilevel"/>
    <w:tmpl w:val="E3827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B5D2236"/>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60" w15:restartNumberingAfterBreak="0">
    <w:nsid w:val="3B9C1A8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6F29F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2284927"/>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35B418D"/>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65" w15:restartNumberingAfterBreak="0">
    <w:nsid w:val="498A6EB3"/>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6" w15:restartNumberingAfterBreak="0">
    <w:nsid w:val="4A0267F2"/>
    <w:multiLevelType w:val="hybridMultilevel"/>
    <w:tmpl w:val="D6F61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A6430D4"/>
    <w:multiLevelType w:val="multilevel"/>
    <w:tmpl w:val="A8927880"/>
    <w:lvl w:ilvl="0">
      <w:start w:val="4"/>
      <w:numFmt w:val="lowerLetter"/>
      <w:lvlText w:val="(%1)"/>
      <w:lvlJc w:val="left"/>
      <w:pPr>
        <w:ind w:left="360" w:hanging="360"/>
      </w:pPr>
      <w:rPr>
        <w:rFonts w:cs="Times New Roman"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hint="default"/>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B2E7901"/>
    <w:multiLevelType w:val="hybridMultilevel"/>
    <w:tmpl w:val="F752A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50B31E17"/>
    <w:multiLevelType w:val="multilevel"/>
    <w:tmpl w:val="21D2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24E4040"/>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94693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4BD1A07"/>
    <w:multiLevelType w:val="multilevel"/>
    <w:tmpl w:val="73088B4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8C955ED"/>
    <w:multiLevelType w:val="multilevel"/>
    <w:tmpl w:val="D3064CB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A7C193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9" w15:restartNumberingAfterBreak="0">
    <w:nsid w:val="5CFD18CA"/>
    <w:multiLevelType w:val="multilevel"/>
    <w:tmpl w:val="D5A239B8"/>
    <w:lvl w:ilvl="0">
      <w:start w:val="1"/>
      <w:numFmt w:val="decimal"/>
      <w:lvlText w:val="%1."/>
      <w:lvlJc w:val="left"/>
      <w:pPr>
        <w:ind w:left="720" w:hanging="360"/>
      </w:pPr>
      <w:rPr>
        <w:rFonts w:hint="default"/>
        <w:color w:val="006C93" w:themeColor="accent3"/>
      </w:rPr>
    </w:lvl>
    <w:lvl w:ilvl="1">
      <w:start w:val="1"/>
      <w:numFmt w:val="bullet"/>
      <w:lvlText w:val="»"/>
      <w:lvlJc w:val="left"/>
      <w:pPr>
        <w:ind w:left="1080"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0"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10D0399"/>
    <w:multiLevelType w:val="multilevel"/>
    <w:tmpl w:val="F84E7964"/>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b/>
        <w:bCs/>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82" w15:restartNumberingAfterBreak="0">
    <w:nsid w:val="64601250"/>
    <w:multiLevelType w:val="hybridMultilevel"/>
    <w:tmpl w:val="C84200B4"/>
    <w:lvl w:ilvl="0" w:tplc="0C090001">
      <w:start w:val="1"/>
      <w:numFmt w:val="bullet"/>
      <w:lvlText w:val=""/>
      <w:lvlJc w:val="left"/>
      <w:pPr>
        <w:ind w:left="1080" w:hanging="360"/>
      </w:pPr>
      <w:rPr>
        <w:rFonts w:ascii="Symbol" w:hAnsi="Symbol" w:hint="default"/>
      </w:rPr>
    </w:lvl>
    <w:lvl w:ilvl="1" w:tplc="50761E9A">
      <w:start w:val="1"/>
      <w:numFmt w:val="bullet"/>
      <w:lvlText w:val="»"/>
      <w:lvlJc w:val="left"/>
      <w:pPr>
        <w:ind w:left="1800" w:hanging="360"/>
      </w:pPr>
      <w:rPr>
        <w:rFonts w:ascii="Arial"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646139DD"/>
    <w:multiLevelType w:val="hybridMultilevel"/>
    <w:tmpl w:val="4372CA36"/>
    <w:lvl w:ilvl="0" w:tplc="04090001">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5011E0A"/>
    <w:multiLevelType w:val="multilevel"/>
    <w:tmpl w:val="050AA180"/>
    <w:lvl w:ilvl="0">
      <w:start w:val="3"/>
      <w:numFmt w:val="decimal"/>
      <w:lvlText w:val="%1."/>
      <w:lvlJc w:val="left"/>
      <w:pPr>
        <w:ind w:left="720" w:hanging="360"/>
      </w:pPr>
      <w:rPr>
        <w:rFonts w:hint="default"/>
        <w:b w:val="0"/>
        <w:bCs w:val="0"/>
      </w:rPr>
    </w:lvl>
    <w:lvl w:ilvl="1">
      <w:start w:val="4"/>
      <w:numFmt w:val="decimal"/>
      <w:isLgl/>
      <w:lvlText w:val="%1.%2."/>
      <w:lvlJc w:val="left"/>
      <w:pPr>
        <w:ind w:left="1050" w:hanging="69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9121D50"/>
    <w:multiLevelType w:val="multilevel"/>
    <w:tmpl w:val="5B449B4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A33651B"/>
    <w:multiLevelType w:val="multilevel"/>
    <w:tmpl w:val="DE8AD5A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A4E06A7"/>
    <w:multiLevelType w:val="multilevel"/>
    <w:tmpl w:val="DE5272D0"/>
    <w:lvl w:ilvl="0">
      <w:start w:val="1"/>
      <w:numFmt w:val="lowerLetter"/>
      <w:lvlText w:val="(%1)"/>
      <w:lvlJc w:val="left"/>
      <w:pPr>
        <w:ind w:left="360" w:hanging="360"/>
      </w:pPr>
      <w:rPr>
        <w:rFonts w:cs="Times New Roman"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CB9524E"/>
    <w:multiLevelType w:val="hybridMultilevel"/>
    <w:tmpl w:val="2D06ADC0"/>
    <w:lvl w:ilvl="0" w:tplc="4A8C70A2">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91" w15:restartNumberingAfterBreak="0">
    <w:nsid w:val="6DE529C2"/>
    <w:multiLevelType w:val="multilevel"/>
    <w:tmpl w:val="BAE44DB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3B95DFA"/>
    <w:multiLevelType w:val="hybridMultilevel"/>
    <w:tmpl w:val="22F8C76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768E7DD7"/>
    <w:multiLevelType w:val="hybridMultilevel"/>
    <w:tmpl w:val="C4E4F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6FF5577"/>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abstractNum w:abstractNumId="95" w15:restartNumberingAfterBreak="0">
    <w:nsid w:val="78761F77"/>
    <w:multiLevelType w:val="multilevel"/>
    <w:tmpl w:val="3CE0E58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90F16CF"/>
    <w:multiLevelType w:val="hybridMultilevel"/>
    <w:tmpl w:val="46405A2C"/>
    <w:lvl w:ilvl="0" w:tplc="0C090003">
      <w:start w:val="1"/>
      <w:numFmt w:val="lowerLetter"/>
      <w:lvlText w:val="(%1)"/>
      <w:lvlJc w:val="left"/>
      <w:pPr>
        <w:tabs>
          <w:tab w:val="num" w:pos="720"/>
        </w:tabs>
        <w:ind w:left="720" w:hanging="360"/>
      </w:pPr>
      <w:rPr>
        <w:rFonts w:cs="Times New Roman" w:hint="default"/>
      </w:rPr>
    </w:lvl>
    <w:lvl w:ilvl="1" w:tplc="0C090003">
      <w:start w:val="1"/>
      <w:numFmt w:val="decimal"/>
      <w:lvlText w:val="%2"/>
      <w:lvlJc w:val="left"/>
      <w:pPr>
        <w:tabs>
          <w:tab w:val="num" w:pos="1440"/>
        </w:tabs>
        <w:ind w:left="1440" w:hanging="360"/>
      </w:pPr>
      <w:rPr>
        <w:rFonts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97"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A5151B0"/>
    <w:multiLevelType w:val="hybridMultilevel"/>
    <w:tmpl w:val="73641CB6"/>
    <w:lvl w:ilvl="0" w:tplc="CC4E4586">
      <w:start w:val="1"/>
      <w:numFmt w:val="decimal"/>
      <w:lvlText w:val="%1."/>
      <w:lvlJc w:val="left"/>
      <w:pPr>
        <w:ind w:left="340" w:hanging="34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E096033"/>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E30570E"/>
    <w:multiLevelType w:val="multilevel"/>
    <w:tmpl w:val="1D7A4C38"/>
    <w:lvl w:ilvl="0">
      <w:start w:val="1"/>
      <w:numFmt w:val="decimal"/>
      <w:lvlText w:val="%1."/>
      <w:lvlJc w:val="left"/>
      <w:pPr>
        <w:ind w:left="357" w:hanging="357"/>
      </w:pPr>
      <w:rPr>
        <w:rFonts w:hint="default"/>
      </w:rPr>
    </w:lvl>
    <w:lvl w:ilvl="1">
      <w:start w:val="1"/>
      <w:numFmt w:val="decimal"/>
      <w:isLgl/>
      <w:lvlText w:val="%1.%2."/>
      <w:lvlJc w:val="left"/>
      <w:pPr>
        <w:ind w:left="357" w:hanging="357"/>
      </w:pPr>
      <w:rPr>
        <w:rFonts w:hint="default"/>
      </w:rPr>
    </w:lvl>
    <w:lvl w:ilvl="2">
      <w:start w:val="1"/>
      <w:numFmt w:val="decimal"/>
      <w:isLgl/>
      <w:lvlText w:val="%1.%2.%3."/>
      <w:lvlJc w:val="left"/>
      <w:pPr>
        <w:ind w:left="357" w:hanging="357"/>
      </w:pPr>
      <w:rPr>
        <w:rFonts w:hint="default"/>
      </w:rPr>
    </w:lvl>
    <w:lvl w:ilvl="3">
      <w:start w:val="1"/>
      <w:numFmt w:val="decimal"/>
      <w:isLgl/>
      <w:lvlText w:val="%1.%2.%3.%4."/>
      <w:lvlJc w:val="left"/>
      <w:pPr>
        <w:ind w:left="357" w:hanging="357"/>
      </w:pPr>
      <w:rPr>
        <w:rFonts w:hint="default"/>
      </w:rPr>
    </w:lvl>
    <w:lvl w:ilvl="4">
      <w:start w:val="1"/>
      <w:numFmt w:val="decimal"/>
      <w:isLgl/>
      <w:lvlText w:val="%1.%2.%3.%4.%5."/>
      <w:lvlJc w:val="left"/>
      <w:pPr>
        <w:ind w:left="357" w:hanging="357"/>
      </w:pPr>
      <w:rPr>
        <w:rFonts w:hint="default"/>
      </w:rPr>
    </w:lvl>
    <w:lvl w:ilvl="5">
      <w:start w:val="1"/>
      <w:numFmt w:val="decimal"/>
      <w:isLgl/>
      <w:lvlText w:val="%1.%2.%3.%4.%5.%6."/>
      <w:lvlJc w:val="left"/>
      <w:pPr>
        <w:ind w:left="357" w:hanging="357"/>
      </w:pPr>
      <w:rPr>
        <w:rFonts w:hint="default"/>
      </w:rPr>
    </w:lvl>
    <w:lvl w:ilvl="6">
      <w:start w:val="1"/>
      <w:numFmt w:val="decimal"/>
      <w:isLgl/>
      <w:lvlText w:val="%1.%2.%3.%4.%5.%6.%7."/>
      <w:lvlJc w:val="left"/>
      <w:pPr>
        <w:ind w:left="357" w:hanging="357"/>
      </w:pPr>
      <w:rPr>
        <w:rFonts w:hint="default"/>
      </w:rPr>
    </w:lvl>
    <w:lvl w:ilvl="7">
      <w:start w:val="1"/>
      <w:numFmt w:val="decimal"/>
      <w:isLgl/>
      <w:lvlText w:val="%1.%2.%3.%4.%5.%6.%7.%8."/>
      <w:lvlJc w:val="left"/>
      <w:pPr>
        <w:ind w:left="357" w:hanging="357"/>
      </w:pPr>
      <w:rPr>
        <w:rFonts w:hint="default"/>
      </w:rPr>
    </w:lvl>
    <w:lvl w:ilvl="8">
      <w:start w:val="1"/>
      <w:numFmt w:val="decimal"/>
      <w:isLgl/>
      <w:lvlText w:val="%1.%2.%3.%4.%5.%6.%7.%8.%9."/>
      <w:lvlJc w:val="left"/>
      <w:pPr>
        <w:ind w:left="357" w:hanging="357"/>
      </w:pPr>
      <w:rPr>
        <w:rFonts w:hint="default"/>
      </w:rPr>
    </w:lvl>
  </w:abstractNum>
  <w:num w:numId="1" w16cid:durableId="658047229">
    <w:abstractNumId w:val="70"/>
  </w:num>
  <w:num w:numId="2" w16cid:durableId="828205622">
    <w:abstractNumId w:val="42"/>
  </w:num>
  <w:num w:numId="3" w16cid:durableId="2046782690">
    <w:abstractNumId w:val="43"/>
  </w:num>
  <w:num w:numId="4" w16cid:durableId="500656000">
    <w:abstractNumId w:val="17"/>
  </w:num>
  <w:num w:numId="5" w16cid:durableId="1850438783">
    <w:abstractNumId w:val="19"/>
  </w:num>
  <w:num w:numId="6" w16cid:durableId="28115375">
    <w:abstractNumId w:val="56"/>
  </w:num>
  <w:num w:numId="7" w16cid:durableId="591937058">
    <w:abstractNumId w:val="78"/>
  </w:num>
  <w:num w:numId="8" w16cid:durableId="2003848107">
    <w:abstractNumId w:val="19"/>
  </w:num>
  <w:num w:numId="9" w16cid:durableId="1579293262">
    <w:abstractNumId w:val="9"/>
  </w:num>
  <w:num w:numId="10" w16cid:durableId="991326670">
    <w:abstractNumId w:val="7"/>
  </w:num>
  <w:num w:numId="11" w16cid:durableId="566653349">
    <w:abstractNumId w:val="6"/>
  </w:num>
  <w:num w:numId="12" w16cid:durableId="1834104528">
    <w:abstractNumId w:val="5"/>
  </w:num>
  <w:num w:numId="13" w16cid:durableId="1778720202">
    <w:abstractNumId w:val="4"/>
  </w:num>
  <w:num w:numId="14" w16cid:durableId="104036730">
    <w:abstractNumId w:val="8"/>
  </w:num>
  <w:num w:numId="15" w16cid:durableId="1529946704">
    <w:abstractNumId w:val="3"/>
  </w:num>
  <w:num w:numId="16" w16cid:durableId="1434788813">
    <w:abstractNumId w:val="2"/>
  </w:num>
  <w:num w:numId="17" w16cid:durableId="825704475">
    <w:abstractNumId w:val="1"/>
  </w:num>
  <w:num w:numId="18" w16cid:durableId="2088376687">
    <w:abstractNumId w:val="0"/>
  </w:num>
  <w:num w:numId="19" w16cid:durableId="1845974421">
    <w:abstractNumId w:val="15"/>
  </w:num>
  <w:num w:numId="20" w16cid:durableId="1738629698">
    <w:abstractNumId w:val="30"/>
  </w:num>
  <w:num w:numId="21" w16cid:durableId="67240323">
    <w:abstractNumId w:val="97"/>
  </w:num>
  <w:num w:numId="22" w16cid:durableId="1558198137">
    <w:abstractNumId w:val="12"/>
  </w:num>
  <w:num w:numId="23" w16cid:durableId="953752410">
    <w:abstractNumId w:val="99"/>
  </w:num>
  <w:num w:numId="24" w16cid:durableId="86780496">
    <w:abstractNumId w:val="62"/>
  </w:num>
  <w:num w:numId="25" w16cid:durableId="160509488">
    <w:abstractNumId w:val="44"/>
  </w:num>
  <w:num w:numId="26" w16cid:durableId="589432220">
    <w:abstractNumId w:val="38"/>
  </w:num>
  <w:num w:numId="27" w16cid:durableId="187069191">
    <w:abstractNumId w:val="89"/>
  </w:num>
  <w:num w:numId="28" w16cid:durableId="547566974">
    <w:abstractNumId w:val="75"/>
  </w:num>
  <w:num w:numId="29" w16cid:durableId="1487894493">
    <w:abstractNumId w:val="69"/>
  </w:num>
  <w:num w:numId="30" w16cid:durableId="1445686536">
    <w:abstractNumId w:val="79"/>
  </w:num>
  <w:num w:numId="31" w16cid:durableId="1290281742">
    <w:abstractNumId w:val="85"/>
  </w:num>
  <w:num w:numId="32" w16cid:durableId="1918828699">
    <w:abstractNumId w:val="13"/>
  </w:num>
  <w:num w:numId="33" w16cid:durableId="367224362">
    <w:abstractNumId w:val="80"/>
  </w:num>
  <w:num w:numId="34" w16cid:durableId="20788816">
    <w:abstractNumId w:val="57"/>
  </w:num>
  <w:num w:numId="35" w16cid:durableId="1931043019">
    <w:abstractNumId w:val="92"/>
  </w:num>
  <w:num w:numId="36" w16cid:durableId="466434210">
    <w:abstractNumId w:val="33"/>
  </w:num>
  <w:num w:numId="37" w16cid:durableId="900361203">
    <w:abstractNumId w:val="37"/>
  </w:num>
  <w:num w:numId="38" w16cid:durableId="1999456951">
    <w:abstractNumId w:val="90"/>
  </w:num>
  <w:num w:numId="39" w16cid:durableId="253756519">
    <w:abstractNumId w:val="32"/>
  </w:num>
  <w:num w:numId="40" w16cid:durableId="620301028">
    <w:abstractNumId w:val="96"/>
  </w:num>
  <w:num w:numId="41" w16cid:durableId="1513226783">
    <w:abstractNumId w:val="47"/>
  </w:num>
  <w:num w:numId="42" w16cid:durableId="874347521">
    <w:abstractNumId w:val="98"/>
  </w:num>
  <w:num w:numId="43" w16cid:durableId="726490765">
    <w:abstractNumId w:val="53"/>
  </w:num>
  <w:num w:numId="44" w16cid:durableId="1124151438">
    <w:abstractNumId w:val="58"/>
  </w:num>
  <w:num w:numId="45" w16cid:durableId="794100436">
    <w:abstractNumId w:val="83"/>
  </w:num>
  <w:num w:numId="46" w16cid:durableId="215629882">
    <w:abstractNumId w:val="100"/>
  </w:num>
  <w:num w:numId="47" w16cid:durableId="799343707">
    <w:abstractNumId w:val="68"/>
  </w:num>
  <w:num w:numId="48" w16cid:durableId="1036585910">
    <w:abstractNumId w:val="93"/>
  </w:num>
  <w:num w:numId="49" w16cid:durableId="1206405453">
    <w:abstractNumId w:val="81"/>
  </w:num>
  <w:num w:numId="50" w16cid:durableId="495001055">
    <w:abstractNumId w:val="23"/>
  </w:num>
  <w:num w:numId="51" w16cid:durableId="1715737653">
    <w:abstractNumId w:val="29"/>
  </w:num>
  <w:num w:numId="52" w16cid:durableId="784272469">
    <w:abstractNumId w:val="20"/>
  </w:num>
  <w:num w:numId="53" w16cid:durableId="1279876492">
    <w:abstractNumId w:val="50"/>
  </w:num>
  <w:num w:numId="54" w16cid:durableId="1347176178">
    <w:abstractNumId w:val="63"/>
  </w:num>
  <w:num w:numId="55" w16cid:durableId="1358391222">
    <w:abstractNumId w:val="72"/>
  </w:num>
  <w:num w:numId="56" w16cid:durableId="901712907">
    <w:abstractNumId w:val="88"/>
  </w:num>
  <w:num w:numId="57" w16cid:durableId="210269202">
    <w:abstractNumId w:val="54"/>
  </w:num>
  <w:num w:numId="58" w16cid:durableId="121249439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06880107">
    <w:abstractNumId w:val="67"/>
  </w:num>
  <w:num w:numId="60" w16cid:durableId="1809978899">
    <w:abstractNumId w:val="28"/>
  </w:num>
  <w:num w:numId="61" w16cid:durableId="1511526200">
    <w:abstractNumId w:val="39"/>
  </w:num>
  <w:num w:numId="62" w16cid:durableId="438182827">
    <w:abstractNumId w:val="82"/>
  </w:num>
  <w:num w:numId="63" w16cid:durableId="1822769699">
    <w:abstractNumId w:val="10"/>
  </w:num>
  <w:num w:numId="64" w16cid:durableId="26298279">
    <w:abstractNumId w:val="48"/>
  </w:num>
  <w:num w:numId="65" w16cid:durableId="516575346">
    <w:abstractNumId w:val="45"/>
  </w:num>
  <w:num w:numId="66" w16cid:durableId="1648509913">
    <w:abstractNumId w:val="91"/>
  </w:num>
  <w:num w:numId="67" w16cid:durableId="796727219">
    <w:abstractNumId w:val="87"/>
  </w:num>
  <w:num w:numId="68" w16cid:durableId="1392995740">
    <w:abstractNumId w:val="76"/>
  </w:num>
  <w:num w:numId="69" w16cid:durableId="979841079">
    <w:abstractNumId w:val="40"/>
  </w:num>
  <w:num w:numId="70" w16cid:durableId="1482118879">
    <w:abstractNumId w:val="34"/>
  </w:num>
  <w:num w:numId="71" w16cid:durableId="1748729021">
    <w:abstractNumId w:val="74"/>
  </w:num>
  <w:num w:numId="72" w16cid:durableId="870269532">
    <w:abstractNumId w:val="36"/>
  </w:num>
  <w:num w:numId="73" w16cid:durableId="400374947">
    <w:abstractNumId w:val="52"/>
  </w:num>
  <w:num w:numId="74" w16cid:durableId="1800763734">
    <w:abstractNumId w:val="95"/>
  </w:num>
  <w:num w:numId="75" w16cid:durableId="750664339">
    <w:abstractNumId w:val="18"/>
  </w:num>
  <w:num w:numId="76" w16cid:durableId="1515726440">
    <w:abstractNumId w:val="86"/>
  </w:num>
  <w:num w:numId="77" w16cid:durableId="154928869">
    <w:abstractNumId w:val="71"/>
  </w:num>
  <w:num w:numId="78" w16cid:durableId="1299457871">
    <w:abstractNumId w:val="66"/>
  </w:num>
  <w:num w:numId="79" w16cid:durableId="226190376">
    <w:abstractNumId w:val="84"/>
  </w:num>
  <w:num w:numId="80" w16cid:durableId="1483812373">
    <w:abstractNumId w:val="27"/>
  </w:num>
  <w:num w:numId="81" w16cid:durableId="1737388405">
    <w:abstractNumId w:val="73"/>
  </w:num>
  <w:num w:numId="82" w16cid:durableId="625358804">
    <w:abstractNumId w:val="22"/>
  </w:num>
  <w:num w:numId="83" w16cid:durableId="57947424">
    <w:abstractNumId w:val="65"/>
  </w:num>
  <w:num w:numId="84" w16cid:durableId="8148414">
    <w:abstractNumId w:val="26"/>
  </w:num>
  <w:num w:numId="85" w16cid:durableId="878977547">
    <w:abstractNumId w:val="60"/>
  </w:num>
  <w:num w:numId="86" w16cid:durableId="606470792">
    <w:abstractNumId w:val="77"/>
  </w:num>
  <w:num w:numId="87" w16cid:durableId="267666556">
    <w:abstractNumId w:val="24"/>
  </w:num>
  <w:num w:numId="88" w16cid:durableId="522861146">
    <w:abstractNumId w:val="59"/>
  </w:num>
  <w:num w:numId="89" w16cid:durableId="1468430183">
    <w:abstractNumId w:val="16"/>
  </w:num>
  <w:num w:numId="90" w16cid:durableId="536621536">
    <w:abstractNumId w:val="35"/>
  </w:num>
  <w:num w:numId="91" w16cid:durableId="625041135">
    <w:abstractNumId w:val="51"/>
  </w:num>
  <w:num w:numId="92" w16cid:durableId="1043602270">
    <w:abstractNumId w:val="25"/>
  </w:num>
  <w:num w:numId="93" w16cid:durableId="1502888201">
    <w:abstractNumId w:val="61"/>
  </w:num>
  <w:num w:numId="94" w16cid:durableId="401757977">
    <w:abstractNumId w:val="49"/>
  </w:num>
  <w:num w:numId="95" w16cid:durableId="239104183">
    <w:abstractNumId w:val="94"/>
  </w:num>
  <w:num w:numId="96" w16cid:durableId="735400282">
    <w:abstractNumId w:val="46"/>
  </w:num>
  <w:num w:numId="97" w16cid:durableId="1754937932">
    <w:abstractNumId w:val="64"/>
  </w:num>
  <w:num w:numId="98" w16cid:durableId="1485127711">
    <w:abstractNumId w:val="55"/>
  </w:num>
  <w:num w:numId="99" w16cid:durableId="559706423">
    <w:abstractNumId w:val="41"/>
  </w:num>
  <w:num w:numId="100" w16cid:durableId="2077630696">
    <w:abstractNumId w:val="31"/>
  </w:num>
  <w:num w:numId="101" w16cid:durableId="1651136470">
    <w:abstractNumId w:val="101"/>
  </w:num>
  <w:num w:numId="102" w16cid:durableId="1670476583">
    <w:abstractNumId w:val="11"/>
  </w:num>
  <w:num w:numId="103" w16cid:durableId="1166242202">
    <w:abstractNumId w:val="14"/>
  </w:num>
  <w:num w:numId="104" w16cid:durableId="97989181">
    <w:abstractNumId w:val="2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0EB"/>
    <w:rsid w:val="0000192B"/>
    <w:rsid w:val="000034DD"/>
    <w:rsid w:val="00003AC6"/>
    <w:rsid w:val="000046FB"/>
    <w:rsid w:val="000050F3"/>
    <w:rsid w:val="000060B1"/>
    <w:rsid w:val="00007DC6"/>
    <w:rsid w:val="000112D1"/>
    <w:rsid w:val="00012FE4"/>
    <w:rsid w:val="00013F7A"/>
    <w:rsid w:val="00014C46"/>
    <w:rsid w:val="00015D28"/>
    <w:rsid w:val="0001601D"/>
    <w:rsid w:val="000164C7"/>
    <w:rsid w:val="000168B7"/>
    <w:rsid w:val="00016DDD"/>
    <w:rsid w:val="00016F53"/>
    <w:rsid w:val="000227B0"/>
    <w:rsid w:val="0002292A"/>
    <w:rsid w:val="000241B5"/>
    <w:rsid w:val="0002468B"/>
    <w:rsid w:val="00026522"/>
    <w:rsid w:val="000265DE"/>
    <w:rsid w:val="000278DA"/>
    <w:rsid w:val="00027A9C"/>
    <w:rsid w:val="00031090"/>
    <w:rsid w:val="00031099"/>
    <w:rsid w:val="00031682"/>
    <w:rsid w:val="00031731"/>
    <w:rsid w:val="0003198A"/>
    <w:rsid w:val="000321BC"/>
    <w:rsid w:val="00032BB6"/>
    <w:rsid w:val="00032ED8"/>
    <w:rsid w:val="0003441A"/>
    <w:rsid w:val="00034CC4"/>
    <w:rsid w:val="00035321"/>
    <w:rsid w:val="0003582F"/>
    <w:rsid w:val="00035D9D"/>
    <w:rsid w:val="000369FF"/>
    <w:rsid w:val="000378B6"/>
    <w:rsid w:val="00040B0E"/>
    <w:rsid w:val="000420EC"/>
    <w:rsid w:val="00042519"/>
    <w:rsid w:val="00042B2B"/>
    <w:rsid w:val="00043B52"/>
    <w:rsid w:val="0004400D"/>
    <w:rsid w:val="000442F7"/>
    <w:rsid w:val="00045162"/>
    <w:rsid w:val="000468A1"/>
    <w:rsid w:val="00046A0E"/>
    <w:rsid w:val="00047AE7"/>
    <w:rsid w:val="00050479"/>
    <w:rsid w:val="000510E1"/>
    <w:rsid w:val="00051810"/>
    <w:rsid w:val="000533AE"/>
    <w:rsid w:val="00053895"/>
    <w:rsid w:val="00054CF1"/>
    <w:rsid w:val="00056650"/>
    <w:rsid w:val="00056FF0"/>
    <w:rsid w:val="0005769F"/>
    <w:rsid w:val="00057ABC"/>
    <w:rsid w:val="00060DAB"/>
    <w:rsid w:val="0006120E"/>
    <w:rsid w:val="000615EF"/>
    <w:rsid w:val="00061604"/>
    <w:rsid w:val="00061800"/>
    <w:rsid w:val="00062182"/>
    <w:rsid w:val="0006349F"/>
    <w:rsid w:val="00064BDA"/>
    <w:rsid w:val="00065ABC"/>
    <w:rsid w:val="00065B1A"/>
    <w:rsid w:val="00066361"/>
    <w:rsid w:val="00066ED7"/>
    <w:rsid w:val="00066EFB"/>
    <w:rsid w:val="000678AA"/>
    <w:rsid w:val="00067E8B"/>
    <w:rsid w:val="0007081F"/>
    <w:rsid w:val="00070F8A"/>
    <w:rsid w:val="00071443"/>
    <w:rsid w:val="00072139"/>
    <w:rsid w:val="000725AF"/>
    <w:rsid w:val="00072EDB"/>
    <w:rsid w:val="0007360F"/>
    <w:rsid w:val="00074516"/>
    <w:rsid w:val="000749BD"/>
    <w:rsid w:val="000749D7"/>
    <w:rsid w:val="00074C62"/>
    <w:rsid w:val="00074D48"/>
    <w:rsid w:val="00075587"/>
    <w:rsid w:val="00075EA6"/>
    <w:rsid w:val="00076112"/>
    <w:rsid w:val="000763A2"/>
    <w:rsid w:val="0008045B"/>
    <w:rsid w:val="00080964"/>
    <w:rsid w:val="0008125F"/>
    <w:rsid w:val="00082001"/>
    <w:rsid w:val="00082EB3"/>
    <w:rsid w:val="00083E33"/>
    <w:rsid w:val="00083FFC"/>
    <w:rsid w:val="0008407A"/>
    <w:rsid w:val="00085337"/>
    <w:rsid w:val="00085C0E"/>
    <w:rsid w:val="000873E6"/>
    <w:rsid w:val="0009020E"/>
    <w:rsid w:val="000906DE"/>
    <w:rsid w:val="0009091D"/>
    <w:rsid w:val="00091145"/>
    <w:rsid w:val="00091282"/>
    <w:rsid w:val="00092AE1"/>
    <w:rsid w:val="000941F1"/>
    <w:rsid w:val="000948C0"/>
    <w:rsid w:val="000948D5"/>
    <w:rsid w:val="00094B50"/>
    <w:rsid w:val="0009519C"/>
    <w:rsid w:val="000956FF"/>
    <w:rsid w:val="000960DD"/>
    <w:rsid w:val="00096102"/>
    <w:rsid w:val="00096632"/>
    <w:rsid w:val="00096878"/>
    <w:rsid w:val="000974DC"/>
    <w:rsid w:val="000A00DD"/>
    <w:rsid w:val="000A0CC9"/>
    <w:rsid w:val="000A0DD5"/>
    <w:rsid w:val="000A22DE"/>
    <w:rsid w:val="000A2AD5"/>
    <w:rsid w:val="000A2CDA"/>
    <w:rsid w:val="000A3011"/>
    <w:rsid w:val="000A322A"/>
    <w:rsid w:val="000A385F"/>
    <w:rsid w:val="000A41F2"/>
    <w:rsid w:val="000A4848"/>
    <w:rsid w:val="000A4D88"/>
    <w:rsid w:val="000A62BB"/>
    <w:rsid w:val="000A66A2"/>
    <w:rsid w:val="000A68D9"/>
    <w:rsid w:val="000A6BEF"/>
    <w:rsid w:val="000A737F"/>
    <w:rsid w:val="000A7819"/>
    <w:rsid w:val="000B030A"/>
    <w:rsid w:val="000B2225"/>
    <w:rsid w:val="000B5826"/>
    <w:rsid w:val="000B5835"/>
    <w:rsid w:val="000B5C5F"/>
    <w:rsid w:val="000B6323"/>
    <w:rsid w:val="000B7BAF"/>
    <w:rsid w:val="000C1FAA"/>
    <w:rsid w:val="000C255F"/>
    <w:rsid w:val="000C3BC3"/>
    <w:rsid w:val="000C3C41"/>
    <w:rsid w:val="000C45E3"/>
    <w:rsid w:val="000C49BE"/>
    <w:rsid w:val="000C4E68"/>
    <w:rsid w:val="000C5CE4"/>
    <w:rsid w:val="000C5EDC"/>
    <w:rsid w:val="000C6ACD"/>
    <w:rsid w:val="000C74A3"/>
    <w:rsid w:val="000C7DB2"/>
    <w:rsid w:val="000D0A5A"/>
    <w:rsid w:val="000D0AC8"/>
    <w:rsid w:val="000D0DA7"/>
    <w:rsid w:val="000D1BFA"/>
    <w:rsid w:val="000D1FE7"/>
    <w:rsid w:val="000D29C2"/>
    <w:rsid w:val="000D5090"/>
    <w:rsid w:val="000D55C1"/>
    <w:rsid w:val="000D66EF"/>
    <w:rsid w:val="000E034C"/>
    <w:rsid w:val="000E0691"/>
    <w:rsid w:val="000E08CB"/>
    <w:rsid w:val="000E2397"/>
    <w:rsid w:val="000E35EC"/>
    <w:rsid w:val="000E37F9"/>
    <w:rsid w:val="000E3BC1"/>
    <w:rsid w:val="000E4247"/>
    <w:rsid w:val="000E4E24"/>
    <w:rsid w:val="000E4E8F"/>
    <w:rsid w:val="000E5A13"/>
    <w:rsid w:val="000E7826"/>
    <w:rsid w:val="000F075F"/>
    <w:rsid w:val="000F0A13"/>
    <w:rsid w:val="000F2006"/>
    <w:rsid w:val="000F203C"/>
    <w:rsid w:val="000F20E1"/>
    <w:rsid w:val="000F2E54"/>
    <w:rsid w:val="000F30B7"/>
    <w:rsid w:val="000F5860"/>
    <w:rsid w:val="000F61F0"/>
    <w:rsid w:val="000F6B44"/>
    <w:rsid w:val="0010268F"/>
    <w:rsid w:val="00102911"/>
    <w:rsid w:val="00102CF4"/>
    <w:rsid w:val="00103A62"/>
    <w:rsid w:val="00103EC4"/>
    <w:rsid w:val="0010442E"/>
    <w:rsid w:val="00104784"/>
    <w:rsid w:val="001052FE"/>
    <w:rsid w:val="001053A7"/>
    <w:rsid w:val="00105423"/>
    <w:rsid w:val="00105682"/>
    <w:rsid w:val="001079EC"/>
    <w:rsid w:val="001100C1"/>
    <w:rsid w:val="00110196"/>
    <w:rsid w:val="00110663"/>
    <w:rsid w:val="001107DF"/>
    <w:rsid w:val="001112E0"/>
    <w:rsid w:val="00111395"/>
    <w:rsid w:val="0011159B"/>
    <w:rsid w:val="001115C2"/>
    <w:rsid w:val="00111C62"/>
    <w:rsid w:val="00111D8D"/>
    <w:rsid w:val="00111FE5"/>
    <w:rsid w:val="00112BD8"/>
    <w:rsid w:val="00112E29"/>
    <w:rsid w:val="001130D4"/>
    <w:rsid w:val="00113369"/>
    <w:rsid w:val="001144DD"/>
    <w:rsid w:val="00114A41"/>
    <w:rsid w:val="00114E7B"/>
    <w:rsid w:val="00114EFA"/>
    <w:rsid w:val="00115A1C"/>
    <w:rsid w:val="00117043"/>
    <w:rsid w:val="001206AE"/>
    <w:rsid w:val="00120FA4"/>
    <w:rsid w:val="00121287"/>
    <w:rsid w:val="00121AFA"/>
    <w:rsid w:val="00121DF8"/>
    <w:rsid w:val="00124BC7"/>
    <w:rsid w:val="00125E12"/>
    <w:rsid w:val="00125FC3"/>
    <w:rsid w:val="00126048"/>
    <w:rsid w:val="00126F2A"/>
    <w:rsid w:val="0012729F"/>
    <w:rsid w:val="001276AA"/>
    <w:rsid w:val="0013040E"/>
    <w:rsid w:val="001309F5"/>
    <w:rsid w:val="001323AE"/>
    <w:rsid w:val="00132DE7"/>
    <w:rsid w:val="0013356F"/>
    <w:rsid w:val="001337D9"/>
    <w:rsid w:val="001344D0"/>
    <w:rsid w:val="001348DD"/>
    <w:rsid w:val="00135226"/>
    <w:rsid w:val="00135385"/>
    <w:rsid w:val="00136416"/>
    <w:rsid w:val="0013655E"/>
    <w:rsid w:val="00137069"/>
    <w:rsid w:val="001371AF"/>
    <w:rsid w:val="00137471"/>
    <w:rsid w:val="001376F2"/>
    <w:rsid w:val="0014088C"/>
    <w:rsid w:val="00140939"/>
    <w:rsid w:val="0014105B"/>
    <w:rsid w:val="00144055"/>
    <w:rsid w:val="001447D1"/>
    <w:rsid w:val="001453E8"/>
    <w:rsid w:val="00146CC9"/>
    <w:rsid w:val="00146F3D"/>
    <w:rsid w:val="00146FC8"/>
    <w:rsid w:val="001512C0"/>
    <w:rsid w:val="00152842"/>
    <w:rsid w:val="00152991"/>
    <w:rsid w:val="001538AC"/>
    <w:rsid w:val="00153A1B"/>
    <w:rsid w:val="00153E80"/>
    <w:rsid w:val="001540F4"/>
    <w:rsid w:val="001559B6"/>
    <w:rsid w:val="00156D2A"/>
    <w:rsid w:val="00156F93"/>
    <w:rsid w:val="00157175"/>
    <w:rsid w:val="00157397"/>
    <w:rsid w:val="0015786B"/>
    <w:rsid w:val="00162114"/>
    <w:rsid w:val="0016269D"/>
    <w:rsid w:val="00162DB4"/>
    <w:rsid w:val="00162E5A"/>
    <w:rsid w:val="00163285"/>
    <w:rsid w:val="00163C55"/>
    <w:rsid w:val="001649FE"/>
    <w:rsid w:val="00164EBE"/>
    <w:rsid w:val="001651A1"/>
    <w:rsid w:val="001651F7"/>
    <w:rsid w:val="00165483"/>
    <w:rsid w:val="00165893"/>
    <w:rsid w:val="00165C70"/>
    <w:rsid w:val="00165E2F"/>
    <w:rsid w:val="00165EFD"/>
    <w:rsid w:val="00166274"/>
    <w:rsid w:val="00166FC1"/>
    <w:rsid w:val="00167D27"/>
    <w:rsid w:val="00170B6A"/>
    <w:rsid w:val="00172F37"/>
    <w:rsid w:val="001736DE"/>
    <w:rsid w:val="00173E56"/>
    <w:rsid w:val="00174A03"/>
    <w:rsid w:val="00174AA2"/>
    <w:rsid w:val="001766BB"/>
    <w:rsid w:val="00176871"/>
    <w:rsid w:val="00176C28"/>
    <w:rsid w:val="00177575"/>
    <w:rsid w:val="00177B5F"/>
    <w:rsid w:val="001804F7"/>
    <w:rsid w:val="001808F1"/>
    <w:rsid w:val="00180B3A"/>
    <w:rsid w:val="001813DE"/>
    <w:rsid w:val="001818A9"/>
    <w:rsid w:val="00183065"/>
    <w:rsid w:val="00183341"/>
    <w:rsid w:val="0018349E"/>
    <w:rsid w:val="00183817"/>
    <w:rsid w:val="00183DF5"/>
    <w:rsid w:val="001843A7"/>
    <w:rsid w:val="00184C96"/>
    <w:rsid w:val="001856A4"/>
    <w:rsid w:val="00185B26"/>
    <w:rsid w:val="00186186"/>
    <w:rsid w:val="00187432"/>
    <w:rsid w:val="00187B2E"/>
    <w:rsid w:val="0019087A"/>
    <w:rsid w:val="00192532"/>
    <w:rsid w:val="00193437"/>
    <w:rsid w:val="001937C8"/>
    <w:rsid w:val="001939CE"/>
    <w:rsid w:val="00193A6C"/>
    <w:rsid w:val="001945D0"/>
    <w:rsid w:val="00195CCA"/>
    <w:rsid w:val="0019639D"/>
    <w:rsid w:val="001966CD"/>
    <w:rsid w:val="00196966"/>
    <w:rsid w:val="00197439"/>
    <w:rsid w:val="00197769"/>
    <w:rsid w:val="00197BD1"/>
    <w:rsid w:val="00197F43"/>
    <w:rsid w:val="001A0207"/>
    <w:rsid w:val="001A1AFA"/>
    <w:rsid w:val="001A1D08"/>
    <w:rsid w:val="001A25F1"/>
    <w:rsid w:val="001A29F3"/>
    <w:rsid w:val="001A331B"/>
    <w:rsid w:val="001A4D0B"/>
    <w:rsid w:val="001A67C9"/>
    <w:rsid w:val="001A7B1E"/>
    <w:rsid w:val="001A7C1F"/>
    <w:rsid w:val="001B1A4E"/>
    <w:rsid w:val="001B2A44"/>
    <w:rsid w:val="001B333D"/>
    <w:rsid w:val="001B3A16"/>
    <w:rsid w:val="001B4118"/>
    <w:rsid w:val="001B45BA"/>
    <w:rsid w:val="001B5867"/>
    <w:rsid w:val="001B6268"/>
    <w:rsid w:val="001B66AA"/>
    <w:rsid w:val="001B7A08"/>
    <w:rsid w:val="001C0B1A"/>
    <w:rsid w:val="001C0CAD"/>
    <w:rsid w:val="001C14F4"/>
    <w:rsid w:val="001C191F"/>
    <w:rsid w:val="001C251A"/>
    <w:rsid w:val="001C2CB6"/>
    <w:rsid w:val="001C3815"/>
    <w:rsid w:val="001C6E61"/>
    <w:rsid w:val="001C7190"/>
    <w:rsid w:val="001C7430"/>
    <w:rsid w:val="001C7D81"/>
    <w:rsid w:val="001D0134"/>
    <w:rsid w:val="001D0ED5"/>
    <w:rsid w:val="001D1886"/>
    <w:rsid w:val="001D2DB3"/>
    <w:rsid w:val="001D35F4"/>
    <w:rsid w:val="001D3E7E"/>
    <w:rsid w:val="001D535F"/>
    <w:rsid w:val="001D5A9F"/>
    <w:rsid w:val="001D5E01"/>
    <w:rsid w:val="001D78D1"/>
    <w:rsid w:val="001E0ABF"/>
    <w:rsid w:val="001E1E08"/>
    <w:rsid w:val="001E1F14"/>
    <w:rsid w:val="001E2090"/>
    <w:rsid w:val="001E20FE"/>
    <w:rsid w:val="001E316D"/>
    <w:rsid w:val="001E3752"/>
    <w:rsid w:val="001E4229"/>
    <w:rsid w:val="001E4F5F"/>
    <w:rsid w:val="001E5770"/>
    <w:rsid w:val="001E5791"/>
    <w:rsid w:val="001E5945"/>
    <w:rsid w:val="001E61E2"/>
    <w:rsid w:val="001E7906"/>
    <w:rsid w:val="001F035C"/>
    <w:rsid w:val="001F061D"/>
    <w:rsid w:val="001F1401"/>
    <w:rsid w:val="001F22B5"/>
    <w:rsid w:val="001F2AC8"/>
    <w:rsid w:val="001F41A3"/>
    <w:rsid w:val="001F7FDF"/>
    <w:rsid w:val="00201829"/>
    <w:rsid w:val="002024B4"/>
    <w:rsid w:val="00202D23"/>
    <w:rsid w:val="00203479"/>
    <w:rsid w:val="00203979"/>
    <w:rsid w:val="002041E1"/>
    <w:rsid w:val="00204786"/>
    <w:rsid w:val="0020498A"/>
    <w:rsid w:val="00204BB0"/>
    <w:rsid w:val="00204EB2"/>
    <w:rsid w:val="00205C31"/>
    <w:rsid w:val="00206379"/>
    <w:rsid w:val="00206474"/>
    <w:rsid w:val="002069C5"/>
    <w:rsid w:val="002072E1"/>
    <w:rsid w:val="002077D0"/>
    <w:rsid w:val="00207FB8"/>
    <w:rsid w:val="002104F9"/>
    <w:rsid w:val="00210DF7"/>
    <w:rsid w:val="00211893"/>
    <w:rsid w:val="002118E5"/>
    <w:rsid w:val="00212FE6"/>
    <w:rsid w:val="0021463B"/>
    <w:rsid w:val="00215098"/>
    <w:rsid w:val="00216635"/>
    <w:rsid w:val="00216E5D"/>
    <w:rsid w:val="00217660"/>
    <w:rsid w:val="0021782A"/>
    <w:rsid w:val="00217E01"/>
    <w:rsid w:val="002203CA"/>
    <w:rsid w:val="00220695"/>
    <w:rsid w:val="0022157A"/>
    <w:rsid w:val="00223676"/>
    <w:rsid w:val="0022379A"/>
    <w:rsid w:val="00223A7A"/>
    <w:rsid w:val="00224022"/>
    <w:rsid w:val="00224265"/>
    <w:rsid w:val="002245B1"/>
    <w:rsid w:val="00224C5C"/>
    <w:rsid w:val="00224EA5"/>
    <w:rsid w:val="0022593B"/>
    <w:rsid w:val="00225E82"/>
    <w:rsid w:val="00226047"/>
    <w:rsid w:val="002304BE"/>
    <w:rsid w:val="0023060E"/>
    <w:rsid w:val="00230976"/>
    <w:rsid w:val="002318EF"/>
    <w:rsid w:val="002325A1"/>
    <w:rsid w:val="002329DF"/>
    <w:rsid w:val="00233A15"/>
    <w:rsid w:val="00234D3F"/>
    <w:rsid w:val="002350D4"/>
    <w:rsid w:val="00235142"/>
    <w:rsid w:val="002353E1"/>
    <w:rsid w:val="00235B98"/>
    <w:rsid w:val="00235D9D"/>
    <w:rsid w:val="00236F45"/>
    <w:rsid w:val="002370BC"/>
    <w:rsid w:val="002406E7"/>
    <w:rsid w:val="00240C6E"/>
    <w:rsid w:val="00240D97"/>
    <w:rsid w:val="00240F62"/>
    <w:rsid w:val="00242E0B"/>
    <w:rsid w:val="00243A7E"/>
    <w:rsid w:val="00243C35"/>
    <w:rsid w:val="00243F73"/>
    <w:rsid w:val="00244101"/>
    <w:rsid w:val="00244630"/>
    <w:rsid w:val="00244E09"/>
    <w:rsid w:val="0024546B"/>
    <w:rsid w:val="00245CBC"/>
    <w:rsid w:val="00245DBB"/>
    <w:rsid w:val="002460AC"/>
    <w:rsid w:val="002466EC"/>
    <w:rsid w:val="0024723C"/>
    <w:rsid w:val="0025160E"/>
    <w:rsid w:val="00251921"/>
    <w:rsid w:val="002537CF"/>
    <w:rsid w:val="00253FFC"/>
    <w:rsid w:val="00254204"/>
    <w:rsid w:val="00254321"/>
    <w:rsid w:val="0025533E"/>
    <w:rsid w:val="00255513"/>
    <w:rsid w:val="00255B5E"/>
    <w:rsid w:val="00255D42"/>
    <w:rsid w:val="00255DDC"/>
    <w:rsid w:val="00256E4B"/>
    <w:rsid w:val="00257E76"/>
    <w:rsid w:val="002622E9"/>
    <w:rsid w:val="0026275A"/>
    <w:rsid w:val="00266F47"/>
    <w:rsid w:val="002671C4"/>
    <w:rsid w:val="0026733C"/>
    <w:rsid w:val="00270382"/>
    <w:rsid w:val="00270898"/>
    <w:rsid w:val="00270902"/>
    <w:rsid w:val="00270A02"/>
    <w:rsid w:val="0027168F"/>
    <w:rsid w:val="00273E2B"/>
    <w:rsid w:val="0027457E"/>
    <w:rsid w:val="00275776"/>
    <w:rsid w:val="00275F6D"/>
    <w:rsid w:val="00276CDE"/>
    <w:rsid w:val="00276EDC"/>
    <w:rsid w:val="002770F5"/>
    <w:rsid w:val="00277423"/>
    <w:rsid w:val="00277566"/>
    <w:rsid w:val="002801C5"/>
    <w:rsid w:val="0028068A"/>
    <w:rsid w:val="002814CC"/>
    <w:rsid w:val="00283137"/>
    <w:rsid w:val="002832A0"/>
    <w:rsid w:val="00283C70"/>
    <w:rsid w:val="00285562"/>
    <w:rsid w:val="0028578F"/>
    <w:rsid w:val="00285FC1"/>
    <w:rsid w:val="002869A0"/>
    <w:rsid w:val="00287783"/>
    <w:rsid w:val="0028780B"/>
    <w:rsid w:val="00290043"/>
    <w:rsid w:val="00290E3D"/>
    <w:rsid w:val="00291202"/>
    <w:rsid w:val="00291A26"/>
    <w:rsid w:val="00291D08"/>
    <w:rsid w:val="0029262D"/>
    <w:rsid w:val="0029263A"/>
    <w:rsid w:val="00292CB0"/>
    <w:rsid w:val="00293CDF"/>
    <w:rsid w:val="002953AD"/>
    <w:rsid w:val="0029575B"/>
    <w:rsid w:val="00295B66"/>
    <w:rsid w:val="00296BF9"/>
    <w:rsid w:val="002978F6"/>
    <w:rsid w:val="002A0449"/>
    <w:rsid w:val="002A0AFA"/>
    <w:rsid w:val="002A195B"/>
    <w:rsid w:val="002A1BAD"/>
    <w:rsid w:val="002A3C10"/>
    <w:rsid w:val="002A3FA4"/>
    <w:rsid w:val="002A4020"/>
    <w:rsid w:val="002A4D18"/>
    <w:rsid w:val="002A6656"/>
    <w:rsid w:val="002A7371"/>
    <w:rsid w:val="002A78B0"/>
    <w:rsid w:val="002A7C71"/>
    <w:rsid w:val="002A7E7E"/>
    <w:rsid w:val="002A7EA6"/>
    <w:rsid w:val="002B0770"/>
    <w:rsid w:val="002B1B4E"/>
    <w:rsid w:val="002B24E2"/>
    <w:rsid w:val="002B260F"/>
    <w:rsid w:val="002B3071"/>
    <w:rsid w:val="002B38A1"/>
    <w:rsid w:val="002B3BFC"/>
    <w:rsid w:val="002B4775"/>
    <w:rsid w:val="002B4888"/>
    <w:rsid w:val="002B722D"/>
    <w:rsid w:val="002C0239"/>
    <w:rsid w:val="002C0655"/>
    <w:rsid w:val="002C19F9"/>
    <w:rsid w:val="002C2304"/>
    <w:rsid w:val="002C2F36"/>
    <w:rsid w:val="002C3183"/>
    <w:rsid w:val="002C3BD0"/>
    <w:rsid w:val="002C427B"/>
    <w:rsid w:val="002C6D9F"/>
    <w:rsid w:val="002C6EA4"/>
    <w:rsid w:val="002C702A"/>
    <w:rsid w:val="002C717B"/>
    <w:rsid w:val="002C7387"/>
    <w:rsid w:val="002D0C2D"/>
    <w:rsid w:val="002D1279"/>
    <w:rsid w:val="002D18F3"/>
    <w:rsid w:val="002D1912"/>
    <w:rsid w:val="002D19ED"/>
    <w:rsid w:val="002D21F0"/>
    <w:rsid w:val="002D30B2"/>
    <w:rsid w:val="002D3779"/>
    <w:rsid w:val="002D4B4B"/>
    <w:rsid w:val="002D5537"/>
    <w:rsid w:val="002D5E20"/>
    <w:rsid w:val="002D6338"/>
    <w:rsid w:val="002D66F0"/>
    <w:rsid w:val="002D6A6E"/>
    <w:rsid w:val="002D6E6D"/>
    <w:rsid w:val="002D70FA"/>
    <w:rsid w:val="002E0F94"/>
    <w:rsid w:val="002E117D"/>
    <w:rsid w:val="002E1717"/>
    <w:rsid w:val="002E1A66"/>
    <w:rsid w:val="002E1BE5"/>
    <w:rsid w:val="002E20C7"/>
    <w:rsid w:val="002E2C19"/>
    <w:rsid w:val="002E3B0C"/>
    <w:rsid w:val="002E49B9"/>
    <w:rsid w:val="002E620E"/>
    <w:rsid w:val="002E6645"/>
    <w:rsid w:val="002E7B37"/>
    <w:rsid w:val="002F021A"/>
    <w:rsid w:val="002F084D"/>
    <w:rsid w:val="002F16E8"/>
    <w:rsid w:val="002F1986"/>
    <w:rsid w:val="002F215D"/>
    <w:rsid w:val="002F2E21"/>
    <w:rsid w:val="002F2F44"/>
    <w:rsid w:val="002F30B4"/>
    <w:rsid w:val="002F3AA4"/>
    <w:rsid w:val="002F3CD1"/>
    <w:rsid w:val="002F4677"/>
    <w:rsid w:val="002F54AF"/>
    <w:rsid w:val="002F59A7"/>
    <w:rsid w:val="002F6E37"/>
    <w:rsid w:val="002F74CF"/>
    <w:rsid w:val="00300639"/>
    <w:rsid w:val="003014CA"/>
    <w:rsid w:val="00301A3E"/>
    <w:rsid w:val="00302BAF"/>
    <w:rsid w:val="00302D0F"/>
    <w:rsid w:val="00303050"/>
    <w:rsid w:val="00303064"/>
    <w:rsid w:val="00303251"/>
    <w:rsid w:val="003035BE"/>
    <w:rsid w:val="003039DA"/>
    <w:rsid w:val="00305BFB"/>
    <w:rsid w:val="00305CDA"/>
    <w:rsid w:val="00306949"/>
    <w:rsid w:val="00306E03"/>
    <w:rsid w:val="00307DA8"/>
    <w:rsid w:val="0031044E"/>
    <w:rsid w:val="003105AC"/>
    <w:rsid w:val="00310D5E"/>
    <w:rsid w:val="00312334"/>
    <w:rsid w:val="00312743"/>
    <w:rsid w:val="00314508"/>
    <w:rsid w:val="003163AA"/>
    <w:rsid w:val="00316ED5"/>
    <w:rsid w:val="003174AC"/>
    <w:rsid w:val="00317514"/>
    <w:rsid w:val="00317C72"/>
    <w:rsid w:val="00320497"/>
    <w:rsid w:val="00322390"/>
    <w:rsid w:val="003228C5"/>
    <w:rsid w:val="00322988"/>
    <w:rsid w:val="0032335B"/>
    <w:rsid w:val="003266B0"/>
    <w:rsid w:val="00331655"/>
    <w:rsid w:val="00331E80"/>
    <w:rsid w:val="0033223F"/>
    <w:rsid w:val="0033229F"/>
    <w:rsid w:val="003324A4"/>
    <w:rsid w:val="003328E8"/>
    <w:rsid w:val="00332988"/>
    <w:rsid w:val="00333529"/>
    <w:rsid w:val="0033373E"/>
    <w:rsid w:val="0033400C"/>
    <w:rsid w:val="00334BF5"/>
    <w:rsid w:val="00334C11"/>
    <w:rsid w:val="00334D23"/>
    <w:rsid w:val="003351AA"/>
    <w:rsid w:val="00335452"/>
    <w:rsid w:val="00335B6F"/>
    <w:rsid w:val="00335EE3"/>
    <w:rsid w:val="0033636D"/>
    <w:rsid w:val="00336B9D"/>
    <w:rsid w:val="00337130"/>
    <w:rsid w:val="00337CCB"/>
    <w:rsid w:val="00337FC7"/>
    <w:rsid w:val="0034045A"/>
    <w:rsid w:val="00340919"/>
    <w:rsid w:val="00341885"/>
    <w:rsid w:val="00341A32"/>
    <w:rsid w:val="00343929"/>
    <w:rsid w:val="003456B2"/>
    <w:rsid w:val="0034669A"/>
    <w:rsid w:val="00346AEF"/>
    <w:rsid w:val="003517B3"/>
    <w:rsid w:val="00351905"/>
    <w:rsid w:val="00352237"/>
    <w:rsid w:val="0035261F"/>
    <w:rsid w:val="00353F1A"/>
    <w:rsid w:val="00354089"/>
    <w:rsid w:val="00355204"/>
    <w:rsid w:val="00356328"/>
    <w:rsid w:val="003570A2"/>
    <w:rsid w:val="0036009F"/>
    <w:rsid w:val="0036040F"/>
    <w:rsid w:val="00360B9C"/>
    <w:rsid w:val="00362034"/>
    <w:rsid w:val="00362B5D"/>
    <w:rsid w:val="003650D1"/>
    <w:rsid w:val="00365619"/>
    <w:rsid w:val="003657C5"/>
    <w:rsid w:val="003659A2"/>
    <w:rsid w:val="00365C90"/>
    <w:rsid w:val="00365CD3"/>
    <w:rsid w:val="00366B55"/>
    <w:rsid w:val="00367925"/>
    <w:rsid w:val="003707EF"/>
    <w:rsid w:val="00370CE8"/>
    <w:rsid w:val="00370D81"/>
    <w:rsid w:val="00371059"/>
    <w:rsid w:val="003722CE"/>
    <w:rsid w:val="00372CB0"/>
    <w:rsid w:val="00372CCB"/>
    <w:rsid w:val="00372D8A"/>
    <w:rsid w:val="00373966"/>
    <w:rsid w:val="00373F7C"/>
    <w:rsid w:val="003741BC"/>
    <w:rsid w:val="00374D88"/>
    <w:rsid w:val="00377264"/>
    <w:rsid w:val="00377D6B"/>
    <w:rsid w:val="00380E0B"/>
    <w:rsid w:val="0038124F"/>
    <w:rsid w:val="00381B2F"/>
    <w:rsid w:val="00381DB4"/>
    <w:rsid w:val="003825BF"/>
    <w:rsid w:val="00382A48"/>
    <w:rsid w:val="003836C9"/>
    <w:rsid w:val="00383B89"/>
    <w:rsid w:val="00383D30"/>
    <w:rsid w:val="00384ADE"/>
    <w:rsid w:val="00385083"/>
    <w:rsid w:val="00386F7C"/>
    <w:rsid w:val="00387C92"/>
    <w:rsid w:val="00390164"/>
    <w:rsid w:val="003938BB"/>
    <w:rsid w:val="00393FF2"/>
    <w:rsid w:val="003941CA"/>
    <w:rsid w:val="0039440A"/>
    <w:rsid w:val="00394C91"/>
    <w:rsid w:val="003951E2"/>
    <w:rsid w:val="00395472"/>
    <w:rsid w:val="003954B7"/>
    <w:rsid w:val="003A009E"/>
    <w:rsid w:val="003A0D22"/>
    <w:rsid w:val="003A1097"/>
    <w:rsid w:val="003A24B7"/>
    <w:rsid w:val="003A2D97"/>
    <w:rsid w:val="003A3140"/>
    <w:rsid w:val="003A36B7"/>
    <w:rsid w:val="003A3813"/>
    <w:rsid w:val="003A3816"/>
    <w:rsid w:val="003A3D36"/>
    <w:rsid w:val="003A442A"/>
    <w:rsid w:val="003A5739"/>
    <w:rsid w:val="003A7290"/>
    <w:rsid w:val="003A744C"/>
    <w:rsid w:val="003A760B"/>
    <w:rsid w:val="003A76F4"/>
    <w:rsid w:val="003A7D4F"/>
    <w:rsid w:val="003B0500"/>
    <w:rsid w:val="003B1144"/>
    <w:rsid w:val="003B261F"/>
    <w:rsid w:val="003B2A94"/>
    <w:rsid w:val="003B4FC6"/>
    <w:rsid w:val="003B56F2"/>
    <w:rsid w:val="003B7688"/>
    <w:rsid w:val="003C1F99"/>
    <w:rsid w:val="003C254F"/>
    <w:rsid w:val="003C2B22"/>
    <w:rsid w:val="003C2EDE"/>
    <w:rsid w:val="003C38BF"/>
    <w:rsid w:val="003C390C"/>
    <w:rsid w:val="003C5E69"/>
    <w:rsid w:val="003C5F99"/>
    <w:rsid w:val="003C6DBE"/>
    <w:rsid w:val="003C6EE8"/>
    <w:rsid w:val="003D21DE"/>
    <w:rsid w:val="003D336D"/>
    <w:rsid w:val="003D3671"/>
    <w:rsid w:val="003D46A1"/>
    <w:rsid w:val="003D4D08"/>
    <w:rsid w:val="003D52F8"/>
    <w:rsid w:val="003D5AC8"/>
    <w:rsid w:val="003D5B3E"/>
    <w:rsid w:val="003D5BE3"/>
    <w:rsid w:val="003D5C96"/>
    <w:rsid w:val="003D63E1"/>
    <w:rsid w:val="003D6828"/>
    <w:rsid w:val="003D7E56"/>
    <w:rsid w:val="003D7FCF"/>
    <w:rsid w:val="003E0922"/>
    <w:rsid w:val="003E12B9"/>
    <w:rsid w:val="003E1A98"/>
    <w:rsid w:val="003E1DD5"/>
    <w:rsid w:val="003E2F13"/>
    <w:rsid w:val="003E30D8"/>
    <w:rsid w:val="003E42C0"/>
    <w:rsid w:val="003E539D"/>
    <w:rsid w:val="003E5D50"/>
    <w:rsid w:val="003E6DA4"/>
    <w:rsid w:val="003E707D"/>
    <w:rsid w:val="003F0154"/>
    <w:rsid w:val="003F01D7"/>
    <w:rsid w:val="003F024B"/>
    <w:rsid w:val="003F21C4"/>
    <w:rsid w:val="003F3EE4"/>
    <w:rsid w:val="003F4018"/>
    <w:rsid w:val="003F4C9E"/>
    <w:rsid w:val="003F4E6A"/>
    <w:rsid w:val="003F6C0D"/>
    <w:rsid w:val="003F6F00"/>
    <w:rsid w:val="003F7579"/>
    <w:rsid w:val="003F7B7B"/>
    <w:rsid w:val="00400A1F"/>
    <w:rsid w:val="00400BA0"/>
    <w:rsid w:val="00400BE0"/>
    <w:rsid w:val="00400D4D"/>
    <w:rsid w:val="00401FD9"/>
    <w:rsid w:val="0040221C"/>
    <w:rsid w:val="00402CE5"/>
    <w:rsid w:val="00402DB2"/>
    <w:rsid w:val="00402E09"/>
    <w:rsid w:val="00404940"/>
    <w:rsid w:val="0040769C"/>
    <w:rsid w:val="00407A5F"/>
    <w:rsid w:val="00407A97"/>
    <w:rsid w:val="00407DC6"/>
    <w:rsid w:val="00411CBC"/>
    <w:rsid w:val="00411DEA"/>
    <w:rsid w:val="00411ECB"/>
    <w:rsid w:val="00412216"/>
    <w:rsid w:val="00413B15"/>
    <w:rsid w:val="00413DEA"/>
    <w:rsid w:val="0041416D"/>
    <w:rsid w:val="0041438C"/>
    <w:rsid w:val="00414DA9"/>
    <w:rsid w:val="0041638D"/>
    <w:rsid w:val="0041644D"/>
    <w:rsid w:val="00416532"/>
    <w:rsid w:val="00416589"/>
    <w:rsid w:val="004170AB"/>
    <w:rsid w:val="00420516"/>
    <w:rsid w:val="004207DC"/>
    <w:rsid w:val="00420BF6"/>
    <w:rsid w:val="004212B6"/>
    <w:rsid w:val="00421EA7"/>
    <w:rsid w:val="004240BB"/>
    <w:rsid w:val="00424CC6"/>
    <w:rsid w:val="00426275"/>
    <w:rsid w:val="0042679F"/>
    <w:rsid w:val="0042696E"/>
    <w:rsid w:val="00430661"/>
    <w:rsid w:val="00433AE4"/>
    <w:rsid w:val="00436059"/>
    <w:rsid w:val="0043666C"/>
    <w:rsid w:val="00437117"/>
    <w:rsid w:val="00437520"/>
    <w:rsid w:val="00440366"/>
    <w:rsid w:val="00440641"/>
    <w:rsid w:val="00440B68"/>
    <w:rsid w:val="00441522"/>
    <w:rsid w:val="004430EE"/>
    <w:rsid w:val="004442E9"/>
    <w:rsid w:val="004447CF"/>
    <w:rsid w:val="00444F27"/>
    <w:rsid w:val="00445676"/>
    <w:rsid w:val="004458B4"/>
    <w:rsid w:val="00445CB7"/>
    <w:rsid w:val="00447512"/>
    <w:rsid w:val="00447B8B"/>
    <w:rsid w:val="00450B3F"/>
    <w:rsid w:val="00451271"/>
    <w:rsid w:val="004513B2"/>
    <w:rsid w:val="004514BB"/>
    <w:rsid w:val="004530E9"/>
    <w:rsid w:val="00453CBA"/>
    <w:rsid w:val="00453D82"/>
    <w:rsid w:val="00454CA1"/>
    <w:rsid w:val="00455364"/>
    <w:rsid w:val="00455455"/>
    <w:rsid w:val="004559EF"/>
    <w:rsid w:val="004566AE"/>
    <w:rsid w:val="00456A1A"/>
    <w:rsid w:val="00457420"/>
    <w:rsid w:val="004575FE"/>
    <w:rsid w:val="00457E35"/>
    <w:rsid w:val="00457E83"/>
    <w:rsid w:val="00460007"/>
    <w:rsid w:val="00462C32"/>
    <w:rsid w:val="00463854"/>
    <w:rsid w:val="00464CD8"/>
    <w:rsid w:val="004651F6"/>
    <w:rsid w:val="00465287"/>
    <w:rsid w:val="004656AA"/>
    <w:rsid w:val="00465730"/>
    <w:rsid w:val="00466DEF"/>
    <w:rsid w:val="00466E84"/>
    <w:rsid w:val="004671B6"/>
    <w:rsid w:val="0046758D"/>
    <w:rsid w:val="00470F11"/>
    <w:rsid w:val="0047104D"/>
    <w:rsid w:val="00471682"/>
    <w:rsid w:val="00471B35"/>
    <w:rsid w:val="00472B94"/>
    <w:rsid w:val="00473F41"/>
    <w:rsid w:val="0047523D"/>
    <w:rsid w:val="00475E7F"/>
    <w:rsid w:val="00476973"/>
    <w:rsid w:val="00476A0A"/>
    <w:rsid w:val="00476A6D"/>
    <w:rsid w:val="00476D9E"/>
    <w:rsid w:val="00476E37"/>
    <w:rsid w:val="00477859"/>
    <w:rsid w:val="00480154"/>
    <w:rsid w:val="0048085B"/>
    <w:rsid w:val="004814FB"/>
    <w:rsid w:val="004816C0"/>
    <w:rsid w:val="004831D7"/>
    <w:rsid w:val="004834F3"/>
    <w:rsid w:val="004836CD"/>
    <w:rsid w:val="004843C3"/>
    <w:rsid w:val="00484B6C"/>
    <w:rsid w:val="004861ED"/>
    <w:rsid w:val="00486852"/>
    <w:rsid w:val="00486B50"/>
    <w:rsid w:val="0048701A"/>
    <w:rsid w:val="004871F7"/>
    <w:rsid w:val="00487801"/>
    <w:rsid w:val="00487C45"/>
    <w:rsid w:val="0049034C"/>
    <w:rsid w:val="004909DD"/>
    <w:rsid w:val="0049125E"/>
    <w:rsid w:val="00491E84"/>
    <w:rsid w:val="00492489"/>
    <w:rsid w:val="00492C11"/>
    <w:rsid w:val="00493215"/>
    <w:rsid w:val="00493475"/>
    <w:rsid w:val="00493CE2"/>
    <w:rsid w:val="00494F07"/>
    <w:rsid w:val="00495352"/>
    <w:rsid w:val="00495630"/>
    <w:rsid w:val="004966E7"/>
    <w:rsid w:val="004979F5"/>
    <w:rsid w:val="004A0323"/>
    <w:rsid w:val="004A10FA"/>
    <w:rsid w:val="004A1C9D"/>
    <w:rsid w:val="004A2198"/>
    <w:rsid w:val="004A351A"/>
    <w:rsid w:val="004A39A3"/>
    <w:rsid w:val="004A3AA9"/>
    <w:rsid w:val="004A3EF0"/>
    <w:rsid w:val="004A4C1A"/>
    <w:rsid w:val="004A581F"/>
    <w:rsid w:val="004A5EC3"/>
    <w:rsid w:val="004A5F95"/>
    <w:rsid w:val="004A609F"/>
    <w:rsid w:val="004A6246"/>
    <w:rsid w:val="004A657E"/>
    <w:rsid w:val="004B0491"/>
    <w:rsid w:val="004B1218"/>
    <w:rsid w:val="004B1498"/>
    <w:rsid w:val="004B270E"/>
    <w:rsid w:val="004B2B92"/>
    <w:rsid w:val="004B36BE"/>
    <w:rsid w:val="004B3C24"/>
    <w:rsid w:val="004B49B3"/>
    <w:rsid w:val="004B4C43"/>
    <w:rsid w:val="004B56D8"/>
    <w:rsid w:val="004B573E"/>
    <w:rsid w:val="004B5C06"/>
    <w:rsid w:val="004B6956"/>
    <w:rsid w:val="004B6AF5"/>
    <w:rsid w:val="004B6F2F"/>
    <w:rsid w:val="004B7584"/>
    <w:rsid w:val="004B7604"/>
    <w:rsid w:val="004B7961"/>
    <w:rsid w:val="004B7E4A"/>
    <w:rsid w:val="004C0627"/>
    <w:rsid w:val="004C08CE"/>
    <w:rsid w:val="004C1C08"/>
    <w:rsid w:val="004C1C88"/>
    <w:rsid w:val="004C4234"/>
    <w:rsid w:val="004C43E0"/>
    <w:rsid w:val="004C504A"/>
    <w:rsid w:val="004C5E68"/>
    <w:rsid w:val="004C63ED"/>
    <w:rsid w:val="004C697D"/>
    <w:rsid w:val="004C6C8C"/>
    <w:rsid w:val="004C6DF4"/>
    <w:rsid w:val="004C794C"/>
    <w:rsid w:val="004C7A7A"/>
    <w:rsid w:val="004C7EF2"/>
    <w:rsid w:val="004D0162"/>
    <w:rsid w:val="004D13A2"/>
    <w:rsid w:val="004D1F03"/>
    <w:rsid w:val="004D3F8B"/>
    <w:rsid w:val="004D48E6"/>
    <w:rsid w:val="004D4EA7"/>
    <w:rsid w:val="004D5872"/>
    <w:rsid w:val="004D5928"/>
    <w:rsid w:val="004D70CF"/>
    <w:rsid w:val="004D7392"/>
    <w:rsid w:val="004D7F4B"/>
    <w:rsid w:val="004E082D"/>
    <w:rsid w:val="004E0E35"/>
    <w:rsid w:val="004E426A"/>
    <w:rsid w:val="004E49F3"/>
    <w:rsid w:val="004E5E6F"/>
    <w:rsid w:val="004E6064"/>
    <w:rsid w:val="004E60D4"/>
    <w:rsid w:val="004E6336"/>
    <w:rsid w:val="004E6B4C"/>
    <w:rsid w:val="004E6C89"/>
    <w:rsid w:val="004E6FB6"/>
    <w:rsid w:val="004F12C3"/>
    <w:rsid w:val="004F2190"/>
    <w:rsid w:val="004F309F"/>
    <w:rsid w:val="004F3E1A"/>
    <w:rsid w:val="004F415E"/>
    <w:rsid w:val="004F4464"/>
    <w:rsid w:val="004F486F"/>
    <w:rsid w:val="004F496D"/>
    <w:rsid w:val="004F4ECC"/>
    <w:rsid w:val="0050034E"/>
    <w:rsid w:val="005005C8"/>
    <w:rsid w:val="00501423"/>
    <w:rsid w:val="0050341D"/>
    <w:rsid w:val="0050462C"/>
    <w:rsid w:val="005057AE"/>
    <w:rsid w:val="00506617"/>
    <w:rsid w:val="005071FE"/>
    <w:rsid w:val="00507796"/>
    <w:rsid w:val="00511072"/>
    <w:rsid w:val="005112C6"/>
    <w:rsid w:val="00512052"/>
    <w:rsid w:val="00516089"/>
    <w:rsid w:val="00516797"/>
    <w:rsid w:val="005173DA"/>
    <w:rsid w:val="00517B3B"/>
    <w:rsid w:val="00520079"/>
    <w:rsid w:val="005205E9"/>
    <w:rsid w:val="00520929"/>
    <w:rsid w:val="00520B78"/>
    <w:rsid w:val="00521016"/>
    <w:rsid w:val="00521966"/>
    <w:rsid w:val="00521C97"/>
    <w:rsid w:val="005230BD"/>
    <w:rsid w:val="005230D7"/>
    <w:rsid w:val="00523467"/>
    <w:rsid w:val="0052457E"/>
    <w:rsid w:val="005250AE"/>
    <w:rsid w:val="00525B00"/>
    <w:rsid w:val="00526453"/>
    <w:rsid w:val="0052676E"/>
    <w:rsid w:val="00531A39"/>
    <w:rsid w:val="00531F3B"/>
    <w:rsid w:val="00531F92"/>
    <w:rsid w:val="00532AEE"/>
    <w:rsid w:val="005338B6"/>
    <w:rsid w:val="00536F5E"/>
    <w:rsid w:val="00537000"/>
    <w:rsid w:val="0053731A"/>
    <w:rsid w:val="00537D04"/>
    <w:rsid w:val="00540BE5"/>
    <w:rsid w:val="0054199F"/>
    <w:rsid w:val="00542839"/>
    <w:rsid w:val="00542E7D"/>
    <w:rsid w:val="005430A4"/>
    <w:rsid w:val="00544671"/>
    <w:rsid w:val="00544FE4"/>
    <w:rsid w:val="005455FF"/>
    <w:rsid w:val="00546BFC"/>
    <w:rsid w:val="00546F47"/>
    <w:rsid w:val="00547683"/>
    <w:rsid w:val="00550BFB"/>
    <w:rsid w:val="00551A0B"/>
    <w:rsid w:val="00551D2C"/>
    <w:rsid w:val="0055450B"/>
    <w:rsid w:val="0055598C"/>
    <w:rsid w:val="005568E4"/>
    <w:rsid w:val="005571DE"/>
    <w:rsid w:val="00557BFE"/>
    <w:rsid w:val="00557C81"/>
    <w:rsid w:val="00562AB6"/>
    <w:rsid w:val="00563680"/>
    <w:rsid w:val="005636E8"/>
    <w:rsid w:val="00564F11"/>
    <w:rsid w:val="00565531"/>
    <w:rsid w:val="00565938"/>
    <w:rsid w:val="005669D7"/>
    <w:rsid w:val="005740D0"/>
    <w:rsid w:val="00574408"/>
    <w:rsid w:val="005744B9"/>
    <w:rsid w:val="00574D14"/>
    <w:rsid w:val="00574E17"/>
    <w:rsid w:val="00575601"/>
    <w:rsid w:val="00575A37"/>
    <w:rsid w:val="0057673A"/>
    <w:rsid w:val="005774A8"/>
    <w:rsid w:val="00577DBC"/>
    <w:rsid w:val="00577EBD"/>
    <w:rsid w:val="005800E5"/>
    <w:rsid w:val="00580A57"/>
    <w:rsid w:val="005812AD"/>
    <w:rsid w:val="00581534"/>
    <w:rsid w:val="00581AF2"/>
    <w:rsid w:val="00581D39"/>
    <w:rsid w:val="005820E2"/>
    <w:rsid w:val="00583568"/>
    <w:rsid w:val="005843BD"/>
    <w:rsid w:val="00584D27"/>
    <w:rsid w:val="00585398"/>
    <w:rsid w:val="00585D42"/>
    <w:rsid w:val="00585D8D"/>
    <w:rsid w:val="00585E7A"/>
    <w:rsid w:val="00586708"/>
    <w:rsid w:val="0058792B"/>
    <w:rsid w:val="005908FE"/>
    <w:rsid w:val="005929C3"/>
    <w:rsid w:val="00592E0A"/>
    <w:rsid w:val="0059534A"/>
    <w:rsid w:val="00595451"/>
    <w:rsid w:val="0059657E"/>
    <w:rsid w:val="00596C29"/>
    <w:rsid w:val="005A0230"/>
    <w:rsid w:val="005A0815"/>
    <w:rsid w:val="005A08E4"/>
    <w:rsid w:val="005A1486"/>
    <w:rsid w:val="005A2568"/>
    <w:rsid w:val="005A266D"/>
    <w:rsid w:val="005A302B"/>
    <w:rsid w:val="005A6AEB"/>
    <w:rsid w:val="005A710C"/>
    <w:rsid w:val="005A7447"/>
    <w:rsid w:val="005A77D5"/>
    <w:rsid w:val="005B0A4F"/>
    <w:rsid w:val="005B0B33"/>
    <w:rsid w:val="005B2609"/>
    <w:rsid w:val="005B2D1B"/>
    <w:rsid w:val="005B5B29"/>
    <w:rsid w:val="005B68F5"/>
    <w:rsid w:val="005B705B"/>
    <w:rsid w:val="005B70FA"/>
    <w:rsid w:val="005B7220"/>
    <w:rsid w:val="005B7D34"/>
    <w:rsid w:val="005C0710"/>
    <w:rsid w:val="005C0A94"/>
    <w:rsid w:val="005C0BC8"/>
    <w:rsid w:val="005C2D7D"/>
    <w:rsid w:val="005C30C1"/>
    <w:rsid w:val="005C335D"/>
    <w:rsid w:val="005C3E3C"/>
    <w:rsid w:val="005C4F0F"/>
    <w:rsid w:val="005C587B"/>
    <w:rsid w:val="005C71F7"/>
    <w:rsid w:val="005C7FC3"/>
    <w:rsid w:val="005D208E"/>
    <w:rsid w:val="005D36A1"/>
    <w:rsid w:val="005D39F7"/>
    <w:rsid w:val="005D3EFE"/>
    <w:rsid w:val="005D40FC"/>
    <w:rsid w:val="005D4174"/>
    <w:rsid w:val="005D41E4"/>
    <w:rsid w:val="005D45F1"/>
    <w:rsid w:val="005D482D"/>
    <w:rsid w:val="005D4D95"/>
    <w:rsid w:val="005D4F47"/>
    <w:rsid w:val="005D5374"/>
    <w:rsid w:val="005D58F9"/>
    <w:rsid w:val="005D6F9D"/>
    <w:rsid w:val="005D7170"/>
    <w:rsid w:val="005D788C"/>
    <w:rsid w:val="005D7FC9"/>
    <w:rsid w:val="005E0950"/>
    <w:rsid w:val="005E0D29"/>
    <w:rsid w:val="005E0F16"/>
    <w:rsid w:val="005E130E"/>
    <w:rsid w:val="005E2132"/>
    <w:rsid w:val="005E24A2"/>
    <w:rsid w:val="005E2CDA"/>
    <w:rsid w:val="005E4805"/>
    <w:rsid w:val="005E509F"/>
    <w:rsid w:val="005E607C"/>
    <w:rsid w:val="005E6AE3"/>
    <w:rsid w:val="005F1156"/>
    <w:rsid w:val="005F27BD"/>
    <w:rsid w:val="005F29B7"/>
    <w:rsid w:val="005F2C2D"/>
    <w:rsid w:val="005F301E"/>
    <w:rsid w:val="005F33FF"/>
    <w:rsid w:val="005F373A"/>
    <w:rsid w:val="005F391F"/>
    <w:rsid w:val="005F4BE4"/>
    <w:rsid w:val="005F4CCF"/>
    <w:rsid w:val="005F688E"/>
    <w:rsid w:val="00600376"/>
    <w:rsid w:val="00601019"/>
    <w:rsid w:val="00602668"/>
    <w:rsid w:val="00602E93"/>
    <w:rsid w:val="0060383D"/>
    <w:rsid w:val="0060510D"/>
    <w:rsid w:val="00605F76"/>
    <w:rsid w:val="00607172"/>
    <w:rsid w:val="00607246"/>
    <w:rsid w:val="00607E20"/>
    <w:rsid w:val="00607E92"/>
    <w:rsid w:val="0061010A"/>
    <w:rsid w:val="00610198"/>
    <w:rsid w:val="00610C81"/>
    <w:rsid w:val="006122AE"/>
    <w:rsid w:val="00612380"/>
    <w:rsid w:val="0061323B"/>
    <w:rsid w:val="006133CF"/>
    <w:rsid w:val="006140FC"/>
    <w:rsid w:val="0061424E"/>
    <w:rsid w:val="006143E5"/>
    <w:rsid w:val="00614F7C"/>
    <w:rsid w:val="00615218"/>
    <w:rsid w:val="00616CD9"/>
    <w:rsid w:val="0062080A"/>
    <w:rsid w:val="006211D2"/>
    <w:rsid w:val="00621798"/>
    <w:rsid w:val="00621C21"/>
    <w:rsid w:val="00621C74"/>
    <w:rsid w:val="00621E53"/>
    <w:rsid w:val="00622600"/>
    <w:rsid w:val="00622CBB"/>
    <w:rsid w:val="00622DA5"/>
    <w:rsid w:val="00622E1B"/>
    <w:rsid w:val="00625F60"/>
    <w:rsid w:val="00626747"/>
    <w:rsid w:val="00626ED8"/>
    <w:rsid w:val="0063056F"/>
    <w:rsid w:val="00631AB7"/>
    <w:rsid w:val="006323AD"/>
    <w:rsid w:val="00632E89"/>
    <w:rsid w:val="006334A6"/>
    <w:rsid w:val="006339FA"/>
    <w:rsid w:val="00633B22"/>
    <w:rsid w:val="006342AB"/>
    <w:rsid w:val="00636472"/>
    <w:rsid w:val="00636CEB"/>
    <w:rsid w:val="0063738F"/>
    <w:rsid w:val="00637E0B"/>
    <w:rsid w:val="00640012"/>
    <w:rsid w:val="006400CE"/>
    <w:rsid w:val="00640256"/>
    <w:rsid w:val="00640C77"/>
    <w:rsid w:val="00640C85"/>
    <w:rsid w:val="00640EED"/>
    <w:rsid w:val="00642093"/>
    <w:rsid w:val="006423DF"/>
    <w:rsid w:val="0064304D"/>
    <w:rsid w:val="006440E7"/>
    <w:rsid w:val="006442B1"/>
    <w:rsid w:val="006455D1"/>
    <w:rsid w:val="0064592C"/>
    <w:rsid w:val="00645F18"/>
    <w:rsid w:val="00646C30"/>
    <w:rsid w:val="006470A0"/>
    <w:rsid w:val="006470ED"/>
    <w:rsid w:val="00647348"/>
    <w:rsid w:val="00651187"/>
    <w:rsid w:val="00652442"/>
    <w:rsid w:val="0065275C"/>
    <w:rsid w:val="006530B0"/>
    <w:rsid w:val="00653C86"/>
    <w:rsid w:val="0065405A"/>
    <w:rsid w:val="00656F54"/>
    <w:rsid w:val="006572AE"/>
    <w:rsid w:val="0065750A"/>
    <w:rsid w:val="006577CF"/>
    <w:rsid w:val="00657CE0"/>
    <w:rsid w:val="0066005F"/>
    <w:rsid w:val="00660EFD"/>
    <w:rsid w:val="00661176"/>
    <w:rsid w:val="00661D8A"/>
    <w:rsid w:val="00661E5A"/>
    <w:rsid w:val="006628AD"/>
    <w:rsid w:val="00662C02"/>
    <w:rsid w:val="00662ED8"/>
    <w:rsid w:val="00663403"/>
    <w:rsid w:val="0066412F"/>
    <w:rsid w:val="00664B2F"/>
    <w:rsid w:val="006665A9"/>
    <w:rsid w:val="00670DB4"/>
    <w:rsid w:val="006718BD"/>
    <w:rsid w:val="00673616"/>
    <w:rsid w:val="006746E9"/>
    <w:rsid w:val="00674932"/>
    <w:rsid w:val="00674F66"/>
    <w:rsid w:val="00674F87"/>
    <w:rsid w:val="00674FAB"/>
    <w:rsid w:val="00675A39"/>
    <w:rsid w:val="006760E1"/>
    <w:rsid w:val="00676BD1"/>
    <w:rsid w:val="00677629"/>
    <w:rsid w:val="006803EC"/>
    <w:rsid w:val="00680B5A"/>
    <w:rsid w:val="0068119C"/>
    <w:rsid w:val="006819C1"/>
    <w:rsid w:val="006820ED"/>
    <w:rsid w:val="006823A0"/>
    <w:rsid w:val="0068258F"/>
    <w:rsid w:val="006829ED"/>
    <w:rsid w:val="00684154"/>
    <w:rsid w:val="0068468D"/>
    <w:rsid w:val="0068486A"/>
    <w:rsid w:val="00685E5D"/>
    <w:rsid w:val="006861F0"/>
    <w:rsid w:val="00687E72"/>
    <w:rsid w:val="00690087"/>
    <w:rsid w:val="00690147"/>
    <w:rsid w:val="00691D3E"/>
    <w:rsid w:val="00692459"/>
    <w:rsid w:val="00692802"/>
    <w:rsid w:val="00692B87"/>
    <w:rsid w:val="006950B8"/>
    <w:rsid w:val="006954DA"/>
    <w:rsid w:val="00695766"/>
    <w:rsid w:val="00695ACF"/>
    <w:rsid w:val="00695B71"/>
    <w:rsid w:val="00696CFE"/>
    <w:rsid w:val="0069715A"/>
    <w:rsid w:val="006972D2"/>
    <w:rsid w:val="00697C7E"/>
    <w:rsid w:val="00697E8B"/>
    <w:rsid w:val="006A030D"/>
    <w:rsid w:val="006A04EF"/>
    <w:rsid w:val="006A1052"/>
    <w:rsid w:val="006A1906"/>
    <w:rsid w:val="006A1A12"/>
    <w:rsid w:val="006A203D"/>
    <w:rsid w:val="006A30B9"/>
    <w:rsid w:val="006A3552"/>
    <w:rsid w:val="006A37D7"/>
    <w:rsid w:val="006A3FE0"/>
    <w:rsid w:val="006A4321"/>
    <w:rsid w:val="006A4F34"/>
    <w:rsid w:val="006A5508"/>
    <w:rsid w:val="006A55B2"/>
    <w:rsid w:val="006A5AEC"/>
    <w:rsid w:val="006A5BD6"/>
    <w:rsid w:val="006A5DE2"/>
    <w:rsid w:val="006A7A4E"/>
    <w:rsid w:val="006A7BB6"/>
    <w:rsid w:val="006B0A30"/>
    <w:rsid w:val="006B0EA9"/>
    <w:rsid w:val="006B1532"/>
    <w:rsid w:val="006B18FB"/>
    <w:rsid w:val="006B1D54"/>
    <w:rsid w:val="006B5532"/>
    <w:rsid w:val="006B57FC"/>
    <w:rsid w:val="006B6F12"/>
    <w:rsid w:val="006B7AD9"/>
    <w:rsid w:val="006C0201"/>
    <w:rsid w:val="006C0627"/>
    <w:rsid w:val="006C121A"/>
    <w:rsid w:val="006C2A8F"/>
    <w:rsid w:val="006C2FB4"/>
    <w:rsid w:val="006C34BD"/>
    <w:rsid w:val="006C35D9"/>
    <w:rsid w:val="006C496C"/>
    <w:rsid w:val="006C4AE3"/>
    <w:rsid w:val="006C58B9"/>
    <w:rsid w:val="006C673D"/>
    <w:rsid w:val="006C7477"/>
    <w:rsid w:val="006D0E6F"/>
    <w:rsid w:val="006D0E92"/>
    <w:rsid w:val="006D20AE"/>
    <w:rsid w:val="006D217E"/>
    <w:rsid w:val="006D25F3"/>
    <w:rsid w:val="006D2BDF"/>
    <w:rsid w:val="006D341E"/>
    <w:rsid w:val="006D3BD1"/>
    <w:rsid w:val="006D404C"/>
    <w:rsid w:val="006D4061"/>
    <w:rsid w:val="006D43B5"/>
    <w:rsid w:val="006D4444"/>
    <w:rsid w:val="006D4604"/>
    <w:rsid w:val="006D461B"/>
    <w:rsid w:val="006D5FCC"/>
    <w:rsid w:val="006D6014"/>
    <w:rsid w:val="006D620C"/>
    <w:rsid w:val="006D63C8"/>
    <w:rsid w:val="006D6851"/>
    <w:rsid w:val="006D6DA1"/>
    <w:rsid w:val="006D6DB7"/>
    <w:rsid w:val="006D70F9"/>
    <w:rsid w:val="006D7B7E"/>
    <w:rsid w:val="006E0542"/>
    <w:rsid w:val="006E20EA"/>
    <w:rsid w:val="006E27DF"/>
    <w:rsid w:val="006E3171"/>
    <w:rsid w:val="006E3CA9"/>
    <w:rsid w:val="006E3CFB"/>
    <w:rsid w:val="006E481C"/>
    <w:rsid w:val="006E670E"/>
    <w:rsid w:val="006E6B45"/>
    <w:rsid w:val="006F06FF"/>
    <w:rsid w:val="006F0B9C"/>
    <w:rsid w:val="006F10DA"/>
    <w:rsid w:val="006F24B7"/>
    <w:rsid w:val="006F2A57"/>
    <w:rsid w:val="006F3CB7"/>
    <w:rsid w:val="006F43DC"/>
    <w:rsid w:val="006F4C33"/>
    <w:rsid w:val="006F4E14"/>
    <w:rsid w:val="006F4E8A"/>
    <w:rsid w:val="006F62A9"/>
    <w:rsid w:val="006F67D3"/>
    <w:rsid w:val="006F6AB8"/>
    <w:rsid w:val="006F7677"/>
    <w:rsid w:val="006F7FEC"/>
    <w:rsid w:val="0070002C"/>
    <w:rsid w:val="00700FF8"/>
    <w:rsid w:val="00701730"/>
    <w:rsid w:val="007023E0"/>
    <w:rsid w:val="007025D6"/>
    <w:rsid w:val="00702D68"/>
    <w:rsid w:val="00704E56"/>
    <w:rsid w:val="00705C13"/>
    <w:rsid w:val="00705DD0"/>
    <w:rsid w:val="00710C63"/>
    <w:rsid w:val="0071160E"/>
    <w:rsid w:val="0071163B"/>
    <w:rsid w:val="00712940"/>
    <w:rsid w:val="00712A1A"/>
    <w:rsid w:val="007147F2"/>
    <w:rsid w:val="00715672"/>
    <w:rsid w:val="007160C9"/>
    <w:rsid w:val="0071648C"/>
    <w:rsid w:val="00716D6A"/>
    <w:rsid w:val="007213C2"/>
    <w:rsid w:val="00721F7A"/>
    <w:rsid w:val="00724B10"/>
    <w:rsid w:val="00725DBE"/>
    <w:rsid w:val="007262DC"/>
    <w:rsid w:val="007263CA"/>
    <w:rsid w:val="007270A5"/>
    <w:rsid w:val="00727425"/>
    <w:rsid w:val="0073066F"/>
    <w:rsid w:val="00731D04"/>
    <w:rsid w:val="00733C45"/>
    <w:rsid w:val="00733FB1"/>
    <w:rsid w:val="007344A2"/>
    <w:rsid w:val="0073547B"/>
    <w:rsid w:val="0073555D"/>
    <w:rsid w:val="0073649B"/>
    <w:rsid w:val="007368D2"/>
    <w:rsid w:val="00737A25"/>
    <w:rsid w:val="00737A41"/>
    <w:rsid w:val="00741DD4"/>
    <w:rsid w:val="007450DB"/>
    <w:rsid w:val="00745117"/>
    <w:rsid w:val="0074688E"/>
    <w:rsid w:val="0074695A"/>
    <w:rsid w:val="0075081E"/>
    <w:rsid w:val="007510FD"/>
    <w:rsid w:val="0075179A"/>
    <w:rsid w:val="00752D20"/>
    <w:rsid w:val="00753BCD"/>
    <w:rsid w:val="007554E2"/>
    <w:rsid w:val="00756FA6"/>
    <w:rsid w:val="00757A04"/>
    <w:rsid w:val="00757C4B"/>
    <w:rsid w:val="00761080"/>
    <w:rsid w:val="00761FD7"/>
    <w:rsid w:val="00762DC0"/>
    <w:rsid w:val="0076397A"/>
    <w:rsid w:val="00763C7D"/>
    <w:rsid w:val="00764035"/>
    <w:rsid w:val="007647E7"/>
    <w:rsid w:val="00764C8B"/>
    <w:rsid w:val="00764E19"/>
    <w:rsid w:val="0076784D"/>
    <w:rsid w:val="00767FAB"/>
    <w:rsid w:val="00770562"/>
    <w:rsid w:val="007706FC"/>
    <w:rsid w:val="00770908"/>
    <w:rsid w:val="00770CD3"/>
    <w:rsid w:val="0077149D"/>
    <w:rsid w:val="007727D7"/>
    <w:rsid w:val="007734A8"/>
    <w:rsid w:val="00774402"/>
    <w:rsid w:val="0077544E"/>
    <w:rsid w:val="007755FF"/>
    <w:rsid w:val="00775D74"/>
    <w:rsid w:val="00776647"/>
    <w:rsid w:val="007773D1"/>
    <w:rsid w:val="00780F13"/>
    <w:rsid w:val="007812C7"/>
    <w:rsid w:val="007813EC"/>
    <w:rsid w:val="00783D2B"/>
    <w:rsid w:val="00784215"/>
    <w:rsid w:val="00786E16"/>
    <w:rsid w:val="007874DB"/>
    <w:rsid w:val="00790E79"/>
    <w:rsid w:val="007915B7"/>
    <w:rsid w:val="00791B9E"/>
    <w:rsid w:val="0079317C"/>
    <w:rsid w:val="00793B33"/>
    <w:rsid w:val="00794472"/>
    <w:rsid w:val="00795E44"/>
    <w:rsid w:val="007962E5"/>
    <w:rsid w:val="007963F6"/>
    <w:rsid w:val="0079652F"/>
    <w:rsid w:val="007967BB"/>
    <w:rsid w:val="0079730E"/>
    <w:rsid w:val="007A0A14"/>
    <w:rsid w:val="007A16CE"/>
    <w:rsid w:val="007A196F"/>
    <w:rsid w:val="007A2B44"/>
    <w:rsid w:val="007A2C69"/>
    <w:rsid w:val="007A2F22"/>
    <w:rsid w:val="007A321E"/>
    <w:rsid w:val="007A4DDA"/>
    <w:rsid w:val="007A5CF8"/>
    <w:rsid w:val="007A6992"/>
    <w:rsid w:val="007A6BDE"/>
    <w:rsid w:val="007A6F81"/>
    <w:rsid w:val="007A7969"/>
    <w:rsid w:val="007B22CD"/>
    <w:rsid w:val="007B23BB"/>
    <w:rsid w:val="007B2652"/>
    <w:rsid w:val="007B31E7"/>
    <w:rsid w:val="007B3DE8"/>
    <w:rsid w:val="007B4779"/>
    <w:rsid w:val="007B483F"/>
    <w:rsid w:val="007B51E0"/>
    <w:rsid w:val="007B5836"/>
    <w:rsid w:val="007B6EED"/>
    <w:rsid w:val="007B710A"/>
    <w:rsid w:val="007B76B2"/>
    <w:rsid w:val="007C0E20"/>
    <w:rsid w:val="007C310C"/>
    <w:rsid w:val="007C358F"/>
    <w:rsid w:val="007C4C49"/>
    <w:rsid w:val="007C643D"/>
    <w:rsid w:val="007C666F"/>
    <w:rsid w:val="007C7046"/>
    <w:rsid w:val="007C7152"/>
    <w:rsid w:val="007C7D92"/>
    <w:rsid w:val="007D0954"/>
    <w:rsid w:val="007D0BF9"/>
    <w:rsid w:val="007D1A54"/>
    <w:rsid w:val="007D222E"/>
    <w:rsid w:val="007D30F9"/>
    <w:rsid w:val="007D38B6"/>
    <w:rsid w:val="007D40F4"/>
    <w:rsid w:val="007D434B"/>
    <w:rsid w:val="007D4694"/>
    <w:rsid w:val="007D55E7"/>
    <w:rsid w:val="007D5A96"/>
    <w:rsid w:val="007D5D2F"/>
    <w:rsid w:val="007D5D90"/>
    <w:rsid w:val="007D7DD1"/>
    <w:rsid w:val="007D7EEC"/>
    <w:rsid w:val="007E1172"/>
    <w:rsid w:val="007E1AF0"/>
    <w:rsid w:val="007E2874"/>
    <w:rsid w:val="007E357E"/>
    <w:rsid w:val="007E373A"/>
    <w:rsid w:val="007E523B"/>
    <w:rsid w:val="007E5EE2"/>
    <w:rsid w:val="007E7671"/>
    <w:rsid w:val="007E7B84"/>
    <w:rsid w:val="007F020B"/>
    <w:rsid w:val="007F0CD2"/>
    <w:rsid w:val="007F0F59"/>
    <w:rsid w:val="007F3928"/>
    <w:rsid w:val="007F3B1D"/>
    <w:rsid w:val="007F5595"/>
    <w:rsid w:val="007F72B5"/>
    <w:rsid w:val="007F72EF"/>
    <w:rsid w:val="007F78A7"/>
    <w:rsid w:val="008002B5"/>
    <w:rsid w:val="00801049"/>
    <w:rsid w:val="008013AB"/>
    <w:rsid w:val="0080182F"/>
    <w:rsid w:val="00801DF8"/>
    <w:rsid w:val="00801E63"/>
    <w:rsid w:val="00801EDE"/>
    <w:rsid w:val="00802140"/>
    <w:rsid w:val="0080235F"/>
    <w:rsid w:val="0080356A"/>
    <w:rsid w:val="00804C22"/>
    <w:rsid w:val="008057E5"/>
    <w:rsid w:val="00805956"/>
    <w:rsid w:val="00805B1B"/>
    <w:rsid w:val="00806BDC"/>
    <w:rsid w:val="00807287"/>
    <w:rsid w:val="00810FEF"/>
    <w:rsid w:val="00811F70"/>
    <w:rsid w:val="00812282"/>
    <w:rsid w:val="00812F34"/>
    <w:rsid w:val="008142FE"/>
    <w:rsid w:val="008149D2"/>
    <w:rsid w:val="00814FC3"/>
    <w:rsid w:val="00815AD7"/>
    <w:rsid w:val="00815B9C"/>
    <w:rsid w:val="00816B1A"/>
    <w:rsid w:val="00816C83"/>
    <w:rsid w:val="00816D8B"/>
    <w:rsid w:val="00816FA9"/>
    <w:rsid w:val="00817934"/>
    <w:rsid w:val="00821D5E"/>
    <w:rsid w:val="00821DE7"/>
    <w:rsid w:val="00825BE3"/>
    <w:rsid w:val="00826A84"/>
    <w:rsid w:val="00830471"/>
    <w:rsid w:val="00830AB6"/>
    <w:rsid w:val="00830F51"/>
    <w:rsid w:val="008311B2"/>
    <w:rsid w:val="0083223B"/>
    <w:rsid w:val="00832922"/>
    <w:rsid w:val="0083374F"/>
    <w:rsid w:val="00833843"/>
    <w:rsid w:val="008339C2"/>
    <w:rsid w:val="00833A01"/>
    <w:rsid w:val="00833CD6"/>
    <w:rsid w:val="00834211"/>
    <w:rsid w:val="0083483B"/>
    <w:rsid w:val="00834EEF"/>
    <w:rsid w:val="008352D1"/>
    <w:rsid w:val="008355F4"/>
    <w:rsid w:val="00835704"/>
    <w:rsid w:val="00836321"/>
    <w:rsid w:val="00836574"/>
    <w:rsid w:val="008368B5"/>
    <w:rsid w:val="00837143"/>
    <w:rsid w:val="0083796D"/>
    <w:rsid w:val="00841E22"/>
    <w:rsid w:val="00841FE8"/>
    <w:rsid w:val="0084205C"/>
    <w:rsid w:val="00842487"/>
    <w:rsid w:val="0084322C"/>
    <w:rsid w:val="00843C5B"/>
    <w:rsid w:val="00843F8D"/>
    <w:rsid w:val="00844314"/>
    <w:rsid w:val="008443E5"/>
    <w:rsid w:val="0084447E"/>
    <w:rsid w:val="008444A8"/>
    <w:rsid w:val="008444C4"/>
    <w:rsid w:val="00844EF9"/>
    <w:rsid w:val="00844FED"/>
    <w:rsid w:val="0084675E"/>
    <w:rsid w:val="00846987"/>
    <w:rsid w:val="00847E04"/>
    <w:rsid w:val="00850095"/>
    <w:rsid w:val="00850AFD"/>
    <w:rsid w:val="00851564"/>
    <w:rsid w:val="00852ABE"/>
    <w:rsid w:val="00852E76"/>
    <w:rsid w:val="00854EA1"/>
    <w:rsid w:val="008554CE"/>
    <w:rsid w:val="00855AF2"/>
    <w:rsid w:val="00855D67"/>
    <w:rsid w:val="00855DEB"/>
    <w:rsid w:val="00857343"/>
    <w:rsid w:val="00857A18"/>
    <w:rsid w:val="00860C3F"/>
    <w:rsid w:val="008613C1"/>
    <w:rsid w:val="00862521"/>
    <w:rsid w:val="008626BB"/>
    <w:rsid w:val="00862ACD"/>
    <w:rsid w:val="00862D08"/>
    <w:rsid w:val="0086398F"/>
    <w:rsid w:val="00863D5D"/>
    <w:rsid w:val="00863F48"/>
    <w:rsid w:val="00865721"/>
    <w:rsid w:val="00865CB6"/>
    <w:rsid w:val="00872362"/>
    <w:rsid w:val="00872AAE"/>
    <w:rsid w:val="00873613"/>
    <w:rsid w:val="00873709"/>
    <w:rsid w:val="00873944"/>
    <w:rsid w:val="0087449B"/>
    <w:rsid w:val="0087601E"/>
    <w:rsid w:val="00877837"/>
    <w:rsid w:val="0088048F"/>
    <w:rsid w:val="008805C8"/>
    <w:rsid w:val="00880D82"/>
    <w:rsid w:val="00881131"/>
    <w:rsid w:val="008818A1"/>
    <w:rsid w:val="00882EC3"/>
    <w:rsid w:val="00883C81"/>
    <w:rsid w:val="00884DE3"/>
    <w:rsid w:val="008858E2"/>
    <w:rsid w:val="00885AB6"/>
    <w:rsid w:val="00886310"/>
    <w:rsid w:val="00886543"/>
    <w:rsid w:val="0088745C"/>
    <w:rsid w:val="00890472"/>
    <w:rsid w:val="00891179"/>
    <w:rsid w:val="00891F85"/>
    <w:rsid w:val="00892F42"/>
    <w:rsid w:val="00893883"/>
    <w:rsid w:val="00893BDC"/>
    <w:rsid w:val="00894F59"/>
    <w:rsid w:val="00896709"/>
    <w:rsid w:val="008A0244"/>
    <w:rsid w:val="008A0295"/>
    <w:rsid w:val="008A1108"/>
    <w:rsid w:val="008A1345"/>
    <w:rsid w:val="008A13A2"/>
    <w:rsid w:val="008A1767"/>
    <w:rsid w:val="008A1C11"/>
    <w:rsid w:val="008A1CE4"/>
    <w:rsid w:val="008A1FE2"/>
    <w:rsid w:val="008A39AE"/>
    <w:rsid w:val="008A3E34"/>
    <w:rsid w:val="008A4236"/>
    <w:rsid w:val="008A497B"/>
    <w:rsid w:val="008A4F2A"/>
    <w:rsid w:val="008A4FF6"/>
    <w:rsid w:val="008A6DC1"/>
    <w:rsid w:val="008B088F"/>
    <w:rsid w:val="008B0D79"/>
    <w:rsid w:val="008B16DA"/>
    <w:rsid w:val="008B22B1"/>
    <w:rsid w:val="008B246C"/>
    <w:rsid w:val="008B2503"/>
    <w:rsid w:val="008B2670"/>
    <w:rsid w:val="008B2B7A"/>
    <w:rsid w:val="008B37FC"/>
    <w:rsid w:val="008B3D90"/>
    <w:rsid w:val="008B4202"/>
    <w:rsid w:val="008B434A"/>
    <w:rsid w:val="008B530F"/>
    <w:rsid w:val="008B5726"/>
    <w:rsid w:val="008B5BAD"/>
    <w:rsid w:val="008B6223"/>
    <w:rsid w:val="008B653E"/>
    <w:rsid w:val="008B69DC"/>
    <w:rsid w:val="008B6DCE"/>
    <w:rsid w:val="008B6F12"/>
    <w:rsid w:val="008C1378"/>
    <w:rsid w:val="008C1490"/>
    <w:rsid w:val="008C1E23"/>
    <w:rsid w:val="008C2831"/>
    <w:rsid w:val="008C2ED9"/>
    <w:rsid w:val="008C3908"/>
    <w:rsid w:val="008C3940"/>
    <w:rsid w:val="008C53B3"/>
    <w:rsid w:val="008C63A1"/>
    <w:rsid w:val="008C7050"/>
    <w:rsid w:val="008C712D"/>
    <w:rsid w:val="008C74DE"/>
    <w:rsid w:val="008C790D"/>
    <w:rsid w:val="008D00C4"/>
    <w:rsid w:val="008D1903"/>
    <w:rsid w:val="008D2976"/>
    <w:rsid w:val="008D32D6"/>
    <w:rsid w:val="008D3758"/>
    <w:rsid w:val="008D3882"/>
    <w:rsid w:val="008D42A9"/>
    <w:rsid w:val="008D4B26"/>
    <w:rsid w:val="008D50CB"/>
    <w:rsid w:val="008D5128"/>
    <w:rsid w:val="008D5437"/>
    <w:rsid w:val="008D5725"/>
    <w:rsid w:val="008D5D8A"/>
    <w:rsid w:val="008D6401"/>
    <w:rsid w:val="008D69F6"/>
    <w:rsid w:val="008D6E95"/>
    <w:rsid w:val="008E0125"/>
    <w:rsid w:val="008E05F1"/>
    <w:rsid w:val="008E0A4A"/>
    <w:rsid w:val="008E15DF"/>
    <w:rsid w:val="008E1895"/>
    <w:rsid w:val="008E1C7A"/>
    <w:rsid w:val="008E280A"/>
    <w:rsid w:val="008E2B99"/>
    <w:rsid w:val="008E3C16"/>
    <w:rsid w:val="008E421D"/>
    <w:rsid w:val="008E44B8"/>
    <w:rsid w:val="008E50BB"/>
    <w:rsid w:val="008E621D"/>
    <w:rsid w:val="008E675D"/>
    <w:rsid w:val="008E6CE0"/>
    <w:rsid w:val="008E6D09"/>
    <w:rsid w:val="008E6F76"/>
    <w:rsid w:val="008F10D7"/>
    <w:rsid w:val="008F1C36"/>
    <w:rsid w:val="008F27BE"/>
    <w:rsid w:val="008F331C"/>
    <w:rsid w:val="008F413B"/>
    <w:rsid w:val="008F53BE"/>
    <w:rsid w:val="008F548E"/>
    <w:rsid w:val="008F5E44"/>
    <w:rsid w:val="008F63F0"/>
    <w:rsid w:val="008F68ED"/>
    <w:rsid w:val="008F6BA7"/>
    <w:rsid w:val="008F7774"/>
    <w:rsid w:val="008F7A22"/>
    <w:rsid w:val="00900511"/>
    <w:rsid w:val="009016EA"/>
    <w:rsid w:val="009019FC"/>
    <w:rsid w:val="009033DB"/>
    <w:rsid w:val="00906484"/>
    <w:rsid w:val="00906DED"/>
    <w:rsid w:val="00906E34"/>
    <w:rsid w:val="009075CE"/>
    <w:rsid w:val="00907DA9"/>
    <w:rsid w:val="009106A8"/>
    <w:rsid w:val="00913779"/>
    <w:rsid w:val="009142A2"/>
    <w:rsid w:val="00914E79"/>
    <w:rsid w:val="00914ED7"/>
    <w:rsid w:val="00914F0D"/>
    <w:rsid w:val="009156C2"/>
    <w:rsid w:val="00916132"/>
    <w:rsid w:val="009216C9"/>
    <w:rsid w:val="00922848"/>
    <w:rsid w:val="0092412D"/>
    <w:rsid w:val="00924E8E"/>
    <w:rsid w:val="0092568B"/>
    <w:rsid w:val="00926301"/>
    <w:rsid w:val="009263A5"/>
    <w:rsid w:val="0092749B"/>
    <w:rsid w:val="0092780A"/>
    <w:rsid w:val="00927F8A"/>
    <w:rsid w:val="00930387"/>
    <w:rsid w:val="00930550"/>
    <w:rsid w:val="00930651"/>
    <w:rsid w:val="00930D2E"/>
    <w:rsid w:val="00930D3F"/>
    <w:rsid w:val="009313E5"/>
    <w:rsid w:val="009315CA"/>
    <w:rsid w:val="0093226C"/>
    <w:rsid w:val="009328E9"/>
    <w:rsid w:val="00932942"/>
    <w:rsid w:val="00932BCE"/>
    <w:rsid w:val="00932E12"/>
    <w:rsid w:val="0093409C"/>
    <w:rsid w:val="00936682"/>
    <w:rsid w:val="009368CE"/>
    <w:rsid w:val="00940320"/>
    <w:rsid w:val="0094099A"/>
    <w:rsid w:val="00941607"/>
    <w:rsid w:val="00941DB9"/>
    <w:rsid w:val="00942A7A"/>
    <w:rsid w:val="009444A8"/>
    <w:rsid w:val="00944E6D"/>
    <w:rsid w:val="00944EEB"/>
    <w:rsid w:val="00944F1B"/>
    <w:rsid w:val="009464E2"/>
    <w:rsid w:val="00946581"/>
    <w:rsid w:val="00946BD1"/>
    <w:rsid w:val="0094717A"/>
    <w:rsid w:val="0094736E"/>
    <w:rsid w:val="00950189"/>
    <w:rsid w:val="00950260"/>
    <w:rsid w:val="00950F8C"/>
    <w:rsid w:val="00951973"/>
    <w:rsid w:val="009519D1"/>
    <w:rsid w:val="00951AA8"/>
    <w:rsid w:val="00951B1E"/>
    <w:rsid w:val="00952B5C"/>
    <w:rsid w:val="00952EB8"/>
    <w:rsid w:val="00952F8C"/>
    <w:rsid w:val="009560F8"/>
    <w:rsid w:val="0095646F"/>
    <w:rsid w:val="0095729A"/>
    <w:rsid w:val="00961388"/>
    <w:rsid w:val="009632D3"/>
    <w:rsid w:val="009633DE"/>
    <w:rsid w:val="009637D4"/>
    <w:rsid w:val="00964338"/>
    <w:rsid w:val="009678DF"/>
    <w:rsid w:val="00970063"/>
    <w:rsid w:val="00970E9B"/>
    <w:rsid w:val="00971429"/>
    <w:rsid w:val="00972C33"/>
    <w:rsid w:val="00975067"/>
    <w:rsid w:val="009755B9"/>
    <w:rsid w:val="009757EB"/>
    <w:rsid w:val="00975BE2"/>
    <w:rsid w:val="00975D43"/>
    <w:rsid w:val="00977234"/>
    <w:rsid w:val="00977FA8"/>
    <w:rsid w:val="009801E4"/>
    <w:rsid w:val="00980419"/>
    <w:rsid w:val="00983F54"/>
    <w:rsid w:val="009844AF"/>
    <w:rsid w:val="00987F95"/>
    <w:rsid w:val="00990354"/>
    <w:rsid w:val="00990525"/>
    <w:rsid w:val="00990C52"/>
    <w:rsid w:val="009913AD"/>
    <w:rsid w:val="009919F9"/>
    <w:rsid w:val="00991B5B"/>
    <w:rsid w:val="00992789"/>
    <w:rsid w:val="00992E7A"/>
    <w:rsid w:val="00995F69"/>
    <w:rsid w:val="00997192"/>
    <w:rsid w:val="00997764"/>
    <w:rsid w:val="00997D43"/>
    <w:rsid w:val="009A1919"/>
    <w:rsid w:val="009A2182"/>
    <w:rsid w:val="009A2199"/>
    <w:rsid w:val="009A2E7F"/>
    <w:rsid w:val="009A303A"/>
    <w:rsid w:val="009A3183"/>
    <w:rsid w:val="009A3215"/>
    <w:rsid w:val="009A351C"/>
    <w:rsid w:val="009A3D58"/>
    <w:rsid w:val="009A4215"/>
    <w:rsid w:val="009A4585"/>
    <w:rsid w:val="009A4DB9"/>
    <w:rsid w:val="009A58D3"/>
    <w:rsid w:val="009A6C18"/>
    <w:rsid w:val="009A7311"/>
    <w:rsid w:val="009A7CCD"/>
    <w:rsid w:val="009B04A9"/>
    <w:rsid w:val="009B1104"/>
    <w:rsid w:val="009B17DA"/>
    <w:rsid w:val="009B2DAE"/>
    <w:rsid w:val="009B41AE"/>
    <w:rsid w:val="009B485C"/>
    <w:rsid w:val="009B62C8"/>
    <w:rsid w:val="009B632B"/>
    <w:rsid w:val="009B6EDD"/>
    <w:rsid w:val="009B7959"/>
    <w:rsid w:val="009B7A58"/>
    <w:rsid w:val="009B7BFA"/>
    <w:rsid w:val="009C094A"/>
    <w:rsid w:val="009C0F93"/>
    <w:rsid w:val="009C165C"/>
    <w:rsid w:val="009C30B4"/>
    <w:rsid w:val="009C379A"/>
    <w:rsid w:val="009C4019"/>
    <w:rsid w:val="009C4122"/>
    <w:rsid w:val="009C5178"/>
    <w:rsid w:val="009C6208"/>
    <w:rsid w:val="009C6841"/>
    <w:rsid w:val="009D01EB"/>
    <w:rsid w:val="009D09B4"/>
    <w:rsid w:val="009D1196"/>
    <w:rsid w:val="009D1466"/>
    <w:rsid w:val="009D1ED9"/>
    <w:rsid w:val="009D320A"/>
    <w:rsid w:val="009D4D75"/>
    <w:rsid w:val="009D5CA9"/>
    <w:rsid w:val="009D66A1"/>
    <w:rsid w:val="009D68BA"/>
    <w:rsid w:val="009D7813"/>
    <w:rsid w:val="009D7D09"/>
    <w:rsid w:val="009E0F6D"/>
    <w:rsid w:val="009E1A76"/>
    <w:rsid w:val="009E2CCD"/>
    <w:rsid w:val="009E31BF"/>
    <w:rsid w:val="009E350B"/>
    <w:rsid w:val="009E3C2B"/>
    <w:rsid w:val="009E4858"/>
    <w:rsid w:val="009E4E7A"/>
    <w:rsid w:val="009E4E8F"/>
    <w:rsid w:val="009E589A"/>
    <w:rsid w:val="009E5A0B"/>
    <w:rsid w:val="009E6193"/>
    <w:rsid w:val="009E63E0"/>
    <w:rsid w:val="009E6F5D"/>
    <w:rsid w:val="009E7461"/>
    <w:rsid w:val="009E7E99"/>
    <w:rsid w:val="009F009A"/>
    <w:rsid w:val="009F0203"/>
    <w:rsid w:val="009F0988"/>
    <w:rsid w:val="009F1865"/>
    <w:rsid w:val="009F38C4"/>
    <w:rsid w:val="009F4036"/>
    <w:rsid w:val="009F464E"/>
    <w:rsid w:val="009F4AB1"/>
    <w:rsid w:val="009F4BBD"/>
    <w:rsid w:val="00A00338"/>
    <w:rsid w:val="00A00C57"/>
    <w:rsid w:val="00A019DF"/>
    <w:rsid w:val="00A0214F"/>
    <w:rsid w:val="00A02601"/>
    <w:rsid w:val="00A0307C"/>
    <w:rsid w:val="00A03A33"/>
    <w:rsid w:val="00A04413"/>
    <w:rsid w:val="00A04906"/>
    <w:rsid w:val="00A0548C"/>
    <w:rsid w:val="00A0563F"/>
    <w:rsid w:val="00A05933"/>
    <w:rsid w:val="00A05F9D"/>
    <w:rsid w:val="00A06866"/>
    <w:rsid w:val="00A07056"/>
    <w:rsid w:val="00A10D1B"/>
    <w:rsid w:val="00A114F2"/>
    <w:rsid w:val="00A115D3"/>
    <w:rsid w:val="00A1195B"/>
    <w:rsid w:val="00A11EC3"/>
    <w:rsid w:val="00A11FE0"/>
    <w:rsid w:val="00A13508"/>
    <w:rsid w:val="00A13968"/>
    <w:rsid w:val="00A1456E"/>
    <w:rsid w:val="00A15067"/>
    <w:rsid w:val="00A15B51"/>
    <w:rsid w:val="00A1623F"/>
    <w:rsid w:val="00A16249"/>
    <w:rsid w:val="00A16E90"/>
    <w:rsid w:val="00A17260"/>
    <w:rsid w:val="00A17363"/>
    <w:rsid w:val="00A2192C"/>
    <w:rsid w:val="00A21C4F"/>
    <w:rsid w:val="00A21D7A"/>
    <w:rsid w:val="00A21F86"/>
    <w:rsid w:val="00A224B1"/>
    <w:rsid w:val="00A23C1D"/>
    <w:rsid w:val="00A2487D"/>
    <w:rsid w:val="00A24C79"/>
    <w:rsid w:val="00A25C0F"/>
    <w:rsid w:val="00A26912"/>
    <w:rsid w:val="00A276D6"/>
    <w:rsid w:val="00A27AD0"/>
    <w:rsid w:val="00A30AAD"/>
    <w:rsid w:val="00A3119E"/>
    <w:rsid w:val="00A3126C"/>
    <w:rsid w:val="00A315E4"/>
    <w:rsid w:val="00A32B85"/>
    <w:rsid w:val="00A34BB2"/>
    <w:rsid w:val="00A34DBA"/>
    <w:rsid w:val="00A35BD8"/>
    <w:rsid w:val="00A36263"/>
    <w:rsid w:val="00A375F9"/>
    <w:rsid w:val="00A40B4D"/>
    <w:rsid w:val="00A410EC"/>
    <w:rsid w:val="00A41A11"/>
    <w:rsid w:val="00A42C14"/>
    <w:rsid w:val="00A42DA8"/>
    <w:rsid w:val="00A43FC2"/>
    <w:rsid w:val="00A44142"/>
    <w:rsid w:val="00A44C0C"/>
    <w:rsid w:val="00A453AF"/>
    <w:rsid w:val="00A45AC5"/>
    <w:rsid w:val="00A46CC0"/>
    <w:rsid w:val="00A479B2"/>
    <w:rsid w:val="00A47D24"/>
    <w:rsid w:val="00A50A5F"/>
    <w:rsid w:val="00A50A9D"/>
    <w:rsid w:val="00A51313"/>
    <w:rsid w:val="00A513CE"/>
    <w:rsid w:val="00A52966"/>
    <w:rsid w:val="00A54361"/>
    <w:rsid w:val="00A5793A"/>
    <w:rsid w:val="00A629A1"/>
    <w:rsid w:val="00A6310F"/>
    <w:rsid w:val="00A63B70"/>
    <w:rsid w:val="00A63BF8"/>
    <w:rsid w:val="00A63CA1"/>
    <w:rsid w:val="00A63EC2"/>
    <w:rsid w:val="00A6462B"/>
    <w:rsid w:val="00A649EB"/>
    <w:rsid w:val="00A6655F"/>
    <w:rsid w:val="00A671DB"/>
    <w:rsid w:val="00A67EBC"/>
    <w:rsid w:val="00A7054F"/>
    <w:rsid w:val="00A70712"/>
    <w:rsid w:val="00A745AB"/>
    <w:rsid w:val="00A74BAF"/>
    <w:rsid w:val="00A757CD"/>
    <w:rsid w:val="00A815B1"/>
    <w:rsid w:val="00A81AFE"/>
    <w:rsid w:val="00A81EA9"/>
    <w:rsid w:val="00A8311B"/>
    <w:rsid w:val="00A83D34"/>
    <w:rsid w:val="00A84B52"/>
    <w:rsid w:val="00A84C67"/>
    <w:rsid w:val="00A852CF"/>
    <w:rsid w:val="00A85369"/>
    <w:rsid w:val="00A8565A"/>
    <w:rsid w:val="00A858B8"/>
    <w:rsid w:val="00A85D21"/>
    <w:rsid w:val="00A86907"/>
    <w:rsid w:val="00A9228B"/>
    <w:rsid w:val="00A924CA"/>
    <w:rsid w:val="00A9280D"/>
    <w:rsid w:val="00A92BC7"/>
    <w:rsid w:val="00A93168"/>
    <w:rsid w:val="00A94D08"/>
    <w:rsid w:val="00A952FC"/>
    <w:rsid w:val="00A95376"/>
    <w:rsid w:val="00A959AA"/>
    <w:rsid w:val="00A96176"/>
    <w:rsid w:val="00A962AF"/>
    <w:rsid w:val="00A9662A"/>
    <w:rsid w:val="00A96B1E"/>
    <w:rsid w:val="00A96DE2"/>
    <w:rsid w:val="00AA08E0"/>
    <w:rsid w:val="00AA0F20"/>
    <w:rsid w:val="00AA1E12"/>
    <w:rsid w:val="00AA2792"/>
    <w:rsid w:val="00AA3EA3"/>
    <w:rsid w:val="00AA4E95"/>
    <w:rsid w:val="00AA574B"/>
    <w:rsid w:val="00AA587F"/>
    <w:rsid w:val="00AA59B2"/>
    <w:rsid w:val="00AA705A"/>
    <w:rsid w:val="00AA7B04"/>
    <w:rsid w:val="00AB04A4"/>
    <w:rsid w:val="00AB1458"/>
    <w:rsid w:val="00AB17E8"/>
    <w:rsid w:val="00AB1D66"/>
    <w:rsid w:val="00AB25A0"/>
    <w:rsid w:val="00AB3A41"/>
    <w:rsid w:val="00AB3D6C"/>
    <w:rsid w:val="00AB48E8"/>
    <w:rsid w:val="00AB6C5C"/>
    <w:rsid w:val="00AB7BBD"/>
    <w:rsid w:val="00AC14C3"/>
    <w:rsid w:val="00AC1D4C"/>
    <w:rsid w:val="00AC28AB"/>
    <w:rsid w:val="00AC2AAD"/>
    <w:rsid w:val="00AC2F10"/>
    <w:rsid w:val="00AC32C6"/>
    <w:rsid w:val="00AC3831"/>
    <w:rsid w:val="00AC3A68"/>
    <w:rsid w:val="00AC4AD9"/>
    <w:rsid w:val="00AC4B20"/>
    <w:rsid w:val="00AC5F73"/>
    <w:rsid w:val="00AC6297"/>
    <w:rsid w:val="00AC792B"/>
    <w:rsid w:val="00AD026D"/>
    <w:rsid w:val="00AD0B91"/>
    <w:rsid w:val="00AD1541"/>
    <w:rsid w:val="00AD189E"/>
    <w:rsid w:val="00AD3999"/>
    <w:rsid w:val="00AD399B"/>
    <w:rsid w:val="00AD39E2"/>
    <w:rsid w:val="00AD469A"/>
    <w:rsid w:val="00AD4A69"/>
    <w:rsid w:val="00AD4EDF"/>
    <w:rsid w:val="00AD649E"/>
    <w:rsid w:val="00AD6A5A"/>
    <w:rsid w:val="00AD7729"/>
    <w:rsid w:val="00AD7D8E"/>
    <w:rsid w:val="00AE0201"/>
    <w:rsid w:val="00AE0772"/>
    <w:rsid w:val="00AE14AB"/>
    <w:rsid w:val="00AE1BD2"/>
    <w:rsid w:val="00AE5936"/>
    <w:rsid w:val="00AE66A1"/>
    <w:rsid w:val="00AE76A3"/>
    <w:rsid w:val="00AF0140"/>
    <w:rsid w:val="00AF0A20"/>
    <w:rsid w:val="00AF0A78"/>
    <w:rsid w:val="00AF3250"/>
    <w:rsid w:val="00AF3739"/>
    <w:rsid w:val="00AF4269"/>
    <w:rsid w:val="00AF5955"/>
    <w:rsid w:val="00AF5F77"/>
    <w:rsid w:val="00AF65B2"/>
    <w:rsid w:val="00AF6DDB"/>
    <w:rsid w:val="00AF798C"/>
    <w:rsid w:val="00B00768"/>
    <w:rsid w:val="00B00E22"/>
    <w:rsid w:val="00B01081"/>
    <w:rsid w:val="00B01AD1"/>
    <w:rsid w:val="00B02714"/>
    <w:rsid w:val="00B02E4B"/>
    <w:rsid w:val="00B030BA"/>
    <w:rsid w:val="00B0349F"/>
    <w:rsid w:val="00B03827"/>
    <w:rsid w:val="00B051A3"/>
    <w:rsid w:val="00B056CD"/>
    <w:rsid w:val="00B062FE"/>
    <w:rsid w:val="00B07096"/>
    <w:rsid w:val="00B07177"/>
    <w:rsid w:val="00B07D16"/>
    <w:rsid w:val="00B108FC"/>
    <w:rsid w:val="00B15A8C"/>
    <w:rsid w:val="00B15D39"/>
    <w:rsid w:val="00B16D30"/>
    <w:rsid w:val="00B20C6D"/>
    <w:rsid w:val="00B20D98"/>
    <w:rsid w:val="00B20E57"/>
    <w:rsid w:val="00B22213"/>
    <w:rsid w:val="00B22EF7"/>
    <w:rsid w:val="00B24A09"/>
    <w:rsid w:val="00B2535A"/>
    <w:rsid w:val="00B25887"/>
    <w:rsid w:val="00B26F5A"/>
    <w:rsid w:val="00B272EE"/>
    <w:rsid w:val="00B2750A"/>
    <w:rsid w:val="00B3152A"/>
    <w:rsid w:val="00B315A9"/>
    <w:rsid w:val="00B32360"/>
    <w:rsid w:val="00B32C23"/>
    <w:rsid w:val="00B32EE3"/>
    <w:rsid w:val="00B339F5"/>
    <w:rsid w:val="00B34C31"/>
    <w:rsid w:val="00B36568"/>
    <w:rsid w:val="00B36827"/>
    <w:rsid w:val="00B36A69"/>
    <w:rsid w:val="00B37029"/>
    <w:rsid w:val="00B3721C"/>
    <w:rsid w:val="00B37487"/>
    <w:rsid w:val="00B37508"/>
    <w:rsid w:val="00B4052B"/>
    <w:rsid w:val="00B40E4B"/>
    <w:rsid w:val="00B42140"/>
    <w:rsid w:val="00B42777"/>
    <w:rsid w:val="00B427C1"/>
    <w:rsid w:val="00B4309E"/>
    <w:rsid w:val="00B44479"/>
    <w:rsid w:val="00B44A0D"/>
    <w:rsid w:val="00B44A60"/>
    <w:rsid w:val="00B4546B"/>
    <w:rsid w:val="00B45921"/>
    <w:rsid w:val="00B469D3"/>
    <w:rsid w:val="00B46F80"/>
    <w:rsid w:val="00B50301"/>
    <w:rsid w:val="00B50458"/>
    <w:rsid w:val="00B50480"/>
    <w:rsid w:val="00B505F3"/>
    <w:rsid w:val="00B50B5E"/>
    <w:rsid w:val="00B51CD3"/>
    <w:rsid w:val="00B525DB"/>
    <w:rsid w:val="00B531D4"/>
    <w:rsid w:val="00B536DB"/>
    <w:rsid w:val="00B53842"/>
    <w:rsid w:val="00B54053"/>
    <w:rsid w:val="00B5514A"/>
    <w:rsid w:val="00B55B60"/>
    <w:rsid w:val="00B57609"/>
    <w:rsid w:val="00B60197"/>
    <w:rsid w:val="00B60AC7"/>
    <w:rsid w:val="00B61CEA"/>
    <w:rsid w:val="00B61FC9"/>
    <w:rsid w:val="00B62193"/>
    <w:rsid w:val="00B6383B"/>
    <w:rsid w:val="00B63AFB"/>
    <w:rsid w:val="00B640D5"/>
    <w:rsid w:val="00B64F77"/>
    <w:rsid w:val="00B65038"/>
    <w:rsid w:val="00B66A68"/>
    <w:rsid w:val="00B70738"/>
    <w:rsid w:val="00B711A9"/>
    <w:rsid w:val="00B718DA"/>
    <w:rsid w:val="00B719CB"/>
    <w:rsid w:val="00B71A11"/>
    <w:rsid w:val="00B71FB4"/>
    <w:rsid w:val="00B725E4"/>
    <w:rsid w:val="00B74680"/>
    <w:rsid w:val="00B74A49"/>
    <w:rsid w:val="00B77C04"/>
    <w:rsid w:val="00B77E36"/>
    <w:rsid w:val="00B803EE"/>
    <w:rsid w:val="00B832A4"/>
    <w:rsid w:val="00B834D8"/>
    <w:rsid w:val="00B8356E"/>
    <w:rsid w:val="00B8519E"/>
    <w:rsid w:val="00B8563A"/>
    <w:rsid w:val="00B85801"/>
    <w:rsid w:val="00B86E45"/>
    <w:rsid w:val="00B87025"/>
    <w:rsid w:val="00B87519"/>
    <w:rsid w:val="00B9001D"/>
    <w:rsid w:val="00B91A75"/>
    <w:rsid w:val="00B923E4"/>
    <w:rsid w:val="00B93195"/>
    <w:rsid w:val="00B936B3"/>
    <w:rsid w:val="00B9444E"/>
    <w:rsid w:val="00B958F1"/>
    <w:rsid w:val="00B95BE8"/>
    <w:rsid w:val="00B9661D"/>
    <w:rsid w:val="00B96DE8"/>
    <w:rsid w:val="00B97045"/>
    <w:rsid w:val="00B97306"/>
    <w:rsid w:val="00B973F8"/>
    <w:rsid w:val="00B97EE3"/>
    <w:rsid w:val="00BA034B"/>
    <w:rsid w:val="00BA07C3"/>
    <w:rsid w:val="00BA1C8A"/>
    <w:rsid w:val="00BA2006"/>
    <w:rsid w:val="00BA2750"/>
    <w:rsid w:val="00BA27B8"/>
    <w:rsid w:val="00BA2F84"/>
    <w:rsid w:val="00BA3D6B"/>
    <w:rsid w:val="00BA3E87"/>
    <w:rsid w:val="00BA4042"/>
    <w:rsid w:val="00BA44AD"/>
    <w:rsid w:val="00BA6E80"/>
    <w:rsid w:val="00BA7994"/>
    <w:rsid w:val="00BB079C"/>
    <w:rsid w:val="00BB0959"/>
    <w:rsid w:val="00BB1358"/>
    <w:rsid w:val="00BB1D55"/>
    <w:rsid w:val="00BB25CA"/>
    <w:rsid w:val="00BB491A"/>
    <w:rsid w:val="00BB4AE3"/>
    <w:rsid w:val="00BB5971"/>
    <w:rsid w:val="00BB5A83"/>
    <w:rsid w:val="00BB7D33"/>
    <w:rsid w:val="00BB7DA2"/>
    <w:rsid w:val="00BC0B3E"/>
    <w:rsid w:val="00BC134A"/>
    <w:rsid w:val="00BC14D6"/>
    <w:rsid w:val="00BC2CC3"/>
    <w:rsid w:val="00BC3013"/>
    <w:rsid w:val="00BC4215"/>
    <w:rsid w:val="00BC480C"/>
    <w:rsid w:val="00BC4ADB"/>
    <w:rsid w:val="00BC4F79"/>
    <w:rsid w:val="00BC5572"/>
    <w:rsid w:val="00BC5669"/>
    <w:rsid w:val="00BC5965"/>
    <w:rsid w:val="00BC5E39"/>
    <w:rsid w:val="00BC62EA"/>
    <w:rsid w:val="00BC7CA1"/>
    <w:rsid w:val="00BD1C9D"/>
    <w:rsid w:val="00BD1EFA"/>
    <w:rsid w:val="00BD2E80"/>
    <w:rsid w:val="00BD3E2B"/>
    <w:rsid w:val="00BD48E7"/>
    <w:rsid w:val="00BD55FE"/>
    <w:rsid w:val="00BD5ED5"/>
    <w:rsid w:val="00BD66A5"/>
    <w:rsid w:val="00BD6998"/>
    <w:rsid w:val="00BD7147"/>
    <w:rsid w:val="00BE025B"/>
    <w:rsid w:val="00BE2349"/>
    <w:rsid w:val="00BE280C"/>
    <w:rsid w:val="00BE28D4"/>
    <w:rsid w:val="00BE2C7C"/>
    <w:rsid w:val="00BE2FD5"/>
    <w:rsid w:val="00BE4539"/>
    <w:rsid w:val="00BE7D59"/>
    <w:rsid w:val="00BF14FD"/>
    <w:rsid w:val="00BF159F"/>
    <w:rsid w:val="00BF2399"/>
    <w:rsid w:val="00BF28DD"/>
    <w:rsid w:val="00BF4AAD"/>
    <w:rsid w:val="00BF58D5"/>
    <w:rsid w:val="00BF6B20"/>
    <w:rsid w:val="00C00118"/>
    <w:rsid w:val="00C00899"/>
    <w:rsid w:val="00C00DFE"/>
    <w:rsid w:val="00C02368"/>
    <w:rsid w:val="00C02CEC"/>
    <w:rsid w:val="00C03129"/>
    <w:rsid w:val="00C033D8"/>
    <w:rsid w:val="00C037E6"/>
    <w:rsid w:val="00C04D92"/>
    <w:rsid w:val="00C04F14"/>
    <w:rsid w:val="00C05433"/>
    <w:rsid w:val="00C05A55"/>
    <w:rsid w:val="00C067A3"/>
    <w:rsid w:val="00C069FD"/>
    <w:rsid w:val="00C06A90"/>
    <w:rsid w:val="00C06FDE"/>
    <w:rsid w:val="00C07016"/>
    <w:rsid w:val="00C07DA0"/>
    <w:rsid w:val="00C1149C"/>
    <w:rsid w:val="00C11718"/>
    <w:rsid w:val="00C119AC"/>
    <w:rsid w:val="00C12EF3"/>
    <w:rsid w:val="00C13A44"/>
    <w:rsid w:val="00C1414E"/>
    <w:rsid w:val="00C14C14"/>
    <w:rsid w:val="00C155A1"/>
    <w:rsid w:val="00C16030"/>
    <w:rsid w:val="00C17952"/>
    <w:rsid w:val="00C17F57"/>
    <w:rsid w:val="00C20B0F"/>
    <w:rsid w:val="00C20D7C"/>
    <w:rsid w:val="00C226A4"/>
    <w:rsid w:val="00C22E9C"/>
    <w:rsid w:val="00C23140"/>
    <w:rsid w:val="00C2365C"/>
    <w:rsid w:val="00C25180"/>
    <w:rsid w:val="00C252D1"/>
    <w:rsid w:val="00C25C04"/>
    <w:rsid w:val="00C26DA5"/>
    <w:rsid w:val="00C26E52"/>
    <w:rsid w:val="00C27341"/>
    <w:rsid w:val="00C27466"/>
    <w:rsid w:val="00C27BE0"/>
    <w:rsid w:val="00C304FE"/>
    <w:rsid w:val="00C308A6"/>
    <w:rsid w:val="00C30CBC"/>
    <w:rsid w:val="00C30E11"/>
    <w:rsid w:val="00C3122E"/>
    <w:rsid w:val="00C31720"/>
    <w:rsid w:val="00C318B6"/>
    <w:rsid w:val="00C31EA3"/>
    <w:rsid w:val="00C32BEA"/>
    <w:rsid w:val="00C33420"/>
    <w:rsid w:val="00C33D61"/>
    <w:rsid w:val="00C34227"/>
    <w:rsid w:val="00C34AB3"/>
    <w:rsid w:val="00C363C1"/>
    <w:rsid w:val="00C368B0"/>
    <w:rsid w:val="00C36C13"/>
    <w:rsid w:val="00C371E3"/>
    <w:rsid w:val="00C40814"/>
    <w:rsid w:val="00C40CF0"/>
    <w:rsid w:val="00C41BE8"/>
    <w:rsid w:val="00C42013"/>
    <w:rsid w:val="00C42E57"/>
    <w:rsid w:val="00C4381F"/>
    <w:rsid w:val="00C43C18"/>
    <w:rsid w:val="00C446B3"/>
    <w:rsid w:val="00C451BD"/>
    <w:rsid w:val="00C45348"/>
    <w:rsid w:val="00C45EAC"/>
    <w:rsid w:val="00C46698"/>
    <w:rsid w:val="00C46B97"/>
    <w:rsid w:val="00C47609"/>
    <w:rsid w:val="00C47900"/>
    <w:rsid w:val="00C501E9"/>
    <w:rsid w:val="00C50278"/>
    <w:rsid w:val="00C50759"/>
    <w:rsid w:val="00C508F4"/>
    <w:rsid w:val="00C51B93"/>
    <w:rsid w:val="00C528EF"/>
    <w:rsid w:val="00C545AA"/>
    <w:rsid w:val="00C548A6"/>
    <w:rsid w:val="00C54A37"/>
    <w:rsid w:val="00C5587E"/>
    <w:rsid w:val="00C571C5"/>
    <w:rsid w:val="00C608E6"/>
    <w:rsid w:val="00C60CC8"/>
    <w:rsid w:val="00C60F61"/>
    <w:rsid w:val="00C610CA"/>
    <w:rsid w:val="00C61AD2"/>
    <w:rsid w:val="00C62497"/>
    <w:rsid w:val="00C6261C"/>
    <w:rsid w:val="00C626A0"/>
    <w:rsid w:val="00C63EE7"/>
    <w:rsid w:val="00C64798"/>
    <w:rsid w:val="00C64E09"/>
    <w:rsid w:val="00C65484"/>
    <w:rsid w:val="00C6668B"/>
    <w:rsid w:val="00C6715F"/>
    <w:rsid w:val="00C67E1B"/>
    <w:rsid w:val="00C726DE"/>
    <w:rsid w:val="00C7293A"/>
    <w:rsid w:val="00C72D71"/>
    <w:rsid w:val="00C73199"/>
    <w:rsid w:val="00C75083"/>
    <w:rsid w:val="00C76077"/>
    <w:rsid w:val="00C77405"/>
    <w:rsid w:val="00C7748D"/>
    <w:rsid w:val="00C77C5B"/>
    <w:rsid w:val="00C81863"/>
    <w:rsid w:val="00C81C10"/>
    <w:rsid w:val="00C81F89"/>
    <w:rsid w:val="00C8230D"/>
    <w:rsid w:val="00C833E1"/>
    <w:rsid w:val="00C83C70"/>
    <w:rsid w:val="00C84141"/>
    <w:rsid w:val="00C84A76"/>
    <w:rsid w:val="00C84AB5"/>
    <w:rsid w:val="00C852FC"/>
    <w:rsid w:val="00C86233"/>
    <w:rsid w:val="00C86B48"/>
    <w:rsid w:val="00C90786"/>
    <w:rsid w:val="00C91D46"/>
    <w:rsid w:val="00C9504F"/>
    <w:rsid w:val="00C95CB8"/>
    <w:rsid w:val="00C95DCB"/>
    <w:rsid w:val="00C95E2C"/>
    <w:rsid w:val="00CA1060"/>
    <w:rsid w:val="00CA1C8D"/>
    <w:rsid w:val="00CA23ED"/>
    <w:rsid w:val="00CA2954"/>
    <w:rsid w:val="00CA2D9E"/>
    <w:rsid w:val="00CA388C"/>
    <w:rsid w:val="00CA3DBC"/>
    <w:rsid w:val="00CA53E3"/>
    <w:rsid w:val="00CA5C57"/>
    <w:rsid w:val="00CA63D2"/>
    <w:rsid w:val="00CA67F6"/>
    <w:rsid w:val="00CA6B33"/>
    <w:rsid w:val="00CA6BE5"/>
    <w:rsid w:val="00CA7368"/>
    <w:rsid w:val="00CB06A0"/>
    <w:rsid w:val="00CB0D43"/>
    <w:rsid w:val="00CB1A0B"/>
    <w:rsid w:val="00CB37FE"/>
    <w:rsid w:val="00CB3BC5"/>
    <w:rsid w:val="00CB483C"/>
    <w:rsid w:val="00CB4ECC"/>
    <w:rsid w:val="00CB60DD"/>
    <w:rsid w:val="00CB7ED6"/>
    <w:rsid w:val="00CC1703"/>
    <w:rsid w:val="00CC2F27"/>
    <w:rsid w:val="00CC30F5"/>
    <w:rsid w:val="00CC3FB9"/>
    <w:rsid w:val="00CC44BD"/>
    <w:rsid w:val="00CC5C35"/>
    <w:rsid w:val="00CC5FAA"/>
    <w:rsid w:val="00CC65BC"/>
    <w:rsid w:val="00CC7FBB"/>
    <w:rsid w:val="00CD088D"/>
    <w:rsid w:val="00CD0FA8"/>
    <w:rsid w:val="00CD2848"/>
    <w:rsid w:val="00CD3048"/>
    <w:rsid w:val="00CD36D8"/>
    <w:rsid w:val="00CD43E1"/>
    <w:rsid w:val="00CD4BB1"/>
    <w:rsid w:val="00CE0011"/>
    <w:rsid w:val="00CE07B3"/>
    <w:rsid w:val="00CE274A"/>
    <w:rsid w:val="00CE299F"/>
    <w:rsid w:val="00CE2C68"/>
    <w:rsid w:val="00CE30CC"/>
    <w:rsid w:val="00CE38C5"/>
    <w:rsid w:val="00CE3E30"/>
    <w:rsid w:val="00CE3FAB"/>
    <w:rsid w:val="00CE4266"/>
    <w:rsid w:val="00CE4345"/>
    <w:rsid w:val="00CE4500"/>
    <w:rsid w:val="00CE48DE"/>
    <w:rsid w:val="00CE4AAB"/>
    <w:rsid w:val="00CE7B75"/>
    <w:rsid w:val="00CE7D0D"/>
    <w:rsid w:val="00CF0B42"/>
    <w:rsid w:val="00CF18F4"/>
    <w:rsid w:val="00CF20C4"/>
    <w:rsid w:val="00CF3C02"/>
    <w:rsid w:val="00CF4E8D"/>
    <w:rsid w:val="00CF5D51"/>
    <w:rsid w:val="00CF606F"/>
    <w:rsid w:val="00CF6F56"/>
    <w:rsid w:val="00CF7C3C"/>
    <w:rsid w:val="00D0092E"/>
    <w:rsid w:val="00D00B36"/>
    <w:rsid w:val="00D025CB"/>
    <w:rsid w:val="00D02EDB"/>
    <w:rsid w:val="00D02FEF"/>
    <w:rsid w:val="00D03985"/>
    <w:rsid w:val="00D051F6"/>
    <w:rsid w:val="00D0582F"/>
    <w:rsid w:val="00D05BC6"/>
    <w:rsid w:val="00D06640"/>
    <w:rsid w:val="00D06A17"/>
    <w:rsid w:val="00D076CE"/>
    <w:rsid w:val="00D077B6"/>
    <w:rsid w:val="00D07937"/>
    <w:rsid w:val="00D102D0"/>
    <w:rsid w:val="00D10B24"/>
    <w:rsid w:val="00D12FD4"/>
    <w:rsid w:val="00D14022"/>
    <w:rsid w:val="00D14960"/>
    <w:rsid w:val="00D156C7"/>
    <w:rsid w:val="00D165F8"/>
    <w:rsid w:val="00D16CC6"/>
    <w:rsid w:val="00D203EB"/>
    <w:rsid w:val="00D208E5"/>
    <w:rsid w:val="00D20E32"/>
    <w:rsid w:val="00D21C46"/>
    <w:rsid w:val="00D220FD"/>
    <w:rsid w:val="00D22163"/>
    <w:rsid w:val="00D22C3E"/>
    <w:rsid w:val="00D235A5"/>
    <w:rsid w:val="00D23E5F"/>
    <w:rsid w:val="00D26635"/>
    <w:rsid w:val="00D26C9C"/>
    <w:rsid w:val="00D27F45"/>
    <w:rsid w:val="00D3007D"/>
    <w:rsid w:val="00D3046F"/>
    <w:rsid w:val="00D31DC1"/>
    <w:rsid w:val="00D346AB"/>
    <w:rsid w:val="00D34833"/>
    <w:rsid w:val="00D34887"/>
    <w:rsid w:val="00D34C01"/>
    <w:rsid w:val="00D36498"/>
    <w:rsid w:val="00D36B1B"/>
    <w:rsid w:val="00D37112"/>
    <w:rsid w:val="00D3735E"/>
    <w:rsid w:val="00D37916"/>
    <w:rsid w:val="00D40B7C"/>
    <w:rsid w:val="00D41831"/>
    <w:rsid w:val="00D42A56"/>
    <w:rsid w:val="00D435BB"/>
    <w:rsid w:val="00D445F3"/>
    <w:rsid w:val="00D450C3"/>
    <w:rsid w:val="00D457AA"/>
    <w:rsid w:val="00D458B2"/>
    <w:rsid w:val="00D47C94"/>
    <w:rsid w:val="00D503B5"/>
    <w:rsid w:val="00D50AE4"/>
    <w:rsid w:val="00D5130D"/>
    <w:rsid w:val="00D51A7B"/>
    <w:rsid w:val="00D524A9"/>
    <w:rsid w:val="00D52A97"/>
    <w:rsid w:val="00D53427"/>
    <w:rsid w:val="00D53CB3"/>
    <w:rsid w:val="00D5494D"/>
    <w:rsid w:val="00D552E5"/>
    <w:rsid w:val="00D55A2B"/>
    <w:rsid w:val="00D5617A"/>
    <w:rsid w:val="00D5640C"/>
    <w:rsid w:val="00D603F1"/>
    <w:rsid w:val="00D617B6"/>
    <w:rsid w:val="00D61AB5"/>
    <w:rsid w:val="00D6225A"/>
    <w:rsid w:val="00D63931"/>
    <w:rsid w:val="00D63A04"/>
    <w:rsid w:val="00D65BEF"/>
    <w:rsid w:val="00D65CA0"/>
    <w:rsid w:val="00D65F28"/>
    <w:rsid w:val="00D66192"/>
    <w:rsid w:val="00D66C95"/>
    <w:rsid w:val="00D707F1"/>
    <w:rsid w:val="00D71FCE"/>
    <w:rsid w:val="00D722FC"/>
    <w:rsid w:val="00D74E57"/>
    <w:rsid w:val="00D75FD1"/>
    <w:rsid w:val="00D76143"/>
    <w:rsid w:val="00D81782"/>
    <w:rsid w:val="00D82005"/>
    <w:rsid w:val="00D82791"/>
    <w:rsid w:val="00D831F9"/>
    <w:rsid w:val="00D836B9"/>
    <w:rsid w:val="00D85475"/>
    <w:rsid w:val="00D85DCF"/>
    <w:rsid w:val="00D904ED"/>
    <w:rsid w:val="00D9092E"/>
    <w:rsid w:val="00D9111D"/>
    <w:rsid w:val="00D912BC"/>
    <w:rsid w:val="00D915AE"/>
    <w:rsid w:val="00D91D31"/>
    <w:rsid w:val="00D920D5"/>
    <w:rsid w:val="00D922FD"/>
    <w:rsid w:val="00D92306"/>
    <w:rsid w:val="00D93B8C"/>
    <w:rsid w:val="00D94511"/>
    <w:rsid w:val="00D948D0"/>
    <w:rsid w:val="00D96207"/>
    <w:rsid w:val="00D9637B"/>
    <w:rsid w:val="00D96E4C"/>
    <w:rsid w:val="00D96FB1"/>
    <w:rsid w:val="00D972E6"/>
    <w:rsid w:val="00DA0F26"/>
    <w:rsid w:val="00DA10E6"/>
    <w:rsid w:val="00DA14E7"/>
    <w:rsid w:val="00DA1E5A"/>
    <w:rsid w:val="00DA2038"/>
    <w:rsid w:val="00DA2C51"/>
    <w:rsid w:val="00DA2F4B"/>
    <w:rsid w:val="00DA417A"/>
    <w:rsid w:val="00DA439D"/>
    <w:rsid w:val="00DA4A65"/>
    <w:rsid w:val="00DA4B18"/>
    <w:rsid w:val="00DA53A9"/>
    <w:rsid w:val="00DA65E8"/>
    <w:rsid w:val="00DA7737"/>
    <w:rsid w:val="00DA793E"/>
    <w:rsid w:val="00DA7C6F"/>
    <w:rsid w:val="00DB03CC"/>
    <w:rsid w:val="00DB072E"/>
    <w:rsid w:val="00DB0EA4"/>
    <w:rsid w:val="00DB11AE"/>
    <w:rsid w:val="00DB16FB"/>
    <w:rsid w:val="00DB21EE"/>
    <w:rsid w:val="00DB2250"/>
    <w:rsid w:val="00DB299A"/>
    <w:rsid w:val="00DB47D0"/>
    <w:rsid w:val="00DB4E76"/>
    <w:rsid w:val="00DB6428"/>
    <w:rsid w:val="00DB6A46"/>
    <w:rsid w:val="00DB6D51"/>
    <w:rsid w:val="00DB7744"/>
    <w:rsid w:val="00DB7B65"/>
    <w:rsid w:val="00DB7E63"/>
    <w:rsid w:val="00DC15FB"/>
    <w:rsid w:val="00DC1879"/>
    <w:rsid w:val="00DC1FD9"/>
    <w:rsid w:val="00DC226B"/>
    <w:rsid w:val="00DC27A5"/>
    <w:rsid w:val="00DC3254"/>
    <w:rsid w:val="00DC3881"/>
    <w:rsid w:val="00DC3A30"/>
    <w:rsid w:val="00DC3FDD"/>
    <w:rsid w:val="00DC407D"/>
    <w:rsid w:val="00DC53FA"/>
    <w:rsid w:val="00DC587E"/>
    <w:rsid w:val="00DC5D0E"/>
    <w:rsid w:val="00DC7D3F"/>
    <w:rsid w:val="00DD02F0"/>
    <w:rsid w:val="00DD2D6B"/>
    <w:rsid w:val="00DD4309"/>
    <w:rsid w:val="00DD43C7"/>
    <w:rsid w:val="00DD4AB6"/>
    <w:rsid w:val="00DD4BC0"/>
    <w:rsid w:val="00DD538C"/>
    <w:rsid w:val="00DD61F7"/>
    <w:rsid w:val="00DD6228"/>
    <w:rsid w:val="00DD6E1F"/>
    <w:rsid w:val="00DD77C6"/>
    <w:rsid w:val="00DE1BFE"/>
    <w:rsid w:val="00DE1CF2"/>
    <w:rsid w:val="00DE2454"/>
    <w:rsid w:val="00DE2ABF"/>
    <w:rsid w:val="00DE47E2"/>
    <w:rsid w:val="00DE5725"/>
    <w:rsid w:val="00DE6CB8"/>
    <w:rsid w:val="00DE6FFF"/>
    <w:rsid w:val="00DE731E"/>
    <w:rsid w:val="00DE7494"/>
    <w:rsid w:val="00DF0074"/>
    <w:rsid w:val="00DF0F4C"/>
    <w:rsid w:val="00DF1922"/>
    <w:rsid w:val="00DF2641"/>
    <w:rsid w:val="00DF2D2B"/>
    <w:rsid w:val="00DF39E6"/>
    <w:rsid w:val="00DF3ABE"/>
    <w:rsid w:val="00DF4814"/>
    <w:rsid w:val="00DF59D0"/>
    <w:rsid w:val="00DF6079"/>
    <w:rsid w:val="00DF64F2"/>
    <w:rsid w:val="00DF7ED3"/>
    <w:rsid w:val="00E005D8"/>
    <w:rsid w:val="00E008F2"/>
    <w:rsid w:val="00E00A80"/>
    <w:rsid w:val="00E0102A"/>
    <w:rsid w:val="00E0127D"/>
    <w:rsid w:val="00E01D7B"/>
    <w:rsid w:val="00E0301C"/>
    <w:rsid w:val="00E03892"/>
    <w:rsid w:val="00E03F55"/>
    <w:rsid w:val="00E04F9D"/>
    <w:rsid w:val="00E051E0"/>
    <w:rsid w:val="00E05924"/>
    <w:rsid w:val="00E05B86"/>
    <w:rsid w:val="00E05ED0"/>
    <w:rsid w:val="00E07652"/>
    <w:rsid w:val="00E121A1"/>
    <w:rsid w:val="00E12286"/>
    <w:rsid w:val="00E13878"/>
    <w:rsid w:val="00E13E20"/>
    <w:rsid w:val="00E15719"/>
    <w:rsid w:val="00E15729"/>
    <w:rsid w:val="00E17A35"/>
    <w:rsid w:val="00E20711"/>
    <w:rsid w:val="00E20C7A"/>
    <w:rsid w:val="00E21AD4"/>
    <w:rsid w:val="00E2246D"/>
    <w:rsid w:val="00E24138"/>
    <w:rsid w:val="00E244B2"/>
    <w:rsid w:val="00E24A32"/>
    <w:rsid w:val="00E24CEE"/>
    <w:rsid w:val="00E25BDE"/>
    <w:rsid w:val="00E32BDF"/>
    <w:rsid w:val="00E33D61"/>
    <w:rsid w:val="00E349EF"/>
    <w:rsid w:val="00E36BD6"/>
    <w:rsid w:val="00E37BA6"/>
    <w:rsid w:val="00E42C12"/>
    <w:rsid w:val="00E42F29"/>
    <w:rsid w:val="00E43171"/>
    <w:rsid w:val="00E432F2"/>
    <w:rsid w:val="00E434EE"/>
    <w:rsid w:val="00E435B1"/>
    <w:rsid w:val="00E43C37"/>
    <w:rsid w:val="00E450E8"/>
    <w:rsid w:val="00E45863"/>
    <w:rsid w:val="00E46A76"/>
    <w:rsid w:val="00E479EA"/>
    <w:rsid w:val="00E47AAA"/>
    <w:rsid w:val="00E50B9E"/>
    <w:rsid w:val="00E51358"/>
    <w:rsid w:val="00E52258"/>
    <w:rsid w:val="00E54184"/>
    <w:rsid w:val="00E549B5"/>
    <w:rsid w:val="00E561D9"/>
    <w:rsid w:val="00E56D11"/>
    <w:rsid w:val="00E60F0B"/>
    <w:rsid w:val="00E60FBE"/>
    <w:rsid w:val="00E622A5"/>
    <w:rsid w:val="00E62444"/>
    <w:rsid w:val="00E63978"/>
    <w:rsid w:val="00E648C9"/>
    <w:rsid w:val="00E64C16"/>
    <w:rsid w:val="00E6563B"/>
    <w:rsid w:val="00E6587E"/>
    <w:rsid w:val="00E664C6"/>
    <w:rsid w:val="00E67316"/>
    <w:rsid w:val="00E67401"/>
    <w:rsid w:val="00E67FEA"/>
    <w:rsid w:val="00E7067F"/>
    <w:rsid w:val="00E71644"/>
    <w:rsid w:val="00E71903"/>
    <w:rsid w:val="00E71BAE"/>
    <w:rsid w:val="00E72517"/>
    <w:rsid w:val="00E728C6"/>
    <w:rsid w:val="00E7352A"/>
    <w:rsid w:val="00E73F27"/>
    <w:rsid w:val="00E74E93"/>
    <w:rsid w:val="00E7501C"/>
    <w:rsid w:val="00E75BAF"/>
    <w:rsid w:val="00E767C6"/>
    <w:rsid w:val="00E770EC"/>
    <w:rsid w:val="00E77BB6"/>
    <w:rsid w:val="00E77C1F"/>
    <w:rsid w:val="00E8047F"/>
    <w:rsid w:val="00E808D5"/>
    <w:rsid w:val="00E8199A"/>
    <w:rsid w:val="00E841D1"/>
    <w:rsid w:val="00E849D1"/>
    <w:rsid w:val="00E8575B"/>
    <w:rsid w:val="00E85BF6"/>
    <w:rsid w:val="00E86150"/>
    <w:rsid w:val="00E86F2C"/>
    <w:rsid w:val="00E87840"/>
    <w:rsid w:val="00E87EE1"/>
    <w:rsid w:val="00E90C68"/>
    <w:rsid w:val="00E92417"/>
    <w:rsid w:val="00E93D4D"/>
    <w:rsid w:val="00E94094"/>
    <w:rsid w:val="00E94FFF"/>
    <w:rsid w:val="00E95137"/>
    <w:rsid w:val="00E956A9"/>
    <w:rsid w:val="00E95B66"/>
    <w:rsid w:val="00E95E23"/>
    <w:rsid w:val="00E96303"/>
    <w:rsid w:val="00E969D6"/>
    <w:rsid w:val="00E9791D"/>
    <w:rsid w:val="00EA002B"/>
    <w:rsid w:val="00EA09BF"/>
    <w:rsid w:val="00EA0C02"/>
    <w:rsid w:val="00EA1502"/>
    <w:rsid w:val="00EA1C2B"/>
    <w:rsid w:val="00EA24C6"/>
    <w:rsid w:val="00EA3AC8"/>
    <w:rsid w:val="00EA5822"/>
    <w:rsid w:val="00EA5DA6"/>
    <w:rsid w:val="00EA5EA6"/>
    <w:rsid w:val="00EA5FD5"/>
    <w:rsid w:val="00EA6DB8"/>
    <w:rsid w:val="00EA774E"/>
    <w:rsid w:val="00EA7A28"/>
    <w:rsid w:val="00EB02DE"/>
    <w:rsid w:val="00EB0A89"/>
    <w:rsid w:val="00EB0D67"/>
    <w:rsid w:val="00EB1560"/>
    <w:rsid w:val="00EB24CB"/>
    <w:rsid w:val="00EB32B0"/>
    <w:rsid w:val="00EB3787"/>
    <w:rsid w:val="00EB56B2"/>
    <w:rsid w:val="00EB6200"/>
    <w:rsid w:val="00EB6AAA"/>
    <w:rsid w:val="00EB6BE7"/>
    <w:rsid w:val="00EB6DD1"/>
    <w:rsid w:val="00EB73C5"/>
    <w:rsid w:val="00EB7F53"/>
    <w:rsid w:val="00EB7F5F"/>
    <w:rsid w:val="00EC0480"/>
    <w:rsid w:val="00EC071F"/>
    <w:rsid w:val="00EC0A4D"/>
    <w:rsid w:val="00EC1F7A"/>
    <w:rsid w:val="00EC2347"/>
    <w:rsid w:val="00EC352F"/>
    <w:rsid w:val="00EC363B"/>
    <w:rsid w:val="00EC4437"/>
    <w:rsid w:val="00EC4D03"/>
    <w:rsid w:val="00EC50D1"/>
    <w:rsid w:val="00EC5359"/>
    <w:rsid w:val="00EC59F1"/>
    <w:rsid w:val="00EC6535"/>
    <w:rsid w:val="00EC696F"/>
    <w:rsid w:val="00EC71FD"/>
    <w:rsid w:val="00EC73EF"/>
    <w:rsid w:val="00ED07D4"/>
    <w:rsid w:val="00ED1CE2"/>
    <w:rsid w:val="00ED20ED"/>
    <w:rsid w:val="00ED31BC"/>
    <w:rsid w:val="00ED49DA"/>
    <w:rsid w:val="00ED4E67"/>
    <w:rsid w:val="00ED53AE"/>
    <w:rsid w:val="00ED59DE"/>
    <w:rsid w:val="00ED5B5F"/>
    <w:rsid w:val="00EE0548"/>
    <w:rsid w:val="00EE0783"/>
    <w:rsid w:val="00EE1211"/>
    <w:rsid w:val="00EE1321"/>
    <w:rsid w:val="00EE1725"/>
    <w:rsid w:val="00EE2146"/>
    <w:rsid w:val="00EE248A"/>
    <w:rsid w:val="00EE2BBF"/>
    <w:rsid w:val="00EE378F"/>
    <w:rsid w:val="00EE3BB5"/>
    <w:rsid w:val="00EE52C6"/>
    <w:rsid w:val="00EE593B"/>
    <w:rsid w:val="00EE5A0A"/>
    <w:rsid w:val="00EE5D7B"/>
    <w:rsid w:val="00EE675E"/>
    <w:rsid w:val="00EF0355"/>
    <w:rsid w:val="00EF1A49"/>
    <w:rsid w:val="00EF26AD"/>
    <w:rsid w:val="00EF2E5D"/>
    <w:rsid w:val="00EF3E96"/>
    <w:rsid w:val="00EF411B"/>
    <w:rsid w:val="00EF5C11"/>
    <w:rsid w:val="00EF66FF"/>
    <w:rsid w:val="00F00722"/>
    <w:rsid w:val="00F00B52"/>
    <w:rsid w:val="00F01CB4"/>
    <w:rsid w:val="00F02BED"/>
    <w:rsid w:val="00F032E2"/>
    <w:rsid w:val="00F057CE"/>
    <w:rsid w:val="00F05CF7"/>
    <w:rsid w:val="00F064CF"/>
    <w:rsid w:val="00F101A2"/>
    <w:rsid w:val="00F1084B"/>
    <w:rsid w:val="00F10A3E"/>
    <w:rsid w:val="00F11D8A"/>
    <w:rsid w:val="00F11E50"/>
    <w:rsid w:val="00F12ABF"/>
    <w:rsid w:val="00F1398C"/>
    <w:rsid w:val="00F14020"/>
    <w:rsid w:val="00F14570"/>
    <w:rsid w:val="00F14E0C"/>
    <w:rsid w:val="00F15AC4"/>
    <w:rsid w:val="00F16978"/>
    <w:rsid w:val="00F169A2"/>
    <w:rsid w:val="00F170AE"/>
    <w:rsid w:val="00F211DB"/>
    <w:rsid w:val="00F2121A"/>
    <w:rsid w:val="00F21BA0"/>
    <w:rsid w:val="00F21C1A"/>
    <w:rsid w:val="00F220E4"/>
    <w:rsid w:val="00F23A14"/>
    <w:rsid w:val="00F242C4"/>
    <w:rsid w:val="00F2515B"/>
    <w:rsid w:val="00F26383"/>
    <w:rsid w:val="00F26F48"/>
    <w:rsid w:val="00F2767A"/>
    <w:rsid w:val="00F27EF5"/>
    <w:rsid w:val="00F32404"/>
    <w:rsid w:val="00F325E3"/>
    <w:rsid w:val="00F32977"/>
    <w:rsid w:val="00F32D73"/>
    <w:rsid w:val="00F3340C"/>
    <w:rsid w:val="00F3522B"/>
    <w:rsid w:val="00F353EB"/>
    <w:rsid w:val="00F35D67"/>
    <w:rsid w:val="00F4018B"/>
    <w:rsid w:val="00F40991"/>
    <w:rsid w:val="00F4233D"/>
    <w:rsid w:val="00F42537"/>
    <w:rsid w:val="00F43D7E"/>
    <w:rsid w:val="00F44E63"/>
    <w:rsid w:val="00F45642"/>
    <w:rsid w:val="00F46296"/>
    <w:rsid w:val="00F46334"/>
    <w:rsid w:val="00F5078E"/>
    <w:rsid w:val="00F52544"/>
    <w:rsid w:val="00F526AB"/>
    <w:rsid w:val="00F52822"/>
    <w:rsid w:val="00F533DE"/>
    <w:rsid w:val="00F5453F"/>
    <w:rsid w:val="00F54E62"/>
    <w:rsid w:val="00F57239"/>
    <w:rsid w:val="00F6010C"/>
    <w:rsid w:val="00F60134"/>
    <w:rsid w:val="00F60338"/>
    <w:rsid w:val="00F60374"/>
    <w:rsid w:val="00F611B3"/>
    <w:rsid w:val="00F619EF"/>
    <w:rsid w:val="00F633FF"/>
    <w:rsid w:val="00F63638"/>
    <w:rsid w:val="00F6379C"/>
    <w:rsid w:val="00F64328"/>
    <w:rsid w:val="00F64AFF"/>
    <w:rsid w:val="00F654F6"/>
    <w:rsid w:val="00F66943"/>
    <w:rsid w:val="00F66CE0"/>
    <w:rsid w:val="00F673E1"/>
    <w:rsid w:val="00F67D9B"/>
    <w:rsid w:val="00F67F4E"/>
    <w:rsid w:val="00F70B17"/>
    <w:rsid w:val="00F710CC"/>
    <w:rsid w:val="00F71D97"/>
    <w:rsid w:val="00F72F2B"/>
    <w:rsid w:val="00F73127"/>
    <w:rsid w:val="00F73386"/>
    <w:rsid w:val="00F73622"/>
    <w:rsid w:val="00F74762"/>
    <w:rsid w:val="00F747A0"/>
    <w:rsid w:val="00F76419"/>
    <w:rsid w:val="00F76A7F"/>
    <w:rsid w:val="00F76B6C"/>
    <w:rsid w:val="00F76C23"/>
    <w:rsid w:val="00F77422"/>
    <w:rsid w:val="00F77725"/>
    <w:rsid w:val="00F802FE"/>
    <w:rsid w:val="00F8070C"/>
    <w:rsid w:val="00F80C7F"/>
    <w:rsid w:val="00F80CCB"/>
    <w:rsid w:val="00F81BBB"/>
    <w:rsid w:val="00F82091"/>
    <w:rsid w:val="00F831A1"/>
    <w:rsid w:val="00F84658"/>
    <w:rsid w:val="00F8590D"/>
    <w:rsid w:val="00F85E67"/>
    <w:rsid w:val="00F86189"/>
    <w:rsid w:val="00F863FC"/>
    <w:rsid w:val="00F866FD"/>
    <w:rsid w:val="00F86717"/>
    <w:rsid w:val="00F86ABC"/>
    <w:rsid w:val="00F90106"/>
    <w:rsid w:val="00F90778"/>
    <w:rsid w:val="00F90CAF"/>
    <w:rsid w:val="00F91323"/>
    <w:rsid w:val="00F9156B"/>
    <w:rsid w:val="00F915D4"/>
    <w:rsid w:val="00F915DC"/>
    <w:rsid w:val="00F9305B"/>
    <w:rsid w:val="00F94571"/>
    <w:rsid w:val="00F94E15"/>
    <w:rsid w:val="00F95861"/>
    <w:rsid w:val="00F9616F"/>
    <w:rsid w:val="00F972DB"/>
    <w:rsid w:val="00F97A83"/>
    <w:rsid w:val="00FA08E6"/>
    <w:rsid w:val="00FA247A"/>
    <w:rsid w:val="00FA2790"/>
    <w:rsid w:val="00FA2CD5"/>
    <w:rsid w:val="00FA4810"/>
    <w:rsid w:val="00FA5311"/>
    <w:rsid w:val="00FA5EB4"/>
    <w:rsid w:val="00FA6037"/>
    <w:rsid w:val="00FA6369"/>
    <w:rsid w:val="00FA6C8F"/>
    <w:rsid w:val="00FA6DC3"/>
    <w:rsid w:val="00FA71D9"/>
    <w:rsid w:val="00FA760E"/>
    <w:rsid w:val="00FA7635"/>
    <w:rsid w:val="00FA78E2"/>
    <w:rsid w:val="00FB18CF"/>
    <w:rsid w:val="00FB220B"/>
    <w:rsid w:val="00FB26CE"/>
    <w:rsid w:val="00FB319A"/>
    <w:rsid w:val="00FB347A"/>
    <w:rsid w:val="00FB437E"/>
    <w:rsid w:val="00FB442E"/>
    <w:rsid w:val="00FB5667"/>
    <w:rsid w:val="00FB576A"/>
    <w:rsid w:val="00FB7CBC"/>
    <w:rsid w:val="00FB7EF1"/>
    <w:rsid w:val="00FC0CE2"/>
    <w:rsid w:val="00FC0EC2"/>
    <w:rsid w:val="00FC1493"/>
    <w:rsid w:val="00FC1787"/>
    <w:rsid w:val="00FC20CB"/>
    <w:rsid w:val="00FC2BE0"/>
    <w:rsid w:val="00FC3639"/>
    <w:rsid w:val="00FC3CD6"/>
    <w:rsid w:val="00FC59E1"/>
    <w:rsid w:val="00FC5CAA"/>
    <w:rsid w:val="00FC679C"/>
    <w:rsid w:val="00FC715C"/>
    <w:rsid w:val="00FC7476"/>
    <w:rsid w:val="00FD1827"/>
    <w:rsid w:val="00FD2635"/>
    <w:rsid w:val="00FD2842"/>
    <w:rsid w:val="00FD2D8C"/>
    <w:rsid w:val="00FD2EA5"/>
    <w:rsid w:val="00FD36F0"/>
    <w:rsid w:val="00FD3B2F"/>
    <w:rsid w:val="00FD3B44"/>
    <w:rsid w:val="00FD3BF4"/>
    <w:rsid w:val="00FD5499"/>
    <w:rsid w:val="00FD58FE"/>
    <w:rsid w:val="00FD7023"/>
    <w:rsid w:val="00FD73F0"/>
    <w:rsid w:val="00FE07BB"/>
    <w:rsid w:val="00FE08CE"/>
    <w:rsid w:val="00FE19EC"/>
    <w:rsid w:val="00FE1BAD"/>
    <w:rsid w:val="00FE206E"/>
    <w:rsid w:val="00FE2F68"/>
    <w:rsid w:val="00FE33B6"/>
    <w:rsid w:val="00FE4E00"/>
    <w:rsid w:val="00FE57A8"/>
    <w:rsid w:val="00FE6150"/>
    <w:rsid w:val="00FE627A"/>
    <w:rsid w:val="00FE7A5B"/>
    <w:rsid w:val="00FF0007"/>
    <w:rsid w:val="00FF12D7"/>
    <w:rsid w:val="00FF1461"/>
    <w:rsid w:val="00FF209B"/>
    <w:rsid w:val="00FF255C"/>
    <w:rsid w:val="00FF2723"/>
    <w:rsid w:val="00FF281D"/>
    <w:rsid w:val="00FF3474"/>
    <w:rsid w:val="00FF4335"/>
    <w:rsid w:val="00FF4665"/>
    <w:rsid w:val="00FF4684"/>
    <w:rsid w:val="00FF4A8F"/>
    <w:rsid w:val="00FF5A5D"/>
    <w:rsid w:val="00FF5F3D"/>
    <w:rsid w:val="00FF659D"/>
    <w:rsid w:val="016FEDBB"/>
    <w:rsid w:val="031BEC66"/>
    <w:rsid w:val="11A3D202"/>
    <w:rsid w:val="124E3197"/>
    <w:rsid w:val="1D296218"/>
    <w:rsid w:val="1EC496ED"/>
    <w:rsid w:val="251DAEC4"/>
    <w:rsid w:val="25D180A2"/>
    <w:rsid w:val="283922F5"/>
    <w:rsid w:val="2A24D5FF"/>
    <w:rsid w:val="2A561660"/>
    <w:rsid w:val="2A6EA6DB"/>
    <w:rsid w:val="2B62EEAE"/>
    <w:rsid w:val="2C1703A5"/>
    <w:rsid w:val="2C4F8F6D"/>
    <w:rsid w:val="2D92F8BA"/>
    <w:rsid w:val="2E807EFD"/>
    <w:rsid w:val="2F49821E"/>
    <w:rsid w:val="345F3D8A"/>
    <w:rsid w:val="34AC0A62"/>
    <w:rsid w:val="36BE000C"/>
    <w:rsid w:val="38A11450"/>
    <w:rsid w:val="3961F64E"/>
    <w:rsid w:val="3B5F883B"/>
    <w:rsid w:val="40531069"/>
    <w:rsid w:val="44C6735B"/>
    <w:rsid w:val="48EB30FB"/>
    <w:rsid w:val="49C9ADB7"/>
    <w:rsid w:val="4A1099EA"/>
    <w:rsid w:val="4AB9D180"/>
    <w:rsid w:val="4D999809"/>
    <w:rsid w:val="5B405C46"/>
    <w:rsid w:val="5CBB9E4E"/>
    <w:rsid w:val="5F568751"/>
    <w:rsid w:val="5FE5E67B"/>
    <w:rsid w:val="6368FAFE"/>
    <w:rsid w:val="63EA1D5F"/>
    <w:rsid w:val="641B0BDB"/>
    <w:rsid w:val="65C0CC1A"/>
    <w:rsid w:val="67B10B62"/>
    <w:rsid w:val="686823B5"/>
    <w:rsid w:val="68AD96DE"/>
    <w:rsid w:val="6925DFB8"/>
    <w:rsid w:val="6A949BE3"/>
    <w:rsid w:val="6B160BBF"/>
    <w:rsid w:val="6D5796E2"/>
    <w:rsid w:val="6F54C1B9"/>
    <w:rsid w:val="714746C0"/>
    <w:rsid w:val="71E76EEE"/>
    <w:rsid w:val="7248F1C9"/>
    <w:rsid w:val="728B7EF4"/>
    <w:rsid w:val="74698ED5"/>
    <w:rsid w:val="75D6EBC7"/>
    <w:rsid w:val="7939032A"/>
    <w:rsid w:val="7B9D8C82"/>
    <w:rsid w:val="7CE22645"/>
    <w:rsid w:val="7F0B69D5"/>
    <w:rsid w:val="7FD3163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5005C8"/>
    <w:pPr>
      <w:tabs>
        <w:tab w:val="left" w:pos="440"/>
        <w:tab w:val="right" w:leader="dot" w:pos="9730"/>
      </w:tabs>
      <w:spacing w:after="100"/>
    </w:pPr>
    <w:rPr>
      <w:b/>
    </w:rPr>
  </w:style>
  <w:style w:type="paragraph" w:styleId="TOC3">
    <w:name w:val="toc 3"/>
    <w:basedOn w:val="Normal"/>
    <w:next w:val="Normal"/>
    <w:autoRedefine/>
    <w:uiPriority w:val="39"/>
    <w:unhideWhenUsed/>
    <w:rsid w:val="008002B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TOCHeading">
    <w:name w:val="TOC Heading"/>
    <w:basedOn w:val="Heading1"/>
    <w:next w:val="Normal"/>
    <w:uiPriority w:val="39"/>
    <w:unhideWhenUsed/>
    <w:qFormat/>
    <w:rsid w:val="001C3815"/>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customStyle="1" w:styleId="Default">
    <w:name w:val="Default"/>
    <w:rsid w:val="001C3815"/>
    <w:pPr>
      <w:autoSpaceDE w:val="0"/>
      <w:autoSpaceDN w:val="0"/>
      <w:adjustRightInd w:val="0"/>
    </w:pPr>
    <w:rPr>
      <w:rFonts w:ascii="Times New Roman" w:hAnsi="Times New Roman"/>
      <w:color w:val="000000"/>
      <w:sz w:val="24"/>
      <w:szCs w:val="24"/>
    </w:rPr>
  </w:style>
  <w:style w:type="paragraph" w:styleId="CommentSubject">
    <w:name w:val="annotation subject"/>
    <w:basedOn w:val="CommentText"/>
    <w:next w:val="CommentText"/>
    <w:link w:val="CommentSubjectChar"/>
    <w:uiPriority w:val="99"/>
    <w:semiHidden/>
    <w:unhideWhenUsed/>
    <w:rsid w:val="001C3815"/>
    <w:rPr>
      <w:b/>
      <w:bCs/>
    </w:rPr>
  </w:style>
  <w:style w:type="character" w:customStyle="1" w:styleId="CommentSubjectChar">
    <w:name w:val="Comment Subject Char"/>
    <w:basedOn w:val="CommentTextChar"/>
    <w:link w:val="CommentSubject"/>
    <w:uiPriority w:val="99"/>
    <w:semiHidden/>
    <w:rsid w:val="001C3815"/>
    <w:rPr>
      <w:rFonts w:asciiTheme="minorHAnsi" w:hAnsiTheme="minorHAnsi" w:cstheme="minorHAnsi"/>
      <w:b/>
      <w:bCs/>
      <w:color w:val="000000" w:themeColor="text1"/>
      <w:lang w:val="en-GB" w:eastAsia="en-US"/>
    </w:rPr>
  </w:style>
  <w:style w:type="paragraph" w:styleId="BalloonText">
    <w:name w:val="Balloon Text"/>
    <w:basedOn w:val="Normal"/>
    <w:link w:val="BalloonTextChar"/>
    <w:semiHidden/>
    <w:unhideWhenUsed/>
    <w:rsid w:val="001C3815"/>
    <w:pPr>
      <w:spacing w:after="0"/>
    </w:pPr>
    <w:rPr>
      <w:rFonts w:ascii="Segoe UI" w:hAnsi="Segoe UI" w:cs="Segoe UI"/>
      <w:sz w:val="18"/>
      <w:szCs w:val="18"/>
      <w:lang w:val="en-GB"/>
    </w:rPr>
  </w:style>
  <w:style w:type="character" w:customStyle="1" w:styleId="BalloonTextChar">
    <w:name w:val="Balloon Text Char"/>
    <w:basedOn w:val="DefaultParagraphFont"/>
    <w:link w:val="BalloonText"/>
    <w:semiHidden/>
    <w:rsid w:val="001C3815"/>
    <w:rPr>
      <w:rFonts w:ascii="Segoe UI" w:hAnsi="Segoe UI" w:cs="Segoe UI"/>
      <w:color w:val="000000" w:themeColor="text1"/>
      <w:sz w:val="18"/>
      <w:szCs w:val="18"/>
      <w:lang w:val="en-GB" w:eastAsia="en-US"/>
    </w:rPr>
  </w:style>
  <w:style w:type="table" w:customStyle="1" w:styleId="CERTable1">
    <w:name w:val="CER Table1"/>
    <w:basedOn w:val="TableNormal"/>
    <w:uiPriority w:val="99"/>
    <w:rsid w:val="001C3815"/>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Segoe UI" w:hAnsi="Segoe UI"/>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Segoe UI" w:hAnsi="Segoe UI"/>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table" w:customStyle="1" w:styleId="TableGrid1">
    <w:name w:val="Table Grid1"/>
    <w:basedOn w:val="TableNormal"/>
    <w:next w:val="TableGrid"/>
    <w:uiPriority w:val="39"/>
    <w:rsid w:val="001C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C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C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1C3815"/>
    <w:rPr>
      <w:rFonts w:asciiTheme="minorHAnsi" w:hAnsiTheme="minorHAnsi" w:cstheme="minorHAnsi"/>
      <w:color w:val="000000" w:themeColor="text1"/>
      <w:sz w:val="22"/>
      <w:szCs w:val="24"/>
      <w:lang w:val="en-GB" w:eastAsia="en-US"/>
    </w:rPr>
  </w:style>
  <w:style w:type="character" w:customStyle="1" w:styleId="BodyChar">
    <w:name w:val="Body Char"/>
    <w:link w:val="Body"/>
    <w:locked/>
    <w:rsid w:val="001C3815"/>
    <w:rPr>
      <w:rFonts w:ascii="Arial" w:eastAsia="Times New Roman" w:hAnsi="Arial" w:cs="Arial"/>
      <w:szCs w:val="24"/>
      <w:lang w:eastAsia="en-US"/>
    </w:rPr>
  </w:style>
  <w:style w:type="paragraph" w:customStyle="1" w:styleId="Body">
    <w:name w:val="Body"/>
    <w:basedOn w:val="Normal"/>
    <w:link w:val="BodyChar"/>
    <w:rsid w:val="001C3815"/>
    <w:pPr>
      <w:spacing w:before="60" w:after="120" w:line="280" w:lineRule="atLeast"/>
      <w:ind w:left="567"/>
    </w:pPr>
    <w:rPr>
      <w:rFonts w:ascii="Arial" w:eastAsia="Times New Roman" w:hAnsi="Arial" w:cs="Arial"/>
      <w:color w:val="auto"/>
      <w:sz w:val="20"/>
    </w:rPr>
  </w:style>
  <w:style w:type="paragraph" w:customStyle="1" w:styleId="Sub-para">
    <w:name w:val="Sub-para"/>
    <w:basedOn w:val="Normal"/>
    <w:uiPriority w:val="8"/>
    <w:qFormat/>
    <w:rsid w:val="001C3815"/>
    <w:pPr>
      <w:spacing w:before="120" w:after="120"/>
      <w:ind w:left="720" w:hanging="360"/>
    </w:pPr>
    <w:rPr>
      <w:color w:val="auto"/>
      <w:lang w:val="en-GB"/>
    </w:rPr>
  </w:style>
  <w:style w:type="paragraph" w:customStyle="1" w:styleId="subsection">
    <w:name w:val="subsection"/>
    <w:aliases w:val="ss"/>
    <w:basedOn w:val="Normal"/>
    <w:link w:val="subsectionChar"/>
    <w:rsid w:val="001C3815"/>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Definition">
    <w:name w:val="Definition"/>
    <w:aliases w:val="dd"/>
    <w:basedOn w:val="Normal"/>
    <w:rsid w:val="001C3815"/>
    <w:pPr>
      <w:spacing w:before="180" w:after="0"/>
      <w:ind w:left="1134"/>
    </w:pPr>
    <w:rPr>
      <w:rFonts w:ascii="Times New Roman" w:eastAsia="Times New Roman" w:hAnsi="Times New Roman" w:cs="Times New Roman"/>
      <w:color w:val="auto"/>
      <w:szCs w:val="20"/>
      <w:lang w:eastAsia="en-AU"/>
    </w:rPr>
  </w:style>
  <w:style w:type="paragraph" w:customStyle="1" w:styleId="paragraph">
    <w:name w:val="paragraph"/>
    <w:aliases w:val="a"/>
    <w:basedOn w:val="Normal"/>
    <w:link w:val="paragraphChar"/>
    <w:rsid w:val="001C3815"/>
    <w:pPr>
      <w:tabs>
        <w:tab w:val="right" w:pos="1531"/>
      </w:tabs>
      <w:spacing w:before="40" w:after="0"/>
      <w:ind w:left="1644" w:hanging="1644"/>
    </w:pPr>
    <w:rPr>
      <w:rFonts w:ascii="Times New Roman" w:eastAsia="Times New Roman" w:hAnsi="Times New Roman" w:cs="Times New Roman"/>
      <w:color w:val="auto"/>
      <w:szCs w:val="20"/>
      <w:lang w:eastAsia="en-AU"/>
    </w:rPr>
  </w:style>
  <w:style w:type="paragraph" w:customStyle="1" w:styleId="subsection2">
    <w:name w:val="subsection2"/>
    <w:aliases w:val="ss2"/>
    <w:basedOn w:val="Normal"/>
    <w:next w:val="subsection"/>
    <w:rsid w:val="001C3815"/>
    <w:pPr>
      <w:spacing w:before="40" w:after="0"/>
      <w:ind w:left="1134"/>
    </w:pPr>
    <w:rPr>
      <w:rFonts w:ascii="Times New Roman" w:eastAsia="Times New Roman" w:hAnsi="Times New Roman" w:cs="Times New Roman"/>
      <w:color w:val="auto"/>
      <w:szCs w:val="20"/>
      <w:lang w:eastAsia="en-AU"/>
    </w:rPr>
  </w:style>
  <w:style w:type="character" w:customStyle="1" w:styleId="subsectionChar">
    <w:name w:val="subsection Char"/>
    <w:aliases w:val="ss Char"/>
    <w:link w:val="subsection"/>
    <w:locked/>
    <w:rsid w:val="001C3815"/>
    <w:rPr>
      <w:rFonts w:ascii="Times New Roman" w:eastAsia="Times New Roman" w:hAnsi="Times New Roman"/>
      <w:sz w:val="22"/>
    </w:rPr>
  </w:style>
  <w:style w:type="character" w:customStyle="1" w:styleId="paragraphChar">
    <w:name w:val="paragraph Char"/>
    <w:aliases w:val="a Char"/>
    <w:basedOn w:val="DefaultParagraphFont"/>
    <w:link w:val="paragraph"/>
    <w:locked/>
    <w:rsid w:val="001C3815"/>
    <w:rPr>
      <w:rFonts w:ascii="Times New Roman" w:eastAsia="Times New Roman" w:hAnsi="Times New Roman"/>
      <w:sz w:val="22"/>
    </w:rPr>
  </w:style>
  <w:style w:type="paragraph" w:customStyle="1" w:styleId="SubsectionHead">
    <w:name w:val="SubsectionHead"/>
    <w:aliases w:val="ssh"/>
    <w:basedOn w:val="Normal"/>
    <w:next w:val="subsection"/>
    <w:rsid w:val="001C3815"/>
    <w:pPr>
      <w:keepNext/>
      <w:keepLines/>
      <w:spacing w:before="240" w:after="0"/>
      <w:ind w:left="1134"/>
    </w:pPr>
    <w:rPr>
      <w:rFonts w:ascii="Times New Roman" w:eastAsia="Times New Roman" w:hAnsi="Times New Roman" w:cs="Times New Roman"/>
      <w:i/>
      <w:color w:val="auto"/>
      <w:szCs w:val="20"/>
      <w:lang w:eastAsia="en-AU"/>
    </w:rPr>
  </w:style>
  <w:style w:type="paragraph" w:customStyle="1" w:styleId="Text">
    <w:name w:val="Text"/>
    <w:link w:val="TextChar"/>
    <w:rsid w:val="001C3815"/>
    <w:pPr>
      <w:spacing w:before="240" w:after="120" w:line="312" w:lineRule="auto"/>
    </w:pPr>
    <w:rPr>
      <w:rFonts w:ascii="Times New Roman" w:eastAsia="Times New Roman" w:hAnsi="Times New Roman"/>
      <w:lang w:eastAsia="en-US"/>
    </w:rPr>
  </w:style>
  <w:style w:type="character" w:customStyle="1" w:styleId="TextChar">
    <w:name w:val="Text Char"/>
    <w:basedOn w:val="DefaultParagraphFont"/>
    <w:link w:val="Text"/>
    <w:locked/>
    <w:rsid w:val="001C3815"/>
    <w:rPr>
      <w:rFonts w:ascii="Times New Roman" w:eastAsia="Times New Roman" w:hAnsi="Times New Roman"/>
      <w:lang w:eastAsia="en-US"/>
    </w:rPr>
  </w:style>
  <w:style w:type="paragraph" w:customStyle="1" w:styleId="Formula">
    <w:name w:val="Formula"/>
    <w:basedOn w:val="Normal"/>
    <w:next w:val="Normal"/>
    <w:rsid w:val="001C3815"/>
    <w:pPr>
      <w:spacing w:before="180" w:after="180" w:line="360" w:lineRule="auto"/>
      <w:jc w:val="center"/>
    </w:pPr>
    <w:rPr>
      <w:rFonts w:ascii="Times New Roman" w:eastAsia="Times New Roman" w:hAnsi="Times New Roman" w:cs="Times New Roman"/>
      <w:color w:val="auto"/>
      <w:sz w:val="24"/>
      <w:lang w:eastAsia="en-AU"/>
    </w:rPr>
  </w:style>
  <w:style w:type="paragraph" w:customStyle="1" w:styleId="R2">
    <w:name w:val="R2"/>
    <w:aliases w:val="(2)"/>
    <w:basedOn w:val="Normal"/>
    <w:uiPriority w:val="99"/>
    <w:rsid w:val="001C3815"/>
    <w:pPr>
      <w:keepLines/>
      <w:tabs>
        <w:tab w:val="right" w:pos="794"/>
      </w:tabs>
      <w:spacing w:before="180" w:after="120" w:line="260" w:lineRule="exact"/>
      <w:ind w:left="964" w:hanging="964"/>
      <w:jc w:val="both"/>
    </w:pPr>
    <w:rPr>
      <w:rFonts w:ascii="Times New Roman" w:eastAsia="Times New Roman" w:hAnsi="Times New Roman" w:cs="Times New Roman"/>
      <w:color w:val="auto"/>
      <w:sz w:val="24"/>
      <w:lang w:eastAsia="en-AU"/>
    </w:rPr>
  </w:style>
  <w:style w:type="character" w:customStyle="1" w:styleId="CharSectno">
    <w:name w:val="CharSectno"/>
    <w:basedOn w:val="DefaultParagraphFont"/>
    <w:qFormat/>
    <w:rsid w:val="001C3815"/>
    <w:rPr>
      <w:rFonts w:cs="Times New Roman"/>
    </w:rPr>
  </w:style>
  <w:style w:type="paragraph" w:customStyle="1" w:styleId="R1">
    <w:name w:val="R1"/>
    <w:aliases w:val="1. or 1.(1)"/>
    <w:basedOn w:val="Normal"/>
    <w:next w:val="R2"/>
    <w:rsid w:val="001C3815"/>
    <w:pPr>
      <w:keepLines/>
      <w:tabs>
        <w:tab w:val="right" w:pos="794"/>
      </w:tabs>
      <w:spacing w:before="120" w:after="120" w:line="260" w:lineRule="exact"/>
      <w:ind w:left="964" w:hanging="964"/>
      <w:jc w:val="both"/>
    </w:pPr>
    <w:rPr>
      <w:rFonts w:ascii="Times New Roman" w:eastAsia="Times New Roman" w:hAnsi="Times New Roman" w:cs="Times New Roman"/>
      <w:color w:val="auto"/>
      <w:sz w:val="24"/>
      <w:lang w:eastAsia="en-AU"/>
    </w:rPr>
  </w:style>
  <w:style w:type="paragraph" w:customStyle="1" w:styleId="ActHead5">
    <w:name w:val="ActHead 5"/>
    <w:aliases w:val="s"/>
    <w:basedOn w:val="Normal"/>
    <w:next w:val="subsection"/>
    <w:qFormat/>
    <w:rsid w:val="001C3815"/>
    <w:pPr>
      <w:keepNext/>
      <w:keepLines/>
      <w:spacing w:before="280" w:after="0"/>
      <w:ind w:left="1134" w:hanging="1134"/>
      <w:outlineLvl w:val="4"/>
    </w:pPr>
    <w:rPr>
      <w:rFonts w:ascii="Times New Roman" w:eastAsia="Times New Roman" w:hAnsi="Times New Roman" w:cs="Times New Roman"/>
      <w:b/>
      <w:color w:val="auto"/>
      <w:kern w:val="28"/>
      <w:sz w:val="24"/>
      <w:szCs w:val="20"/>
      <w:lang w:eastAsia="en-AU"/>
    </w:rPr>
  </w:style>
  <w:style w:type="character" w:styleId="UnresolvedMention">
    <w:name w:val="Unresolved Mention"/>
    <w:basedOn w:val="DefaultParagraphFont"/>
    <w:uiPriority w:val="99"/>
    <w:unhideWhenUsed/>
    <w:rsid w:val="001C3815"/>
    <w:rPr>
      <w:color w:val="605E5C"/>
      <w:shd w:val="clear" w:color="auto" w:fill="E1DFDD"/>
    </w:rPr>
  </w:style>
  <w:style w:type="character" w:customStyle="1" w:styleId="CharDivNo">
    <w:name w:val="CharDivNo"/>
    <w:basedOn w:val="DefaultParagraphFont"/>
    <w:qFormat/>
    <w:rsid w:val="001C3815"/>
    <w:rPr>
      <w:rFonts w:cs="Times New Roman"/>
    </w:rPr>
  </w:style>
  <w:style w:type="character" w:customStyle="1" w:styleId="CharDivText">
    <w:name w:val="CharDivText"/>
    <w:basedOn w:val="DefaultParagraphFont"/>
    <w:qFormat/>
    <w:rsid w:val="001C3815"/>
    <w:rPr>
      <w:rFonts w:cs="Times New Roman"/>
    </w:rPr>
  </w:style>
  <w:style w:type="paragraph" w:customStyle="1" w:styleId="ActHead3">
    <w:name w:val="ActHead 3"/>
    <w:aliases w:val="d"/>
    <w:basedOn w:val="Normal"/>
    <w:next w:val="Normal"/>
    <w:qFormat/>
    <w:rsid w:val="001C3815"/>
    <w:pPr>
      <w:keepNext/>
      <w:keepLines/>
      <w:spacing w:before="240" w:after="0"/>
      <w:ind w:left="1134" w:hanging="1134"/>
      <w:outlineLvl w:val="2"/>
    </w:pPr>
    <w:rPr>
      <w:rFonts w:ascii="Times New Roman" w:eastAsia="Times New Roman" w:hAnsi="Times New Roman" w:cs="Times New Roman"/>
      <w:b/>
      <w:color w:val="auto"/>
      <w:kern w:val="28"/>
      <w:sz w:val="28"/>
      <w:szCs w:val="20"/>
      <w:lang w:eastAsia="en-AU"/>
    </w:rPr>
  </w:style>
  <w:style w:type="character" w:styleId="Mention">
    <w:name w:val="Mention"/>
    <w:basedOn w:val="DefaultParagraphFont"/>
    <w:uiPriority w:val="99"/>
    <w:unhideWhenUsed/>
    <w:rsid w:val="001C3815"/>
    <w:rPr>
      <w:color w:val="2B579A"/>
      <w:shd w:val="clear" w:color="auto" w:fill="E1DFDD"/>
    </w:rPr>
  </w:style>
  <w:style w:type="paragraph" w:styleId="TOC5">
    <w:name w:val="toc 5"/>
    <w:basedOn w:val="Normal"/>
    <w:next w:val="Normal"/>
    <w:autoRedefine/>
    <w:uiPriority w:val="39"/>
    <w:unhideWhenUsed/>
    <w:rsid w:val="00D3735E"/>
    <w:pPr>
      <w:spacing w:after="100"/>
      <w:ind w:left="880"/>
    </w:pPr>
  </w:style>
  <w:style w:type="character" w:customStyle="1" w:styleId="normaltextrun">
    <w:name w:val="normaltextrun"/>
    <w:basedOn w:val="DefaultParagraphFont"/>
    <w:rsid w:val="00CE274A"/>
  </w:style>
  <w:style w:type="character" w:customStyle="1" w:styleId="eop">
    <w:name w:val="eop"/>
    <w:basedOn w:val="DefaultParagraphFont"/>
    <w:rsid w:val="00CE274A"/>
  </w:style>
  <w:style w:type="character" w:customStyle="1" w:styleId="superscript">
    <w:name w:val="superscript"/>
    <w:basedOn w:val="DefaultParagraphFont"/>
    <w:rsid w:val="0019087A"/>
  </w:style>
  <w:style w:type="character" w:customStyle="1" w:styleId="ui-provider">
    <w:name w:val="ui-provider"/>
    <w:basedOn w:val="DefaultParagraphFont"/>
    <w:rsid w:val="00BB491A"/>
  </w:style>
  <w:style w:type="character" w:customStyle="1" w:styleId="scxw66386568">
    <w:name w:val="scxw66386568"/>
    <w:basedOn w:val="DefaultParagraphFont"/>
    <w:rsid w:val="00EB6200"/>
  </w:style>
  <w:style w:type="character" w:customStyle="1" w:styleId="scxw121805585">
    <w:name w:val="scxw121805585"/>
    <w:basedOn w:val="DefaultParagraphFont"/>
    <w:rsid w:val="00027A9C"/>
  </w:style>
  <w:style w:type="paragraph" w:styleId="EndnoteText">
    <w:name w:val="endnote text"/>
    <w:basedOn w:val="Normal"/>
    <w:link w:val="EndnoteTextChar"/>
    <w:uiPriority w:val="99"/>
    <w:semiHidden/>
    <w:unhideWhenUsed/>
    <w:rsid w:val="00B22213"/>
    <w:pPr>
      <w:spacing w:after="0"/>
    </w:pPr>
    <w:rPr>
      <w:sz w:val="20"/>
      <w:szCs w:val="20"/>
    </w:rPr>
  </w:style>
  <w:style w:type="character" w:customStyle="1" w:styleId="EndnoteTextChar">
    <w:name w:val="Endnote Text Char"/>
    <w:basedOn w:val="DefaultParagraphFont"/>
    <w:link w:val="EndnoteText"/>
    <w:uiPriority w:val="99"/>
    <w:semiHidden/>
    <w:rsid w:val="00B22213"/>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B222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76885137">
      <w:bodyDiv w:val="1"/>
      <w:marLeft w:val="0"/>
      <w:marRight w:val="0"/>
      <w:marTop w:val="0"/>
      <w:marBottom w:val="0"/>
      <w:divBdr>
        <w:top w:val="none" w:sz="0" w:space="0" w:color="auto"/>
        <w:left w:val="none" w:sz="0" w:space="0" w:color="auto"/>
        <w:bottom w:val="none" w:sz="0" w:space="0" w:color="auto"/>
        <w:right w:val="none" w:sz="0" w:space="0" w:color="auto"/>
      </w:divBdr>
    </w:div>
    <w:div w:id="110712126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09379458">
      <w:bodyDiv w:val="1"/>
      <w:marLeft w:val="0"/>
      <w:marRight w:val="0"/>
      <w:marTop w:val="0"/>
      <w:marBottom w:val="0"/>
      <w:divBdr>
        <w:top w:val="none" w:sz="0" w:space="0" w:color="auto"/>
        <w:left w:val="none" w:sz="0" w:space="0" w:color="auto"/>
        <w:bottom w:val="none" w:sz="0" w:space="0" w:color="auto"/>
        <w:right w:val="none" w:sz="0" w:space="0" w:color="auto"/>
      </w:divBdr>
      <w:divsChild>
        <w:div w:id="547378827">
          <w:marLeft w:val="0"/>
          <w:marRight w:val="0"/>
          <w:marTop w:val="0"/>
          <w:marBottom w:val="0"/>
          <w:divBdr>
            <w:top w:val="none" w:sz="0" w:space="0" w:color="auto"/>
            <w:left w:val="none" w:sz="0" w:space="0" w:color="auto"/>
            <w:bottom w:val="none" w:sz="0" w:space="0" w:color="auto"/>
            <w:right w:val="none" w:sz="0" w:space="0" w:color="auto"/>
          </w:divBdr>
          <w:divsChild>
            <w:div w:id="401411574">
              <w:marLeft w:val="0"/>
              <w:marRight w:val="0"/>
              <w:marTop w:val="0"/>
              <w:marBottom w:val="0"/>
              <w:divBdr>
                <w:top w:val="none" w:sz="0" w:space="0" w:color="auto"/>
                <w:left w:val="none" w:sz="0" w:space="0" w:color="auto"/>
                <w:bottom w:val="none" w:sz="0" w:space="0" w:color="auto"/>
                <w:right w:val="none" w:sz="0" w:space="0" w:color="auto"/>
              </w:divBdr>
            </w:div>
            <w:div w:id="598637714">
              <w:marLeft w:val="0"/>
              <w:marRight w:val="0"/>
              <w:marTop w:val="0"/>
              <w:marBottom w:val="0"/>
              <w:divBdr>
                <w:top w:val="none" w:sz="0" w:space="0" w:color="auto"/>
                <w:left w:val="none" w:sz="0" w:space="0" w:color="auto"/>
                <w:bottom w:val="none" w:sz="0" w:space="0" w:color="auto"/>
                <w:right w:val="none" w:sz="0" w:space="0" w:color="auto"/>
              </w:divBdr>
            </w:div>
          </w:divsChild>
        </w:div>
        <w:div w:id="1854807059">
          <w:marLeft w:val="0"/>
          <w:marRight w:val="0"/>
          <w:marTop w:val="0"/>
          <w:marBottom w:val="0"/>
          <w:divBdr>
            <w:top w:val="none" w:sz="0" w:space="0" w:color="auto"/>
            <w:left w:val="none" w:sz="0" w:space="0" w:color="auto"/>
            <w:bottom w:val="none" w:sz="0" w:space="0" w:color="auto"/>
            <w:right w:val="none" w:sz="0" w:space="0" w:color="auto"/>
          </w:divBdr>
          <w:divsChild>
            <w:div w:id="20704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2435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230/latest/versions" TargetMode="External"/><Relationship Id="rId39" Type="http://schemas.openxmlformats.org/officeDocument/2006/relationships/hyperlink" Target="https://store.standards.org.au/product/as-3583-3-1991" TargetMode="External"/><Relationship Id="rId21" Type="http://schemas.openxmlformats.org/officeDocument/2006/relationships/image" Target="media/image12.png"/><Relationship Id="rId34" Type="http://schemas.openxmlformats.org/officeDocument/2006/relationships/hyperlink" Target="https://cer.gov.au/document_page/methods-and-measurement-criteria-guideline" TargetMode="External"/><Relationship Id="rId42" Type="http://schemas.openxmlformats.org/officeDocument/2006/relationships/hyperlink" Target="https://cer.gov.au/document_page/reporting-blended-fuels-other-fuel-mixes-bitumen-and-explosives-guideline"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schemes/national-greenhouse-and-energy-reporting-scheme/report-emissions-and-energy/amendments" TargetMode="External"/><Relationship Id="rId11" Type="http://schemas.openxmlformats.org/officeDocument/2006/relationships/image" Target="media/image3.png"/><Relationship Id="rId24" Type="http://schemas.openxmlformats.org/officeDocument/2006/relationships/hyperlink" Target="https://www.legislation.gov.au/help-and-resources/understanding-legislation/reading-legislation" TargetMode="External"/><Relationship Id="rId32" Type="http://schemas.openxmlformats.org/officeDocument/2006/relationships/hyperlink" Target="https://cer.gov.au/document_page/methods-and-measurement-criteria-guideline" TargetMode="External"/><Relationship Id="rId37" Type="http://schemas.openxmlformats.org/officeDocument/2006/relationships/hyperlink" Target="https://store.standards.org.au/product/as-4264-4-1996" TargetMode="External"/><Relationship Id="rId40" Type="http://schemas.openxmlformats.org/officeDocument/2006/relationships/hyperlink" Target="https://cer.gov.au/document_page/reporting-blended-fuels-other-fuel-mixes-bitumen-and-explosives-guideline" TargetMode="External"/><Relationship Id="rId45" Type="http://schemas.openxmlformats.org/officeDocument/2006/relationships/hyperlink" Target="http://www.cer.gov.au/"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www.industry.gov.au/policies-and-initiatives/australias-climate-change-strategies/tracking-and-reporting-greenhouse-gas-emissions" TargetMode="External"/><Relationship Id="rId44" Type="http://schemas.openxmlformats.org/officeDocument/2006/relationships/hyperlink" Target="mailto:reporting@cleanenergyregulator.gov.au"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safeguard-mechanism" TargetMode="External"/><Relationship Id="rId27" Type="http://schemas.openxmlformats.org/officeDocument/2006/relationships/hyperlink" Target="https://www.legislation.gov.au/F2008L02309/latest/versions" TargetMode="External"/><Relationship Id="rId30" Type="http://schemas.openxmlformats.org/officeDocument/2006/relationships/hyperlink" Target="https://cer.gov.au/schemes/national-greenhouse-and-energy-reporting-scheme/report-emissions-and-energy/nger-reporting-guides" TargetMode="External"/><Relationship Id="rId35" Type="http://schemas.openxmlformats.org/officeDocument/2006/relationships/hyperlink" Target="https://cer.gov.au/document_page/reporting-blended-fuels-other-fuel-mixes-bitumen-and-explosives-guideline" TargetMode="External"/><Relationship Id="rId43" Type="http://schemas.openxmlformats.org/officeDocument/2006/relationships/hyperlink" Target="https://cer.gov.au/document_page/reporting-uncertainty-guideline"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C2007A00175/latest/versions" TargetMode="External"/><Relationship Id="rId33" Type="http://schemas.openxmlformats.org/officeDocument/2006/relationships/hyperlink" Target="https://cer.gov.au/document_page/reporting-blended-fuels-other-fuel-mixes-bitumen-and-explosives-guideline" TargetMode="External"/><Relationship Id="rId38" Type="http://schemas.openxmlformats.org/officeDocument/2006/relationships/hyperlink" Target="https://store.standards.org.au/product/as-3583-2-1991" TargetMode="External"/><Relationship Id="rId46" Type="http://schemas.openxmlformats.org/officeDocument/2006/relationships/hyperlink" Target="https://cer.gov.au/schemes/national-greenhouse-and-energy-reporting-scheme/report-emissions-and-energy/nger-reporting-guides" TargetMode="External"/><Relationship Id="rId20" Type="http://schemas.openxmlformats.org/officeDocument/2006/relationships/image" Target="media/image11.svg"/><Relationship Id="rId41" Type="http://schemas.openxmlformats.org/officeDocument/2006/relationships/hyperlink" Target="https://cer.gov.au/document_page/petroleum-based-oils-and-greases-guidelin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cer.gov.au/document_page/reporting-blended-fuels-other-fuel-mixes-bitumen-and-explosives-guideline" TargetMode="External"/><Relationship Id="rId28" Type="http://schemas.openxmlformats.org/officeDocument/2006/relationships/hyperlink" Target="https://cer.gov.au/schemes/national-greenhouse-and-energy-reporting-scheme" TargetMode="External"/><Relationship Id="rId36" Type="http://schemas.openxmlformats.org/officeDocument/2006/relationships/hyperlink" Target="https://www.dcceew.gov.au/climate-change/publications/national-inventory-reports" TargetMode="External"/><Relationship Id="rId4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08E123-9505-4646-8DDD-71EFC6D7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10409</Words>
  <Characters>56001</Characters>
  <Application>Microsoft Office Word</Application>
  <DocSecurity>0</DocSecurity>
  <Lines>1056</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65796</CharactersWithSpaces>
  <SharedDoc>false</SharedDoc>
  <HLinks>
    <vt:vector size="210" baseType="variant">
      <vt:variant>
        <vt:i4>1704004</vt:i4>
      </vt:variant>
      <vt:variant>
        <vt:i4>228</vt:i4>
      </vt:variant>
      <vt:variant>
        <vt:i4>0</vt:i4>
      </vt:variant>
      <vt:variant>
        <vt:i4>5</vt:i4>
      </vt:variant>
      <vt:variant>
        <vt:lpwstr>https://cer.gov.au/schemes/national-greenhouse-and-energy-reporting-scheme/report-emissions-and-energy/nger-reporting-guides</vt:lpwstr>
      </vt:variant>
      <vt:variant>
        <vt:lpwstr/>
      </vt:variant>
      <vt:variant>
        <vt:i4>6619183</vt:i4>
      </vt:variant>
      <vt:variant>
        <vt:i4>225</vt:i4>
      </vt:variant>
      <vt:variant>
        <vt:i4>0</vt:i4>
      </vt:variant>
      <vt:variant>
        <vt:i4>5</vt:i4>
      </vt:variant>
      <vt:variant>
        <vt:lpwstr>http://www.cer.gov.au/</vt:lpwstr>
      </vt:variant>
      <vt:variant>
        <vt:lpwstr/>
      </vt:variant>
      <vt:variant>
        <vt:i4>1376383</vt:i4>
      </vt:variant>
      <vt:variant>
        <vt:i4>222</vt:i4>
      </vt:variant>
      <vt:variant>
        <vt:i4>0</vt:i4>
      </vt:variant>
      <vt:variant>
        <vt:i4>5</vt:i4>
      </vt:variant>
      <vt:variant>
        <vt:lpwstr>mailto:reporting@cleanenergyregulator.gov.au</vt:lpwstr>
      </vt:variant>
      <vt:variant>
        <vt:lpwstr/>
      </vt:variant>
      <vt:variant>
        <vt:i4>3801180</vt:i4>
      </vt:variant>
      <vt:variant>
        <vt:i4>219</vt:i4>
      </vt:variant>
      <vt:variant>
        <vt:i4>0</vt:i4>
      </vt:variant>
      <vt:variant>
        <vt:i4>5</vt:i4>
      </vt:variant>
      <vt:variant>
        <vt:lpwstr>https://cer.gov.au/document_page/reporting-uncertainty-guideline</vt:lpwstr>
      </vt:variant>
      <vt:variant>
        <vt:lpwstr/>
      </vt:variant>
      <vt:variant>
        <vt:i4>5242981</vt:i4>
      </vt:variant>
      <vt:variant>
        <vt:i4>216</vt:i4>
      </vt:variant>
      <vt:variant>
        <vt:i4>0</vt:i4>
      </vt:variant>
      <vt:variant>
        <vt:i4>5</vt:i4>
      </vt:variant>
      <vt:variant>
        <vt:lpwstr>https://cer.gov.au/document_page/reporting-blended-fuels-other-fuel-mixes-bitumen-and-explosives-guideline</vt:lpwstr>
      </vt:variant>
      <vt:variant>
        <vt:lpwstr/>
      </vt:variant>
      <vt:variant>
        <vt:i4>7995457</vt:i4>
      </vt:variant>
      <vt:variant>
        <vt:i4>213</vt:i4>
      </vt:variant>
      <vt:variant>
        <vt:i4>0</vt:i4>
      </vt:variant>
      <vt:variant>
        <vt:i4>5</vt:i4>
      </vt:variant>
      <vt:variant>
        <vt:lpwstr>https://cer.gov.au/document_page/estimating-emissions-and-energy-electricity-generation-transmission-and-distribution-sectors</vt:lpwstr>
      </vt:variant>
      <vt:variant>
        <vt:lpwstr/>
      </vt:variant>
      <vt:variant>
        <vt:i4>131112</vt:i4>
      </vt:variant>
      <vt:variant>
        <vt:i4>207</vt:i4>
      </vt:variant>
      <vt:variant>
        <vt:i4>0</vt:i4>
      </vt:variant>
      <vt:variant>
        <vt:i4>5</vt:i4>
      </vt:variant>
      <vt:variant>
        <vt:lpwstr>https://cer.gov.au/document_page/petroleum-based-oils-and-greases-guideline</vt:lpwstr>
      </vt:variant>
      <vt:variant>
        <vt:lpwstr/>
      </vt:variant>
      <vt:variant>
        <vt:i4>5242981</vt:i4>
      </vt:variant>
      <vt:variant>
        <vt:i4>195</vt:i4>
      </vt:variant>
      <vt:variant>
        <vt:i4>0</vt:i4>
      </vt:variant>
      <vt:variant>
        <vt:i4>5</vt:i4>
      </vt:variant>
      <vt:variant>
        <vt:lpwstr>https://cer.gov.au/document_page/reporting-blended-fuels-other-fuel-mixes-bitumen-and-explosives-guideline</vt:lpwstr>
      </vt:variant>
      <vt:variant>
        <vt:lpwstr/>
      </vt:variant>
      <vt:variant>
        <vt:i4>5111827</vt:i4>
      </vt:variant>
      <vt:variant>
        <vt:i4>192</vt:i4>
      </vt:variant>
      <vt:variant>
        <vt:i4>0</vt:i4>
      </vt:variant>
      <vt:variant>
        <vt:i4>5</vt:i4>
      </vt:variant>
      <vt:variant>
        <vt:lpwstr>https://store.standards.org.au/product/as-3583-3-1991</vt:lpwstr>
      </vt:variant>
      <vt:variant>
        <vt:lpwstr/>
      </vt:variant>
      <vt:variant>
        <vt:i4>5177363</vt:i4>
      </vt:variant>
      <vt:variant>
        <vt:i4>189</vt:i4>
      </vt:variant>
      <vt:variant>
        <vt:i4>0</vt:i4>
      </vt:variant>
      <vt:variant>
        <vt:i4>5</vt:i4>
      </vt:variant>
      <vt:variant>
        <vt:lpwstr>https://store.standards.org.au/product/as-3583-2-1991</vt:lpwstr>
      </vt:variant>
      <vt:variant>
        <vt:lpwstr/>
      </vt:variant>
      <vt:variant>
        <vt:i4>4784154</vt:i4>
      </vt:variant>
      <vt:variant>
        <vt:i4>186</vt:i4>
      </vt:variant>
      <vt:variant>
        <vt:i4>0</vt:i4>
      </vt:variant>
      <vt:variant>
        <vt:i4>5</vt:i4>
      </vt:variant>
      <vt:variant>
        <vt:lpwstr>https://store.standards.org.au/product/as-4264-4-1996</vt:lpwstr>
      </vt:variant>
      <vt:variant>
        <vt:lpwstr/>
      </vt:variant>
      <vt:variant>
        <vt:i4>65545</vt:i4>
      </vt:variant>
      <vt:variant>
        <vt:i4>183</vt:i4>
      </vt:variant>
      <vt:variant>
        <vt:i4>0</vt:i4>
      </vt:variant>
      <vt:variant>
        <vt:i4>5</vt:i4>
      </vt:variant>
      <vt:variant>
        <vt:lpwstr>https://www.dcceew.gov.au/climate-change/publications/national-inventory-reports</vt:lpwstr>
      </vt:variant>
      <vt:variant>
        <vt:lpwstr/>
      </vt:variant>
      <vt:variant>
        <vt:i4>5242981</vt:i4>
      </vt:variant>
      <vt:variant>
        <vt:i4>177</vt:i4>
      </vt:variant>
      <vt:variant>
        <vt:i4>0</vt:i4>
      </vt:variant>
      <vt:variant>
        <vt:i4>5</vt:i4>
      </vt:variant>
      <vt:variant>
        <vt:lpwstr>https://cer.gov.au/document_page/reporting-blended-fuels-other-fuel-mixes-bitumen-and-explosives-guideline</vt:lpwstr>
      </vt:variant>
      <vt:variant>
        <vt:lpwstr/>
      </vt:variant>
      <vt:variant>
        <vt:i4>262247</vt:i4>
      </vt:variant>
      <vt:variant>
        <vt:i4>174</vt:i4>
      </vt:variant>
      <vt:variant>
        <vt:i4>0</vt:i4>
      </vt:variant>
      <vt:variant>
        <vt:i4>5</vt:i4>
      </vt:variant>
      <vt:variant>
        <vt:lpwstr>https://cer.gov.au/document_page/methods-and-measurement-criteria-guideline</vt:lpwstr>
      </vt:variant>
      <vt:variant>
        <vt:lpwstr/>
      </vt:variant>
      <vt:variant>
        <vt:i4>5242981</vt:i4>
      </vt:variant>
      <vt:variant>
        <vt:i4>171</vt:i4>
      </vt:variant>
      <vt:variant>
        <vt:i4>0</vt:i4>
      </vt:variant>
      <vt:variant>
        <vt:i4>5</vt:i4>
      </vt:variant>
      <vt:variant>
        <vt:lpwstr>https://cer.gov.au/document_page/reporting-blended-fuels-other-fuel-mixes-bitumen-and-explosives-guideline</vt:lpwstr>
      </vt:variant>
      <vt:variant>
        <vt:lpwstr/>
      </vt:variant>
      <vt:variant>
        <vt:i4>262247</vt:i4>
      </vt:variant>
      <vt:variant>
        <vt:i4>168</vt:i4>
      </vt:variant>
      <vt:variant>
        <vt:i4>0</vt:i4>
      </vt:variant>
      <vt:variant>
        <vt:i4>5</vt:i4>
      </vt:variant>
      <vt:variant>
        <vt:lpwstr>https://cer.gov.au/document_page/methods-and-measurement-criteria-guideline</vt:lpwstr>
      </vt:variant>
      <vt:variant>
        <vt:lpwstr/>
      </vt:variant>
      <vt:variant>
        <vt:i4>5177348</vt:i4>
      </vt:variant>
      <vt:variant>
        <vt:i4>165</vt:i4>
      </vt:variant>
      <vt:variant>
        <vt:i4>0</vt:i4>
      </vt:variant>
      <vt:variant>
        <vt:i4>5</vt:i4>
      </vt:variant>
      <vt:variant>
        <vt:lpwstr>https://www.industry.gov.au/policies-and-initiatives/australias-climate-change-strategies/tracking-and-reporting-greenhouse-gas-emissions</vt:lpwstr>
      </vt:variant>
      <vt:variant>
        <vt:lpwstr/>
      </vt:variant>
      <vt:variant>
        <vt:i4>1704004</vt:i4>
      </vt:variant>
      <vt:variant>
        <vt:i4>156</vt:i4>
      </vt:variant>
      <vt:variant>
        <vt:i4>0</vt:i4>
      </vt:variant>
      <vt:variant>
        <vt:i4>5</vt:i4>
      </vt:variant>
      <vt:variant>
        <vt:lpwstr>https://cer.gov.au/schemes/national-greenhouse-and-energy-reporting-scheme/report-emissions-and-energy/nger-reporting-guides</vt:lpwstr>
      </vt:variant>
      <vt:variant>
        <vt:lpwstr/>
      </vt:variant>
      <vt:variant>
        <vt:i4>1179716</vt:i4>
      </vt:variant>
      <vt:variant>
        <vt:i4>153</vt:i4>
      </vt:variant>
      <vt:variant>
        <vt:i4>0</vt:i4>
      </vt:variant>
      <vt:variant>
        <vt:i4>5</vt:i4>
      </vt:variant>
      <vt:variant>
        <vt:lpwstr>https://cer.gov.au/schemes/national-greenhouse-and-energy-reporting-scheme/report-emissions-and-energy/amendments</vt:lpwstr>
      </vt:variant>
      <vt:variant>
        <vt:lpwstr/>
      </vt:variant>
      <vt:variant>
        <vt:i4>2883643</vt:i4>
      </vt:variant>
      <vt:variant>
        <vt:i4>150</vt:i4>
      </vt:variant>
      <vt:variant>
        <vt:i4>0</vt:i4>
      </vt:variant>
      <vt:variant>
        <vt:i4>5</vt:i4>
      </vt:variant>
      <vt:variant>
        <vt:lpwstr>https://cer.gov.au/schemes/national-greenhouse-and-energy-reporting-scheme</vt:lpwstr>
      </vt:variant>
      <vt:variant>
        <vt:lpwstr/>
      </vt:variant>
      <vt:variant>
        <vt:i4>3342385</vt:i4>
      </vt:variant>
      <vt:variant>
        <vt:i4>147</vt:i4>
      </vt:variant>
      <vt:variant>
        <vt:i4>0</vt:i4>
      </vt:variant>
      <vt:variant>
        <vt:i4>5</vt:i4>
      </vt:variant>
      <vt:variant>
        <vt:lpwstr>https://www.legislation.gov.au/F2008L02309/latest/versions</vt:lpwstr>
      </vt:variant>
      <vt:variant>
        <vt:lpwstr/>
      </vt:variant>
      <vt:variant>
        <vt:i4>3866674</vt:i4>
      </vt:variant>
      <vt:variant>
        <vt:i4>144</vt:i4>
      </vt:variant>
      <vt:variant>
        <vt:i4>0</vt:i4>
      </vt:variant>
      <vt:variant>
        <vt:i4>5</vt:i4>
      </vt:variant>
      <vt:variant>
        <vt:lpwstr>https://www.legislation.gov.au/F2008L02230/latest/versions</vt:lpwstr>
      </vt:variant>
      <vt:variant>
        <vt:lpwstr/>
      </vt:variant>
      <vt:variant>
        <vt:i4>3604537</vt:i4>
      </vt:variant>
      <vt:variant>
        <vt:i4>141</vt:i4>
      </vt:variant>
      <vt:variant>
        <vt:i4>0</vt:i4>
      </vt:variant>
      <vt:variant>
        <vt:i4>5</vt:i4>
      </vt:variant>
      <vt:variant>
        <vt:lpwstr>https://www.legislation.gov.au/C2007A00175/latest/versions</vt:lpwstr>
      </vt:variant>
      <vt:variant>
        <vt:lpwstr/>
      </vt:variant>
      <vt:variant>
        <vt:i4>2228337</vt:i4>
      </vt:variant>
      <vt:variant>
        <vt:i4>138</vt:i4>
      </vt:variant>
      <vt:variant>
        <vt:i4>0</vt:i4>
      </vt:variant>
      <vt:variant>
        <vt:i4>5</vt:i4>
      </vt:variant>
      <vt:variant>
        <vt:lpwstr>https://www.legislation.gov.au/help-and-resources/understanding-legislation/reading-legislation</vt:lpwstr>
      </vt:variant>
      <vt:variant>
        <vt:lpwstr/>
      </vt:variant>
      <vt:variant>
        <vt:i4>5242981</vt:i4>
      </vt:variant>
      <vt:variant>
        <vt:i4>135</vt:i4>
      </vt:variant>
      <vt:variant>
        <vt:i4>0</vt:i4>
      </vt:variant>
      <vt:variant>
        <vt:i4>5</vt:i4>
      </vt:variant>
      <vt:variant>
        <vt:lpwstr>https://cer.gov.au/document_page/reporting-blended-fuels-other-fuel-mixes-bitumen-and-explosives-guideline</vt:lpwstr>
      </vt:variant>
      <vt:variant>
        <vt:lpwstr/>
      </vt:variant>
      <vt:variant>
        <vt:i4>7798908</vt:i4>
      </vt:variant>
      <vt:variant>
        <vt:i4>132</vt:i4>
      </vt:variant>
      <vt:variant>
        <vt:i4>0</vt:i4>
      </vt:variant>
      <vt:variant>
        <vt:i4>5</vt:i4>
      </vt:variant>
      <vt:variant>
        <vt:lpwstr>https://cer.gov.au/schemes/safeguard-mechanism</vt:lpwstr>
      </vt:variant>
      <vt:variant>
        <vt:lpwstr/>
      </vt:variant>
      <vt:variant>
        <vt:i4>7405639</vt:i4>
      </vt:variant>
      <vt:variant>
        <vt:i4>24</vt:i4>
      </vt:variant>
      <vt:variant>
        <vt:i4>0</vt:i4>
      </vt:variant>
      <vt:variant>
        <vt:i4>5</vt:i4>
      </vt:variant>
      <vt:variant>
        <vt:lpwstr>mailto:Chris.Sheahan@cer.gov.au</vt:lpwstr>
      </vt:variant>
      <vt:variant>
        <vt:lpwstr/>
      </vt:variant>
      <vt:variant>
        <vt:i4>3866666</vt:i4>
      </vt:variant>
      <vt:variant>
        <vt:i4>21</vt:i4>
      </vt:variant>
      <vt:variant>
        <vt:i4>0</vt:i4>
      </vt:variant>
      <vt:variant>
        <vt:i4>5</vt:i4>
      </vt:variant>
      <vt:variant>
        <vt:lpwstr>https://ageis.climatechange.gov.au/</vt:lpwstr>
      </vt:variant>
      <vt:variant>
        <vt:lpwstr/>
      </vt:variant>
      <vt:variant>
        <vt:i4>3145841</vt:i4>
      </vt:variant>
      <vt:variant>
        <vt:i4>18</vt:i4>
      </vt:variant>
      <vt:variant>
        <vt:i4>0</vt:i4>
      </vt:variant>
      <vt:variant>
        <vt:i4>5</vt:i4>
      </vt:variant>
      <vt:variant>
        <vt:lpwstr>https://www.dcceew.gov.au/climate-change/publications/national-greenhouse-accounts-factors</vt:lpwstr>
      </vt:variant>
      <vt:variant>
        <vt:lpwstr/>
      </vt:variant>
      <vt:variant>
        <vt:i4>6815783</vt:i4>
      </vt:variant>
      <vt:variant>
        <vt:i4>15</vt:i4>
      </vt:variant>
      <vt:variant>
        <vt:i4>0</vt:i4>
      </vt:variant>
      <vt:variant>
        <vt:i4>5</vt:i4>
      </vt:variant>
      <vt:variant>
        <vt:lpwstr>https://cergovau-my.sharepoint.com/:w:/g/personal/chris_sheahan_cer_gov_au/IQCPVlNLj2tdS60_LMAx_5NoAUrsNx1LulrSnxbNExLJfOw?e=AidczY&amp;or=EXCEL-WEB.BODY.NT&amp;ct=1780623619352</vt:lpwstr>
      </vt:variant>
      <vt:variant>
        <vt:lpwstr/>
      </vt:variant>
      <vt:variant>
        <vt:i4>262247</vt:i4>
      </vt:variant>
      <vt:variant>
        <vt:i4>12</vt:i4>
      </vt:variant>
      <vt:variant>
        <vt:i4>0</vt:i4>
      </vt:variant>
      <vt:variant>
        <vt:i4>5</vt:i4>
      </vt:variant>
      <vt:variant>
        <vt:lpwstr>https://cer.gov.au/document_page/methods-and-measurement-criteria-guideline</vt:lpwstr>
      </vt:variant>
      <vt:variant>
        <vt:lpwstr/>
      </vt:variant>
      <vt:variant>
        <vt:i4>7995440</vt:i4>
      </vt:variant>
      <vt:variant>
        <vt:i4>9</vt:i4>
      </vt:variant>
      <vt:variant>
        <vt:i4>0</vt:i4>
      </vt:variant>
      <vt:variant>
        <vt:i4>5</vt:i4>
      </vt:variant>
      <vt:variant>
        <vt:lpwstr>https://cer.gov.au/document/methods-and-measurement-criteria-guideline</vt:lpwstr>
      </vt:variant>
      <vt:variant>
        <vt:lpwstr/>
      </vt:variant>
      <vt:variant>
        <vt:i4>2097195</vt:i4>
      </vt:variant>
      <vt:variant>
        <vt:i4>6</vt:i4>
      </vt:variant>
      <vt:variant>
        <vt:i4>0</vt:i4>
      </vt:variant>
      <vt:variant>
        <vt:i4>5</vt:i4>
      </vt:variant>
      <vt:variant>
        <vt:lpwstr>https://cer.gov.au/schemes/national-greenhouse-and-energy-reporting-scheme/report-emissions-and-energy/nger-reporting-guides</vt:lpwstr>
      </vt:variant>
      <vt:variant>
        <vt:lpwstr>nger-quick-help-topics</vt:lpwstr>
      </vt:variant>
      <vt:variant>
        <vt:i4>6160500</vt:i4>
      </vt:variant>
      <vt:variant>
        <vt:i4>3</vt:i4>
      </vt:variant>
      <vt:variant>
        <vt:i4>0</vt:i4>
      </vt:variant>
      <vt:variant>
        <vt:i4>5</vt:i4>
      </vt:variant>
      <vt:variant>
        <vt:lpwstr>https://cer.gov.au/document_page/nger-quick-help-topics</vt:lpwstr>
      </vt:variant>
      <vt:variant>
        <vt:lpwstr/>
      </vt:variant>
      <vt:variant>
        <vt:i4>6815783</vt:i4>
      </vt:variant>
      <vt:variant>
        <vt:i4>0</vt:i4>
      </vt:variant>
      <vt:variant>
        <vt:i4>0</vt:i4>
      </vt:variant>
      <vt:variant>
        <vt:i4>5</vt:i4>
      </vt:variant>
      <vt:variant>
        <vt:lpwstr>https://cergovau-my.sharepoint.com/:w:/g/personal/chris_sheahan_cer_gov_au/IQCPVlNLj2tdS60_LMAx_5NoAUrsNx1LulrSnxbNExLJfOw?e=AidczY&amp;or=EXCEL-WEB.BODY.NT&amp;ct=1780623619352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fuel combustion guideline</dc:title>
  <dc:subject/>
  <dc:creator/>
  <cp:keywords/>
  <cp:lastModifiedBy/>
  <cp:revision>1</cp:revision>
  <dcterms:created xsi:type="dcterms:W3CDTF">2026-07-23T04:15:00Z</dcterms:created>
  <dcterms:modified xsi:type="dcterms:W3CDTF">2026-07-23T04:15:00Z</dcterms:modified>
  <cp:contentStatus/>
</cp:coreProperties>
</file>